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October 28, 2017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4340"/>
        <w:spacing w:after="0"/>
        <w:tabs>
          <w:tab w:leader="none" w:pos="6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40"/>
          <w:szCs w:val="40"/>
          <w:b w:val="1"/>
          <w:bCs w:val="1"/>
          <w:color w:val="auto"/>
        </w:rPr>
        <w:t>Analog Devices, Inc.</w:t>
      </w: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p>
      <w:pPr>
        <w:ind w:left="2260"/>
        <w:spacing w:after="0"/>
        <w:tabs>
          <w:tab w:leader="none" w:pos="8220" w:val="left"/>
        </w:tabs>
        <w:rPr>
          <w:sz w:val="20"/>
          <w:szCs w:val="20"/>
          <w:color w:val="auto"/>
        </w:rPr>
      </w:pPr>
      <w:r>
        <w:rPr>
          <w:rFonts w:ascii="Arial" w:cs="Arial" w:eastAsia="Arial" w:hAnsi="Arial"/>
          <w:sz w:val="16"/>
          <w:szCs w:val="16"/>
          <w:b w:val="1"/>
          <w:bCs w:val="1"/>
          <w:color w:val="auto"/>
        </w:rPr>
        <w:t>Massachusetts</w:t>
      </w:r>
      <w:r>
        <w:rPr>
          <w:sz w:val="20"/>
          <w:szCs w:val="20"/>
          <w:color w:val="auto"/>
        </w:rPr>
        <w:tab/>
      </w:r>
      <w:r>
        <w:rPr>
          <w:rFonts w:ascii="Arial" w:cs="Arial" w:eastAsia="Arial" w:hAnsi="Arial"/>
          <w:sz w:val="16"/>
          <w:szCs w:val="16"/>
          <w:b w:val="1"/>
          <w:bCs w:val="1"/>
          <w:color w:val="auto"/>
        </w:rPr>
        <w:t>04-2348234</w:t>
      </w:r>
    </w:p>
    <w:p>
      <w:pPr>
        <w:spacing w:after="0" w:line="81" w:lineRule="exact"/>
        <w:rPr>
          <w:sz w:val="24"/>
          <w:szCs w:val="24"/>
          <w:color w:val="auto"/>
        </w:rPr>
      </w:pPr>
    </w:p>
    <w:p>
      <w:pPr>
        <w:ind w:left="1000"/>
        <w:spacing w:after="0"/>
        <w:tabs>
          <w:tab w:leader="none" w:pos="75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384" w:lineRule="exact"/>
        <w:rPr>
          <w:sz w:val="24"/>
          <w:szCs w:val="24"/>
          <w:color w:val="auto"/>
        </w:rPr>
      </w:pPr>
    </w:p>
    <w:p>
      <w:pPr>
        <w:ind w:left="1480"/>
        <w:spacing w:after="0"/>
        <w:tabs>
          <w:tab w:leader="none" w:pos="8220" w:val="left"/>
        </w:tabs>
        <w:rPr>
          <w:sz w:val="20"/>
          <w:szCs w:val="20"/>
          <w:color w:val="auto"/>
        </w:rPr>
      </w:pPr>
      <w:r>
        <w:rPr>
          <w:rFonts w:ascii="Arial" w:cs="Arial" w:eastAsia="Arial" w:hAnsi="Arial"/>
          <w:sz w:val="16"/>
          <w:szCs w:val="16"/>
          <w:b w:val="1"/>
          <w:bCs w:val="1"/>
          <w:color w:val="auto"/>
        </w:rPr>
        <w:t>One Technology Way, Norwood, MA</w:t>
      </w:r>
      <w:r>
        <w:rPr>
          <w:sz w:val="20"/>
          <w:szCs w:val="20"/>
          <w:color w:val="auto"/>
        </w:rPr>
        <w:tab/>
      </w:r>
      <w:r>
        <w:rPr>
          <w:rFonts w:ascii="Arial" w:cs="Arial" w:eastAsia="Arial" w:hAnsi="Arial"/>
          <w:sz w:val="14"/>
          <w:szCs w:val="14"/>
          <w:b w:val="1"/>
          <w:bCs w:val="1"/>
          <w:color w:val="auto"/>
        </w:rPr>
        <w:t>02062-9106</w:t>
      </w:r>
    </w:p>
    <w:p>
      <w:pPr>
        <w:spacing w:after="0" w:line="81" w:lineRule="exact"/>
        <w:rPr>
          <w:sz w:val="24"/>
          <w:szCs w:val="24"/>
          <w:color w:val="auto"/>
        </w:rPr>
      </w:pPr>
    </w:p>
    <w:p>
      <w:pPr>
        <w:ind w:left="1620"/>
        <w:spacing w:after="0"/>
        <w:tabs>
          <w:tab w:leader="none" w:pos="830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1520"/>
        <w:spacing w:after="0"/>
        <w:tabs>
          <w:tab w:leader="none" w:pos="7580" w:val="left"/>
        </w:tabs>
        <w:rPr>
          <w:sz w:val="20"/>
          <w:szCs w:val="20"/>
          <w:color w:val="auto"/>
        </w:rPr>
      </w:pPr>
      <w:r>
        <w:rPr>
          <w:rFonts w:ascii="Arial" w:cs="Arial" w:eastAsia="Arial" w:hAnsi="Arial"/>
          <w:sz w:val="16"/>
          <w:szCs w:val="16"/>
          <w:b w:val="1"/>
          <w:bCs w:val="1"/>
          <w:color w:val="auto"/>
        </w:rPr>
        <w:t>Common Stock $0.16 2/3 Par Value</w:t>
      </w:r>
      <w:r>
        <w:rPr>
          <w:sz w:val="20"/>
          <w:szCs w:val="20"/>
          <w:color w:val="auto"/>
        </w:rPr>
        <w:tab/>
      </w:r>
      <w:r>
        <w:rPr>
          <w:rFonts w:ascii="Arial" w:cs="Arial" w:eastAsia="Arial" w:hAnsi="Arial"/>
          <w:sz w:val="14"/>
          <w:szCs w:val="14"/>
          <w:b w:val="1"/>
          <w:bCs w:val="1"/>
          <w:color w:val="auto"/>
        </w:rPr>
        <w:t>Nasdaq Global Select Market</w:t>
      </w:r>
    </w:p>
    <w:p>
      <w:pPr>
        <w:spacing w:after="0" w:line="68"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2"/>
          <w:szCs w:val="12"/>
          <w:i w:val="1"/>
          <w:iCs w:val="1"/>
          <w:color w:val="auto"/>
        </w:rPr>
        <w:t>Name of Each Exchange on Which Registered</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49" w:lineRule="exact"/>
        <w:rPr>
          <w:sz w:val="24"/>
          <w:szCs w:val="24"/>
          <w:color w:val="auto"/>
        </w:rPr>
      </w:pPr>
    </w:p>
    <w:p>
      <w:pPr>
        <w:ind w:left="340" w:right="22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1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(Sec.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(Sec.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8" w:lineRule="exact"/>
        <w:rPr>
          <w:sz w:val="24"/>
          <w:szCs w:val="24"/>
          <w:color w:val="auto"/>
        </w:rPr>
      </w:pPr>
    </w:p>
    <w:p>
      <w:pPr>
        <w:ind w:firstLine="324"/>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p>
      <w:pPr>
        <w:ind w:left="40"/>
        <w:spacing w:after="0"/>
        <w:tabs>
          <w:tab w:leader="none" w:pos="1700" w:val="left"/>
          <w:tab w:leader="none" w:pos="3620" w:val="left"/>
          <w:tab w:leader="none" w:pos="6220" w:val="left"/>
          <w:tab w:leader="none" w:pos="8160" w:val="left"/>
        </w:tabs>
        <w:rPr>
          <w:sz w:val="20"/>
          <w:szCs w:val="20"/>
          <w:color w:val="auto"/>
        </w:rPr>
      </w:pPr>
      <w:r>
        <w:rPr>
          <w:rFonts w:ascii="Arial" w:cs="Arial" w:eastAsia="Arial" w:hAnsi="Arial"/>
          <w:sz w:val="16"/>
          <w:szCs w:val="16"/>
          <w:color w:val="auto"/>
        </w:rPr>
        <w:t>Large accelerated filer</w:t>
        <w:tab/>
        <w:t>Accelerated filer</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w:t>
      </w:r>
      <w:r>
        <w:rPr>
          <w:sz w:val="20"/>
          <w:szCs w:val="20"/>
          <w:color w:val="auto"/>
        </w:rPr>
        <w:tab/>
      </w:r>
      <w:r>
        <w:rPr>
          <w:rFonts w:ascii="Arial" w:cs="Arial" w:eastAsia="Arial" w:hAnsi="Arial"/>
          <w:sz w:val="14"/>
          <w:szCs w:val="14"/>
          <w:color w:val="auto"/>
        </w:rPr>
        <w:t>Emerging growth</w:t>
      </w:r>
    </w:p>
    <w:p>
      <w:pPr>
        <w:spacing w:after="0" w:line="22" w:lineRule="exact"/>
        <w:rPr>
          <w:sz w:val="24"/>
          <w:szCs w:val="24"/>
          <w:color w:val="auto"/>
        </w:rPr>
      </w:pPr>
    </w:p>
    <w:p>
      <w:pPr>
        <w:ind w:left="700"/>
        <w:spacing w:after="0"/>
        <w:tabs>
          <w:tab w:leader="none" w:pos="2200" w:val="left"/>
          <w:tab w:leader="none" w:pos="3200" w:val="left"/>
          <w:tab w:leader="none" w:pos="6440" w:val="left"/>
          <w:tab w:leader="none" w:pos="83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w:t>
      </w:r>
      <w:r>
        <w:rPr>
          <w:sz w:val="20"/>
          <w:szCs w:val="20"/>
          <w:color w:val="auto"/>
        </w:rPr>
        <w:tab/>
      </w:r>
      <w:r>
        <w:rPr>
          <w:rFonts w:ascii="Arial" w:cs="Arial" w:eastAsia="Arial" w:hAnsi="Arial"/>
          <w:sz w:val="16"/>
          <w:szCs w:val="16"/>
          <w:color w:val="auto"/>
        </w:rPr>
        <w:t>company o</w:t>
      </w:r>
      <w:r>
        <w:rPr>
          <w:sz w:val="20"/>
          <w:szCs w:val="20"/>
          <w:color w:val="auto"/>
        </w:rPr>
        <w:tab/>
      </w:r>
      <w:r>
        <w:rPr>
          <w:rFonts w:ascii="Arial" w:cs="Arial" w:eastAsia="Arial" w:hAnsi="Arial"/>
          <w:sz w:val="14"/>
          <w:szCs w:val="14"/>
          <w:color w:val="auto"/>
        </w:rPr>
        <w:t>company o</w:t>
      </w:r>
    </w:p>
    <w:p>
      <w:pPr>
        <w:spacing w:after="0" w:line="29" w:lineRule="exact"/>
        <w:rPr>
          <w:sz w:val="24"/>
          <w:szCs w:val="24"/>
          <w:color w:val="auto"/>
        </w:rPr>
      </w:pPr>
    </w:p>
    <w:p>
      <w:pPr>
        <w:jc w:val="center"/>
        <w:ind w:right="2620"/>
        <w:spacing w:after="0"/>
        <w:rPr>
          <w:sz w:val="20"/>
          <w:szCs w:val="20"/>
          <w:color w:val="auto"/>
        </w:rPr>
      </w:pPr>
      <w:r>
        <w:rPr>
          <w:rFonts w:ascii="Arial" w:cs="Arial" w:eastAsia="Arial" w:hAnsi="Arial"/>
          <w:sz w:val="16"/>
          <w:szCs w:val="16"/>
          <w:color w:val="auto"/>
        </w:rPr>
        <w:t>company)</w:t>
      </w:r>
    </w:p>
    <w:p>
      <w:pPr>
        <w:spacing w:after="0" w:line="56" w:lineRule="exact"/>
        <w:rPr>
          <w:sz w:val="24"/>
          <w:szCs w:val="24"/>
          <w:color w:val="auto"/>
        </w:rPr>
      </w:pPr>
    </w:p>
    <w:p>
      <w:pPr>
        <w:jc w:val="center"/>
        <w:ind w:right="2920"/>
        <w:spacing w:after="0" w:line="184" w:lineRule="exact"/>
        <w:tabs>
          <w:tab w:leader="none" w:pos="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6" w:lineRule="exact"/>
        <w:rPr>
          <w:sz w:val="24"/>
          <w:szCs w:val="24"/>
          <w:color w:val="auto"/>
        </w:rPr>
      </w:pPr>
    </w:p>
    <w:p>
      <w:pPr>
        <w:ind w:right="180" w:firstLine="324"/>
        <w:spacing w:after="0" w:line="25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$21,972,000,000 based on the last reported sale of the Common Stock on The Nasdaq Global Select Market on April 30, 2017.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28, 2017, there were 368,635,788 shares of Common Stock, $0.16 2/3 par value per share, outstanding.</w:t>
      </w:r>
    </w:p>
    <w:p>
      <w:pPr>
        <w:spacing w:after="0" w:line="6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6"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p>
      <w:pPr>
        <w:spacing w:after="0" w:line="68" w:lineRule="exact"/>
        <w:rPr>
          <w:sz w:val="24"/>
          <w:szCs w:val="24"/>
          <w:color w:val="auto"/>
        </w:rPr>
      </w:pPr>
    </w:p>
    <w:p>
      <w:pPr>
        <w:ind w:left="40"/>
        <w:spacing w:after="0"/>
        <w:tabs>
          <w:tab w:leader="none" w:pos="1064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14, 2018</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2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r>
      <w:tr>
        <w:trPr>
          <w:trHeight w:val="594"/>
        </w:trPr>
        <w:tc>
          <w:tcPr>
            <w:tcW w:w="10020" w:type="dxa"/>
            <w:vAlign w:val="bottom"/>
          </w:tcPr>
          <w:p>
            <w:pPr>
              <w:spacing w:after="0"/>
              <w:rPr>
                <w:sz w:val="20"/>
                <w:szCs w:val="20"/>
                <w:color w:val="auto"/>
              </w:rPr>
            </w:pPr>
            <w:r>
              <w:rPr>
                <w:rFonts w:ascii="Arial" w:cs="Arial" w:eastAsia="Arial" w:hAnsi="Arial"/>
                <w:sz w:val="18"/>
                <w:szCs w:val="18"/>
                <w:color w:val="auto"/>
              </w:rPr>
              <w:t>Note about Forward-Looking Statements</w:t>
            </w:r>
          </w:p>
        </w:tc>
        <w:tc>
          <w:tcPr>
            <w:tcW w:w="134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w:t>
            </w:r>
          </w:p>
        </w:tc>
        <w:tc>
          <w:tcPr>
            <w:tcW w:w="134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 Business</w:t>
            </w:r>
          </w:p>
        </w:tc>
        <w:tc>
          <w:tcPr>
            <w:tcW w:w="134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1A. Risk Factors</w:t>
            </w:r>
          </w:p>
        </w:tc>
        <w:tc>
          <w:tcPr>
            <w:tcW w:w="134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1B. Unresolved Staff Comments</w:t>
            </w:r>
          </w:p>
        </w:tc>
        <w:tc>
          <w:tcPr>
            <w:tcW w:w="1340" w:type="dxa"/>
            <w:vAlign w:val="bottom"/>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2. Properties</w:t>
            </w:r>
          </w:p>
        </w:tc>
        <w:tc>
          <w:tcPr>
            <w:tcW w:w="134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3. Legal Proceedings</w:t>
            </w:r>
          </w:p>
        </w:tc>
        <w:tc>
          <w:tcPr>
            <w:tcW w:w="134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4. Mine Safety Disclosures</w:t>
            </w:r>
          </w:p>
        </w:tc>
        <w:tc>
          <w:tcPr>
            <w:tcW w:w="1340" w:type="dxa"/>
            <w:vAlign w:val="bottom"/>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Executive Officers of the Company</w:t>
            </w:r>
          </w:p>
        </w:tc>
        <w:tc>
          <w:tcPr>
            <w:tcW w:w="134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II</w:t>
            </w:r>
          </w:p>
        </w:tc>
        <w:tc>
          <w:tcPr>
            <w:tcW w:w="134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tc>
        <w:tc>
          <w:tcPr>
            <w:tcW w:w="134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6. Selected Financial Data</w:t>
            </w:r>
          </w:p>
        </w:tc>
        <w:tc>
          <w:tcPr>
            <w:tcW w:w="134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134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134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134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8. Financial Statements and Supplementary Data</w:t>
            </w:r>
          </w:p>
        </w:tc>
        <w:tc>
          <w:tcPr>
            <w:tcW w:w="134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Income</w:t>
            </w:r>
          </w:p>
        </w:tc>
        <w:tc>
          <w:tcPr>
            <w:tcW w:w="134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Comprehensive Income</w:t>
            </w:r>
          </w:p>
        </w:tc>
        <w:tc>
          <w:tcPr>
            <w:tcW w:w="1340" w:type="dxa"/>
            <w:vAlign w:val="bottom"/>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Balance Sheets</w:t>
            </w:r>
          </w:p>
        </w:tc>
        <w:tc>
          <w:tcPr>
            <w:tcW w:w="134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Shareholders' Equity</w:t>
            </w:r>
          </w:p>
        </w:tc>
        <w:tc>
          <w:tcPr>
            <w:tcW w:w="134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Consolidated Statements of Cash Flows</w:t>
            </w:r>
          </w:p>
        </w:tc>
        <w:tc>
          <w:tcPr>
            <w:tcW w:w="134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Notes to Consolidated Financial Statements</w:t>
            </w:r>
          </w:p>
        </w:tc>
        <w:tc>
          <w:tcPr>
            <w:tcW w:w="134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70"/>
        </w:trPr>
        <w:tc>
          <w:tcPr>
            <w:tcW w:w="10020" w:type="dxa"/>
            <w:vAlign w:val="bottom"/>
          </w:tcPr>
          <w:p>
            <w:pPr>
              <w:ind w:left="680"/>
              <w:spacing w:after="0"/>
              <w:rPr>
                <w:sz w:val="20"/>
                <w:szCs w:val="20"/>
                <w:color w:val="auto"/>
              </w:rPr>
            </w:pPr>
            <w:r>
              <w:rPr>
                <w:rFonts w:ascii="Arial" w:cs="Arial" w:eastAsia="Arial" w:hAnsi="Arial"/>
                <w:sz w:val="18"/>
                <w:szCs w:val="18"/>
                <w:color w:val="auto"/>
              </w:rPr>
              <w:t>Supplementary Financial Information</w:t>
            </w:r>
          </w:p>
        </w:tc>
        <w:tc>
          <w:tcPr>
            <w:tcW w:w="134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1340" w:type="dxa"/>
            <w:vAlign w:val="bottom"/>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9A. Controls and Procedures</w:t>
            </w:r>
          </w:p>
        </w:tc>
        <w:tc>
          <w:tcPr>
            <w:tcW w:w="1340" w:type="dxa"/>
            <w:vAlign w:val="bottom"/>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9B. Other Information</w:t>
            </w:r>
          </w:p>
        </w:tc>
        <w:tc>
          <w:tcPr>
            <w:tcW w:w="1340" w:type="dxa"/>
            <w:vAlign w:val="bottom"/>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III</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10. Directors, Executive Officers and Corporate Governance</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11. Executive Compensation</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13. Certain Relationships and Related Transactions, and Director</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14. Principal Accounting Fees and Services</w:t>
            </w:r>
          </w:p>
        </w:tc>
        <w:tc>
          <w:tcPr>
            <w:tcW w:w="134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PART IV</w:t>
            </w:r>
          </w:p>
        </w:tc>
        <w:tc>
          <w:tcPr>
            <w:tcW w:w="1340" w:type="dxa"/>
            <w:vAlign w:val="bottom"/>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Item 15. Exhibits and Financial Statement Schedules</w:t>
            </w:r>
          </w:p>
        </w:tc>
        <w:tc>
          <w:tcPr>
            <w:tcW w:w="1340" w:type="dxa"/>
            <w:vAlign w:val="bottom"/>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70"/>
        </w:trPr>
        <w:tc>
          <w:tcPr>
            <w:tcW w:w="10020" w:type="dxa"/>
            <w:vAlign w:val="bottom"/>
          </w:tcPr>
          <w:p>
            <w:pPr>
              <w:ind w:left="340"/>
              <w:spacing w:after="0"/>
              <w:rPr>
                <w:sz w:val="20"/>
                <w:szCs w:val="20"/>
                <w:color w:val="auto"/>
              </w:rPr>
            </w:pPr>
            <w:r>
              <w:rPr>
                <w:rFonts w:ascii="Arial" w:cs="Arial" w:eastAsia="Arial" w:hAnsi="Arial"/>
                <w:sz w:val="18"/>
                <w:szCs w:val="18"/>
                <w:color w:val="auto"/>
              </w:rPr>
              <w:t>SCHEDULE II - VALUATION AND QUALIFYING ACCOUNTS</w:t>
            </w:r>
          </w:p>
        </w:tc>
        <w:tc>
          <w:tcPr>
            <w:tcW w:w="1340" w:type="dxa"/>
            <w:vAlign w:val="bottom"/>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99</w:t>
              </w:r>
            </w:hyperlink>
          </w:p>
        </w:tc>
      </w:tr>
      <w:tr>
        <w:trPr>
          <w:trHeight w:val="270"/>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1340" w:type="dxa"/>
            <w:vAlign w:val="bottom"/>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100</w:t>
              </w:r>
            </w:hyperlink>
          </w:p>
        </w:tc>
      </w:tr>
    </w:tbl>
    <w:p>
      <w:pPr>
        <w:sectPr>
          <w:pgSz w:w="11900" w:h="16838" w:orient="portrait"/>
          <w:cols w:equalWidth="0" w:num="1">
            <w:col w:w="11360"/>
          </w:cols>
          <w:pgMar w:left="28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our ability to successfully integrate acquired businesses and technologies, including the integration of the acquired business, operations and employees of Linear Technology Corporation;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Analog Devices, Inc. (we, Analog Devices or the Company) is a leading global high-performance analog technology company. Our products and technologies intelligently bridge the physical and digital domains through sensing, measuring, powering, connecting and interpreting. We design, manufacture and market a broad portfolio of solutions that leverage high-performance analog, mixed-signal and digital signal processing technology, including integrated circuits (ICs), algorithms, software, and subsystems. Since our inception in 1965, we have focused on solving our customers’ toughest signal processing engineering challenges and playing a fundamental role in converting, conditioning, and processing real-world phenomena such as temperature, pressure, sound, light, speed, and motion into electrical signals to be used in a wide array of electronic devices. We combine sensors, data converters, amplifiers and linear products, radio frequency (RF) ICs, power management products, and signal processing products into technology platforms that meet specific customer and market needs, leveraging our engineering investment across a broad base of markets and customers. As new generations of applications evolve, such as autonomous vehicles and the Internet of Things, new needs for Analog Devices’ high-performance analog signal processing and digital signal processing (DSP) products and technologies are emerging.</w:t>
      </w:r>
    </w:p>
    <w:p>
      <w:pPr>
        <w:spacing w:after="0" w:line="8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 Used by more than 125,000 customers worldwide, our products are embedded inside many different types of electronic equipment including:</w:t>
      </w:r>
    </w:p>
    <w:p>
      <w:pPr>
        <w:sectPr>
          <w:pgSz w:w="11900" w:h="16838" w:orient="portrait"/>
          <w:cols w:equalWidth="0" w:num="1">
            <w:col w:w="11420"/>
          </w:cols>
          <w:pgMar w:left="240" w:top="580" w:right="2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Industrial process control systems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300"/>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Factory process automation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Patient vital signs monitoring devices</w:t>
      </w:r>
    </w:p>
    <w:p>
      <w:pPr>
        <w:spacing w:after="0" w:line="86"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Instrumentation and measurement systems</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Energy management systems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 Networking equipment</w:t>
      </w:r>
    </w:p>
    <w:p>
      <w:pPr>
        <w:spacing w:after="0" w:line="86"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Aerospace and defense electronics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Optical systems</w:t>
      </w:r>
    </w:p>
    <w:p>
      <w:pPr>
        <w:spacing w:after="0" w:line="86"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Portable consumer devices</w:t>
      </w:r>
    </w:p>
    <w:p>
      <w:pPr>
        <w:spacing w:after="0" w:line="200" w:lineRule="exact"/>
        <w:rPr>
          <w:sz w:val="20"/>
          <w:szCs w:val="20"/>
          <w:color w:val="auto"/>
        </w:rPr>
      </w:pPr>
    </w:p>
    <w:p>
      <w:pPr>
        <w:sectPr>
          <w:pgSz w:w="11900" w:h="16838" w:orient="portrait"/>
          <w:cols w:equalWidth="0" w:num="2">
            <w:col w:w="5260" w:space="720"/>
            <w:col w:w="5440"/>
          </w:cols>
          <w:pgMar w:left="240" w:top="580" w:right="239" w:bottom="1440" w:gutter="0" w:footer="0" w:header="0"/>
          <w:type w:val="continuous"/>
        </w:sectPr>
      </w:pPr>
    </w:p>
    <w:p>
      <w:pPr>
        <w:spacing w:after="0" w:line="3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the United States, Ireland, and Southeast Asia. We have more than 50 design, development, field application engineering, sales, and manufacturing centers worldwide. Our common stock is listed on The Nasdaq Global Select Market under the symbol ADI and is included in the Standard &amp; Poor’s 500 Index.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Linear Technology Corporation</w:t>
      </w:r>
    </w:p>
    <w:p>
      <w:pPr>
        <w:spacing w:after="0" w:line="13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March 10, 2017 (Acquisition Date), we completed the acquisition of Linear Technology Corporation (Linear), a designer, manufacturer and marketer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microelectromechanical systems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technology offerings are aligned with the predominant markets served in order to facilitate decision making throughout our organization. Our ten highest revenue products, in the aggregate, accounted for approximately 14% of our revenue for our fiscal year ended October 28, 2017 (fiscal 2017).</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analog and mixed 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83"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Amplifiers/Radio Frequency </w:t>
      </w:r>
      <w:r>
        <w:rPr>
          <w:rFonts w:ascii="Arial" w:cs="Arial" w:eastAsia="Arial" w:hAnsi="Arial"/>
          <w:sz w:val="17"/>
          <w:szCs w:val="17"/>
          <w:color w:val="auto"/>
        </w:rPr>
        <w:t>— We are also a leading supplier of high-performance amplifiers. Amplifiers are used to condition analog signals. High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amplifiers emphasize the performance dimensions of speed and precision. Within this product portfolio we provide precision, instrumentation, high speed, intermediate frequency/RF, broadband, and other amplifiers. We also offer an extensive portfolio of precision voltage references that are used in a wide variety of applications. Our analog product line also includes a broad portfolio of high performance RF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ICs support the high performance requirements of cellular infrastructure and a broad range of applications in our target markets.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810" w:right="279" w:bottom="1440" w:gutter="0" w:footer="0" w:header="0"/>
        </w:sectPr>
      </w:pPr>
    </w:p>
    <w:bookmarkStart w:id="5" w:name="page6"/>
    <w:bookmarkEnd w:id="5"/>
    <w:p>
      <w:pPr>
        <w:ind w:right="80" w:firstLine="432"/>
        <w:spacing w:after="0" w:line="302" w:lineRule="auto"/>
        <w:rPr>
          <w:sz w:val="20"/>
          <w:szCs w:val="20"/>
          <w:color w:val="auto"/>
        </w:rPr>
      </w:pPr>
      <w:r>
        <w:rPr>
          <w:rFonts w:ascii="Arial" w:cs="Arial" w:eastAsia="Arial" w:hAnsi="Arial"/>
          <w:sz w:val="16"/>
          <w:szCs w:val="16"/>
          <w:i w:val="1"/>
          <w:iCs w:val="1"/>
          <w:color w:val="auto"/>
        </w:rPr>
        <w:t xml:space="preserve">Power Management &amp; Reference </w:t>
      </w:r>
      <w:r>
        <w:rPr>
          <w:rFonts w:ascii="Arial" w:cs="Arial" w:eastAsia="Arial" w:hAnsi="Arial"/>
          <w:sz w:val="16"/>
          <w:szCs w:val="16"/>
          <w:color w:val="auto"/>
        </w:rPr>
        <w:t>— Power management and reference products, which include functions such as power conversion, driver monitoring,</w:t>
      </w:r>
      <w:r>
        <w:rPr>
          <w:rFonts w:ascii="Arial" w:cs="Arial" w:eastAsia="Arial" w:hAnsi="Arial"/>
          <w:sz w:val="16"/>
          <w:szCs w:val="16"/>
          <w:i w:val="1"/>
          <w:iCs w:val="1"/>
          <w:color w:val="auto"/>
        </w:rPr>
        <w:t xml:space="preserve"> </w:t>
      </w:r>
      <w:r>
        <w:rPr>
          <w:rFonts w:ascii="Arial" w:cs="Arial" w:eastAsia="Arial" w:hAnsi="Arial"/>
          <w:sz w:val="16"/>
          <w:szCs w:val="16"/>
          <w:color w:val="auto"/>
        </w:rPr>
        <w:t>sequencing and energy management, are developed to complement analog signal chain components across core market segments and provide efficient solutions for power management and conversion applications in the automotive, communications, industrial and high-end consumer markets. Our high performance power ICs include powerful densities and software design simulation tools to provide fast and accurate power supply designs.</w:t>
      </w:r>
    </w:p>
    <w:p>
      <w:pPr>
        <w:spacing w:after="0" w:line="6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Other Analog </w:t>
      </w:r>
      <w:r>
        <w:rPr>
          <w:rFonts w:ascii="Arial" w:cs="Arial" w:eastAsia="Arial" w:hAnsi="Arial"/>
          <w:sz w:val="16"/>
          <w:szCs w:val="16"/>
          <w:color w:val="auto"/>
        </w:rPr>
        <w:t>— Also within our analog technology portfolio are products that are based on MEMS technology. This technology enables us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small sensors that incorporate an electromechanical structure and the supporting analog circuitry for conditioning signals obtained from the sensing element. Our MEMS product portfolio includes accelerometers used to sense acceleration, gyroscopes used to sense rotation and inertial measurement units used to sense multiple degrees of freedom combining multiple sensing types along multiple axes. The majority of our current revenue from MEMS products is derived from the automotive end market. In addition to our MEMS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Products</w:t>
      </w:r>
    </w:p>
    <w:p>
      <w:pPr>
        <w:spacing w:after="0" w:line="131"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Digital Signal Processing products (DSPs) complete our product portfolio.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w:t>
      </w:r>
    </w:p>
    <w:p>
      <w:pPr>
        <w:ind w:right="80"/>
        <w:spacing w:after="0" w:line="269" w:lineRule="auto"/>
        <w:rPr>
          <w:sz w:val="20"/>
          <w:szCs w:val="20"/>
          <w:color w:val="auto"/>
        </w:rPr>
      </w:pPr>
      <w:r>
        <w:rPr>
          <w:rFonts w:ascii="Arial" w:cs="Arial" w:eastAsia="Arial" w:hAnsi="Arial"/>
          <w:sz w:val="17"/>
          <w:szCs w:val="17"/>
          <w:color w:val="auto"/>
        </w:rPr>
        <w:t>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As an integrated part of our customers' signal chain, there are typically many other Analog Devices products connected to our processors, including converters, audio and video codecs and power management solutions.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our fiscal 2017 revenue by end market is set out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2017</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Industrial</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46%</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Consumer</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21%</w:t>
            </w:r>
          </w:p>
        </w:tc>
      </w:tr>
      <w:tr>
        <w:trPr>
          <w:trHeight w:val="270"/>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Communications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18%</w:t>
            </w: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Industrial and Instrumentation </w:t>
      </w:r>
      <w:r>
        <w:rPr>
          <w:rFonts w:ascii="Arial" w:cs="Arial" w:eastAsia="Arial" w:hAnsi="Arial"/>
          <w:sz w:val="18"/>
          <w:szCs w:val="18"/>
          <w:color w:val="auto"/>
        </w:rPr>
        <w:t>— Our industrial automation applications generally require ICs that offer performance greater than that available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ectPr>
          <w:pgSz w:w="11900" w:h="16838" w:orient="portrait"/>
          <w:cols w:equalWidth="0" w:num="1">
            <w:col w:w="11420"/>
          </w:cols>
          <w:pgMar w:left="240" w:top="706" w:right="239" w:bottom="1440" w:gutter="0" w:footer="0" w:header="0"/>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Process control systems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 Oscilloscopes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Connected motion and robotics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Lab, chemical, and environmental analyzers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Environmental control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Weigh scales</w:t>
      </w:r>
    </w:p>
    <w:p>
      <w:pPr>
        <w:spacing w:after="0" w:line="211"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06" w:right="239" w:bottom="1440" w:gutter="0" w:footer="0" w:header="0"/>
          <w:type w:val="continuous"/>
        </w:sectPr>
      </w:pPr>
    </w:p>
    <w:bookmarkStart w:id="6" w:name="page7"/>
    <w:bookmarkEnd w:id="6"/>
    <w:p>
      <w:pPr>
        <w:ind w:right="80" w:firstLine="432"/>
        <w:spacing w:after="0" w:line="276" w:lineRule="auto"/>
        <w:rPr>
          <w:sz w:val="20"/>
          <w:szCs w:val="20"/>
          <w:color w:val="auto"/>
        </w:rPr>
      </w:pPr>
      <w:r>
        <w:rPr>
          <w:rFonts w:ascii="Arial" w:cs="Arial" w:eastAsia="Arial" w:hAnsi="Arial"/>
          <w:sz w:val="17"/>
          <w:szCs w:val="17"/>
          <w:i w:val="1"/>
          <w:iCs w:val="1"/>
          <w:color w:val="auto"/>
        </w:rPr>
        <w:t xml:space="preserve">Defense/Aerospace </w:t>
      </w:r>
      <w:r>
        <w:rPr>
          <w:rFonts w:ascii="Arial" w:cs="Arial" w:eastAsia="Arial" w:hAnsi="Arial"/>
          <w:sz w:val="17"/>
          <w:szCs w:val="17"/>
          <w:color w:val="auto"/>
        </w:rPr>
        <w:t>— The defense, commercial avionics and space markets all require high-performance ICs that meet rigorous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sub-systems. We supply sub-systems to many of these customers.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 products include:</w:t>
      </w:r>
    </w:p>
    <w:p>
      <w:pPr>
        <w:sectPr>
          <w:pgSz w:w="11900" w:h="16838" w:orient="portrait"/>
          <w:cols w:equalWidth="0" w:num="1">
            <w:col w:w="11400"/>
          </w:cols>
          <w:pgMar w:left="240" w:top="706" w:right="25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6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Communication systems</w:t>
      </w:r>
    </w:p>
    <w:p>
      <w:pPr>
        <w:sectPr>
          <w:pgSz w:w="11900" w:h="16838" w:orient="portrait"/>
          <w:cols w:equalWidth="0" w:num="1">
            <w:col w:w="11400"/>
          </w:cols>
          <w:pgMar w:left="240" w:top="706" w:right="259" w:bottom="1440" w:gutter="0" w:footer="0" w:header="0"/>
          <w:type w:val="continuous"/>
        </w:sectPr>
      </w:pP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00"/>
          </w:cols>
          <w:pgMar w:left="240" w:top="706" w:right="25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Meter communication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16"/>
          <w:szCs w:val="16"/>
          <w:color w:val="auto"/>
        </w:rPr>
        <w:t>• Building energy automation/control</w:t>
      </w:r>
    </w:p>
    <w:p>
      <w:pPr>
        <w:spacing w:after="0" w:line="181"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 The healthcare market is calling for increased access to better and more affordable care. To help achieve this, we are collaborating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partners on innovative solutions that are designed to achieve better outcomes for patients and physicians at reduced costs for all.</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offerings include both standard and application-specific products and are used in applications such as:</w:t>
      </w:r>
    </w:p>
    <w:p>
      <w:pPr>
        <w:sectPr>
          <w:pgSz w:w="11900" w:h="16838" w:orient="portrait"/>
          <w:cols w:equalWidth="0" w:num="1">
            <w:col w:w="11400"/>
          </w:cols>
          <w:pgMar w:left="240" w:top="706" w:right="25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Ultrasound systems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Anesthesia equipment</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X-Ray equipment (CT and DR)</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6"/>
          <w:szCs w:val="16"/>
          <w:color w:val="auto"/>
        </w:rPr>
        <w:t>• Lab diagnostic equipment</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Image guided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tools and instruments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Multi-parameter vital signs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Disease management, e.g. hypertension and diabetes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Point-of-care diagnostics</w:t>
      </w:r>
    </w:p>
    <w:p>
      <w:pPr>
        <w:spacing w:after="0" w:line="181" w:lineRule="exact"/>
        <w:rPr>
          <w:sz w:val="20"/>
          <w:szCs w:val="20"/>
          <w:color w:val="auto"/>
        </w:rPr>
      </w:pPr>
    </w:p>
    <w:p>
      <w:pPr>
        <w:sectPr>
          <w:pgSz w:w="11900" w:h="16838" w:orient="portrait"/>
          <w:cols w:equalWidth="0" w:num="2">
            <w:col w:w="5260" w:space="720"/>
            <w:col w:w="5420"/>
          </w:cols>
          <w:pgMar w:left="240" w:top="706" w:right="259" w:bottom="1440" w:gutter="0" w:footer="0" w:header="0"/>
          <w:type w:val="continuous"/>
        </w:sectPr>
      </w:pPr>
    </w:p>
    <w:p>
      <w:pPr>
        <w:ind w:right="1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 We develop differentiated high performance signal processing solutions that enable sophisticated automotive systems to be greener,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safer and smarter. Through collaboration with manufacturers worldwide, we have achieved significant market share through a broad portfolio of analog, digital and sensor ICs that increase fuel efficiency, enhance vehicle safety and improve the in-cabin audio/video experience. Specifically, we have developed products used in applications such 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Greener</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Safer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Smarter</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Hybrid electric / electric vehicles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Crash sensors in airbag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1"/>
              </w:rPr>
              <w:t>Car audio, voice processing and connectivity</w:t>
            </w:r>
          </w:p>
        </w:tc>
      </w:tr>
      <w:tr>
        <w:trPr>
          <w:trHeight w:val="256"/>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Battery monitoring and management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Electronic stability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Video processing and connectivity</w:t>
            </w:r>
          </w:p>
        </w:tc>
      </w:tr>
      <w:tr>
        <w:trPr>
          <w:trHeight w:val="230"/>
        </w:trPr>
        <w:tc>
          <w:tcPr>
            <w:tcW w:w="2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w w:val="97"/>
              </w:rPr>
              <w:t>Radar advanced driver assistance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Car telematics</w:t>
            </w:r>
          </w:p>
        </w:tc>
      </w:tr>
    </w:tbl>
    <w:p>
      <w:pPr>
        <w:spacing w:after="0" w:line="13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To address the market demand for state of the art personal and professional entertainment systems and the consumer demand for high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user interfaces, 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400"/>
          </w:cols>
          <w:pgMar w:left="240" w:top="706" w:right="259" w:bottom="1440" w:gutter="0" w:footer="0" w:header="0"/>
          <w:type w:val="continuous"/>
        </w:sectPr>
      </w:pPr>
    </w:p>
    <w:p>
      <w:pPr>
        <w:spacing w:after="0" w:line="1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 Portable devices (smart phones, tablets and wearable devices) for media and vital signs motoring applications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Prosumer audio/video equipment</w:t>
      </w:r>
    </w:p>
    <w:p>
      <w:pPr>
        <w:spacing w:after="0" w:line="493" w:lineRule="exact"/>
        <w:rPr>
          <w:sz w:val="20"/>
          <w:szCs w:val="20"/>
          <w:color w:val="auto"/>
        </w:rPr>
      </w:pPr>
    </w:p>
    <w:p>
      <w:pPr>
        <w:sectPr>
          <w:pgSz w:w="11900" w:h="16838" w:orient="portrait"/>
          <w:cols w:equalWidth="0" w:num="2">
            <w:col w:w="5340" w:space="640"/>
            <w:col w:w="5420"/>
          </w:cols>
          <w:pgMar w:left="240" w:top="706" w:right="25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706" w:right="259" w:bottom="1440" w:gutter="0" w:footer="0" w:header="0"/>
          <w:type w:val="continuous"/>
        </w:sectPr>
      </w:pPr>
    </w:p>
    <w:bookmarkStart w:id="7" w:name="page8"/>
    <w:bookmarkEnd w:id="7"/>
    <w:p>
      <w:pPr>
        <w:ind w:right="60" w:firstLine="432"/>
        <w:spacing w:after="0" w:line="297"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internet protocol, video streaming, voice communication and machine-type communications. In wireless and broadband communication applications, our products are incorporated into:</w:t>
      </w:r>
    </w:p>
    <w:p>
      <w:pPr>
        <w:sectPr>
          <w:pgSz w:w="11900" w:h="16838" w:orient="portrait"/>
          <w:cols w:equalWidth="0" w:num="1">
            <w:col w:w="11420"/>
          </w:cols>
          <w:pgMar w:left="240" w:top="706" w:right="239"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Cellular basestation equipment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Optical networking equipment for data center and service providers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Microwave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Satellite and terrestrial broadband access equipment</w:t>
      </w:r>
    </w:p>
    <w:p>
      <w:pPr>
        <w:spacing w:after="0" w:line="181"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right="480" w:firstLine="432"/>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Industry, Segment and Geographic Information,</w:t>
      </w:r>
      <w:r>
        <w:rPr>
          <w:rFonts w:ascii="Arial" w:cs="Arial" w:eastAsia="Arial" w:hAnsi="Arial"/>
          <w:sz w:val="18"/>
          <w:szCs w:val="18"/>
          <w:color w:val="auto"/>
        </w:rPr>
        <w:t xml:space="preserve"> of the Notes to Consolidated Financial Statements contained in Item 8 of this Annual Report on Form 10-K for further information about our products by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$969 million during fiscal 2017 on the design, development and improvement of new and existing products and manufacturing processes, compared to approximately $654 million during the fiscal year ended October 29, 2016 (fiscal 2016) and approximately $637 million during the fiscal year ended October 31, 2015 (fiscal 2015).</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research and development strategy focuses on building technical leadership in core technology platforms, which include converters, amplifiers, RF and microwave, power management, MEMS, and DSP. In support of our research and development activities, we employ thousands of engineers involved in product and manufacturing process development throughout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28, 2017, we held approximately 3,255 U.S. patents and approximately 801 non-provisional pending U.S. patent applications with expiration dates ranging from 2017 through 2037.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50 countries outside North America.</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type w:val="continuous"/>
        </w:sectPr>
      </w:pPr>
    </w:p>
    <w:bookmarkStart w:id="8" w:name="page9"/>
    <w:bookmarkEnd w:id="8"/>
    <w:p>
      <w:pPr>
        <w:ind w:right="60" w:firstLine="432"/>
        <w:spacing w:after="0" w:line="290" w:lineRule="auto"/>
        <w:rPr>
          <w:sz w:val="20"/>
          <w:szCs w:val="20"/>
          <w:color w:val="auto"/>
        </w:rPr>
      </w:pPr>
      <w:r>
        <w:rPr>
          <w:rFonts w:ascii="Arial" w:cs="Arial" w:eastAsia="Arial" w:hAnsi="Arial"/>
          <w:sz w:val="16"/>
          <w:szCs w:val="16"/>
          <w:color w:val="auto"/>
        </w:rPr>
        <w:t xml:space="preserve">We derived approximately 53% of our fiscal 2017 revenue from sales made through distributors. These distributors typically maintain an inventory of our products. Some of them also sell products that compete with our products, including those for which we are an alternate source. We defer revenue and the related cost of sales on shipments to U.S. distributors and certain international distributors until the distributors resell the products to their customers. . We make sales to distributors under agreements that allow certain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sales to distributors is set forth in Note 2n,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of the Notes to Consolidated Financial Statements contained in Item 8 of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 and Geographic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and track our results in one reportable segment based on the aggregation of eight operating segments.</w:t>
      </w:r>
    </w:p>
    <w:p>
      <w:pPr>
        <w:spacing w:after="0" w:line="13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Through subsidiaries and affiliates, we conduct business in numerous countries outside the United States. During fiscal 2017, we derived approximately 61%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by geographic region, based on the primary location of our customers' design activity for our products, for fiscal 2017 was as follow: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2017</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Geographic Area</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North/South America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Asia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w:t>
            </w:r>
          </w:p>
        </w:tc>
      </w:tr>
    </w:tbl>
    <w:p>
      <w:pPr>
        <w:spacing w:after="0" w:line="13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For further detail regarding revenue and other financial information about our industry, segment and geographic areas, see our Consolidated Financial Statements and Note 4, </w:t>
      </w:r>
      <w:r>
        <w:rPr>
          <w:rFonts w:ascii="Arial" w:cs="Arial" w:eastAsia="Arial" w:hAnsi="Arial"/>
          <w:sz w:val="18"/>
          <w:szCs w:val="18"/>
          <w:i w:val="1"/>
          <w:iCs w:val="1"/>
          <w:color w:val="auto"/>
        </w:rPr>
        <w:t>Industry, Segment and Geographic Information</w:t>
      </w:r>
      <w:r>
        <w:rPr>
          <w:rFonts w:ascii="Arial" w:cs="Arial" w:eastAsia="Arial" w:hAnsi="Arial"/>
          <w:sz w:val="18"/>
          <w:szCs w:val="18"/>
          <w:color w:val="auto"/>
        </w:rPr>
        <w:t xml:space="preserve"> of the Notes to Consolidated Financial Statements contained in in Item 8 of this Annual Report on Form 10-K. For a discussion of important risk factors that may materially affect us, see the Risk Factors contained in Item 1A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over 125,000 customers worldwide. The Company's largest single end customer, Apple Inc., represented approximately 14%, 12% and 13% of total revenue in fiscal years 2017, 2016 and 2015, respectively. Our customers use hundreds of different types of our products in a wide range of applications spanning the industrial, automotive, consumer and communication markets. Our 20 largest customers accounted for approximately 35% of our fiscal 2017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06"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6"/>
          <w:szCs w:val="16"/>
          <w:color w:val="auto"/>
        </w:rPr>
        <w:t>We utilize, develop and employ a wide variety of manufacturing processes, primarily based on bipolar and complementary metal-oxide semiconductor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(CMOS) transistors, which are specifically tailored for use in fabricating high-performance analog, DSP and mixed-signal ICs. Devices such as MEMS,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w:t>
      </w:r>
      <w:r>
        <w:rPr>
          <w:rFonts w:ascii="Arial" w:cs="Arial" w:eastAsia="Arial" w:hAnsi="Arial"/>
          <w:sz w:val="16"/>
          <w:szCs w:val="16"/>
          <w:color w:val="auto"/>
        </w:rPr>
        <w:t>Coupler®isolators and various sensors, are fabricated using specialized processes, which typically use substantially similar equipment as bipolar and CMOS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processes.</w:t>
      </w:r>
    </w:p>
    <w:p>
      <w:pPr>
        <w:spacing w:after="0" w:line="11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IC products are fabricated on proprietary processes at our internal production facilities in Wilmington, Massachusetts, Milpitas, California, Camas, Washington and Limerick, Ireland and also on a mix of proprietary and non-proprietary processes at third-party wafer fabricators. We currently source approximately 45% of our wafer requirements annually from third-party wafer fabrication foundries, primarily Taiwan Semiconductor Manufacturing Company (TSMC), typically where deep-submicron lithography capabilities and/or large manufacturing capacity is required.</w:t>
      </w:r>
    </w:p>
    <w:p>
      <w:pPr>
        <w:spacing w:after="0" w:line="7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operate an assembly and wafer sort facility in Malaysia, and test facilities in the Philippines and Singapore. We also make extensive use of third-party subcontractors for the assembly and testing of our products.</w:t>
      </w:r>
    </w:p>
    <w:p>
      <w:pPr>
        <w:spacing w:after="0" w:line="7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Capital spending was approximately $204 million in fiscal 2017, compared with approximately $127 million in fiscal 2016 and $154 million in fiscal 2015. We expect capital expenditures for the fiscal year ending November 3, 2018 (fiscal 2018) to be in the range of $230 million to $270 million.</w:t>
      </w:r>
    </w:p>
    <w:p>
      <w:pPr>
        <w:spacing w:after="0" w:line="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Backlog at the end of fiscal 2017 was approximately $1.2 billion, up from approximately $700 million at the end of fiscal 2016.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to be delayed by customers without significant penalty. Accordingly, we believe that our backlog at any time should not be used as an indication of our future revenue.</w:t>
      </w:r>
    </w:p>
    <w:p>
      <w:pPr>
        <w:spacing w:after="0" w:line="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3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Less than 5% of our fiscal 2017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1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06" w:right="259" w:bottom="1440" w:gutter="0" w:footer="0" w:header="0"/>
        </w:sectPr>
      </w:pPr>
    </w:p>
    <w:bookmarkStart w:id="10" w:name="page11"/>
    <w:bookmarkEnd w:id="10"/>
    <w:p>
      <w:pPr>
        <w:jc w:val="both"/>
        <w:ind w:right="80" w:firstLine="405"/>
        <w:spacing w:after="0" w:line="259" w:lineRule="auto"/>
        <w:rPr>
          <w:sz w:val="20"/>
          <w:szCs w:val="20"/>
          <w:color w:val="auto"/>
        </w:rPr>
      </w:pPr>
      <w:r>
        <w:rPr>
          <w:rFonts w:ascii="Arial" w:cs="Arial" w:eastAsia="Arial" w:hAnsi="Arial"/>
          <w:sz w:val="18"/>
          <w:szCs w:val="18"/>
          <w:color w:val="auto"/>
        </w:rPr>
        <w:t>On March 10, 2017, we completed the acquisition of Linear.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w:t>
      </w:r>
    </w:p>
    <w:p>
      <w:pPr>
        <w:spacing w:after="0" w:line="92"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 xml:space="preserve">Additional information relating to our acquisition activities during fiscal 2017, fiscal 2016 and fiscal 2015 is set forth in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 Notes to Consolidated Financial Statements contained in Item 8 of this Annual Report on Form 10-K. There were no divestitures during any of the fiscal years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compete with a number of semiconductor companies in markets that are highly competitive. Our competitors include but are not limited to:</w:t>
      </w:r>
    </w:p>
    <w:p>
      <w:pPr>
        <w:sectPr>
          <w:pgSz w:w="11900" w:h="16838" w:orient="portrait"/>
          <w:cols w:equalWidth="0" w:num="1">
            <w:col w:w="11420"/>
          </w:cols>
          <w:pgMar w:left="240" w:top="746" w:right="2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Robert Bosch GmbH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 Microchip Technology, Inc.</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Broadcom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NXP Semiconductors</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Infineon Technologies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Texas Instruments, Inc.</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Maxim Integrated Products, Inc.</w:t>
      </w:r>
    </w:p>
    <w:p>
      <w:pPr>
        <w:sectPr>
          <w:pgSz w:w="11900" w:h="16838" w:orient="portrait"/>
          <w:cols w:equalWidth="0" w:num="1">
            <w:col w:w="11420"/>
          </w:cols>
          <w:pgMar w:left="240" w:top="746" w:right="239" w:bottom="1440" w:gutter="0" w:footer="0" w:header="0"/>
          <w:type w:val="continuous"/>
        </w:sectPr>
      </w:pP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9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EHS management systems are certified to ISO 14001 for environmental, and conform to OHSAS 18001 for occupational health and safety. We are a member of the Electronic Industry Citizenship Coalition (EICC). Our Sustainability Report, first published in 2009, states our commitment to reducing Greenhouse gas (GHG) emissions, conserving resources by consuming less energy and water, complying with our code of business conduct and ethics, and applying fair labor standards, among other things. We are not including the information contained in our Sustainability Report in, or incorporating it by reference into this Annual Report on Form 10-K.</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As of October 28, 2017, we employed approximately 15,300 individuals worldwide. Our future success depends in large part on the continued service of our key technical and senior management personnel, and on our ability to continue to attract, retain and motivate qualified employees, particularly those highly-skilled engineers involved in the design,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type w:val="continuous"/>
        </w:sectPr>
      </w:pPr>
    </w:p>
    <w:bookmarkStart w:id="11" w:name="page12"/>
    <w:bookmarkEnd w:id="11"/>
    <w:p>
      <w:pPr>
        <w:spacing w:after="0" w:line="342" w:lineRule="auto"/>
        <w:rPr>
          <w:sz w:val="20"/>
          <w:szCs w:val="20"/>
          <w:color w:val="auto"/>
        </w:rPr>
      </w:pPr>
      <w:r>
        <w:rPr>
          <w:rFonts w:ascii="Arial" w:cs="Arial" w:eastAsia="Arial" w:hAnsi="Arial"/>
          <w:sz w:val="16"/>
          <w:szCs w:val="16"/>
          <w:color w:val="auto"/>
        </w:rPr>
        <w:t>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706"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Our acquisition of Linear Technology Corporation (Linear) and the integration of its business, operations and employees with our own may be more difficult, costly or time consuming than expected, and the anticipated benefits and cost savings of the acquisition may not be fully realized, which could adversely impact our business operations, financial condition and results of operations.</w:t>
      </w:r>
    </w:p>
    <w:p>
      <w:pPr>
        <w:ind w:right="100"/>
        <w:spacing w:after="0" w:line="254" w:lineRule="auto"/>
        <w:rPr>
          <w:sz w:val="20"/>
          <w:szCs w:val="20"/>
          <w:color w:val="auto"/>
        </w:rPr>
      </w:pPr>
      <w:r>
        <w:rPr>
          <w:rFonts w:ascii="Arial" w:cs="Arial" w:eastAsia="Arial" w:hAnsi="Arial"/>
          <w:sz w:val="18"/>
          <w:szCs w:val="18"/>
          <w:color w:val="auto"/>
        </w:rPr>
        <w:t>We completed the acquisition of Linear, which we refer to as the Acquisition, on March 10, 2017. The success of the Acquisition, including the achievement of anticipated benefits and cost savings of the Acquisition, is subject to a number of uncertainties and will depend, in part, on our ability to successfully combine and integrate Linear's business into our business in an efficient and effective manner. Potential difficulties the combined company may encounter in the integration process include the following:</w:t>
      </w:r>
    </w:p>
    <w:p>
      <w:pPr>
        <w:spacing w:after="0" w:line="109" w:lineRule="exact"/>
        <w:rPr>
          <w:sz w:val="20"/>
          <w:szCs w:val="20"/>
          <w:color w:val="auto"/>
        </w:rPr>
      </w:pPr>
    </w:p>
    <w:p>
      <w:pPr>
        <w:ind w:left="660" w:right="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integrate Linear's business into our own in a manner that permits the combined company to achieve the cost savings and operating synergies anticipated to result from the Acquisition, which could result in the anticipated benefits of the Acquisition not being realized partly or wholly in the time frame currently anticipated or at all;</w:t>
      </w:r>
    </w:p>
    <w:p>
      <w:pPr>
        <w:ind w:left="660" w:right="5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key management and technical personnel, particularly our experienced engineers;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integrating personnel, IT systems and corporate, finance and administrative infrastructures of the two companies while maintaining focus on providing consistent, high quality products and services;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coordinating and integrating our internal operations, compensation programs, policies and procedures, and corporate structures;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unknown liabilities and unforeseen or increased costs and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potential synergies and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incurring significant Acquisition-related costs and expenses associated with combining our operations;</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integrating the companies’ operations;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servicing the substantial debt that we have incurred in connection with the Acquisition.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factors could result in the combined company failing to realize the anticipated benefits of the Acquisition, on the expected timeline or at all, and could adversely impact our business operations,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Continuing uncertainty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customer demand for our products and/or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customer order patterns and seasonality;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4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103" w:lineRule="exact"/>
        <w:rPr>
          <w:rFonts w:ascii="Arial" w:cs="Arial" w:eastAsia="Arial" w:hAnsi="Arial"/>
          <w:sz w:val="18"/>
          <w:szCs w:val="18"/>
          <w:color w:val="auto"/>
        </w:rPr>
      </w:pPr>
    </w:p>
    <w:p>
      <w:pPr>
        <w:ind w:left="660" w:right="1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103" w:lineRule="exact"/>
        <w:rPr>
          <w:rFonts w:ascii="Arial" w:cs="Arial" w:eastAsia="Arial" w:hAnsi="Arial"/>
          <w:sz w:val="18"/>
          <w:szCs w:val="18"/>
          <w:color w:val="auto"/>
        </w:rPr>
      </w:pPr>
    </w:p>
    <w:p>
      <w:pPr>
        <w:ind w:left="660" w:right="5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including health insurance, retirement plan and pension plan contributions and retirement benefits;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significant litigation-related costs or product warranty and/or indemnity claims, including those not covered by our suppliers or insurers;</w:t>
      </w:r>
    </w:p>
    <w:p>
      <w:pPr>
        <w:spacing w:after="0" w:line="126" w:lineRule="exact"/>
        <w:rPr>
          <w:rFonts w:ascii="Arial" w:cs="Arial" w:eastAsia="Arial" w:hAnsi="Arial"/>
          <w:sz w:val="16"/>
          <w:szCs w:val="16"/>
          <w:color w:val="auto"/>
        </w:rPr>
      </w:pPr>
    </w:p>
    <w:p>
      <w:pPr>
        <w:ind w:left="660" w:right="20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103" w:lineRule="exact"/>
        <w:rPr>
          <w:rFonts w:ascii="Arial" w:cs="Arial" w:eastAsia="Arial" w:hAnsi="Arial"/>
          <w:sz w:val="18"/>
          <w:szCs w:val="18"/>
          <w:color w:val="auto"/>
        </w:rPr>
      </w:pPr>
    </w:p>
    <w:p>
      <w:pPr>
        <w:jc w:val="both"/>
        <w:ind w:left="660" w:right="300" w:hanging="328"/>
        <w:spacing w:after="0" w:line="42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public health emergencies, natural disasters, widespread travel disruptions, security risks, terrorist activities, international conflicts, government sanctions, changes in law, including executive orders, changes in import and export regulations and other events beyond our control.</w:t>
      </w:r>
    </w:p>
    <w:p>
      <w:pPr>
        <w:spacing w:after="0" w:line="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fiscal 2017 was below the U.S. federal statutory tax rate of 35%, primarily due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38" w:right="259" w:bottom="1440" w:gutter="0" w:footer="0" w:header="0"/>
        </w:sectPr>
      </w:pPr>
    </w:p>
    <w:bookmarkStart w:id="14" w:name="page15"/>
    <w:bookmarkEnd w:id="14"/>
    <w:p>
      <w:pPr>
        <w:ind w:right="20"/>
        <w:spacing w:after="0" w:line="288" w:lineRule="auto"/>
        <w:rPr>
          <w:sz w:val="20"/>
          <w:szCs w:val="20"/>
          <w:color w:val="auto"/>
        </w:rPr>
      </w:pPr>
      <w:r>
        <w:rPr>
          <w:rFonts w:ascii="Arial" w:cs="Arial" w:eastAsia="Arial" w:hAnsi="Arial"/>
          <w:sz w:val="16"/>
          <w:szCs w:val="16"/>
          <w:color w:val="auto"/>
        </w:rPr>
        <w:t>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and a partial tax holiday in Singapore through August 2019. The ability to extend such tax holidays beyond their date of expiration cannot be assured; if we fail to meet certain conditions to the tax holidays, we may lose the benefit of the tax holdings and/or be subject to additional taxes and/or penalties. Any significant increase in our future effective tax rate could adversely impact our net income during future periods.</w:t>
      </w:r>
    </w:p>
    <w:p>
      <w:pPr>
        <w:spacing w:after="0" w:line="3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On October 5, 2015, the Organization for Economic Cooperation and Development (OECD), an international association of thirty-five countries, including the United States, Ireland and UK, released the final reports from its Base Erosion and Profit Shifting (BEPS) Action Plans. The BEPS recommendations covered a number of issues, including country-by-country reporting, permanent establishment rules, transfer pricing rules and tax treaties. Future tax reform resulting from such recommendations may result in changes to long-standing tax principles, which could adversely affect our effective tax rate or result in higher cash tax liabilities.</w:t>
      </w:r>
    </w:p>
    <w:p>
      <w:pPr>
        <w:spacing w:after="0" w:line="5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which may fluctuate significantly on a quarterly or annual basis.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orders or forecasts for products that meet the customer’s unique requirements and that are canceled or unrealized orders would, in addition, result in an inventory of unsaleable products, causing potential inventory write-offs, and we may be unable to recover all of our costs incurred or committed.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3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Our future success significantly depends on our continued ability to execute our business strategy, continue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 In addition, our growth is dependent on our ability to generate new design opportunities and win competitive bid selection processes. Failure to obtain or maintain a particular design win may prevent us from obtaining or maintaining design wins in subsequent generations of a particular product and could also weaken our position in future competitive selection processes. Our growth is also dependent on our ability to identify and penetrate new markets where we have limited experience and competition is intense. Some of our customers in new markets are less established, which could subject us to increased credit risk. There can be no assurance that the markets we serve and/or target based on our business strategy will grow in the future, that our existing and new products will meet the requirements of these markets, that our products, or the products in which our products are used, will achieve customer acceptance in these markets, that competitors will not force price reductions or take market share from us, or that we can achieve or maintain adequate gross margins or profits in these markets. Additionally, developing markets, such as the Internet of Things (IoT) and autonomous driving, require significant investments, resources and technological advancements in order to compete effectively and there can be no assurance that we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65" w:right="27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will achieve success in these markets. Furthermore, a decline in demand in one or several of our end-user markets could have a material adverse effect on the demand for our products and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and entities outside of the U.S., including entities associated with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the IoT market,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We rely, and plan to continue to rely, on third-party suppliers, assembly and test subcontractors, freight carriers and wafer fabricators (collectively, suppliers) to supply most of our products that can be manufactured using industry-standard processes. This reliance involves several risks, including reduced control over availability, capacity utilization, delivery schedules, manufacturing yields, and costs. We currently source approximately 45% of our wafer requirements annually from third-party wafer fabrication foundries, primarily Taiwan Semiconductor Manufacturing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natural or man-made disasters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1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term loans and senior unsecured notes.</w:t>
      </w: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ability to make payments of principal and interest on our indebtedness when due, including the significant indebtedness that we have incurred in connection with the Acquisition,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9"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seek additional financing in the debt or equity markets;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65" w:right="259" w:bottom="1440" w:gutter="0" w:footer="0" w:header="0"/>
        </w:sectPr>
      </w:pPr>
    </w:p>
    <w:bookmarkStart w:id="16" w:name="page17"/>
    <w:bookmarkEnd w:id="16"/>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repatriate earnings at higher tax rates that are indefinitely reinvested in foreign locations;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13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be dependent on the health of the debt capital markets.</w:t>
      </w:r>
    </w:p>
    <w:p>
      <w:pPr>
        <w:spacing w:after="0" w:line="4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significant existing indebtedness could also have the effect, among other things, of reducing our flexibility to respond to changing business and economic conditions, reducing funds available for working capital, capital expenditures, acquisitions and other general corporate purposes or creating competitive disadvantages relative to other companies with lower debt levels.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43"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i w:val="1"/>
          <w:iCs w:val="1"/>
          <w:color w:val="auto"/>
        </w:rPr>
        <w:t>Our semiconductor products are complex and we may be subject to product warranty and indemnity claims, which could result in significant costs and damage to our reputation and adversely affect customer relationships, the market acceptance of our products and our operating results.</w:t>
      </w:r>
    </w:p>
    <w:p>
      <w:pPr>
        <w:spacing w:after="0" w:line="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Failures in our products and services or in the products of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 and theft of intellectual property.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recalls, which may adversely impact our operating results. We may also be subject to customer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 defects, or have reliability, quality or compatibility problems, our reputation may be damaged, which could make it more difficult for us to sell our products to customers and could also adversely affect our operating results.</w:t>
      </w:r>
    </w:p>
    <w:p>
      <w:pPr>
        <w:spacing w:after="0" w:line="5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This instability could result in manufacturing delays and product shortages, which could have a material adverse effect on our operating results.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35"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reverse engineer,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5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patents are granted, enforcement may not be available or achieved under the circumstances. If our patents and mask works do not adequately protect our technology, our competitors may be able to offer products similar to ours. Our competitors may also be able to develop similar technology independently or design around our patents.</w:t>
      </w:r>
    </w:p>
    <w:p>
      <w:pPr>
        <w:spacing w:after="0" w:line="5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10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We also utilize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or our employees or contractors. Our security measures or those of our third party service providers may not detect or prevent security breaches, defects, bugs or errors. In addition, we provide our confidential and proprietary information to our strategic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8" w:name="page19"/>
    <w:bookmarkEnd w:id="18"/>
    <w:p>
      <w:pPr>
        <w:ind w:right="40"/>
        <w:spacing w:after="0" w:line="308" w:lineRule="auto"/>
        <w:rPr>
          <w:sz w:val="20"/>
          <w:szCs w:val="20"/>
          <w:color w:val="auto"/>
        </w:rPr>
      </w:pPr>
      <w:r>
        <w:rPr>
          <w:rFonts w:ascii="Arial" w:cs="Arial" w:eastAsia="Arial" w:hAnsi="Arial"/>
          <w:sz w:val="17"/>
          <w:szCs w:val="17"/>
          <w:color w:val="auto"/>
        </w:rPr>
        <w:t>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9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The inability to attract and retain key employees with critical technical skills to achieve our strategy could also have a material adverse effect on our business.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In addition, investments in private companies are subject to a risk of a partial or total loss of our investment. Both in the U.S. and abroad, governmental regulation of acquisitions, including antitrust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or delay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transaction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realizing synergies and growth prospects of an acquisition in a timely manner or at all;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strategy, plans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65" w:right="259" w:bottom="1440" w:gutter="0" w:footer="0" w:header="0"/>
        </w:sectPr>
      </w:pPr>
    </w:p>
    <w:bookmarkStart w:id="19" w:name="page20"/>
    <w:bookmarkEnd w:id="19"/>
    <w:p>
      <w:pPr>
        <w:ind w:right="8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3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 w:lineRule="exact"/>
        <w:rPr>
          <w:sz w:val="20"/>
          <w:szCs w:val="20"/>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legal and economic changes or instability and civil unrest in foreign markets;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conversion risks and exchange rate and interest rate fluctuations;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03" w:lineRule="exact"/>
        <w:rPr>
          <w:rFonts w:ascii="Arial" w:cs="Arial" w:eastAsia="Arial" w:hAnsi="Arial"/>
          <w:sz w:val="18"/>
          <w:szCs w:val="18"/>
          <w:color w:val="auto"/>
        </w:rPr>
      </w:pPr>
    </w:p>
    <w:p>
      <w:pPr>
        <w:ind w:left="560" w:hanging="160"/>
        <w:spacing w:after="0" w:line="36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travel restrictions or government sanctions, including import or export tariffs or restrictions imposed by the U.S. government on trading with parties in foreign countries;</w:t>
      </w:r>
    </w:p>
    <w:p>
      <w:pPr>
        <w:ind w:left="560" w:right="160" w:hanging="160"/>
        <w:spacing w:after="0" w:line="360"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 varying and changing government regulations and legal standards and requirements, particularly with respect to price protection, competition practices, export control regulations and restrictions, customs and tax requirements, immigration, anti-boycott regulations, data privacy, intellectual property, anti-corruption and environmental compliance, including U.S. customs and export regulations and restrictions, International Traffic in Arms Regulations and the Foreign Corrupt Practices Act;</w:t>
      </w: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or pandemics;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3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3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Many of these risks are present in China. While we expect to continue to expand our business and operations in China, our success in the Chinese markets may be adversely affected by China’s continuously evolving policies, laws and regulations, including those relating to taxation, import and export tariffs or restrictions, currency controls, antitrust, cybersecurity and data protection, the environment, indigenous innovation and the promotion of a domestic semiconductor industry, and intellectual property rights and enforcement and protection of those rights. Enforcement of existing laws or agreements may be inconsistent. In addition, changes in the political environment, governmental policies, international trade policies and relations, or U.S.-China relations could result in revisions to laws or regulations or their interpretation and enforcement, exposure of our proprietary intellectual property, increased taxation, and restrictions on imports, import duties or currency revaluations, which could have an adverse effect on our business plans and operating results.</w:t>
      </w:r>
    </w:p>
    <w:p>
      <w:pPr>
        <w:spacing w:after="0" w:line="3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At October 28, 2017, our principal source of liquidity was $1.0 billion of cash and cash equivalents and short-term investments, of which approximately $379.2 million was held in the United States and the remaining balance was held outside the United States in various foreign subsidiaries. As we intend to reinvest substantially all of our foreign earnings indefinitely, this cash held outside the United States is not available to meet certain aspects of our cash requirements in the United States.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65" w:right="259" w:bottom="1440" w:gutter="0" w:footer="0" w:header="0"/>
        </w:sectPr>
      </w:pPr>
    </w:p>
    <w:bookmarkStart w:id="20" w:name="page21"/>
    <w:bookmarkEnd w:id="20"/>
    <w:p>
      <w:pPr>
        <w:spacing w:after="0" w:line="297" w:lineRule="auto"/>
        <w:rPr>
          <w:sz w:val="20"/>
          <w:szCs w:val="20"/>
          <w:color w:val="auto"/>
        </w:rPr>
      </w:pPr>
      <w:r>
        <w:rPr>
          <w:rFonts w:ascii="Arial" w:cs="Arial" w:eastAsia="Arial" w:hAnsi="Arial"/>
          <w:sz w:val="16"/>
          <w:szCs w:val="16"/>
          <w:color w:val="auto"/>
        </w:rPr>
        <w:t>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our operating results could be adversely affected. We have also recently reduced the number of distributors we use, which may exacerbate the foregoing risks.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Our industry is subject to EHS requirements, particularly those environmental requirements that control and restrict the sourcing, use, transportation, emission, discharge, storage and disposal of certain chemicals,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 w:lineRule="exact"/>
        <w:rPr>
          <w:sz w:val="20"/>
          <w:szCs w:val="20"/>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103" w:lineRule="exact"/>
        <w:rPr>
          <w:rFonts w:ascii="Arial" w:cs="Arial" w:eastAsia="Arial" w:hAnsi="Arial"/>
          <w:sz w:val="18"/>
          <w:szCs w:val="18"/>
          <w:color w:val="auto"/>
        </w:rPr>
      </w:pPr>
    </w:p>
    <w:p>
      <w:pPr>
        <w:ind w:left="560" w:hanging="16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43"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our United States government business, we are also subject to government audits and to review and approval of our policies, procedures, and internal controls for compliance with procurement regulations and applicable laws. In certain circumstances, if we do not comply with the terms of a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3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loans and outstanding debt instruments may limit our activities.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current revolving credit facility, term loans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and changes in technology, government regulations and the level of competition. In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665" w:right="29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addition, our revolving credit facility requires us to maintain compliance with specified financial ratios. If we breach any of the covenants under our revolving credit facility, the indentures governing our outstanding senior unsecured notes, the term loans or any future debt instruments to which we may become subject and do not obtain appropriate waivers, then, subject to applicable cure periods, our outstanding indebtedness thereunder could be declared immediately due and payable or we may be restricted from further borrowing under our revolving credit facility.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right="48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foreign government actions;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115" w:lineRule="exact"/>
        <w:rPr>
          <w:rFonts w:ascii="Arial" w:cs="Arial" w:eastAsia="Arial" w:hAnsi="Arial"/>
          <w:sz w:val="17"/>
          <w:szCs w:val="17"/>
          <w:color w:val="auto"/>
        </w:rPr>
      </w:pPr>
    </w:p>
    <w:p>
      <w:pPr>
        <w:ind w:left="660" w:right="360" w:hanging="247"/>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our customers or our competitors of significant new products, technical innovations, material transactions, acquisitions or dispositions, litigation, capital commitments or revised earnings estimates;</w:t>
      </w: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65" w:right="259" w:bottom="1440" w:gutter="0" w:footer="0" w:header="0"/>
        </w:sectPr>
      </w:pPr>
    </w:p>
    <w:bookmarkStart w:id="22" w:name="page23"/>
    <w:bookmarkEnd w:id="22"/>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principal general offices and manufacturing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Principal Properties</w:t>
            </w: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Approximate</w:t>
            </w:r>
          </w:p>
        </w:tc>
      </w:tr>
      <w:tr>
        <w:trPr>
          <w:trHeight w:val="276"/>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764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Use</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 Sq. Ft.</w:t>
            </w: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Cavite, Philippines</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873,000 sq. ft.</w:t>
            </w:r>
          </w:p>
        </w:tc>
      </w:tr>
      <w:tr>
        <w:trPr>
          <w:trHeight w:val="32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Wilmington, MA</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594,000 sq. ft.</w:t>
            </w:r>
          </w:p>
        </w:tc>
      </w:tr>
      <w:tr>
        <w:trPr>
          <w:trHeight w:val="32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Limerick, Ireland</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491,000 sq. ft.</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Milpitas,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Wafer fabrication, test and assembly; warehouse and distribution; engineering, sales, marketing and</w:t>
            </w:r>
          </w:p>
        </w:tc>
        <w:tc>
          <w:tcPr>
            <w:tcW w:w="1480" w:type="dxa"/>
            <w:vAlign w:val="bottom"/>
          </w:tcPr>
          <w:p>
            <w:pPr>
              <w:jc w:val="right"/>
              <w:spacing w:after="0"/>
              <w:rPr>
                <w:sz w:val="20"/>
                <w:szCs w:val="20"/>
                <w:color w:val="auto"/>
              </w:rPr>
            </w:pPr>
            <w:r>
              <w:rPr>
                <w:rFonts w:ascii="Arial" w:cs="Arial" w:eastAsia="Arial" w:hAnsi="Arial"/>
                <w:sz w:val="18"/>
                <w:szCs w:val="18"/>
                <w:color w:val="auto"/>
              </w:rPr>
              <w:t>430,000 sq. ft.</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administrative offices</w:t>
            </w:r>
          </w:p>
        </w:tc>
        <w:tc>
          <w:tcPr>
            <w:tcW w:w="14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Singapore (a)</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Wafer test and packaging, warehouse and distribution, engineering, sales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Malaysia (b)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Assembly and engineering offices, employee parking</w:t>
            </w:r>
          </w:p>
        </w:tc>
        <w:tc>
          <w:tcPr>
            <w:tcW w:w="1480" w:type="dxa"/>
            <w:vAlign w:val="bottom"/>
          </w:tcPr>
          <w:p>
            <w:pPr>
              <w:jc w:val="right"/>
              <w:spacing w:after="0"/>
              <w:rPr>
                <w:sz w:val="20"/>
                <w:szCs w:val="20"/>
                <w:color w:val="auto"/>
              </w:rPr>
            </w:pPr>
            <w:r>
              <w:rPr>
                <w:rFonts w:ascii="Arial" w:cs="Arial" w:eastAsia="Arial" w:hAnsi="Arial"/>
                <w:sz w:val="18"/>
                <w:szCs w:val="18"/>
                <w:color w:val="auto"/>
              </w:rPr>
              <w:t>350,000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Final assembly of certain module and subsystem-level products, testing, engineering and administrative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 sq. ft.</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Camas, WA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fabrication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105,000 sq. ft.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99,000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 Jose,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Engineering,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77,000 sq. ft.</w:t>
            </w:r>
          </w:p>
        </w:tc>
      </w:tr>
    </w:tbl>
    <w:p>
      <w:pPr>
        <w:spacing w:after="0" w:line="13"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Leases on the land used for this facility expire in 2021 through 2022 with an option to extend the lease for an additional 30 years</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Leases on the land used for this facility expire in 2054 through 2057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60" w:type="dxa"/>
            <w:vAlign w:val="bottom"/>
          </w:tcPr>
          <w:p>
            <w:pPr>
              <w:spacing w:after="0"/>
              <w:rPr>
                <w:sz w:val="16"/>
                <w:szCs w:val="16"/>
                <w:color w:val="auto"/>
              </w:rPr>
            </w:pPr>
          </w:p>
        </w:tc>
      </w:tr>
      <w:tr>
        <w:trPr>
          <w:trHeight w:val="270"/>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Properties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tcPr>
          <w:p>
            <w:pPr>
              <w:spacing w:after="0"/>
              <w:rPr>
                <w:sz w:val="23"/>
                <w:szCs w:val="23"/>
                <w:color w:val="auto"/>
              </w:rPr>
            </w:pPr>
          </w:p>
        </w:tc>
      </w:tr>
      <w:tr>
        <w:trPr>
          <w:trHeight w:val="276"/>
        </w:trPr>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Leased:</w:t>
            </w:r>
          </w:p>
        </w:tc>
        <w:tc>
          <w:tcPr>
            <w:tcW w:w="4800" w:type="dxa"/>
            <w:vAlign w:val="bottom"/>
            <w:gridSpan w:val="2"/>
          </w:tcPr>
          <w:p>
            <w:pPr>
              <w:ind w:left="2220"/>
              <w:spacing w:after="0"/>
              <w:rPr>
                <w:sz w:val="20"/>
                <w:szCs w:val="20"/>
                <w:color w:val="auto"/>
              </w:rPr>
            </w:pPr>
            <w:r>
              <w:rPr>
                <w:rFonts w:ascii="Arial" w:cs="Arial" w:eastAsia="Arial" w:hAnsi="Arial"/>
                <w:sz w:val="14"/>
                <w:szCs w:val="14"/>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Sq. Ft.</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270"/>
        </w:trPr>
        <w:tc>
          <w:tcPr>
            <w:tcW w:w="2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Norwood, MA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headquarters, engineering, sales and marketing</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 five-yr.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75,000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1, five-yr.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three-yr.</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periods</w:t>
            </w: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59,000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 two-yr.</w:t>
            </w: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Beijing, China</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58,000 sq. ft.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three-yr.</w:t>
            </w:r>
          </w:p>
        </w:tc>
      </w:tr>
      <w:tr>
        <w:trPr>
          <w:trHeight w:val="230"/>
        </w:trPr>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period</w:t>
            </w: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In addition to the principal properties listed in the above table,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2030.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of the Notes to Consolidated Financial Statements contained in Item 8 of this Annual Report on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18"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following table sets forth (i) the name, age and position of each of our executive officers as of November 22, 2017 and (ii) the business experience of each person named in the table during at least the past five years. There is no family relationship among any of our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Roche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57   President and Chief Executive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President and Chief Executive Officer since May 2013; President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since November 2012; Vice President, Strategic Segments Group</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and Global Sales from October 2009 to November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President, Worldwide Sales from March 2001 to October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and General Manager, Silicon Valley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Units and Computer &amp; Networking from 1999 to March 2001;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Product Line Director from 1995 to 1999; and Product Marketing</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Manager from 1988 to 1995.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Prashanth Mahendra-Rajah</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47   Senior Vice President, Finance and Chief</w:t>
            </w: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Senior Vice President, Finance and Chief Financial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September 2017; Chief Financial Officer of WABCO Holdings</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Inc., a supplier of commercial vehicle technologies, from June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0"/>
              </w:rPr>
              <w:t>2014 to September 2017; Corporate Vice President and Segment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CFO of the Silicon Systems Group of Applied Materials Inc., 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provider of manufacturing equipment, services and software to</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the global semiconductor industry, from April 2012 to June 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Martin Cotter</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52   Senior Vice President, Worldwide Sales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Worldwide Sales and Digital Marketing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Digital Marketing</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since September 2016; Vice President Internet of Things (IoT),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Healthcare, and Consumer Business Units, from November 2015</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 September 2016; Vice President, Healthcare and Consumer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Business Groups from November 2014 to November 2015;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VP, Communications Infrastructure Business Unit from October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to November 2014.</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Joseph (John) Hassett</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59   Senior Vice President, Global Operations</w:t>
            </w:r>
          </w:p>
        </w:tc>
        <w:tc>
          <w:tcPr>
            <w:tcW w:w="4780" w:type="dxa"/>
            <w:vAlign w:val="bottom"/>
          </w:tcPr>
          <w:p>
            <w:pPr>
              <w:ind w:left="20"/>
              <w:spacing w:after="0"/>
              <w:rPr>
                <w:sz w:val="20"/>
                <w:szCs w:val="20"/>
                <w:color w:val="auto"/>
              </w:rPr>
            </w:pPr>
            <w:r>
              <w:rPr>
                <w:rFonts w:ascii="Arial" w:cs="Arial" w:eastAsia="Arial" w:hAnsi="Arial"/>
                <w:sz w:val="18"/>
                <w:szCs w:val="18"/>
                <w:color w:val="auto"/>
                <w:w w:val="93"/>
              </w:rPr>
              <w:t>Senior Vice President, Global Operations and Technology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and Technology</w:t>
            </w:r>
          </w:p>
        </w:tc>
        <w:tc>
          <w:tcPr>
            <w:tcW w:w="4780" w:type="dxa"/>
            <w:vAlign w:val="bottom"/>
          </w:tcPr>
          <w:p>
            <w:pPr>
              <w:ind w:left="20"/>
              <w:spacing w:after="0"/>
              <w:rPr>
                <w:sz w:val="20"/>
                <w:szCs w:val="20"/>
                <w:color w:val="auto"/>
              </w:rPr>
            </w:pPr>
            <w:r>
              <w:rPr>
                <w:rFonts w:ascii="Arial" w:cs="Arial" w:eastAsia="Arial" w:hAnsi="Arial"/>
                <w:sz w:val="18"/>
                <w:szCs w:val="18"/>
                <w:color w:val="auto"/>
              </w:rPr>
              <w:t>May 2015; Vice President Assembly and Test Worldwide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Manufacturing from 1994 to May 2015; and Director Assembly</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Operations Worldwide Manufacturing from 1990 to 1994.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Gregory Henderson</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49   Senior Vice President, Automotive,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Automotive, Communications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 and Aerospace and</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Aerospace and Defense since June 2017; Vice President, RF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Defense</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Microwave Business Unit from July 2014 to June 2017;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the RF and Microwave Business Unit of Hittite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Microwave Corporation, a maker of chips and related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from October 2013 to July 2014; and Director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Product Management of Harris Corporation, a defense contractor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and technology provider of communications, electronic, and</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space and intelligence systems, from 2011 to October 2013.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Yusuf Jamal</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40   Senior Vice President, Industrial,</w:t>
            </w:r>
          </w:p>
        </w:tc>
        <w:tc>
          <w:tcPr>
            <w:tcW w:w="4780" w:type="dxa"/>
            <w:vAlign w:val="bottom"/>
          </w:tcPr>
          <w:p>
            <w:pPr>
              <w:ind w:left="20"/>
              <w:spacing w:after="0"/>
              <w:rPr>
                <w:sz w:val="20"/>
                <w:szCs w:val="20"/>
                <w:color w:val="auto"/>
              </w:rPr>
            </w:pPr>
            <w:r>
              <w:rPr>
                <w:rFonts w:ascii="Arial" w:cs="Arial" w:eastAsia="Arial" w:hAnsi="Arial"/>
                <w:sz w:val="18"/>
                <w:szCs w:val="18"/>
                <w:color w:val="auto"/>
                <w:w w:val="91"/>
              </w:rPr>
              <w:t>Senior Vice President, Industrial, Healthcare, Consumer, and IoT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w w:val="95"/>
              </w:rPr>
              <w:t>Healthcare, Consumer, and IoT Solutions</w:t>
            </w:r>
          </w:p>
        </w:tc>
        <w:tc>
          <w:tcPr>
            <w:tcW w:w="4780" w:type="dxa"/>
            <w:vAlign w:val="bottom"/>
          </w:tcPr>
          <w:p>
            <w:pPr>
              <w:ind w:left="20"/>
              <w:spacing w:after="0"/>
              <w:rPr>
                <w:sz w:val="20"/>
                <w:szCs w:val="20"/>
                <w:color w:val="auto"/>
              </w:rPr>
            </w:pPr>
            <w:r>
              <w:rPr>
                <w:rFonts w:ascii="Arial" w:cs="Arial" w:eastAsia="Arial" w:hAnsi="Arial"/>
                <w:sz w:val="18"/>
                <w:szCs w:val="18"/>
                <w:color w:val="auto"/>
              </w:rPr>
              <w:t>Solutions and Security since June 2017; Vice President,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and Security</w:t>
            </w:r>
          </w:p>
        </w:tc>
        <w:tc>
          <w:tcPr>
            <w:tcW w:w="4780" w:type="dxa"/>
            <w:vAlign w:val="bottom"/>
          </w:tcPr>
          <w:p>
            <w:pPr>
              <w:ind w:left="20"/>
              <w:spacing w:after="0"/>
              <w:rPr>
                <w:sz w:val="20"/>
                <w:szCs w:val="20"/>
                <w:color w:val="auto"/>
              </w:rPr>
            </w:pPr>
            <w:r>
              <w:rPr>
                <w:rFonts w:ascii="Arial" w:cs="Arial" w:eastAsia="Arial" w:hAnsi="Arial"/>
                <w:sz w:val="18"/>
                <w:szCs w:val="18"/>
                <w:color w:val="auto"/>
                <w:w w:val="90"/>
              </w:rPr>
              <w:t>Healthcare and Consumer Business Unit from September 2016 to</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June 2017; General Manager, Consumer Business Unit from</w:t>
            </w:r>
          </w:p>
        </w:tc>
      </w:tr>
    </w:tbl>
    <w:p>
      <w:pPr>
        <w:ind w:left="6660"/>
        <w:spacing w:after="0"/>
        <w:rPr>
          <w:sz w:val="20"/>
          <w:szCs w:val="20"/>
          <w:color w:val="auto"/>
        </w:rPr>
      </w:pPr>
      <w:r>
        <w:rPr>
          <w:rFonts w:ascii="Arial" w:cs="Arial" w:eastAsia="Arial" w:hAnsi="Arial"/>
          <w:sz w:val="16"/>
          <w:szCs w:val="16"/>
          <w:color w:val="auto"/>
        </w:rPr>
        <w:t>September 2014 to September 2016; Product Marketing Director,</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User eXperience Technologies from October 2012 to September</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2014; and Business Director Portable Segment from May 2008 to</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October 2012.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Jean Philibert</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56   Senior Vice President, Human Resources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Senior Vice President, Human Resources since January 2016;</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Senior Vice President and Chief People Officer for Kixeye, a</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developer of online strategy and combat games, from December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to December 2015; and Vice President of Human</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Resources, Data Protection and Availability Division at EMC</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Corporation, a provider of data storage and data management</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hardware and software, from January 2011 to November 2014.</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Steve </w:t>
            </w:r>
            <w:r>
              <w:rPr>
                <w:rFonts w:ascii="Arial" w:cs="Arial" w:eastAsia="Arial" w:hAnsi="Arial"/>
                <w:sz w:val="19"/>
                <w:szCs w:val="19"/>
                <w:color w:val="auto"/>
              </w:rPr>
              <w:t>Pietkiewicz</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58   Senior Vice President, Power Products</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Senior Vice President, Power Products since June 2017;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0"/>
              </w:rPr>
              <w:t>President and General Manager of S Power Products from March</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2017 to June 2017; Vice President and General Manager of S</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Power Products at Linear Technology Corporation, a</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manufacturer of high performance linear integrated circuits, from</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0"/>
              </w:rPr>
              <w:t>July 2007 to March 2017; General Manager, S Power Products at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Linear Technology Corporation from April 2005 to July 2007;</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and Design Manager at Linear Technology Corporation from</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April 1995 to April 2005.</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Real</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57   Senior Vice President and Chief</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Technology Officer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2014; Vice President, High Speed Product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Technology Group from November 2012 to November 2014;</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Vice President, Linear and Radio Frequency Group from August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2009 to November 2012; Vice President, Radio Frequency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Networking Group from January 2008 to August 2009; Product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Line Director from 1999 to 2007; and Engineering Manager from</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1992 to 1999.</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Margaret K. Seif</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8"/>
              </w:rPr>
              <w:t>56   Chief Legal Officer, Secretary and Senior</w:t>
            </w:r>
          </w:p>
        </w:tc>
        <w:tc>
          <w:tcPr>
            <w:tcW w:w="4780" w:type="dxa"/>
            <w:vAlign w:val="bottom"/>
          </w:tcPr>
          <w:p>
            <w:pPr>
              <w:ind w:left="20"/>
              <w:spacing w:after="0"/>
              <w:rPr>
                <w:sz w:val="20"/>
                <w:szCs w:val="20"/>
                <w:color w:val="auto"/>
              </w:rPr>
            </w:pPr>
            <w:r>
              <w:rPr>
                <w:rFonts w:ascii="Arial" w:cs="Arial" w:eastAsia="Arial" w:hAnsi="Arial"/>
                <w:sz w:val="18"/>
                <w:szCs w:val="18"/>
                <w:color w:val="auto"/>
              </w:rPr>
              <w:t>Chief Legal Officer, Secretary and Senior Vice President of</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Vice President of Communications and</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Communications and Brand since January 2016; Senior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Brand</w:t>
            </w:r>
          </w:p>
        </w:tc>
        <w:tc>
          <w:tcPr>
            <w:tcW w:w="4780" w:type="dxa"/>
            <w:vAlign w:val="bottom"/>
          </w:tcPr>
          <w:p>
            <w:pPr>
              <w:ind w:left="20"/>
              <w:spacing w:after="0"/>
              <w:rPr>
                <w:sz w:val="20"/>
                <w:szCs w:val="20"/>
                <w:color w:val="auto"/>
              </w:rPr>
            </w:pPr>
            <w:r>
              <w:rPr>
                <w:rFonts w:ascii="Arial" w:cs="Arial" w:eastAsia="Arial" w:hAnsi="Arial"/>
                <w:sz w:val="18"/>
                <w:szCs w:val="18"/>
                <w:color w:val="auto"/>
                <w:w w:val="92"/>
              </w:rPr>
              <w:t>President, General Counsel and Secretary from November 2014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to January 2016; Vice President, General Counsel and Secretary</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6"/>
              </w:rPr>
              <w:t>from January 2006 to November 2014; Senior Vice President,</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General Counsel and Secretary of RSA Security Inc., a provider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of computer and network security, from January 2000 to</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November 2005; and Vice President, General Counsel and</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2"/>
              </w:rPr>
              <w:t>Secretary of RSA Security Inc. from June 1998 to January 2000.</w:t>
            </w: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Eileen Wynne</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51   Vice President and Chief Accounting</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Vice President and Chief Accounting Officer since April 2015;</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Interim Chief Financial Officer from March 2017 to September</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2017; Vice President, Corporate Controller and Chief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5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Accounting Officer from May 2013 to April 2015; Corporate</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Controller from April 2011 to May 2013; and Assistant</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Controller from February 2004 to April 2011.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right="18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1" w:lineRule="exact"/>
        <w:rPr>
          <w:sz w:val="20"/>
          <w:szCs w:val="20"/>
          <w:color w:val="auto"/>
        </w:rPr>
      </w:pPr>
    </w:p>
    <w:p>
      <w:pPr>
        <w:jc w:val="both"/>
        <w:ind w:right="260" w:firstLine="432"/>
        <w:spacing w:after="0" w:line="342" w:lineRule="auto"/>
        <w:rPr>
          <w:sz w:val="20"/>
          <w:szCs w:val="20"/>
          <w:color w:val="auto"/>
        </w:rPr>
      </w:pPr>
      <w:r>
        <w:rPr>
          <w:rFonts w:ascii="Arial" w:cs="Arial" w:eastAsia="Arial" w:hAnsi="Arial"/>
          <w:sz w:val="16"/>
          <w:szCs w:val="16"/>
          <w:color w:val="auto"/>
        </w:rPr>
        <w:t>Our common stock is listed on The Nasdaq Global Select Market under the symbol ADI. The tables below set forth the high and low sales prices per share of our common stock on the applicable exchange and the dividends declared for each quarterly period within our two most recent fiscal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and Low Sales Prices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Fiscal 2017</w:t>
            </w: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3"/>
              </w:rPr>
              <w:t>Fiscal 2016</w:t>
            </w:r>
          </w:p>
        </w:tc>
        <w:tc>
          <w:tcPr>
            <w:tcW w:w="11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$84.24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$48.17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$59.01</w:t>
            </w:r>
          </w:p>
        </w:tc>
      </w:tr>
      <w:tr>
        <w:trPr>
          <w:trHeight w:val="47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7"/>
              </w:rPr>
              <w:t>Dividends Declared Per Outstanding Share of Common Stock</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7220" w:type="dxa"/>
            <w:vAlign w:val="bottom"/>
            <w:gridSpan w:val="5"/>
          </w:tcPr>
          <w:p>
            <w:pPr>
              <w:ind w:left="440"/>
              <w:spacing w:after="0"/>
              <w:rPr>
                <w:sz w:val="20"/>
                <w:szCs w:val="20"/>
                <w:color w:val="auto"/>
              </w:rPr>
            </w:pPr>
            <w:r>
              <w:rPr>
                <w:rFonts w:ascii="Arial" w:cs="Arial" w:eastAsia="Arial" w:hAnsi="Arial"/>
                <w:sz w:val="18"/>
                <w:szCs w:val="18"/>
                <w:color w:val="auto"/>
              </w:rPr>
              <w:t>In fiscal 2017 and fiscal 2016, we paid a cash dividend in each quarter as follows: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Fiscal 2017</w:t>
            </w: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Fiscal 2016</w:t>
            </w:r>
          </w:p>
        </w:tc>
      </w:tr>
      <w:tr>
        <w:trPr>
          <w:trHeight w:val="250"/>
        </w:trPr>
        <w:tc>
          <w:tcPr>
            <w:tcW w:w="51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$0.42</w:t>
            </w:r>
          </w:p>
        </w:tc>
      </w:tr>
      <w:tr>
        <w:trPr>
          <w:trHeight w:val="27"/>
        </w:trPr>
        <w:tc>
          <w:tcPr>
            <w:tcW w:w="5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$0.42</w:t>
            </w:r>
          </w:p>
        </w:tc>
      </w:tr>
    </w:tbl>
    <w:p>
      <w:pPr>
        <w:spacing w:after="0" w:line="1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quarter of fiscal 2018, on November 20, 2017, our Board of Directors declared a cash dividend of $0.45 per outstanding share of common stock. The dividend will be paid on December 12, 2017 to all shareholders of record at the close of business on December 1, 2017. The payment of future dividends, if any, will be based on several factors including our financial performance, outlook and liquidity.</w:t>
      </w:r>
    </w:p>
    <w:p>
      <w:pPr>
        <w:spacing w:after="0" w:line="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March 10, 2017, we completed the acquisition of Linear Technology Corporation, an independent manufacturer of high performance analog integrated circuits, which we refer to as the Acquisition. In connection with the Acquisition, we have temporarily suspended our share repurchase program. The table below summarizes the activity related to stock repurchases for the three months ended October 28,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176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Total Number of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Per Share(b)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3"/>
              </w:rPr>
              <w:t>Plans or Programs(c)</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July 30, 2017 through August 26,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22,342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27, 2017 through September 23,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10,538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September 24, 2017 through October 28,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89,295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88.77</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122,175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792,501,619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460" w:right="1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122,175 shares withheld by us from employees to satisfy employee minimum tax obligations upon vesting of restricted stock units/awards granted to our employees under our equity compensation plans.</w:t>
      </w:r>
    </w:p>
    <w:p>
      <w:pPr>
        <w:spacing w:after="0" w:line="8"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ind w:left="460" w:right="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On February 15, 2016, the Board of Directors of the Company approved an increase to the current authorization for the stock repurchase program by $600.0 million to $1.0 billion in the aggregate. In the aggregate, our Board of Directors has authorized us to repurchase $6.2 billion of our common stock under the program.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9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number of holders of record of our common stock at November 17, 2017 was 2,261. This number does not include shareholders for whom shares are held in a “nominee” or “street” name. On October 27, 2017, the last reported sales price of our common stock on The Nasdaq Global Select Market was $91.21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November 3, 2012 with the cumulative total return of the Standard &amp; Poor’s (S&amp;P) 500 Index and the S&amp;P Semiconductors Index. This graph assumes the investment of $100 on November 3, 2012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41910</wp:posOffset>
            </wp:positionV>
            <wp:extent cx="5179695" cy="3232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969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 xml:space="preserve">The following table includes selected financial data for each of our last five fiscal years and includes the results of operations from the acquisition of Linear from March 10, 2017 and the acquisition of Hittite Microwave Corporation from July 22, 2014. See Note 6,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of the Notes to Consolidated Financial Statements contained in Item 8 of this Annual Report on Form 10-K for information on the Linear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5,107,503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3,421,409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3,435,092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2,864,773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2,633,689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673,487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21,141,294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7,970,278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7,058,777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6,855,331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6,376,433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Debt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7,851,084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1,732,177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869,935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868,430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866,924</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_________________</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ind w:right="40" w:firstLine="8"/>
        <w:spacing w:after="0" w:line="253"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Amounts have been restated as a result of the Company's election to change its method of accounting for debt issuance costs in accordance with Accounting Standards Update (ASU) 2015-03, </w:t>
      </w:r>
      <w:r>
        <w:rPr>
          <w:rFonts w:ascii="Arial" w:cs="Arial" w:eastAsia="Arial" w:hAnsi="Arial"/>
          <w:sz w:val="18"/>
          <w:szCs w:val="18"/>
          <w:i w:val="1"/>
          <w:iCs w:val="1"/>
          <w:color w:val="auto"/>
        </w:rPr>
        <w:t>Interest - Imputation of Interest Simplifying the Presentation of Debt Issuance Costs,</w:t>
      </w:r>
      <w:r>
        <w:rPr>
          <w:rFonts w:ascii="Arial" w:cs="Arial" w:eastAsia="Arial" w:hAnsi="Arial"/>
          <w:sz w:val="18"/>
          <w:szCs w:val="18"/>
          <w:color w:val="auto"/>
        </w:rPr>
        <w:t xml:space="preserve"> during the first quarter of fiscal 2016 retrospectively for all prior periods. As a result of the adoption of this ASU, the debt issuance costs related to the Company's outstanding notes have been reclassified as a deduction to the face amount of the notes and are no longer shown as deferred assets within Other Assets on the Consolidated Balance Sheet.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ind w:left="900" w:right="3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(all tabular amounts in thousands except per share amounts)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5,107,503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3,421,409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3,435,092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1,686,094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 %</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164,786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24 %</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25 %</w:t>
            </w:r>
          </w:p>
        </w:tc>
      </w:tr>
      <w:tr>
        <w:trPr>
          <w:trHeight w:val="27"/>
        </w:trPr>
        <w:tc>
          <w:tcPr>
            <w:tcW w:w="2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Linear Technology Corporation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On March 10, 2017 (Acquisition Date), we completed the acquisition of Linear Technology Corporation (Linear), a designer, manufacturer and marketer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our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 See Note 6,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and Note 16,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the Consolidated Financial Statements contained in Item 8 of this Annual Report on Form 10-K for further information.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2,361,549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1,497,070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1,495,887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782,961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541,774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526,493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1,047,606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687,697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727,585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915,387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694,868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685,127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5,107,503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3,421,409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industrial end market included $489.7 million of revenue as a result of the Acquisition in the fiscal year ended October 28, 2017 (fiscal 2017). Industrial end market revenue increased year-over-year, primarily as a result of the Acquisition and a broad-based increase in demand for our products in this end market. The automotive end market included $199.8 million of revenue as a result of the Acquisition in fiscal 2017. Automotive end market revenue increased year-over-year, primarily as a result of the Acquisition and a broad-based increase in demand for our products. The consumer end market included $36.2 million of revenue as a result of the Acquisition in fiscal 2017. Consumer end market revenue increased year-over-year, primarily as a result of an increased demand for products used in portable consumer applications and as a result of the Acquisition. The communications end market included $187.6 million of revenue as a result of the Acquisition in fiscal 2017. Communications end market revenue increased year-over-year primarily as a result of the Acquisition.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2" w:right="239" w:bottom="1440" w:gutter="0" w:footer="0" w:header="0"/>
        </w:sectPr>
      </w:pPr>
    </w:p>
    <w:bookmarkStart w:id="30" w:name="page31"/>
    <w:bookmarkEnd w:id="30"/>
    <w:p>
      <w:pPr>
        <w:ind w:right="80" w:firstLine="405"/>
        <w:spacing w:after="0" w:line="264" w:lineRule="auto"/>
        <w:rPr>
          <w:sz w:val="20"/>
          <w:szCs w:val="20"/>
          <w:color w:val="auto"/>
        </w:rPr>
      </w:pPr>
      <w:r>
        <w:rPr>
          <w:rFonts w:ascii="Arial" w:cs="Arial" w:eastAsia="Arial" w:hAnsi="Arial"/>
          <w:sz w:val="18"/>
          <w:szCs w:val="18"/>
          <w:color w:val="auto"/>
        </w:rPr>
        <w:t>Automotive end market revenue increased year-over-year in the fiscal year ended October 29, 2016 (fiscal 2016) primarily as a result of increased demand for our powertrain, advanced driver assistance systems, and infotainment products. The year-over-year decrease in the consumer end market in fiscal 2016 was primarily the result of lower demand for products sold into portable consumer applications.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Revenue by geographic region, based upon the primary end customer location for fiscal 2017, fiscal 2016 and the fiscal year ended October 31, 2015 (fiscal 2015)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2017 over 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34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1,999,041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1,325,279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699,412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Rest of North and South America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103,077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95,957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97,189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7,120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1,211,435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286,586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506,114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291,649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319,569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214,465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266,842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64,325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Rest of Asia</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445,304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233,635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242,460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211,669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5,107,503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3,421,409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1,686,094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In fiscal 2017, fiscal 2016 and fiscal 2015,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8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a regional basis, the United States and Rest of North and South America included $201.4 million and $6.4 million, respectively, of revenue as a result of the Acquisition in fiscal 2017. The increase in the United States year-over-year in fiscal 2017 was primarily a result of an increase in demand of our products sold into the consumer and industrial end markets and as a result of the Acquisition. Europe and Japan included $211.2 million and $123.7 million of revenue, respectively, as a result of the Acquisition in fiscal 2017.The sales increase in Europe and Japan year-over-year in fiscal 2017 was primarily a result of the Acquisition and an increase in demand of our products sold into the industrial end market. China included $213.6 million of revenue as a result of the Acquisition in fiscal 2017. The sales increase in China year-over-year in fiscal 2017 was primarily a result of the Acquisition and an increase in demand of our products sold into the industrial and automotive end markets. The Rest of Asia included $156.9 million of revenue as a result of the Acquisition in fiscal 2017. The sales increase in the Rest of Asia year-over year in 2017 was primarily a result of the Acquisition and an increase in demand of our products sold into the industrial and communications end markets.</w:t>
      </w:r>
    </w:p>
    <w:p>
      <w:pPr>
        <w:spacing w:after="0" w:line="8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On a regional basis, the sales increase in China in fiscal 2016 as compared to fiscal 2015 was primarily the result of an increase in demand in the industrial, communications and automotive end markets. The sales decrease in Japan in fiscal 2016 as compared to fiscal 2015 was primarily a result of a decrease in demand for our products in the industrial end market. The sales decrease in the United States in fiscal 2016 as compared to fiscal 2015 was primarily the result of a decrease in demand in the consumer end markets.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3,061,596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2,227,173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2,259,262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834,423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Gross margin percentage in fiscal 2017 decreased by 520 basis points compared to fiscal 2016, primarily as a result of recording additional cost related to Acquisition accounting adjustments, including $358.7 million related to the sale of acquired inventory written up to fair value, $83.0 million related to amortization of acquired developed technology intangible assets, and $22.9 million of depreciation related to the write up of fixed assets to fair value. The increases in cost of sales as a result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Acquisition accounting adjustments were partially offset by favorable factory variances as a result of increased utilization at our manufacturing facilities.</w:t>
      </w:r>
    </w:p>
    <w:p>
      <w:pPr>
        <w:spacing w:after="0" w:line="18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Gross margin percentage in fiscal 2016 decreased by 70 basis points compared to fiscal 2015, primarily as a result of lower utilization rates in our manufacturing facilities, partially offset by a mix shift in favor of higher margin products being sold.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968,602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653,816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637,459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314,786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16,357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R&amp;D Expenses as a % of</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44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R&amp;D expenses increased in fiscal 2017 as compared to fiscal 2016. Approximately $205.2 million of the overall increase was a result of the Acquisition. The remainder of the increase was primarily the result of an increase in variable compensation expense linked to our overall profitability and revenue growth and an increase in R&amp;D employee and related benefit expenses and to a lesser extent an increase in operational spending.</w:t>
      </w:r>
    </w:p>
    <w:p>
      <w:pPr>
        <w:spacing w:after="0" w:line="93"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R&amp;D expenses increased in fiscal 2016 as compared to fiscal 2015 primarily as a result of increases in R&amp;D employee and related benefit expenses and operational spending, partially offset by a decrease in variable compensation expense linked to our overall profitability and revenue growth.</w:t>
      </w:r>
    </w:p>
    <w:p>
      <w:pPr>
        <w:spacing w:after="0" w:line="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691,046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461,438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478,972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229,608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SMG&amp;A Expenses as a % of</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44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5" w:lineRule="exact"/>
        <w:rPr>
          <w:sz w:val="20"/>
          <w:szCs w:val="20"/>
          <w:color w:val="auto"/>
        </w:rPr>
      </w:pPr>
    </w:p>
    <w:p>
      <w:pPr>
        <w:ind w:right="480" w:firstLine="432"/>
        <w:spacing w:after="0" w:line="257" w:lineRule="auto"/>
        <w:rPr>
          <w:sz w:val="20"/>
          <w:szCs w:val="20"/>
          <w:color w:val="auto"/>
        </w:rPr>
      </w:pPr>
      <w:r>
        <w:rPr>
          <w:rFonts w:ascii="Arial" w:cs="Arial" w:eastAsia="Arial" w:hAnsi="Arial"/>
          <w:sz w:val="18"/>
          <w:szCs w:val="18"/>
          <w:color w:val="auto"/>
        </w:rPr>
        <w:t>SMG&amp;A expenses increased in fiscal 2017 as compared to fiscal 2016 primarily as a result of the Acquisition and Acquisition-related costs. Approximately $119.8 million of the total increase was a result of the Acquisition. Acquisition-related costs, which includes legal, accounting and other related fees resulting from the Acquisition increased $56.9 million in fiscal 2017 as compared to fiscal 2016. The remainder of the increase in SMG&amp;A expenses was a result of increases in variable compensation expense linked to our overall profitability and revenue growth and an increase in SMG&amp;A employee and related benefit expenses.</w:t>
      </w:r>
    </w:p>
    <w:p>
      <w:pPr>
        <w:spacing w:after="0" w:line="134" w:lineRule="exact"/>
        <w:rPr>
          <w:sz w:val="20"/>
          <w:szCs w:val="20"/>
          <w:color w:val="auto"/>
        </w:rPr>
      </w:pPr>
    </w:p>
    <w:p>
      <w:pPr>
        <w:ind w:right="660" w:firstLine="432"/>
        <w:spacing w:after="0" w:line="264" w:lineRule="auto"/>
        <w:rPr>
          <w:sz w:val="20"/>
          <w:szCs w:val="20"/>
          <w:color w:val="auto"/>
        </w:rPr>
      </w:pPr>
      <w:r>
        <w:rPr>
          <w:rFonts w:ascii="Arial" w:cs="Arial" w:eastAsia="Arial" w:hAnsi="Arial"/>
          <w:sz w:val="18"/>
          <w:szCs w:val="18"/>
          <w:color w:val="auto"/>
        </w:rPr>
        <w:t>SMG&amp;A expenses decreased in fiscal 2016 as compared to fiscal 2015 primarily as a result of decreases in operational spending and variable compensation expense linked to our overall profitability and revenue growth, partially offset by an increase in SMG&amp;A employee and related benefit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i w:val="1"/>
          <w:iCs w:val="1"/>
          <w:color w:val="auto"/>
        </w:rPr>
        <w:t>Amortization of Intangibles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297,351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70,123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88,318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227,228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560" w:type="dxa"/>
            <w:vAlign w:val="bottom"/>
          </w:tcPr>
          <w:p>
            <w:pPr>
              <w:ind w:left="40"/>
              <w:spacing w:after="0"/>
              <w:rPr>
                <w:sz w:val="20"/>
                <w:szCs w:val="20"/>
                <w:color w:val="auto"/>
              </w:rPr>
            </w:pPr>
            <w:r>
              <w:rPr>
                <w:rFonts w:ascii="Arial" w:cs="Arial" w:eastAsia="Arial" w:hAnsi="Arial"/>
                <w:sz w:val="18"/>
                <w:szCs w:val="18"/>
                <w:color w:val="auto"/>
                <w:w w:val="95"/>
              </w:rPr>
              <w:t>Amortization expenses as a % of</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56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Amortization expenses increased in fiscal 2017 as compared to fiscal 2016 primarily as a result of the purchase of intangible assets as part of the Acquisition and to a lesser extent, other acquisitions in fiscal 2016 and fiscal 2017.</w:t>
      </w:r>
    </w:p>
    <w:p>
      <w:pPr>
        <w:spacing w:after="0" w:line="11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Amortization expenses decreased in fiscal 2016 as compared to fiscal 2015 as a result of certain intangible assets becoming fully amortized during fiscal 2015.</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Charges</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 expense reductions relating to ongoing actions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Early Retirement Offer Action</w:t>
      </w:r>
    </w:p>
    <w:p>
      <w:pPr>
        <w:spacing w:after="0" w:line="90" w:lineRule="exact"/>
        <w:rPr>
          <w:sz w:val="20"/>
          <w:szCs w:val="20"/>
          <w:color w:val="auto"/>
        </w:rPr>
      </w:pPr>
    </w:p>
    <w:p>
      <w:pPr>
        <w:ind w:right="160" w:firstLine="392"/>
        <w:spacing w:after="0" w:line="276" w:lineRule="auto"/>
        <w:rPr>
          <w:sz w:val="20"/>
          <w:szCs w:val="20"/>
          <w:color w:val="auto"/>
        </w:rPr>
      </w:pPr>
      <w:r>
        <w:rPr>
          <w:rFonts w:ascii="Arial" w:cs="Arial" w:eastAsia="Arial" w:hAnsi="Arial"/>
          <w:sz w:val="17"/>
          <w:szCs w:val="17"/>
          <w:color w:val="auto"/>
        </w:rPr>
        <w:t>During the first quarter of fiscal 2017, we initiated an early retirement offer. This resulted in a special charge of approximately $41.3 million for severance, related benefits, and other costs in accordance with this program for 225 manufacturing, engineering and SMG&amp;A employees. As of October 28, 2017, we still employed 26 of the 225 employees included in this cost reduction action. These employees must continue to be employed by us until their employment is terminated in order to receive the severance benefits. We expect this action will result in estimated annual salary, variable compensation and employee benefit savings of approximately $28.4 million once fully implemented.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Reduction of Operating Costs Action</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During the first quarter of fiscal 2017, we recorded special charges of approximately $8.1 million for severance and fringe benefit costs in accordance with our ongoing benefit plan or statutory requirements at foreign locations for 177 manufacturing, engineering and SMG&amp;A employees. As of October 28, 2017, we still employed 10 of the 177 employees included in this cost reduction action. These employees must continue to be employed by us until their employment is terminated in order to receive the severance benefits. We expect this action will result in estimated annual salary, variable compensation and employee benefit savings of approximately $5.0 million once fully implemented.</w:t>
      </w:r>
    </w:p>
    <w:p>
      <w:pPr>
        <w:spacing w:after="0" w:line="5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fiscal 2016, we recorded special charges of approximately $13.7 million for severance and fringe benefit costs in accordance with our ongoing benefit plan for 123 manufacturing, engineering and SMG&amp;A employees. As of October 28, 2017, we still employed 23 of the 123 employees included in these cost reduction actions. These employees must continue to be employed by us until their employment is terminated in order to receive the severance benefit.</w:t>
      </w:r>
    </w:p>
    <w:p>
      <w:pPr>
        <w:spacing w:after="0" w:line="13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We expect that annual cost savings resulting from these actions will be used to make additional investments in products that we expect will drive revenue growth in the future.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Operating Expense</w:t>
      </w:r>
    </w:p>
    <w:p>
      <w:pPr>
        <w:spacing w:after="0" w:line="9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During fiscal 2015, we converted the benefits provided to participants in our Irish defined benefits pension plan to benefits provided under our Irish defined contribution plan. Retired pension plan participants received an annuity. As a result, in fiscal 2015 we recorded settlement charges, legal, accounting and other professional fees totaling $223.7 million to settle all existing and future Irish pension plan liabilities.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1,055,134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1,028,112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830,841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27,022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  $</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197,271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rPr>
              <w:t>Operating income as a % of</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 xml:space="preserve">The increase in operating income in fiscal 2017 as compared to fiscal 2016 was primarily the result of a $834.4 million increase in gross margin, partially offset by a $314.8 million increase in R&amp;D expenses, a $229.6 million increase in SMG&amp;A expenses, a $227.2 million increase in amortization expenses and a $35.8 million increase in special charges as more fully described above under the headings </w:t>
      </w:r>
      <w:r>
        <w:rPr>
          <w:rFonts w:ascii="Arial" w:cs="Arial" w:eastAsia="Arial" w:hAnsi="Arial"/>
          <w:sz w:val="17"/>
          <w:szCs w:val="17"/>
          <w:i w:val="1"/>
          <w:iCs w:val="1"/>
          <w:color w:val="auto"/>
        </w:rPr>
        <w:t>Research and Development (R&amp;D), Selling,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Marketing, General and Administrative (SMG&amp;A), Amortization of Intangibles </w:t>
      </w:r>
      <w:r>
        <w:rPr>
          <w:rFonts w:ascii="Arial" w:cs="Arial" w:eastAsia="Arial" w:hAnsi="Arial"/>
          <w:sz w:val="17"/>
          <w:szCs w:val="17"/>
          <w:color w:val="auto"/>
        </w:rPr>
        <w:t>and</w:t>
      </w:r>
      <w:r>
        <w:rPr>
          <w:rFonts w:ascii="Arial" w:cs="Arial" w:eastAsia="Arial" w:hAnsi="Arial"/>
          <w:sz w:val="17"/>
          <w:szCs w:val="17"/>
          <w:i w:val="1"/>
          <w:iCs w:val="1"/>
          <w:color w:val="auto"/>
        </w:rPr>
        <w:t xml:space="preserve"> Special Charges.</w:t>
      </w:r>
    </w:p>
    <w:p>
      <w:pPr>
        <w:spacing w:after="0" w:line="117" w:lineRule="exact"/>
        <w:rPr>
          <w:sz w:val="20"/>
          <w:szCs w:val="20"/>
          <w:color w:val="auto"/>
        </w:rPr>
      </w:pPr>
    </w:p>
    <w:p>
      <w:pPr>
        <w:jc w:val="both"/>
        <w:ind w:right="360" w:firstLine="432"/>
        <w:spacing w:after="0" w:line="342" w:lineRule="auto"/>
        <w:rPr>
          <w:sz w:val="20"/>
          <w:szCs w:val="20"/>
          <w:color w:val="auto"/>
        </w:rPr>
      </w:pPr>
      <w:r>
        <w:rPr>
          <w:rFonts w:ascii="Arial" w:cs="Arial" w:eastAsia="Arial" w:hAnsi="Arial"/>
          <w:sz w:val="16"/>
          <w:szCs w:val="16"/>
          <w:color w:val="auto"/>
        </w:rPr>
        <w:t xml:space="preserve">The increase in operating income in fiscal 2016 as compared to fiscal 2015 was primarily the result of a $223.7 million decrease in other operating expense more fully described above under the heading </w:t>
      </w:r>
      <w:r>
        <w:rPr>
          <w:rFonts w:ascii="Arial" w:cs="Arial" w:eastAsia="Arial" w:hAnsi="Arial"/>
          <w:sz w:val="16"/>
          <w:szCs w:val="16"/>
          <w:i w:val="1"/>
          <w:iCs w:val="1"/>
          <w:color w:val="auto"/>
        </w:rPr>
        <w:t>Other Operating Expense,</w:t>
      </w:r>
      <w:r>
        <w:rPr>
          <w:rFonts w:ascii="Arial" w:cs="Arial" w:eastAsia="Arial" w:hAnsi="Arial"/>
          <w:sz w:val="16"/>
          <w:szCs w:val="16"/>
          <w:color w:val="auto"/>
        </w:rPr>
        <w:t xml:space="preserve"> partially offset by a 70 basis point decrease in gross margin percentage.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Change</w:t>
            </w:r>
          </w:p>
        </w:tc>
      </w:tr>
      <w:tr>
        <w:trPr>
          <w:trHeight w:val="264"/>
        </w:trPr>
        <w:tc>
          <w:tcPr>
            <w:tcW w:w="4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2017 over 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2016 over 2015</w:t>
            </w:r>
          </w:p>
        </w:tc>
      </w:tr>
      <w:tr>
        <w:trPr>
          <w:trHeight w:val="264"/>
        </w:trPr>
        <w:tc>
          <w:tcPr>
            <w:tcW w:w="4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22"/>
                <w:szCs w:val="22"/>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61,727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(12,596)</w:t>
            </w: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1,333</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nonoperating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226,649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71,191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155,458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50,464</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 xml:space="preserve">The increase in nonoperating expense in fiscal 2017 as compared to fiscal 2016 was primarily the result of an increase in interest expense as a result of the issuance of $1.3 billion of senior unsecured notes in the first quarter of fiscal 2016 and, $2.1 billion of senior unsecured notes in the first quarter of fiscal 2017, and as a result of fees paid and financing commitments entered into in connection with the Acquisition, including a 90-day Bridge Credit Agreement in the principal amount of $4.1 billion, a 3-year unsecured term loan in the principal amount of $2.5 billion and a 5-year unsecured term loan in the principal amount of $2.5 billion. See Note 16,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our Consolidated Financial Statements contained in Item 8 of this Annual Report on Form 10-K for further information on the debt issuances and commitments related to the Acquisition. The increase in nonoperating expense as a result of the increase in interest expense was partially offset by an increase in interest income due to higher interest rates earned on our investments, partially offset by lower cash balances in fiscal 2017 as compared to fiscal 2016.</w:t>
      </w:r>
    </w:p>
    <w:p>
      <w:pPr>
        <w:spacing w:after="0" w:line="125"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The increase in nonoperating expense in fiscal 2016 as compared to fiscal 2015 was primarily the result of an increase in interest expense as a result of the issuance of senior unsecured notes in fiscal 2016, and as a result of fees related to financing commitments entered into in anticipation of the Acquisition. These increases were partially offset by a decrease in interest expense as a result of the redemption of the $375.0 million aggregate principal amount of</w:t>
      </w:r>
    </w:p>
    <w:p>
      <w:pPr>
        <w:ind w:right="40"/>
        <w:spacing w:after="0" w:line="295" w:lineRule="auto"/>
        <w:rPr>
          <w:sz w:val="20"/>
          <w:szCs w:val="20"/>
          <w:color w:val="auto"/>
        </w:rPr>
      </w:pPr>
      <w:r>
        <w:rPr>
          <w:rFonts w:ascii="Arial" w:cs="Arial" w:eastAsia="Arial" w:hAnsi="Arial"/>
          <w:sz w:val="16"/>
          <w:szCs w:val="16"/>
          <w:color w:val="auto"/>
        </w:rPr>
        <w:t xml:space="preserve">3.0% senior unsecured notes (the 2016 Notes) in fiscal 2016. See Note 16, </w:t>
      </w:r>
      <w:r>
        <w:rPr>
          <w:rFonts w:ascii="Arial" w:cs="Arial" w:eastAsia="Arial" w:hAnsi="Arial"/>
          <w:sz w:val="16"/>
          <w:szCs w:val="16"/>
          <w:i w:val="1"/>
          <w:iCs w:val="1"/>
          <w:color w:val="auto"/>
        </w:rPr>
        <w:t>Debt</w:t>
      </w:r>
      <w:r>
        <w:rPr>
          <w:rFonts w:ascii="Arial" w:cs="Arial" w:eastAsia="Arial" w:hAnsi="Arial"/>
          <w:sz w:val="16"/>
          <w:szCs w:val="16"/>
          <w:color w:val="auto"/>
        </w:rPr>
        <w:t>, of the Notes to our Consolidated Financial Statements contained in Item 8 of this Annual Report on Form 10-K for further information for further information on the issuance and redemption of these notes. The increase in nonoperating expense as a result of the increase in interest expense in fiscal 2016 as compared to fiscal 2015 was partially offset by an increase in interest income due to higher interest rates earned on our investments and the investment of higher cash balances in fiscal 2016 as compared to fiscal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14"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2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2017 over 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101,226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95,257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113,236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can also be impacted each year by discrete factors or events.</w:t>
      </w:r>
    </w:p>
    <w:p>
      <w:pPr>
        <w:spacing w:after="0" w:line="116" w:lineRule="exact"/>
        <w:rPr>
          <w:sz w:val="20"/>
          <w:szCs w:val="20"/>
          <w:color w:val="auto"/>
        </w:rPr>
      </w:pPr>
    </w:p>
    <w:p>
      <w:pPr>
        <w:jc w:val="both"/>
        <w:ind w:right="100" w:firstLine="405"/>
        <w:spacing w:after="0" w:line="288" w:lineRule="auto"/>
        <w:rPr>
          <w:sz w:val="20"/>
          <w:szCs w:val="20"/>
          <w:color w:val="auto"/>
        </w:rPr>
      </w:pPr>
      <w:r>
        <w:rPr>
          <w:rFonts w:ascii="Arial" w:cs="Arial" w:eastAsia="Arial" w:hAnsi="Arial"/>
          <w:sz w:val="16"/>
          <w:szCs w:val="16"/>
          <w:color w:val="auto"/>
        </w:rPr>
        <w:t>The tax rate for fiscal 2017 is below the U.S. federal statutory tax rate of 35% primarily due to lower statutory tax rates applicable to our operations in the foreign jurisdictions in which we earn income and a tax benefit of $50.5 million related to the reduction of reserves and related interest resulting from the U.S. Tax Court’s favorable ruling, offset by approximately $98.2 million of tax expense incurred during the year as part of the post-Acquisition integration.</w:t>
      </w:r>
    </w:p>
    <w:p>
      <w:pPr>
        <w:ind w:right="20"/>
        <w:spacing w:after="0" w:line="267" w:lineRule="auto"/>
        <w:rPr>
          <w:sz w:val="20"/>
          <w:szCs w:val="20"/>
          <w:color w:val="auto"/>
        </w:rPr>
      </w:pPr>
      <w:r>
        <w:rPr>
          <w:rFonts w:ascii="Arial" w:cs="Arial" w:eastAsia="Arial" w:hAnsi="Arial"/>
          <w:sz w:val="17"/>
          <w:szCs w:val="17"/>
          <w:color w:val="auto"/>
        </w:rPr>
        <w:t>See Note 14, Income Taxes, of the Notes to our Consolidated Financial Statements contained in Item 8 of this Annual Report on Form 10-K for further information on the U.S. Tax Court ruling. The tax rate for all other periods presented was below the U.S. federal statutory tax rate of 35%, primarily due to lower statutory tax rates applicable to our operations in the foreign jurisdictions in which we earn income. For example, the Company has a partial tax holiday in Singapore through August 2019 and a partial tax holiday through July 2025 in Malaysia. The impact on our provision for income taxes of income earned in foreign jurisdictions being taxed at rates different than the U.S. statutory rate was a foreign effective tax rate of approximately 7.8% in fiscal 2017 compared to a foreign effective tax rate of approximately 6.1% in fiscal 2016. Additionally, our effective tax rate in fiscal 2017 also included a tax benefit of approximately $15.0 million for the release of a state tax credit valuation allowance as a result of the Acquisition. Our effective tax rate for the fiscal 2016 included a tax benefit of $7.5 million from the reinstatement of the U.S. federal research and development tax credit in December 2015 retroactive to January 1, 2015. Our effective tax rate for fiscal 2015 was reduced as a result of $13.0 million recorded from the reversal of certain prior period tax liabilities, a tax benefit of $7.0 million from the reinstatement of the U.S. federal research and development tax credit in December 2014 retroactive to January 1, 2014 and a tax benefit of $3.8 million as a result of an acquisition accounting adjustment. In addition, our effective tax rate for fiscal 2015 included $2.0 million of discrete tax expense items associated with the U.S. provision to return adjustments.</w:t>
      </w:r>
    </w:p>
    <w:p>
      <w:pPr>
        <w:spacing w:after="0" w:line="13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Non-U.S. jurisdictions accounted for approximately 77.3% of our total revenues in fiscal 2017, compared to approximately 77.7% of our total revenues for fiscal 2016 and 78.0% of our total revenues for fiscal 2015. This revenue generated outside of the U.S. results in a material portion of our pretax income being taxed outside the U.S., primarily in Bermuda and Ireland, at tax rates ranging from 0% to 35%. The impact on our effective tax rate related to income earned in foreign jurisdictions was reduced for fiscal 2017 as compared to fiscal 2016, as a result of increased depreciation, amortization and other expenses associated with Linear operations which are within foreign jurisdictions and subject to lower tax rates. A change in the mix of revenue and income earned in the U.S. and outside of the U.S. will have a direct impact on the overall effective tax rate in any given period.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2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2017 over 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2016 over 2015</w:t>
            </w:r>
          </w:p>
        </w:tc>
      </w:tr>
      <w:tr>
        <w:trPr>
          <w:trHeight w:val="264"/>
        </w:trPr>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727,259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861,664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696,878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164,786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w w:val="93"/>
              </w:rPr>
              <w:t>Net Income, as a % of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decrease in net income in fiscal 2017 as compared to fiscal 2016 was primarily a result of a $155.5 million increase in nonoperating expense and a $6.0 million increase in provision for income taxes, partially offset by a $27.0 million increase in operating income.</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increase in net income in fiscal 2016 as compared to fiscal 2015 was primarily a result of a $197.3 million increase in operating income and a $18.0 million decrease in provision for income taxes, partially offset by a $50.5 million increase in nonoperating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14" w:right="239" w:bottom="1440" w:gutter="0" w:footer="0" w:header="0"/>
        </w:sectPr>
      </w:pPr>
    </w:p>
    <w:bookmarkStart w:id="35" w:name="page36"/>
    <w:bookmarkEnd w:id="35"/>
    <w:p>
      <w:pPr>
        <w:ind w:right="580" w:firstLine="432"/>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 xml:space="preserve">At October 28, 2017, our principal source of liquidity was $1.0 billion of cash and cash equivalents and short-term investments, of which approximately $379.2 million was held in the United States. The balance of our cash and cash equivalents and short-term investments was held outside the United States in various foreign subsidiaries. As we intend to reinvest substantially all of our foreign earnings indefinitely, the majority of cash held outside the United States is not available to meet certain aspects of our cash requirements in the United States, including cash dividends, and principal and interest payments. If these funds are needed for U.S. operations or can no longer be indefinitely reinvested outside the United States, under current tax law we would be required to accrue and pay U.S. taxes to repatriate these funds and such amounts could be material.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 In connection with the accounting for the Acquisition, we recorded approximately $1.6 billion of cash and marketable securities from Linear, which was remitted from foreign jurisdictions as part of our post-Acquisition integration. Also as part of the post-Acquisition integration, we remitted legacy cash held outside of the United States of approximately $3.6 billion. The remittances resulted in approximately $98.2 million in net tax expense recorded in fiscal 2017. We currently intend to use significant amounts of our remaining cash and cash equivalents held outside of the United States to finance obligations and current operations of our foreign businesses. On the Acquisition Date, we entered into a 90-day Bridge Credit Agreement that provided for unsecured loans in an aggregate principal amount of up to $4.1 billion and borrowed under a term loan agreement consisting of a 3-year unsecured term loan in the principal amount of $2.5 billion, due March 10, 2020 and a 5-year unsecured term loan in the principal amount of $2.5 billion, due March 10, 2022. In fiscal 2017, we repaid $550.0 million of principal on the 3-year unsecured term loan, repaid $400.0 million of principal on the 5-year unsecured term loan, and repaid all of the $4.1 billion of outstanding loans under the Bridge Credit Agreement. In addition, in fiscal 2016, we amended and restated our existing revolving credit facility to allow for the increase in the amount of commitments from $750.0 million to $1.0 billion at the closing of the Acquisition. See Note 15, </w:t>
      </w:r>
      <w:r>
        <w:rPr>
          <w:rFonts w:ascii="Arial" w:cs="Arial" w:eastAsia="Arial" w:hAnsi="Arial"/>
          <w:sz w:val="16"/>
          <w:szCs w:val="16"/>
          <w:i w:val="1"/>
          <w:iCs w:val="1"/>
          <w:color w:val="auto"/>
        </w:rPr>
        <w:t>Revolving Credit Facility</w:t>
      </w:r>
      <w:r>
        <w:rPr>
          <w:rFonts w:ascii="Arial" w:cs="Arial" w:eastAsia="Arial" w:hAnsi="Arial"/>
          <w:sz w:val="16"/>
          <w:szCs w:val="16"/>
          <w:color w:val="auto"/>
        </w:rPr>
        <w:t xml:space="preserve"> and Note 16,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our Consolidated Financial Statements contained in Item 8 of this Annual Report on Form 10-K for further information.</w:t>
      </w:r>
    </w:p>
    <w:p>
      <w:pPr>
        <w:spacing w:after="0" w:line="7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and dividend payments (if any) in the immediate future and for at least the next twelve months.</w:t>
      </w:r>
    </w:p>
    <w:p>
      <w:pPr>
        <w:spacing w:after="0" w:line="11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6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1,112,592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1,280,895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907,798</w:t>
            </w:r>
          </w:p>
        </w:tc>
      </w:tr>
      <w:tr>
        <w:trPr>
          <w:trHeight w:val="27"/>
        </w:trPr>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(6,618,014)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(1,218,270)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(17,125)</w:t>
            </w:r>
          </w:p>
        </w:tc>
      </w:tr>
      <w:tr>
        <w:trPr>
          <w:trHeight w:val="27"/>
        </w:trPr>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5,628,578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(22,917)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(571,603)</w:t>
            </w:r>
          </w:p>
        </w:tc>
      </w:tr>
      <w:tr>
        <w:trPr>
          <w:trHeight w:val="27"/>
        </w:trPr>
        <w:tc>
          <w:tcPr>
            <w:tcW w:w="6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At October 28, 2017, cash and cash equivalents totaled $1,047.8 million. The following changes contributed to the net increase in cash and cash equivalents of $126.7 million in fiscal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provided by operating activities is net income adjusted for certain non-cash items and changes in assets and liabilities.</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decrease in cash provided by operating activities during fiscal 2017, as compared to fiscal 2016, was primarily due to higher tax payments as a result of the post-Acquisition integration, and other changes in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Investing cash flows consist primarily of capital expenditures, investment purchases, maturities and sales of available-for-sale securities, as well as cash used for acquisitions.</w:t>
      </w:r>
    </w:p>
    <w:p>
      <w:pPr>
        <w:spacing w:after="0" w:line="1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increase in cash used for investing activities during fiscal 2017 as compared to fiscal 2016, was primarily the result of cash payments made for the Acquisition, partially offset by a decrease in maturities of available for sale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6" w:name="page37"/>
    <w:bookmarkEnd w:id="36"/>
    <w:p>
      <w:pPr>
        <w:ind w:right="140" w:firstLine="405"/>
        <w:spacing w:after="0" w:line="342" w:lineRule="auto"/>
        <w:rPr>
          <w:sz w:val="20"/>
          <w:szCs w:val="20"/>
          <w:color w:val="auto"/>
        </w:rPr>
      </w:pPr>
      <w:r>
        <w:rPr>
          <w:rFonts w:ascii="Arial" w:cs="Arial" w:eastAsia="Arial" w:hAnsi="Arial"/>
          <w:sz w:val="16"/>
          <w:szCs w:val="16"/>
          <w:color w:val="auto"/>
        </w:rPr>
        <w:t>The increase in cash used for investing activities during fiscal 2016 as compared to fiscal 2015 was primarily due to an increase in the net purchases of available-for-sale securities and an increase in payments for acquisitions, partially offset by a decrease in property, plant and equipment additions.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Financing cash flows consist primarily of payments of dividends to stockholders, repurchases of common stock, issuance and repayment of long-term debt, and proceeds from the sale of shares of common stock pursuant to employee equity incentive plans.</w:t>
      </w:r>
    </w:p>
    <w:p>
      <w:pPr>
        <w:spacing w:after="0" w:line="116"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increase in cash provided by financing activities during fiscal 2017, as compared to fiscal 2016, was primarily due to an increase in net debt proceeds of $9.9 billion received from the issuance of senior unsecured notes, financing commitments entered into in connection with the Acquisition, consisting of a 90-day Bridge Credit Agreement and a term loan agreement, and a decrease in stock repurchases of $323.5 million due to the temporary suspension of our share repurchase program in connection with the Acquisition. These decreases were partially offset by payments of $5.1 billion related to financing commitments entered into in connection with the Acquisition consisting of repayments of $550.0 million of principal on the 3-year unsecured term loan, repayments of $400.0 million of principal on the 5-year unsecured term loan, and repayment of the $4.1 billion of outstanding loans under the Bridge Credit Agreement.The decrease in cash used for financing activities during fiscal 2016 as compared to fiscal 2015 was primarily due to net proceeds of $1.2 billion received from the issuance of the 2025 Notes and 2045 Notes, partially offset by $378.2 million of payments for the redemption of our 2016 Notes, an increase in stock repurchases of $143.1 million, a decrease in proceeds from the sale of shares of common stock pursuant to employee equity incentive plans of $61.1 million, payments of $33.4 million related to derivative instruments, payments of $26.6 million in deferred financing fees related to the acquisition of Linear and an increase in dividend payments to shareholders of $22.1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477,609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211,344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174,261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3" w:lineRule="exact"/>
        <w:rPr>
          <w:sz w:val="20"/>
          <w:szCs w:val="20"/>
          <w:color w:val="auto"/>
        </w:rPr>
      </w:pPr>
    </w:p>
    <w:p>
      <w:pPr>
        <w:ind w:right="80" w:firstLine="8"/>
        <w:spacing w:after="0" w:line="259"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 the average of the current year and prior year ending net accounts receivable and ending inventory balance in our calculation of days sales outstanding and days cost of sales in inventory, respectively. Cost of sales amounts used in the calculation of days cost of sales in inventory for fiscal 2017 include Acquisition accounting adjustments related to the sale of acquired inventory written up to fair value, amortization of developed technology intangible assets acquired and depreciation related to the write up of fixed assets to fair value.</w:t>
      </w:r>
    </w:p>
    <w:p>
      <w:pPr>
        <w:spacing w:after="0" w:line="133"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increase in accounts receivable in dollars was primarily the result of the Acquisition and to a lesser extent higher product shipments in the fourth quarter of fiscal 2017 as compared to the fourth quarter of fiscal 2016.</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increase in inventory in dollars was primarily the result of the Acquisition and our efforts to balance manufacturing production, demand and inventory levels.</w:t>
      </w:r>
    </w:p>
    <w:p>
      <w:pPr>
        <w:spacing w:after="0" w:line="11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Current liabilities increased to $1.6 billion at October 28, 2017 from $782.9 million recorded at the end of fiscal 2016. The increase was primarily due to an increase in the current portion of our debt, an increase in accrued liabilities as a result of the Acquisition, increases in accrued interest and accrued special charges, an increase in accounts payable resulting from higher production volumes and the Acquisition and an increase in deferred income on shipments made to distributors as more fully described below.</w:t>
      </w:r>
    </w:p>
    <w:p>
      <w:pPr>
        <w:spacing w:after="0" w:line="133"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As of October 28, 2017 and October 29, 2016, we had gross deferred revenue of $589.5 million and $432.3 million, respectively, and gross deferred cost of sales of $115.5 million and $80.8 million, respectively. Deferred income on shipments to distributors increased in fiscal 2017 primarily as a result of the Acquisition and higher demand for products sold into the channel. Sales to certain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certain distributors, the sales price to the distributors is not fixed or determinable until the distributors resell the products to their customers. Therefore, we defer revenue recognition from sales to certain distributors until such distributors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jc w:val="both"/>
        <w:ind w:right="20"/>
        <w:spacing w:after="0" w:line="286" w:lineRule="auto"/>
        <w:rPr>
          <w:sz w:val="20"/>
          <w:szCs w:val="20"/>
          <w:color w:val="auto"/>
        </w:rPr>
      </w:pPr>
      <w:r>
        <w:rPr>
          <w:rFonts w:ascii="Arial" w:cs="Arial" w:eastAsia="Arial" w:hAnsi="Arial"/>
          <w:sz w:val="17"/>
          <w:szCs w:val="17"/>
          <w:color w:val="auto"/>
        </w:rPr>
        <w:t>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 of October 28, 2017, we had $7.9 billion of carrying value outstanding on our long-term debt. The difference in the carrying value of the debt and the principal is due to the unamortized discount and issuance fees on these instruments that will accrete to the face value over the term of the debt. Our debt obligations consist of the following: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17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On June 3, 2013, we issued the 2023 Notes with semi-annual fixed interest payments due on June 1 and December 1 of each year, commencing December 1, 2013.</w:t>
      </w:r>
    </w:p>
    <w:p>
      <w:pPr>
        <w:spacing w:after="0" w:line="1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i w:val="1"/>
          <w:iCs w:val="1"/>
          <w:color w:val="auto"/>
        </w:rPr>
        <w:t>$850.0 Million Aggregate Principal Amount of 3.9% Senior Unsecured Notes (2025 Notes) and $400.0 Million Aggregate Principal Amount of 5.3% Senior Unsecured Notes (2045 Notes)</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On December 14, 2015, we issued the 2025 Notes and the 2045 Notes with semi-annual fixed interest payments due on June 15 and December 15 of each year, commencing June 15, 2016.</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$400 Million Aggregate Principal Amount of 2.5% Senior Unsecured Notes (2021 Notes), $550 Million Aggregate Principal Amount of 3.125% Senior Unsecured Notes (December 2023 Notes), $900 Million Aggregate Principal Amount of 3.5% Senior Unsecured Notes (2026 Notes) and $250 Million Aggregate Principal Amount of 4.5% Senior Unsecured Notes (2036 Notes)</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December 5, 2016, we issued the 2021 Notes, the December 2023 Notes, the 2026 Notes and the 2036 Notes with semi-annual fixed interest payments due on June 5 and December 5 of each year, commencing June 5, 2017.</w:t>
      </w:r>
    </w:p>
    <w:p>
      <w:pPr>
        <w:spacing w:after="0" w:line="11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The indentures governing the 2021 Notes, 2023 Notes, December 2023 Notes, 2025 Notes, 2026 Notes, 2036 Notes and 2045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October 28, 2017, we were compliant with these covenants. See Note 16,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Consolidated Financial Statements contained in Item 8 of this Annual Report on Form 10-K for further information on our outstanding debt.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 Billion Aggregate Principal Term Loans</w:t>
      </w:r>
    </w:p>
    <w:p>
      <w:pPr>
        <w:spacing w:after="0" w:line="17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On the Acquisition Date, we drew down on a 3-year unsecured term loan in the principal amount of $2.5 billion, due March 10, 2020 and a 5-year unsecured term loan in the principal amount of $2.5 billion, due March 10, 2022. In fiscal 2017, we repaid $550.0 million of principal on the 3-year unsecured term loan and repaid $400.0 million of principal on the 5-year unsecured term loan.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color w:val="auto"/>
        </w:rPr>
        <w:t>We have a senior unsecured revolving credit facility with certain institutional lenders (the Credit Agreement) that expires on July 10, 2020. The Credit Agreement provides that we may borrow up to $1.0 billion. To date, we have not borrowed under this credit facility, but we may borrow in the future and use the proceeds for repayment of existing indebtedness, stock repurchases, acquisitions, capital expenditures, working capital and other lawful corporate purposes. The terms of the Credit Agreement impose restrictions on our ability to undertake certain transactions, to create certain liens on assets and to incur certain subsidiary indebtedness. In addition, the Credit Agreement contains a consolidated leverage ratio covenant of total consolidated funded debt</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to consolidated earnings before interest, taxes, depreciation, and amortization (EBITDA) of not greater than 5.0 to 1.0. The debt covenant will be reduced over time to 3.0 to 1.0 starting in May 2018. As of October 28, 2017, we were compliant with these covenants. See Note 15, </w:t>
      </w:r>
      <w:r>
        <w:rPr>
          <w:rFonts w:ascii="Arial" w:cs="Arial" w:eastAsia="Arial" w:hAnsi="Arial"/>
          <w:sz w:val="16"/>
          <w:szCs w:val="16"/>
          <w:i w:val="1"/>
          <w:iCs w:val="1"/>
          <w:color w:val="auto"/>
        </w:rPr>
        <w:t>Revolving Credit Facility,</w:t>
      </w:r>
      <w:r>
        <w:rPr>
          <w:rFonts w:ascii="Arial" w:cs="Arial" w:eastAsia="Arial" w:hAnsi="Arial"/>
          <w:sz w:val="16"/>
          <w:szCs w:val="16"/>
          <w:color w:val="auto"/>
        </w:rPr>
        <w:t xml:space="preserve"> of the Notes to Consolidated Financial Statements contained in Item 8 of this Annual Report on Form 10-K for further information on our revolving credit facility.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common stock repurchase program has been in place since August 2004. In the aggregate, our Board of Directors has authorized us to repurchase $6.2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ind w:right="140"/>
        <w:spacing w:after="0" w:line="255" w:lineRule="auto"/>
        <w:rPr>
          <w:sz w:val="20"/>
          <w:szCs w:val="20"/>
          <w:color w:val="auto"/>
        </w:rPr>
      </w:pPr>
      <w:r>
        <w:rPr>
          <w:rFonts w:ascii="Arial" w:cs="Arial" w:eastAsia="Arial" w:hAnsi="Arial"/>
          <w:sz w:val="18"/>
          <w:szCs w:val="18"/>
          <w:color w:val="auto"/>
        </w:rPr>
        <w:t>repurchased all shares authorized under the program. As of October 28, 2017, we had repurchased a total of approximately 147.0 million shares of our common stock for approximately $5.4 billion under this program. As of October 28, 2017, an additional $792.5 million remains available for repurchase under the current authorized program. The repurchased shares are held as authorized but unissued shares of common stock. In connection with the Acquisition, we have temporarily suspended our share repurchase program. While we do not plan to resume share repurchases in the near term, we expect to continue repurchasing our common stock over the long-term. We also from time to time repurchase shares in settlement of employee minimum tax withholding obligations due upon the vesting of restricted stock units.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Net additions to property, plant and equipment were $204.1 million in fiscal 2017 and were funded with a combination of cash on hand and cash generated from operations. We expect capital expenditures for the fiscal year ending November 3, 2018 (fiscal 2018) to be in the range of $230.0 million to $270.0 million. These capital expenditures will be funded with a combination of cash on hand and cash generated from operations.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On November 20, 2017, our Board of Directors declared a cash dividend of $0.45 per outstanding share of common stock. The dividend will be paid on December 12, 2017 to all shareholders of record at the close of business on December 1, 2017 and is expected to total approximately $166 million. We currently expect quarterly dividends to continue at $0.45 per share, although they remain subject to determination and declaration by our Board of Directors. The payment of future dividends, if any, will be based on several factors, including our financial performance, outlook and liquidity.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October 28,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1-3 Years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142,913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41,795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41,142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22,398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37,578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 (b)</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3,450,000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payments associated with debt obligations</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1,956,164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232,202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437,494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327,212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959,256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(c)</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32,572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(d)</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10,037,565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579,913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2,416,136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2,562,110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4,479,406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63"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November 10, 2017 we pre-paid $300.0 million of principal on the 3-year unsecured term loan. This amount was not contractually due under the terms of the loan. As such this amount is classified as current debt as of October 28, 2017.</w:t>
      </w:r>
    </w:p>
    <w:p>
      <w:pPr>
        <w:spacing w:after="0" w:line="8" w:lineRule="exact"/>
        <w:rPr>
          <w:rFonts w:ascii="Arial" w:cs="Arial" w:eastAsia="Arial" w:hAnsi="Arial"/>
          <w:sz w:val="18"/>
          <w:szCs w:val="18"/>
          <w:color w:val="auto"/>
        </w:rPr>
      </w:pPr>
    </w:p>
    <w:p>
      <w:pPr>
        <w:ind w:left="460" w:right="220" w:hanging="452"/>
        <w:spacing w:after="0" w:line="29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2018.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9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Certain of our acquisitions involve the potential payment of contingent consideration. The table above does not reflect any such obligations, which could be up to $8.5 million, as the timing and amounts are uncertain.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65" w:right="239" w:bottom="1440" w:gutter="0" w:footer="0" w:header="0"/>
        </w:sectPr>
      </w:pPr>
    </w:p>
    <w:bookmarkStart w:id="39" w:name="page40"/>
    <w:bookmarkEnd w:id="39"/>
    <w:p>
      <w:pPr>
        <w:ind w:right="20" w:firstLine="432"/>
        <w:spacing w:after="0" w:line="257" w:lineRule="auto"/>
        <w:rPr>
          <w:sz w:val="20"/>
          <w:szCs w:val="20"/>
          <w:color w:val="auto"/>
        </w:rPr>
      </w:pPr>
      <w:r>
        <w:rPr>
          <w:rFonts w:ascii="Arial" w:cs="Arial" w:eastAsia="Arial" w:hAnsi="Arial"/>
          <w:sz w:val="18"/>
          <w:szCs w:val="18"/>
          <w:color w:val="auto"/>
        </w:rPr>
        <w:t>As of October 28, 2017, our total liabilities associated with uncertain tax positions was $49.6 million, which are included in “Other non-current liabilities” in our consolidated balance sheet contained in Item 8 of this Annual Report on Form 10-K. Due to the complexity associated with our deferred taxes and tax uncertainties, we cannot make a reasonably reliable estimate of the period in which we expect to settle the non-current liabilities associated with these deferred taxes and uncertain tax positions. Therefore, we have not included these deferred taxes and uncertain tax positions in the above contractual obligations table.</w:t>
      </w:r>
    </w:p>
    <w:p>
      <w:pPr>
        <w:spacing w:after="0" w:line="9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October 28, 2017.</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October 28, 2017, we had no off-balance sheet financing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2t,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May 2014, the FASB issued Accounting Standards Update (ASU) 2014-09, Revenue from Contracts with Customers (ASU 2014-09), which supersedes nearly all existing revenue recognition guidance under generally accepted accounting principles in the United States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our first quarter of the fiscal year ending November 2, 2019 (fiscal 2019). Early adoption is permitted for all entities only as of annual reporting periods beginning after December 15, 2016, including interim reporting periods within that reporting period. We have developed a project plan for the implementation of the guidance, including a review of all revenue streams to identify any differences in the timing, measurement or presentation of revenue recognition. We have reviewed our revenue streams and are nearing completion in assessing all potential impacts of the standard, including any impacts from recently issued amendments, and retrospectively adjusting financial information for prior fiscal years under the full retrospective transition method. We have also made progress on our impact assessment of the Acquisition. While we are still in the process of completing our evaluation of the standard, we currently believe the most significant impact will be related to the timing of recognition of sales to certain distributors. As described in Note 2n,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of the Notes to the Consolidated Financial Statements contained in Item 8 of this Annual Report on Form 10-K, we currently defer revenue and the related cost of sales on shipments to certain distributors until the distributors resell the products to their customers. Upon adoption of ASU 2014-09, we will no longer be permitted to defer revenue until sale by the distributor to the end customer, but rather, will be required to estimate the effects of returns and allowances provided to distributors and record revenue at the time of sale to the distributor. We are continuing to evaluate the future impact and method of adoption of ASU 2014-09 and related amendments on our consolidated financial statements and related disclosures. We will adopt ASU 2014-09, using the full retrospective method, upon its effective date for us which is our first quarter of fiscal 2019.</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06" w:right="259" w:bottom="1440" w:gutter="0" w:footer="0" w:header="0"/>
        </w:sectPr>
      </w:pPr>
    </w:p>
    <w:bookmarkStart w:id="40" w:name="page41"/>
    <w:bookmarkEnd w:id="40"/>
    <w:p>
      <w:pPr>
        <w:jc w:val="both"/>
        <w:ind w:right="60"/>
        <w:spacing w:after="0" w:line="264" w:lineRule="auto"/>
        <w:rPr>
          <w:sz w:val="20"/>
          <w:szCs w:val="20"/>
          <w:color w:val="auto"/>
        </w:rPr>
      </w:pPr>
      <w:r>
        <w:rPr>
          <w:rFonts w:ascii="Arial" w:cs="Arial" w:eastAsia="Arial" w:hAnsi="Arial"/>
          <w:sz w:val="18"/>
          <w:szCs w:val="18"/>
          <w:color w:val="auto"/>
        </w:rPr>
        <w:t>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in certain foreign counties. Revenue from product sales to other foreign countries is recognized subsequent to product shipment. Title for these shipments to these other foreign countries ordinarily passes within a week of shipment. Accordingly, we defer the revenue recognized relating to these other foreign countries until title has passed. For multiple element arrangements, we allocate arrangement consideration among the elements based on the relative fair values of those elements as determined using vendor-specific objective evidence or third-party evidence. We use our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3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 from product sales to certain international distributors are made under agreements that permit limited stock return privileges but not sales price rebates. Revenue on these sales is recognized upon shipment at which time title passes.</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defer revenue and the related cost of sales on shipments to U.S. distributors and certain international distributors until the distributors resell the products to their customers. As a result, our revenue fully reflects end customer purchases and is not impacted by distributor inventory levels. Sales to certain of these distributors are made under agreements that allow such distributors to receive price-adjustment credits and to return qualifying products for credit, as determined by us, in order to reduce the amounts of slow-moving, discontinued or obsolete product from their inventory. These agreements limit such returns to a certain percentage of the value of our shipments to that distributor during the prior quarter. In addition, such distributors are allowed to return unsold products if the Company terminates the relationship with the distributor. Given the uncertainties associated with the levels of price-adjustment credits to be granted to certain distributors, the sales price to the distributor is not fixed or determinable until the distributor resells the products to their customers. Therefore, we defer revenue recognition from sales to certain distributors until such distributors have sold the products to their customers.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Doubtful Accounts</w:t>
      </w:r>
    </w:p>
    <w:p>
      <w:pPr>
        <w:spacing w:after="0" w:line="13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06" w:right="25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review property, plant, and equipment and finite 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1) or more frequently if indicators of impairment exist. We perform a qualitative assessment on our indefinite-lived intangible assets to determine whether it is more likely-than not that the indefinite-lived intangible asset is impaired. If it is determined that the fair value of the indefinite-lived intangible asset is less than the carrying value, we would compare the fair value of the intangible asset with its carrying amount and recognize an impairment equal to any amount by which the carrying value of the assets exceeds the fair value.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1) or more frequently if we believe indicators of impairment exist. For our latest annual impairment assessment that occurred as of July 30, 2017, we identified our reporting units to be our eight operating segments. The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its current market capitalization, allowing for a reasonable control premium.</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13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7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4" w:right="239" w:bottom="1440" w:gutter="0" w:footer="0" w:header="0"/>
        </w:sectPr>
      </w:pPr>
    </w:p>
    <w:bookmarkStart w:id="42" w:name="page43"/>
    <w:bookmarkEnd w:id="42"/>
    <w:p>
      <w:pPr>
        <w:ind w:right="20"/>
        <w:spacing w:after="0" w:line="302" w:lineRule="auto"/>
        <w:rPr>
          <w:sz w:val="20"/>
          <w:szCs w:val="20"/>
          <w:color w:val="auto"/>
        </w:rPr>
      </w:pPr>
      <w:r>
        <w:rPr>
          <w:rFonts w:ascii="Arial" w:cs="Arial" w:eastAsia="Arial" w:hAnsi="Arial"/>
          <w:sz w:val="16"/>
          <w:szCs w:val="16"/>
          <w:color w:val="auto"/>
        </w:rPr>
        <w:t>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realize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As it relates to our market-based restricted stock units, we utilize the Monte Carlo simulation valuation model to value these awards. 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We recognize the expense related to these on a straight-line basis over the vesting period, which is generally five years for stock options and three years for restricted stock units. See Note 3, </w:t>
      </w:r>
      <w:r>
        <w:rPr>
          <w:rFonts w:ascii="Arial" w:cs="Arial" w:eastAsia="Arial" w:hAnsi="Arial"/>
          <w:sz w:val="16"/>
          <w:szCs w:val="16"/>
          <w:i w:val="1"/>
          <w:iCs w:val="1"/>
          <w:color w:val="auto"/>
        </w:rPr>
        <w:t>Stock-Based Compensation and Shareholders' Equity,</w:t>
      </w:r>
      <w:r>
        <w:rPr>
          <w:rFonts w:ascii="Arial" w:cs="Arial" w:eastAsia="Arial" w:hAnsi="Arial"/>
          <w:sz w:val="16"/>
          <w:szCs w:val="16"/>
          <w:color w:val="auto"/>
        </w:rPr>
        <w:t xml:space="preserve"> of the Notes to Consolidated Financial Statements contained in Item 8 of this Annual Report on Form 10-K for more information related to stock based compensation.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6" w:right="239" w:bottom="1440" w:gutter="0" w:footer="0" w:header="0"/>
        </w:sectPr>
      </w:pPr>
    </w:p>
    <w:bookmarkStart w:id="43" w:name="page44"/>
    <w:bookmarkEnd w:id="43"/>
    <w:p>
      <w:pPr>
        <w:ind w:left="260"/>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From time to time, in the ordinary course of business, various claims, charges and litigation are asserted or commenced against us arising from, or related to, contractual matters, patents, trademarks, personal injury, environmental matters, product liability, insurance coverage and personnel and employment disputes.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814"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and debt.</w:t>
      </w:r>
    </w:p>
    <w:p>
      <w:pPr>
        <w:spacing w:after="0" w:line="7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fiscal 2017, we borrowed $2.5 billion of 3-year term loans, $2.5 billion of 5-year term loans and a $4.1 billion bridge loan as part of the financing for the Acquisition. During fiscal 2017, we repaid $550.0 million of principal on the 3-year unsecured term loan, repaid $400.0 million of principal on the 5-year unsecured term loan and repaid all of the $4.1 billion of the bridge loan. The term loans accrue interest at a floating rate, equal to the LIBOR rate corresponding with the tenor of the borrowing period plus the applicable spread (112.5 basis points for the bridge loan and 3-year term loan and 125 basis points for the 5-year term loan). Based on the $4.1 billion of floating rate debt outstanding as of October 28, 2017, our annual interest expense would change by approximately $23.7 million for each 100 basis point increase in interest rates.</w:t>
      </w:r>
    </w:p>
    <w:p>
      <w:pPr>
        <w:spacing w:after="0" w:line="99"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Based on our marketable securities and short-term investments outstanding as of October 28, 2017 and October 29, 2016, our annual interest income would change by approximately $10.5 million and $41 million, respectively, for each 100 basis point increase in interest rates.</w:t>
      </w:r>
    </w:p>
    <w:p>
      <w:pPr>
        <w:spacing w:after="0" w:line="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28, 2017 and October 29, 2016, a hypothetical 100 basis point increase in interest rates across all maturities would result in a $0.1 million and $7 million decline, respectively, in the fair market value of the portfolio. Such losses would only be realized if we sold the investments prior to maturity.</w:t>
      </w:r>
    </w:p>
    <w:p>
      <w:pPr>
        <w:spacing w:after="0" w:line="9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As of October 28, 2017, we had $3.9 billion in principal amount of senior unsecured notes outstanding, with a fair value of $4.0 billion. The fair value of our notes is subject to interest rate risk, market risk, and other factors. Generally, the fair value of our notes will increase as interest rates fall and decrease as interest rates rise. The fair values of our notes as of October 28, 2017 and October 29, 2016, assuming a hypothetical 100 basis point increase in market interest rates,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October 28, 2017</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October 29, 2016</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4"/>
              </w:rPr>
              <w:t>Fair Value given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w w:val="94"/>
              </w:rPr>
              <w:t>Fair Value given an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0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Principal Amount</w:t>
            </w:r>
          </w:p>
        </w:tc>
        <w:tc>
          <w:tcPr>
            <w:tcW w:w="1260" w:type="dxa"/>
            <w:vAlign w:val="bottom"/>
          </w:tcPr>
          <w:p>
            <w:pPr>
              <w:spacing w:after="0"/>
              <w:rPr>
                <w:sz w:val="12"/>
                <w:szCs w:val="12"/>
                <w:color w:val="auto"/>
              </w:rPr>
            </w:pPr>
          </w:p>
        </w:tc>
        <w:tc>
          <w:tcPr>
            <w:tcW w:w="13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an increase in</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 Amount</w:t>
            </w:r>
          </w:p>
        </w:tc>
        <w:tc>
          <w:tcPr>
            <w:tcW w:w="160" w:type="dxa"/>
            <w:vAlign w:val="bottom"/>
          </w:tcPr>
          <w:p>
            <w:pPr>
              <w:spacing w:after="0"/>
              <w:rPr>
                <w:sz w:val="12"/>
                <w:szCs w:val="12"/>
                <w:color w:val="auto"/>
              </w:rPr>
            </w:pPr>
          </w:p>
        </w:tc>
        <w:tc>
          <w:tcPr>
            <w:tcW w:w="11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Fair Value as of</w:t>
            </w: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increase in interest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(thousands)</w:t>
            </w:r>
          </w:p>
        </w:tc>
        <w:tc>
          <w:tcPr>
            <w:tcW w:w="1300" w:type="dxa"/>
            <w:vAlign w:val="bottom"/>
            <w:gridSpan w:val="2"/>
            <w:vMerge w:val="continue"/>
          </w:tcPr>
          <w:p>
            <w:pPr>
              <w:spacing w:after="0"/>
              <w:rPr>
                <w:sz w:val="12"/>
                <w:szCs w:val="12"/>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interest rates of</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96"/>
              </w:rPr>
              <w:t>rates of 100 basis</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Outstanding</w:t>
            </w:r>
          </w:p>
        </w:tc>
        <w:tc>
          <w:tcPr>
            <w:tcW w:w="1260" w:type="dxa"/>
            <w:vAlign w:val="bottom"/>
            <w:vMerge w:val="continue"/>
          </w:tcPr>
          <w:p>
            <w:pPr>
              <w:spacing w:after="0"/>
              <w:rPr>
                <w:sz w:val="16"/>
                <w:szCs w:val="16"/>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100 basis points</w:t>
            </w:r>
          </w:p>
        </w:tc>
        <w:tc>
          <w:tcPr>
            <w:tcW w:w="180" w:type="dxa"/>
            <w:vAlign w:val="bottom"/>
          </w:tcPr>
          <w:p>
            <w:pPr>
              <w:spacing w:after="0"/>
              <w:rPr>
                <w:sz w:val="16"/>
                <w:szCs w:val="16"/>
                <w:color w:val="auto"/>
              </w:rPr>
            </w:pPr>
          </w:p>
        </w:tc>
        <w:tc>
          <w:tcPr>
            <w:tcW w:w="1060" w:type="dxa"/>
            <w:vAlign w:val="bottom"/>
          </w:tcPr>
          <w:p>
            <w:pPr>
              <w:jc w:val="right"/>
              <w:ind w:right="132"/>
              <w:spacing w:after="0"/>
              <w:rPr>
                <w:sz w:val="20"/>
                <w:szCs w:val="20"/>
                <w:color w:val="auto"/>
              </w:rPr>
            </w:pPr>
            <w:r>
              <w:rPr>
                <w:rFonts w:ascii="Arial" w:cs="Arial" w:eastAsia="Arial" w:hAnsi="Arial"/>
                <w:sz w:val="14"/>
                <w:szCs w:val="14"/>
                <w:b w:val="1"/>
                <w:bCs w:val="1"/>
                <w:color w:val="auto"/>
                <w:w w:val="99"/>
              </w:rPr>
              <w:t>Outstanding</w:t>
            </w:r>
          </w:p>
        </w:tc>
        <w:tc>
          <w:tcPr>
            <w:tcW w:w="132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October 29, 2016</w:t>
            </w:r>
          </w:p>
        </w:tc>
        <w:tc>
          <w:tcPr>
            <w:tcW w:w="340" w:type="dxa"/>
            <w:vAlign w:val="bottom"/>
          </w:tcPr>
          <w:p>
            <w:pPr>
              <w:spacing w:after="0"/>
              <w:rPr>
                <w:sz w:val="16"/>
                <w:szCs w:val="16"/>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due December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399,530</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384,374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2023 Notes, due June 2023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498,582</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473,727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501,307</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472,387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Notes, due December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550,000</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554,411</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524,718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2025 Notes, due December 2025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884,861</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825,700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901,523</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835,162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 Notes, due December 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902,769</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835,891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2036 Notes, due December 2036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259,442</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228,671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2045 Notes, due December 2045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460,588</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396,506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425,109</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367,134</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Exposure</w:t>
      </w:r>
    </w:p>
    <w:p>
      <w:pPr>
        <w:spacing w:after="0" w:line="13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 xml:space="preserve">As more fully described in Note 2i, </w:t>
      </w:r>
      <w:r>
        <w:rPr>
          <w:rFonts w:ascii="Arial" w:cs="Arial" w:eastAsia="Arial" w:hAnsi="Arial"/>
          <w:sz w:val="18"/>
          <w:szCs w:val="18"/>
          <w:i w:val="1"/>
          <w:iCs w:val="1"/>
          <w:color w:val="auto"/>
        </w:rPr>
        <w:t>Derivative and Hedging Agreements,</w:t>
      </w:r>
      <w:r>
        <w:rPr>
          <w:rFonts w:ascii="Arial" w:cs="Arial" w:eastAsia="Arial" w:hAnsi="Arial"/>
          <w:sz w:val="18"/>
          <w:szCs w:val="18"/>
          <w:color w:val="auto"/>
        </w:rPr>
        <w:t xml:space="preserve">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October 28, 2017 and October 29, 2016, a 10% unfavorable movement in foreign currency exchange rates over the course of the year would result in approximately $10.1 million of losses and $8.0 million of losses, respectively, in changes in earnings or cash flows.</w:t>
      </w:r>
    </w:p>
    <w:p>
      <w:pPr>
        <w:spacing w:after="0" w:line="9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28, 2017, we do not believe that there is significant risk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ind w:right="40"/>
        <w:spacing w:after="0" w:line="259" w:lineRule="auto"/>
        <w:rPr>
          <w:sz w:val="20"/>
          <w:szCs w:val="20"/>
          <w:color w:val="auto"/>
        </w:rPr>
      </w:pPr>
      <w:r>
        <w:rPr>
          <w:rFonts w:ascii="Arial" w:cs="Arial" w:eastAsia="Arial" w:hAnsi="Arial"/>
          <w:sz w:val="18"/>
          <w:szCs w:val="18"/>
          <w:color w:val="auto"/>
        </w:rPr>
        <w:t>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9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October 28, 2017 and October 29,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28, 2017</w:t>
            </w:r>
          </w:p>
        </w:tc>
        <w:tc>
          <w:tcPr>
            <w:tcW w:w="180" w:type="dxa"/>
            <w:vAlign w:val="bottom"/>
          </w:tcPr>
          <w:p>
            <w:pPr>
              <w:spacing w:after="0"/>
              <w:rPr>
                <w:sz w:val="16"/>
                <w:szCs w:val="16"/>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29,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forward exchange contracts liability</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asset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18,557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11,744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forward exchange contracts after a 10% favorable movement in foreign currency exchange rates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Analog Devices, Inc. as of October 28, 2017 and October 29, 2016, and the related consolidated statements of income, comprehensive income, shareholders' equity and cash flows for each of the three years in the period ended October 28, 2017. Our audits also included the financial statement schedule listed in the Index at Item 15(2).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Analog Devices, Inc. at October 28, 2017 and October 29, 2016, and the consolidated results of its operations and its cash flows for each of the three years in the period ended October 28,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Analog Devices, Inc.’s internal control over financial reporting as of October 28, 2017, based on criteria established in Internal Control-Integrated Framework issued by the Committee of Sponsoring Organizations of the Treadway Commission (2013 framework), and our report dated November 22,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18" w:right="239" w:bottom="1440" w:gutter="0" w:footer="0" w:header="0"/>
        </w:sectPr>
      </w:pPr>
    </w:p>
    <w:bookmarkStart w:id="47" w:name="page48"/>
    <w:bookmarkEnd w:id="47"/>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5,107,503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3,421,409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3,435,092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sales(1)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2,045,907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1,194,236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1,175,830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3,061,596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2,227,173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2,259,262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968,602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637,459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691,046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461,438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478,972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88,318</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Special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223,672</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2,006,462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1,199,061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1,428,421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1,028,112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830,841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Nonoperating (income)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250,840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27,030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(8,625)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2,322</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226,649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71,191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20,727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828,485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956,921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810,114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113,236</w:t>
            </w:r>
          </w:p>
        </w:tc>
      </w:tr>
      <w:tr>
        <w:trPr>
          <w:trHeight w:val="28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727,259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861,664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696,878</w:t>
            </w: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Shares used to compute earnings per common share — Basic</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346,371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308,736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312,660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used to compute earnings per common share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316,872</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(1) Includes stock-based compensation expense as follows: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51,258</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27,039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26,617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Selling, marketing, 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40,361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33,319</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628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696,878</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1"/>
              </w:rPr>
              <w:t>Foreign currency translation adjustment (net of taxes of $1,556 in 2017, $1,175 in 2016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$1,479 in 2015)</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unrecognized gains/losses on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5"/>
              </w:rPr>
              <w:t>Change in fair value of available-for-sale securities (net of taxes of $35 in 2017, $56 in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2016 and $55 in 2015)</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unrealized gains/losses on marketable securities,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5"/>
              </w:rPr>
              <w:t>Change in unrecognized gains/losses on derivative instruments designated as cash flow</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hedges: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Changes in fair value of derivatives (net of taxes of $920 in 2017, $903 in 2016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$10,889 in 2015)</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(28,798)</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1"/>
              </w:rPr>
              <w:t>Adjustment for realized gain/loss reclassified into earnings (net of taxes of $1,326 in 2017,</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$1,050 in 2016 and $1,064 in 2015)</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10,447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derivative instruments designated as cash flow hedges,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Changes in accumulated other comprehensive loss — pension plans: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Change in transition asset (net of taxes of $0 in 2017, $3 in 2016 and $0 in 2015)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0"/>
              </w:rPr>
              <w:t>Change in actuarial loss/gain (net of taxes of $355 in 2017, $3,297 in 2016 and $23,500</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in 2015)</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153,953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Change in prior service cost/income (net of taxes of $61 in 2017, $47 in 2016 and $640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 2015)</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4"/>
              </w:rPr>
              <w:t>Total change in accumulated other comprehensive (loss) income — pension plans, net of</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149,491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117,675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739,714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838,701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814,553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28, 2017 and October 29,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1,047,838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921,132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3,134,661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less allowances of $7,213 ($5,117 in 2016)</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688,953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477,609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Inventories(1)</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550,816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376,555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income tax</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60,209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58,501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2,351,338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4,974,863</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Property, Plant and Equipment, at Cost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and buildings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794,456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564,329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Machinery and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2,368,215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1,994,115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58,785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59,649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3,304,427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2,676,878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2,197,123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2,040,762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property, plant and equipment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1,107,304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636,116</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Other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24,838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21,937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12,217,455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1,679,116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Intangible assets,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5,319,425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549,368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36,005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56,040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46,721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17,682,652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2,359,299</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21,141,294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7,970,278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236,629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171,439</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on shipments to distributors,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473,972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351,538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86,905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Debt, current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498,826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255,857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1,596,332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782,934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7,551,084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1,732,177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1,674,683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109,931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compensation plan liability</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32,572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26,152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125,083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153,466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9,383,422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2,021,726</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w w:val="94"/>
              </w:rPr>
              <w:t>Common stock, $0.16 2/3 par value, 1,200,000,000 shares authorized, 368,635,788 shares outstanding (308,170,560 on October 29, 2016)</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61,441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51,363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5,250,519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402,270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4,910,939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4,785,799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shareholders’ equity</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10,161,540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5,165,618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21,141,294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7,970,278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780" w:right="2340" w:hanging="4745"/>
        <w:spacing w:after="0" w:line="356" w:lineRule="auto"/>
        <w:tabs>
          <w:tab w:leader="none" w:pos="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$5,373 and $2,486 related to stock-based compensation at October 28, 2017 and October 29, 2016, respectively. See accompanying Notes.</w:t>
      </w:r>
    </w:p>
    <w:p>
      <w:pPr>
        <w:sectPr>
          <w:pgSz w:w="11900" w:h="16838" w:orient="portrait"/>
          <w:cols w:equalWidth="0" w:num="1">
            <w:col w:w="11420"/>
          </w:cols>
          <w:pgMar w:left="240" w:top="580" w:right="239" w:bottom="109"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80" w:right="239" w:bottom="109" w:gutter="0" w:footer="0" w:header="0"/>
          <w:type w:val="continuous"/>
        </w:sectPr>
      </w:pPr>
    </w:p>
    <w:bookmarkStart w:id="50" w:name="page51"/>
    <w:bookmarkEnd w:id="50"/>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Capital in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311,205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643,058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4,231,496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(168,526)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2015</w:t>
            </w: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2015</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117,675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312,061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634,484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4,437,315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(50,851)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2016</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2016</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861,664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61,042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63,421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308,171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402,270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4,785,799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(73,814)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2017</w:t>
            </w: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in connection with Acquisition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55,884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4,584,341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equity based awards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104,188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Replacement share-based awards issued in connection with</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OCTOBER 28, 2017</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368,636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61,441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5,250,519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4,910,939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696,878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130,147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intangibles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389,393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92,093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goods sold for inventory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104,188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63,421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68,919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non-cash activity</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24,570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6,974</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 equity 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(825,869)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(52,214)</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(71,198)</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(35,557)</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2,861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plan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Prepaid income tax</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4,546</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deferred income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56,614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7,720</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210,920</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1,112,592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1,280,895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907,798</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short-term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(7,697,260)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(6,083,999)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Maturities of short-term available-for-sale investments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3,362,792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6,375,361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4,984,980</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short-term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332,716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1,251,194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Additions to property, plant and equipment, net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(204,098)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(153,960)</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(9,632,568)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other assets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(8,275)</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(6,618,014)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11,156,164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1,235,331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repayments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Early termination of debt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(payments of)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Payments of deferred financing fees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payments to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(491,059)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(370,061)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(226,953)</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122,631</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Contingent consideration payment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Excess tax benefit — equity based awards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41,773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25,045</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5,628,578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(571,603)</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(3,950)</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315,120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921,132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884,353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569,233</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1,047,838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884,353</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77"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0" w:right="239" w:bottom="177" w:gutter="0" w:footer="0" w:header="0"/>
          <w:type w:val="continuous"/>
        </w:sectPr>
      </w:pPr>
    </w:p>
    <w:bookmarkStart w:id="52" w:name="page53"/>
    <w:bookmarkEnd w:id="52"/>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Analog Devices, Inc. (Analog Devices or the Company) is a leading global high-performance analog technology company. The Company's products and technologies intelligently bridge the physical and digital domains through sensing, measuring, powering, connecting and interpreting. The Company designs, manufactures and markets a broad portfolio of solutions that leverage high-performance analog, mixed-signal and digital signal processing technology, including integrated circuits (ICs), algorithms, software, and subsystems. Since the Company's inception in 1965, it has focused on solving its customers’ toughest signal processing engineering challenges and playing a fundamental role in converting, conditioning, and processing real-world phenomena such as temperature, pressure, sound, light, speed, and motion into electrical signals to be used in a wide array of electronic devices. The Company combines sensors, data converters, amplifiers and linear products, radio frequency (RF) ICs, power management products, and signal processing products, into technology platforms that meet specific customer and market needs, leveraging its engineering investment across a broad base of markets and customers. As new generations of applications evolve, such as autonomous vehicles and the Internet of Things, new needs for Analog Devices’ high-performance analog signal processing and digital signal processing (DSP) products and technology are emerging.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left="800" w:hanging="468"/>
        <w:spacing w:after="0"/>
        <w:tabs>
          <w:tab w:leader="none" w:pos="80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October 28, 2017 (fiscal 2017). Such reclassified amounts are immaterial.</w:t>
      </w:r>
    </w:p>
    <w:p>
      <w:pPr>
        <w:spacing w:after="0" w:line="8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Fiscal 2017, the fiscal year ended October 29, 2016 (fiscal 2016) and the fiscal year ended October 31, 2015 (fiscal 2015) were 52-week periods.</w:t>
      </w:r>
    </w:p>
    <w:p>
      <w:pPr>
        <w:spacing w:after="0" w:line="76"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On March 10, 2017 (Acquisition Date), the Company completed the acquisition of Linear Technology Corporation (Linear), a designer, manufacturer and marketer of high performance analog integrated circuits. The total consideration paid to acquire Linear was approximately $15.8 billion, consisting of $11.1 billion in cash financed through existing cash on hand, net proceeds from bridge and term loan facilities and proceeds received from the issuance of senior unsecured notes, $4.6 billion from the issuance of the Company's common stock and $0.1 billion of consideration related to the replacement of outstanding equity awards held by Linear employees. The acquisition of Linear is referred to as the Acquisition. The consolidated financial statements included in this Annual Report on Form 10-K include the financial results of Linear prospectively from the Acquisition Date.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Acquisitions</w:t>
      </w:r>
      <w:r>
        <w:rPr>
          <w:rFonts w:ascii="Arial" w:cs="Arial" w:eastAsia="Arial" w:hAnsi="Arial"/>
          <w:sz w:val="18"/>
          <w:szCs w:val="18"/>
          <w:color w:val="auto"/>
        </w:rPr>
        <w:t>, of these notes to Consolidated Financial Statements for further discussion related to the Acquisition.</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13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ninety days or less at the time of acquisition. Cash, cash equivalents and short-term investments consist primarily of government and institutional money market funds, corporate obligations such as commercial paper and floating rate notes, bonds and bank time deposits.</w:t>
      </w:r>
    </w:p>
    <w:p>
      <w:pPr>
        <w:spacing w:after="0" w:line="8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Company’s deferred compensation plan investments are classified as trading. See Note 7, D</w:t>
      </w:r>
      <w:r>
        <w:rPr>
          <w:rFonts w:ascii="Arial" w:cs="Arial" w:eastAsia="Arial" w:hAnsi="Arial"/>
          <w:sz w:val="18"/>
          <w:szCs w:val="18"/>
          <w:i w:val="1"/>
          <w:iCs w:val="1"/>
          <w:color w:val="auto"/>
        </w:rPr>
        <w:t>eferred Compensation Plan Investments,</w:t>
      </w:r>
      <w:r>
        <w:rPr>
          <w:rFonts w:ascii="Arial" w:cs="Arial" w:eastAsia="Arial" w:hAnsi="Arial"/>
          <w:sz w:val="18"/>
          <w:szCs w:val="18"/>
          <w:color w:val="auto"/>
        </w:rPr>
        <w:t xml:space="preserve"> of these Notes to Consolidated Financial Statements for additional information on these investments. There were no cash equivalents or short-term investments classified as trading at October 28, 2017 or October 29, 2016.</w:t>
      </w:r>
    </w:p>
    <w:p>
      <w:pPr>
        <w:spacing w:after="0" w:line="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short-term investments in any of the fiscal years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Gross unrealized gains and losses on available-for-sale securities classified as short-term investments at October 28, 2017 and October 29,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unrealized gain on securities classified as short-term investments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October 28, 2017, the Company held 18 investment securities, 8 of which were in an unrealized loss position with immaterial gross unrealized losses and an aggregate fair value of $143.9 million. As of October 29, 2016, the Company held 100 investment securities, 25 of which were in an unrealized loss position with gross unrealized losses of $0.3 million and an aggregate fair value of $729.6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October 28, 2017 and October 29, 2016.</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the Company’s cash and cash equivalents and short-term investments as of October 28, 2017 and October 29, 2016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226,160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693,255</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1,047,838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921,132</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3,110,011</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 (less than one year to maturity)</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short-term investments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3,134,661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See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 for additional information on the Company’s cash equivalents and short-term investments.</w:t>
      </w:r>
    </w:p>
    <w:p>
      <w:pPr>
        <w:spacing w:after="0" w:line="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fiscal year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868,492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77,918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142,931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183,117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41,701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25,625</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w:t>
      </w:r>
    </w:p>
    <w:p>
      <w:pPr>
        <w:sectPr>
          <w:pgSz w:w="11900" w:h="16838" w:orient="portrait"/>
          <w:cols w:equalWidth="0" w:num="1">
            <w:col w:w="11400"/>
          </w:cols>
          <w:pgMar w:left="240" w:top="12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1" w:right="25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October 28, 2017 and October 29, 2016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376,476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232,196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138,904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124,096</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550,816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376,555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Up to 30 years</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Machinery &amp; equipment</w:t>
            </w:r>
          </w:p>
        </w:tc>
        <w:tc>
          <w:tcPr>
            <w:tcW w:w="5640" w:type="dxa"/>
            <w:vAlign w:val="bottom"/>
          </w:tcPr>
          <w:p>
            <w:pPr>
              <w:ind w:left="3960"/>
              <w:spacing w:after="0"/>
              <w:rPr>
                <w:sz w:val="20"/>
                <w:szCs w:val="20"/>
                <w:color w:val="auto"/>
              </w:rPr>
            </w:pPr>
            <w:r>
              <w:rPr>
                <w:rFonts w:ascii="Arial" w:cs="Arial" w:eastAsia="Arial" w:hAnsi="Arial"/>
                <w:sz w:val="18"/>
                <w:szCs w:val="18"/>
                <w:color w:val="auto"/>
              </w:rPr>
              <w:t>3-10 years</w:t>
            </w:r>
          </w:p>
        </w:tc>
      </w:tr>
      <w:tr>
        <w:trPr>
          <w:trHeight w:val="27"/>
        </w:trPr>
        <w:tc>
          <w:tcPr>
            <w:tcW w:w="576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564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3-10 years</w:t>
            </w:r>
          </w:p>
        </w:tc>
      </w:tr>
      <w:tr>
        <w:trPr>
          <w:trHeight w:val="27"/>
        </w:trPr>
        <w:tc>
          <w:tcPr>
            <w:tcW w:w="576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Depreciation expense for property, plant and equipment was $194.7 million, $134.5 million and $130.1 million in fiscal 2017, 2016 and 2015, respectively.</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 The Company has not recorded any material impairment charges related to our property, plant and equipment in fiscal 2017, fiscal 2016 or fiscal 2015.</w:t>
      </w:r>
    </w:p>
    <w:p>
      <w:pPr>
        <w:spacing w:after="0" w:line="9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which we have determined is consistent with our operating segments, on an annual basis on the first day of the fourth quarter (on or about August 1) or more frequently if indicators of impairment exist. The goodwill impairment test requires an entity to compare the fair value of a reporting unit with its carrying amount. The Company determines the fair value of its reporting units using a weighting of the income and market approaches. Under the income approach, the Company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the Company uses the guideline public company method. Under this method the Company utilizes information from comparable publicly traded companies with similar operating and investment characteristics as the reporting units, to create valuation multiples that are applied to the operating performance of the reporting unit being tested, in order to estimate their respective fair values. In order to assess the reasonableness of the calculated reporting unit fair values, the Company reconciles the aggregate estimated fair values of its reporting units determined to its current market capitalization, allowing for a reasonable control premium. If the carrying amount of a reporting unit, calculated using the above approaches, exceeds the reporting unit’s fair value, an impairment loss is recognized for the amount of the carrying value that exceeds the amount of the reporting unit's fair value, not to exceed the total amount of goodwill allocated to the reporting unit. Additionally, the Company considers income tax effects from any tax deductible goodwill on the carrying amount of the reporting unit when measuring the goodwill impairment loss, if applicable. There was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1"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 impairment of goodwill in any of the fiscal years presented. The Company’s next annual impairment assessment will be performed as of the first day of the fourth quarter of the fiscal year ending November 3, 2018 (fiscal 2018) unless indicators arise that would require the Company to reevaluate at an earlier date. The following table presents the changes in goodwill during fiscal 2017 and fiscal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1,636,526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 of Linear (Note 6)</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10,532,272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related to other acquisitions (1)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12,217,455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1,679,116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right="1760"/>
        <w:spacing w:after="0" w:line="406" w:lineRule="auto"/>
        <w:rPr>
          <w:sz w:val="20"/>
          <w:szCs w:val="20"/>
          <w:color w:val="auto"/>
        </w:rPr>
      </w:pPr>
      <w:r>
        <w:rPr>
          <w:rFonts w:ascii="Arial" w:cs="Arial" w:eastAsia="Arial" w:hAnsi="Arial"/>
          <w:sz w:val="18"/>
          <w:szCs w:val="18"/>
          <w:color w:val="auto"/>
        </w:rPr>
        <w:t xml:space="preserve">(1) Represents goodwill related to other acquisitions that were not material to the Company on either an individual or aggregate basis. </w:t>
      </w:r>
      <w:r>
        <w:rPr>
          <w:rFonts w:ascii="Arial" w:cs="Arial" w:eastAsia="Arial" w:hAnsi="Arial"/>
          <w:sz w:val="18"/>
          <w:szCs w:val="18"/>
          <w:i w:val="1"/>
          <w:iCs w:val="1"/>
          <w:color w:val="auto"/>
        </w:rPr>
        <w:t>Intangible Assets</w:t>
      </w:r>
    </w:p>
    <w:p>
      <w:pPr>
        <w:spacing w:after="0" w:line="1"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78"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Indefinite-lived intangible assets are tested for impairment on an annual basis on the first day of the fourth quarter (on or about August 1) or more frequently if indicators of impairment exist. The impairment test involves a qualitative assessment on the indefinite-lived intangible assets to determine whether it is more likely-than not that the indefinite-lived intangible asset is impaired. If it is determined that the fair value of the indefinite-lived intangible asset is less than the carrying value, the Company would recognize into earnings the amount by which the carrying value of the assets exceeds the estimated fair value. No impairment of intangible assets resulted from the impairment tests in any of the fiscal years presented.</w:t>
      </w:r>
    </w:p>
    <w:p>
      <w:pPr>
        <w:spacing w:after="0" w:line="78"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Definite-lived intangible assets are amortized on a straight-line basis over their estimated useful lives or on an accelerated method of amortization that is expected to reflect the estimated pattern of economic use. In-process research and development (IPR&amp;D) assets are considered indefinite-lived intangible assets until completion or abandonment of the associated research and development (R&amp;D) efforts. Upon completion of the projects, the IPR&amp;D assets are reclassified to technology-based intangible assets and amortized over their estimated useful lives.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28, 2017 and October 29, 2016, the Company’s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28, 2017</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29, 2016</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6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80" w:type="dxa"/>
            <w:vAlign w:val="bottom"/>
          </w:tcPr>
          <w:p>
            <w:pPr>
              <w:spacing w:after="0"/>
              <w:rPr>
                <w:sz w:val="13"/>
                <w:szCs w:val="13"/>
                <w:color w:val="auto"/>
              </w:rPr>
            </w:pPr>
          </w:p>
        </w:tc>
        <w:tc>
          <w:tcPr>
            <w:tcW w:w="134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6"/>
                <w:szCs w:val="16"/>
                <w:color w:val="auto"/>
              </w:rPr>
            </w:pPr>
          </w:p>
        </w:tc>
        <w:tc>
          <w:tcPr>
            <w:tcW w:w="1340" w:type="dxa"/>
            <w:vAlign w:val="bottom"/>
          </w:tcPr>
          <w:p>
            <w:pPr>
              <w:jc w:val="right"/>
              <w:ind w:right="414"/>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4,683,461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649,159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158,979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1,097,025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101,920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38,731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72,800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(1) (2)</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5,877,820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558,395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718,365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168,997</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intangible asset carrying amounts are affected by foreign currency translation.</w:t>
      </w:r>
    </w:p>
    <w:p>
      <w:pPr>
        <w:spacing w:after="0" w:line="9" w:lineRule="exact"/>
        <w:rPr>
          <w:rFonts w:ascii="Arial" w:cs="Arial" w:eastAsia="Arial" w:hAnsi="Arial"/>
          <w:sz w:val="18"/>
          <w:szCs w:val="18"/>
          <w:color w:val="auto"/>
        </w:rPr>
      </w:pPr>
    </w:p>
    <w:p>
      <w:pPr>
        <w:ind w:right="8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Increases in intangible assets primarily relate to the Acquisition and other acquisitions. See Note 6,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of these Notes to Consolidated Financial Statements for further information.</w:t>
      </w:r>
    </w:p>
    <w:p>
      <w:pPr>
        <w:spacing w:after="0" w:line="8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Intangible assets, along with the related accumulated amortization, are removed from the table above at the end of the fiscal year they become fully amortized.</w:t>
      </w:r>
    </w:p>
    <w:p>
      <w:pPr>
        <w:spacing w:after="0" w:line="116"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Amortization expense related to finite-lived intangible assets was $389.4 million, $75.3 million and $92.1 million in fiscal 2017, 2016 and 2015, respectively. The remaining amortization expense will be recognized over a weighted average life of approximately 5.1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60" w:type="dxa"/>
            <w:vAlign w:val="bottom"/>
          </w:tcPr>
          <w:p>
            <w:pPr>
              <w:jc w:val="center"/>
              <w:ind w:left="1130"/>
              <w:spacing w:after="0"/>
              <w:rPr>
                <w:sz w:val="20"/>
                <w:szCs w:val="20"/>
                <w:color w:val="auto"/>
              </w:rPr>
            </w:pPr>
            <w:r>
              <w:rPr>
                <w:rFonts w:ascii="Arial" w:cs="Arial" w:eastAsia="Arial" w:hAnsi="Arial"/>
                <w:sz w:val="18"/>
                <w:szCs w:val="18"/>
                <w:b w:val="1"/>
                <w:bCs w:val="1"/>
                <w:color w:val="auto"/>
              </w:rPr>
              <w:t>ANALOG DEVICES, INC.</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6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21"/>
        </w:trPr>
        <w:tc>
          <w:tcPr>
            <w:tcW w:w="40" w:type="dxa"/>
            <w:vAlign w:val="bottom"/>
          </w:tcPr>
          <w:p>
            <w:pPr>
              <w:spacing w:after="0"/>
              <w:rPr>
                <w:sz w:val="24"/>
                <w:szCs w:val="24"/>
                <w:color w:val="auto"/>
              </w:rPr>
            </w:pPr>
          </w:p>
        </w:tc>
        <w:tc>
          <w:tcPr>
            <w:tcW w:w="9440" w:type="dxa"/>
            <w:vAlign w:val="bottom"/>
            <w:gridSpan w:val="2"/>
          </w:tcPr>
          <w:p>
            <w:pPr>
              <w:ind w:left="380"/>
              <w:spacing w:after="0"/>
              <w:rPr>
                <w:sz w:val="20"/>
                <w:szCs w:val="20"/>
                <w:color w:val="auto"/>
              </w:rPr>
            </w:pPr>
            <w:r>
              <w:rPr>
                <w:rFonts w:ascii="Arial" w:cs="Arial" w:eastAsia="Arial" w:hAnsi="Arial"/>
                <w:sz w:val="18"/>
                <w:szCs w:val="18"/>
                <w:color w:val="auto"/>
              </w:rPr>
              <w:t>The Company expects annual amortization expense for intangible assets as follows: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97"/>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24"/>
                <w:szCs w:val="2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565,885</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562,696</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562,457</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7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562,037</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7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559,107</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 The amounts recognized were not material in fiscal 2017, 2016 or 2015.</w:t>
      </w:r>
    </w:p>
    <w:p>
      <w:pPr>
        <w:spacing w:after="0" w:line="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2017, 2016 or 2015.</w:t>
      </w:r>
    </w:p>
    <w:p>
      <w:pPr>
        <w:spacing w:after="0" w:line="9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13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w:t>
      </w:r>
    </w:p>
    <w:p>
      <w:pPr>
        <w:spacing w:after="0" w:line="8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October 28, 2017 and October 29, 2016 was $194.3 million and $179.5 million, respectively. The fair values of forward foreign currency derivative instruments designated as hedging instruments in the Company’s consolidated balance sheets as of October 28, 2017 and October 29, 2016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4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October 28,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October 29, 2016</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5,260</w:t>
            </w:r>
          </w:p>
        </w:tc>
      </w:tr>
    </w:tbl>
    <w:p>
      <w:pPr>
        <w:spacing w:after="0" w:line="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28, 2017 and October 29, 2016, the total notional amount of these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undesignated hedges was $100.4 million and $46.2 million, respectively. The fair value of these hedging instruments in the Company’s consolidated balance sheets was a liability of $1.8 million as of October 28, 2017 and was immaterial as of October 29, 2016.</w:t>
      </w:r>
    </w:p>
    <w:p>
      <w:pPr>
        <w:spacing w:after="0" w:line="76"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The Company estimates that $0.5 million, net of tax, of forward foreign currency derivative instruments included in OCI will be reclassified into earnings within the next 12 months. There was no material ineffectiveness during the fiscal years ended October 28, 2017 and October 29, 2016.</w:t>
      </w:r>
    </w:p>
    <w:p>
      <w:pPr>
        <w:spacing w:after="0" w:line="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 on a net basis. As of October 28, 2017 and October 29, 2016, none of the netting arrangements involved collateral. The following table presents the gross amounts of the Company's derivative assets and liabilities and the net amounts recorded in the Company's consolidated balance sheet as of October 28, 2017 and October 29, 2016:</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28, 2017</w:t>
            </w:r>
          </w:p>
        </w:tc>
        <w:tc>
          <w:tcPr>
            <w:tcW w:w="180" w:type="dxa"/>
            <w:vAlign w:val="bottom"/>
          </w:tcPr>
          <w:p>
            <w:pPr>
              <w:spacing w:after="0"/>
              <w:rPr>
                <w:sz w:val="16"/>
                <w:szCs w:val="16"/>
                <w:color w:val="auto"/>
              </w:rPr>
            </w:pP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October 29, 2016</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liabilities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Gross amounts of recognized assets offset in the consolidated balance sheet</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557</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liabilities presented in the consolidated balance sheet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w:t>
      </w:r>
    </w:p>
    <w:p>
      <w:pPr>
        <w:spacing w:after="0" w:line="7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October 28, 2017 and October 29, 2016,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83"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its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consolidated statement of income related to forward foreign currency exchange contracts, see Note 2o,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of these Notes to Consolidated Financial Statements.</w:t>
      </w:r>
    </w:p>
    <w:p>
      <w:pPr>
        <w:spacing w:after="0" w:line="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1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7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October 28, 2017 and October 29, 2016. The tables exclude cash on hand and assets and liabilities that are measured at historical cost or any basis other than fair value. As of October 28, 2017 and October 29, 2016, the Company held $296.2 million and $252.5 million, respectively, of cash and held-to-maturity investments that were excluded from the tables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October 28, 2017</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gridSpan w:val="4"/>
          </w:tcPr>
          <w:p>
            <w:pPr>
              <w:jc w:val="center"/>
              <w:ind w:right="20"/>
              <w:spacing w:after="0" w:line="153" w:lineRule="exact"/>
              <w:rPr>
                <w:sz w:val="20"/>
                <w:szCs w:val="20"/>
                <w:color w:val="auto"/>
              </w:rPr>
            </w:pPr>
            <w:r>
              <w:rPr>
                <w:rFonts w:ascii="Arial" w:cs="Arial" w:eastAsia="Arial" w:hAnsi="Arial"/>
                <w:sz w:val="14"/>
                <w:szCs w:val="14"/>
                <w:b w:val="1"/>
                <w:bCs w:val="1"/>
                <w:color w:val="auto"/>
                <w:w w:val="93"/>
              </w:rPr>
              <w:t>Fair Value measurement at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Reporting Date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39"/>
              <w:spacing w:after="0" w:line="15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Government and 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512,882</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512,882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238,796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Interest rate derivatives</w:t>
            </w:r>
          </w:p>
        </w:tc>
        <w:tc>
          <w:tcPr>
            <w:tcW w:w="3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546,392</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241,762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788,154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28, 2017 was $238.9 million.</w:t>
      </w:r>
    </w:p>
    <w:p>
      <w:pPr>
        <w:spacing w:after="0" w:line="23" w:lineRule="exact"/>
        <w:rPr>
          <w:rFonts w:ascii="Arial" w:cs="Arial" w:eastAsia="Arial" w:hAnsi="Arial"/>
          <w:sz w:val="18"/>
          <w:szCs w:val="18"/>
          <w:color w:val="auto"/>
        </w:rPr>
      </w:pPr>
    </w:p>
    <w:p>
      <w:pPr>
        <w:jc w:val="both"/>
        <w:ind w:left="340" w:right="800" w:hanging="332"/>
        <w:spacing w:after="0" w:line="32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has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277,595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277,595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415,660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415,660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2,518,148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2,518,148</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29,989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29,989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561,874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561,874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26,916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304,511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3,525,671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3,830,182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12,786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October 29, 2016 was $3.5 billion.</w:t>
      </w:r>
    </w:p>
    <w:p>
      <w:pPr>
        <w:spacing w:after="0" w:line="23" w:lineRule="exact"/>
        <w:rPr>
          <w:rFonts w:ascii="Arial" w:cs="Arial" w:eastAsia="Arial" w:hAnsi="Arial"/>
          <w:sz w:val="18"/>
          <w:szCs w:val="18"/>
          <w:color w:val="auto"/>
        </w:rPr>
      </w:pPr>
    </w:p>
    <w:p>
      <w:pPr>
        <w:ind w:left="340" w:right="280" w:hanging="332"/>
        <w:spacing w:after="0" w:line="323"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2i, </w:t>
      </w:r>
      <w:r>
        <w:rPr>
          <w:rFonts w:ascii="Arial" w:cs="Arial" w:eastAsia="Arial" w:hAnsi="Arial"/>
          <w:sz w:val="16"/>
          <w:szCs w:val="16"/>
          <w:i w:val="1"/>
          <w:iCs w:val="1"/>
          <w:color w:val="auto"/>
        </w:rPr>
        <w:t>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of these Notes to Consolidated Financial Statements for more information related to the Company's master netting arrangements.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3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7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interest rate derivatives are estimated using a discounted cash flow analysis based on the contractual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derivatives.</w:t>
      </w:r>
    </w:p>
    <w:p>
      <w:pPr>
        <w:spacing w:after="0" w:line="7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contingent consideration payments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$8,500</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0% - 2%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 to 2 years</w:t>
            </w:r>
          </w:p>
        </w:tc>
      </w:tr>
      <w:tr>
        <w:trPr>
          <w:trHeight w:val="243"/>
        </w:trPr>
        <w:tc>
          <w:tcPr>
            <w:tcW w:w="9920" w:type="dxa"/>
            <w:vAlign w:val="bottom"/>
            <w:gridSpan w:val="3"/>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90% - 100%</w:t>
            </w:r>
          </w:p>
        </w:tc>
      </w:tr>
    </w:tbl>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Changes in the fair value of the contingent consideration are recognized in operating income in the period of the estimated fair value change. Significant increases or decreases in any of the inputs in isolation may result in a fluctuation in the fair value measurement.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change in the fair value of the contingent consideration measured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October 31, 2015 to October 28,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Contingent</w:t>
            </w:r>
          </w:p>
        </w:tc>
        <w:tc>
          <w:tcPr>
            <w:tcW w:w="0" w:type="dxa"/>
            <w:vAlign w:val="bottom"/>
          </w:tcPr>
          <w:p>
            <w:pPr>
              <w:spacing w:after="0"/>
              <w:rPr>
                <w:sz w:val="1"/>
                <w:szCs w:val="1"/>
                <w:color w:val="auto"/>
              </w:rPr>
            </w:pPr>
          </w:p>
        </w:tc>
      </w:tr>
      <w:tr>
        <w:trPr>
          <w:trHeight w:val="192"/>
        </w:trPr>
        <w:tc>
          <w:tcPr>
            <w:tcW w:w="9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28,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4"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table below presents the estimated fair value of certain financial instruments not recorded at fair value on a recurring basis. The carrying amounts of the term loans approximate fair value. The term loans are classified as Level 2 measurements according to the fair value hierarchy. The fair values of the senior unsecured notes debt are obtained from broker prices and are classified as Level 1 measurements according to the fair value hierarchy. See Note 16, </w:t>
      </w:r>
      <w:r>
        <w:rPr>
          <w:rFonts w:ascii="Arial" w:cs="Arial" w:eastAsia="Arial" w:hAnsi="Arial"/>
          <w:sz w:val="17"/>
          <w:szCs w:val="17"/>
          <w:i w:val="1"/>
          <w:iCs w:val="1"/>
          <w:color w:val="auto"/>
        </w:rPr>
        <w:t>Debt</w:t>
      </w:r>
      <w:r>
        <w:rPr>
          <w:rFonts w:ascii="Arial" w:cs="Arial" w:eastAsia="Arial" w:hAnsi="Arial"/>
          <w:sz w:val="17"/>
          <w:szCs w:val="17"/>
          <w:color w:val="auto"/>
        </w:rPr>
        <w:t>, of these Notes to Consolidated Financial Statements for further discussion related outstanding debt.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4"/>
                <w:szCs w:val="14"/>
                <w:b w:val="1"/>
                <w:bCs w:val="1"/>
                <w:color w:val="auto"/>
              </w:rPr>
              <w:t>October 28, 2017</w:t>
            </w:r>
          </w:p>
        </w:tc>
        <w:tc>
          <w:tcPr>
            <w:tcW w:w="100" w:type="dxa"/>
            <w:vAlign w:val="bottom"/>
          </w:tcPr>
          <w:p>
            <w:pPr>
              <w:spacing w:after="0"/>
              <w:rPr>
                <w:sz w:val="16"/>
                <w:szCs w:val="16"/>
                <w:color w:val="auto"/>
              </w:rPr>
            </w:pPr>
          </w:p>
        </w:tc>
        <w:tc>
          <w:tcPr>
            <w:tcW w:w="270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rPr>
              <w:t>October 29, 2016</w:t>
            </w: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Principal Amount</w:t>
            </w:r>
          </w:p>
        </w:tc>
        <w:tc>
          <w:tcPr>
            <w:tcW w:w="12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354"/>
              <w:spacing w:after="0"/>
              <w:rPr>
                <w:sz w:val="20"/>
                <w:szCs w:val="20"/>
                <w:color w:val="auto"/>
              </w:rPr>
            </w:pPr>
            <w:r>
              <w:rPr>
                <w:rFonts w:ascii="Arial" w:cs="Arial" w:eastAsia="Arial" w:hAnsi="Arial"/>
                <w:sz w:val="14"/>
                <w:szCs w:val="14"/>
                <w:b w:val="1"/>
                <w:bCs w:val="1"/>
                <w:color w:val="auto"/>
              </w:rPr>
              <w:t>Outstanding</w:t>
            </w:r>
          </w:p>
        </w:tc>
        <w:tc>
          <w:tcPr>
            <w:tcW w:w="1360" w:type="dxa"/>
            <w:vAlign w:val="bottom"/>
            <w:gridSpan w:val="2"/>
            <w:vMerge w:val="continue"/>
          </w:tcPr>
          <w:p>
            <w:pPr>
              <w:spacing w:after="0"/>
              <w:rPr>
                <w:sz w:val="16"/>
                <w:szCs w:val="16"/>
                <w:color w:val="auto"/>
              </w:rPr>
            </w:pPr>
          </w:p>
        </w:tc>
        <w:tc>
          <w:tcPr>
            <w:tcW w:w="1480" w:type="dxa"/>
            <w:vAlign w:val="bottom"/>
          </w:tcPr>
          <w:p>
            <w:pPr>
              <w:jc w:val="right"/>
              <w:ind w:right="334"/>
              <w:spacing w:after="0"/>
              <w:rPr>
                <w:sz w:val="20"/>
                <w:szCs w:val="20"/>
                <w:color w:val="auto"/>
              </w:rPr>
            </w:pPr>
            <w:r>
              <w:rPr>
                <w:rFonts w:ascii="Arial" w:cs="Arial" w:eastAsia="Arial" w:hAnsi="Arial"/>
                <w:sz w:val="14"/>
                <w:szCs w:val="14"/>
                <w:b w:val="1"/>
                <w:bCs w:val="1"/>
                <w:color w:val="auto"/>
              </w:rPr>
              <w:t>Outstanding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3-Year term loan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1,950,000</w:t>
            </w:r>
          </w:p>
        </w:tc>
        <w:tc>
          <w:tcPr>
            <w:tcW w:w="12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5-Year term loan</w:t>
            </w:r>
          </w:p>
        </w:tc>
        <w:tc>
          <w:tcPr>
            <w:tcW w:w="14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2,100,000</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2,100,000</w:t>
            </w:r>
          </w:p>
        </w:tc>
        <w:tc>
          <w:tcPr>
            <w:tcW w:w="10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 due December 2021</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400,000</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399,530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2023 Notes, due June 2023</w:t>
            </w:r>
          </w:p>
        </w:tc>
        <w:tc>
          <w:tcPr>
            <w:tcW w:w="14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500,000</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498,582</w:t>
            </w:r>
          </w:p>
        </w:tc>
        <w:tc>
          <w:tcPr>
            <w:tcW w:w="10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500,000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501,307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Notes, due December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550,000</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554,411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2025 Notes, due December 2025</w:t>
            </w:r>
          </w:p>
        </w:tc>
        <w:tc>
          <w:tcPr>
            <w:tcW w:w="14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850,000</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884,861</w:t>
            </w:r>
          </w:p>
        </w:tc>
        <w:tc>
          <w:tcPr>
            <w:tcW w:w="10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850,000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901,523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 Notes, due December 2026</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900,000</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902,769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2036 Notes, due December 2036</w:t>
            </w:r>
          </w:p>
        </w:tc>
        <w:tc>
          <w:tcPr>
            <w:tcW w:w="14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250,000</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259,442</w:t>
            </w:r>
          </w:p>
        </w:tc>
        <w:tc>
          <w:tcPr>
            <w:tcW w:w="100" w:type="dxa"/>
            <w:vAlign w:val="bottom"/>
          </w:tcPr>
          <w:p>
            <w:pPr>
              <w:spacing w:after="0"/>
              <w:rPr>
                <w:sz w:val="21"/>
                <w:szCs w:val="21"/>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2045 Notes, due December 2045</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400,000</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460,588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400,000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425,109</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fair value of acquired assets and liabilities, including inventory, property, plant and equipment and acquired intangibles, and other reserves. Actual results could differ from those estimates and such differences may be material to the financial statements.</w:t>
      </w:r>
    </w:p>
    <w:p>
      <w:pPr>
        <w:spacing w:after="0" w:line="8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maintains cash, cash equivalents and short-term and long-term investments with high credit quality counterparties, continuously monitors the amount of credit exposure to any one issuer and diversifies its investments in order to minimize its credit risk.</w:t>
      </w:r>
    </w:p>
    <w:p>
      <w:pPr>
        <w:spacing w:after="0" w:line="7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6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Company's largest single end customer represented approximately14%, 12% and 13% of total revenue in fiscal years 2017, 2016 and 2015, respectively.</w:t>
      </w:r>
    </w:p>
    <w:p>
      <w:pPr>
        <w:spacing w:after="0" w:line="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Concentration of Other Risks</w:t>
      </w:r>
    </w:p>
    <w:p>
      <w:pPr>
        <w:spacing w:after="0" w:line="13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customers. Although the Company has experienced shortages of components, materials and external foundry services from time to time, these items have generally been available to the Company as needed.</w:t>
      </w:r>
    </w:p>
    <w:p>
      <w:pPr>
        <w:spacing w:after="0" w:line="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13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Revenue from product sales to customers is generally recognized when title passes, which is upon shipment in the U.S. and in certain foreign countries. Revenue from product sales to customers in other foreign countries is recognized subsequent to product shipment. Title for shipments to these other foreign countries ordinarily passes within a week of shipment. Accordingly, the Company defers the revenue recognized relating to these other foreign countries until title has passed. For multiple element arrangements, the Company allocates arrangement consideration among the elements based on the relative fair values of those elements as determined using vendor-specific objective evidence or third-party evidence. The Company uses its best estimate of selling price to allocate arrangement consideration between the deliverables in cases where neither vendor-specific objective evidence nor third-party evidence is available.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from contracts with the United States government, government prime contractors and some commercial customers is generally recorded on a percentage of completion basis using either units delivered or costs incurred as the measurement basis for progress towards completion. The output measure is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subcontractor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84" w:lineRule="exact"/>
        <w:rPr>
          <w:sz w:val="20"/>
          <w:szCs w:val="20"/>
          <w:color w:val="auto"/>
        </w:rPr>
      </w:pPr>
    </w:p>
    <w:p>
      <w:pPr>
        <w:ind w:right="1080" w:firstLine="432"/>
        <w:spacing w:after="0" w:line="277" w:lineRule="auto"/>
        <w:rPr>
          <w:sz w:val="20"/>
          <w:szCs w:val="20"/>
          <w:color w:val="auto"/>
        </w:rPr>
      </w:pPr>
      <w:r>
        <w:rPr>
          <w:rFonts w:ascii="Arial" w:cs="Arial" w:eastAsia="Arial" w:hAnsi="Arial"/>
          <w:sz w:val="18"/>
          <w:szCs w:val="18"/>
          <w:color w:val="auto"/>
        </w:rPr>
        <w:t>Product sales to certain international distributors are made under agreements that permit limited stock return privileges but not sales price rebates. Revenue on these sales is recognized upon shipment at which time title passes.</w:t>
      </w:r>
    </w:p>
    <w:p>
      <w:pPr>
        <w:spacing w:after="0" w:line="7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Company defers revenue and the related cost of sales on shipments to U.S. distributors and certain international distributors until the distributors resell the products to their customers. As a result, the Company’s revenue fully reflects end customer purchases and is not impacted by distributor inventory levels. Sales to certain of these distributors are made under agreements that allow such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such distributors are allowed to return unsold products if the Company terminates the relationship with the distributor.</w:t>
      </w:r>
    </w:p>
    <w:p>
      <w:pPr>
        <w:spacing w:after="0" w:line="7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Certain 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64"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Certain 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5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certain distributors, the sales price to the distributor is not fixed or determinable until the distributor resells the products to their customers. Therefore, the Company defers revenue recognition from sales to certain distributors until such distributors have sold the products to their customers.</w:t>
      </w:r>
    </w:p>
    <w:p>
      <w:pPr>
        <w:spacing w:after="0" w:line="8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Generally, 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October 28, 2017 and October 29, 2016, the Company had gross deferred revenue of $589.5 million and $432.3 million, respectively, and gross deferred cost of sales of $115.5 million and $80.8 million, respectively.</w:t>
      </w:r>
    </w:p>
    <w:p>
      <w:pPr>
        <w:spacing w:after="0" w:line="7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fiscal 2017, fiscal 2016 and fiscal 2015 were not material.</w:t>
      </w:r>
    </w:p>
    <w:p>
      <w:pPr>
        <w:spacing w:after="0" w:line="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comprehensive (loss) income includes certain transactions that have generally been reported in the consolidated statement of shareholders’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October 28, 2017 and October 29, 2016 consisted of the following, net of tax:</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holding gains 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holding (losses) on</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available for sale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 for sale</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holding Gains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securities</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Pension Plans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29,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(73,814)</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6,131</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7,395</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7"/>
        </w:trPr>
        <w:tc>
          <w:tcPr>
            <w:tcW w:w="2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12,455</w:t>
            </w: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October 28, 2017</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(61,359)</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income, with presentation location during each period were as follows: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Component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Currency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rate derivatives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311"/>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Amortization of pension components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Transition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Prior service credit and curtailment recognition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Actuarial losses and settlement recognition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amounts reclassified out of accumulated other</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comprehensive income, net of tax</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8890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-130175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660" w:right="420"/>
        <w:spacing w:after="0" w:line="261" w:lineRule="auto"/>
        <w:rPr>
          <w:sz w:val="20"/>
          <w:szCs w:val="20"/>
          <w:color w:val="auto"/>
        </w:rPr>
      </w:pPr>
      <w:r>
        <w:rPr>
          <w:rFonts w:ascii="Arial" w:cs="Arial" w:eastAsia="Arial" w:hAnsi="Arial"/>
          <w:sz w:val="18"/>
          <w:szCs w:val="18"/>
          <w:color w:val="auto"/>
        </w:rPr>
        <w:t xml:space="preserve">a) The amortization of pension components is included in the computation of net periodic pension cost. See Note 13, </w:t>
      </w:r>
      <w:r>
        <w:rPr>
          <w:rFonts w:ascii="Arial" w:cs="Arial" w:eastAsia="Arial" w:hAnsi="Arial"/>
          <w:sz w:val="18"/>
          <w:szCs w:val="18"/>
          <w:i w:val="1"/>
          <w:iCs w:val="1"/>
          <w:color w:val="auto"/>
        </w:rPr>
        <w:t>Retirement Plans,</w:t>
      </w:r>
      <w:r>
        <w:rPr>
          <w:rFonts w:ascii="Arial" w:cs="Arial" w:eastAsia="Arial" w:hAnsi="Arial"/>
          <w:sz w:val="18"/>
          <w:szCs w:val="18"/>
          <w:color w:val="auto"/>
        </w:rPr>
        <w:t xml:space="preserve"> of these Notes to Consolidated Financial Statements for further information</w:t>
      </w:r>
      <w:r>
        <w:rPr>
          <w:rFonts w:ascii="Arial" w:cs="Arial" w:eastAsia="Arial" w:hAnsi="Arial"/>
          <w:sz w:val="18"/>
          <w:szCs w:val="18"/>
          <w:i w:val="1"/>
          <w:iCs w:val="1"/>
          <w:color w:val="auto"/>
        </w:rPr>
        <w:t>.</w:t>
      </w:r>
    </w:p>
    <w:p>
      <w:pPr>
        <w:spacing w:after="0" w:line="8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$12.6 million in fiscal 2017, $6.1 million in fiscal 2016 and $4.7 million in fiscal 2015.</w:t>
      </w:r>
    </w:p>
    <w:p>
      <w:pPr>
        <w:spacing w:after="0" w:line="7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 xml:space="preserve">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 valuation allowance is recorded when it is more likely than not that some or all of the deferred tax assets will not be realized. The calculation of the tax liabilities involves dealing with uncertainties in the application of complex tax regulations. If it is more likely than not that the tax position will not be sustained on audit, an uncertain tax position is recorded. The Company re-evaluates these uncertain tax positions on a quarterly basis. See Note 14, </w:t>
      </w:r>
      <w:r>
        <w:rPr>
          <w:rFonts w:ascii="Arial" w:cs="Arial" w:eastAsia="Arial" w:hAnsi="Arial"/>
          <w:sz w:val="17"/>
          <w:szCs w:val="17"/>
          <w:i w:val="1"/>
          <w:iCs w:val="1"/>
          <w:color w:val="auto"/>
        </w:rPr>
        <w:t>Income Taxes</w:t>
      </w:r>
      <w:r>
        <w:rPr>
          <w:rFonts w:ascii="Arial" w:cs="Arial" w:eastAsia="Arial" w:hAnsi="Arial"/>
          <w:sz w:val="17"/>
          <w:szCs w:val="17"/>
          <w:color w:val="auto"/>
        </w:rPr>
        <w:t>, of these Notes to Consolidated Financial Statements for further information related to income taxes.</w:t>
      </w:r>
    </w:p>
    <w:p>
      <w:pPr>
        <w:spacing w:after="0" w:line="8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131"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72"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connection with the Acquisition, the Company granted restricted stock awards to replace outstanding restricted stock awards of Linear employees. These restricted stock awards entitle recipients to voting and nonforfeitable dividend rights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date of grant. These unvested stock-based compensation awards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allocated to common shareholders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725,016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861,664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696,878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346,371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308,736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312,660</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common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346,371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312,660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common and common equivalent shares</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350,484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312,308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316,872</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common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Anti-dilutive shares related to:</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stock options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or in annual installments of 20% on each of the first, second, third, fourth and fifth anniversaries of the date of grant, and three years for restricted stock units/awards. In addition to restricted stock units with a service condition, the Company grants restricted stock units with market conditions, performance conditions and service conditions. For awards with both a market and service condition the number of shares of the Company's common stock to be issued upon vesting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 options and restricted stock units with a market and service condition requires the Company to develop estimates used in calculating the grant-date fair value of awards. The Company uses the Black-Scholes valuation model to calculate the grant-date fair value of stock option awards and the Monte Carlo simulation model to calculate the grant-date fair value of restricted stock units with a market and service condition.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and those with both a service and performance condition represents the value of the Company's common stock on the date of grant, reduced by the present value of dividends expected to be paid on the Company's common stock prior to vesting.</w:t>
      </w:r>
    </w:p>
    <w:p>
      <w:pPr>
        <w:spacing w:after="0" w:line="9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Stock-Based Compensation and Shareholders' Equity,</w:t>
      </w:r>
      <w:r>
        <w:rPr>
          <w:rFonts w:ascii="Arial" w:cs="Arial" w:eastAsia="Arial" w:hAnsi="Arial"/>
          <w:sz w:val="18"/>
          <w:szCs w:val="18"/>
          <w:color w:val="auto"/>
        </w:rPr>
        <w:t xml:space="preserve"> of these Notes to Consolidated Financial Statements for additional information relating to stock-based compensation.</w:t>
      </w:r>
    </w:p>
    <w:p>
      <w:pPr>
        <w:spacing w:after="0" w:line="15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 xml:space="preserve">In September 2015, the Financial Accounting Standards Board (FASB) issued Accounting Standards Update (ASU) 2015-16,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805): Simplifying the Accounting for Measurement-Period Adjustments </w:t>
      </w:r>
      <w:r>
        <w:rPr>
          <w:rFonts w:ascii="Arial" w:cs="Arial" w:eastAsia="Arial" w:hAnsi="Arial"/>
          <w:sz w:val="18"/>
          <w:szCs w:val="18"/>
          <w:color w:val="auto"/>
        </w:rPr>
        <w:t>(ASU 2015-16). The update requires that an acquirer recognize adjustments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provisional amounts that are identified during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measurement period in the reporting period in which the adjustment amounts are determined. The update also requires that the acquirer record, in the financial statements of the period in which adjustments to provisional amounts are determined, the effect on earnings of changes in depreciation, amortization, or other income effects, if any, as a result of the change to the provisional amounts, calculated as if the accounting had been completed at the acquisition date. The new standard is effective prospectively for fiscal years beginning after December 15, 2015, including interim periods within those fiscal years, with early adoption permitted. The adoption of ASU 2015-16 in the first quarter of fiscal 2017 did not impact the Company's financial position or results of operations.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Intangibles-Goodwill and other</w:t>
      </w:r>
    </w:p>
    <w:p>
      <w:pPr>
        <w:spacing w:after="0" w:line="9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 Use Software (Subtopic 350-40) -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Fees Paid in a Cloud Computing Arrangement </w:t>
      </w:r>
      <w:r>
        <w:rPr>
          <w:rFonts w:ascii="Arial" w:cs="Arial" w:eastAsia="Arial" w:hAnsi="Arial"/>
          <w:sz w:val="16"/>
          <w:szCs w:val="16"/>
          <w:color w:val="auto"/>
        </w:rPr>
        <w:t>(ASU 2015-05), which provides guidance to customers about whether a cloud computing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Consequently, all software licenses within the scope of Subtopic 350-40 will be accounted for consistent with other licenses of intangible assets. The guidance in ASU 2015-05 is effective for fiscal years beginning after December 15, 2015 and early adoption is permitted. The adoption of ASU 2015-05 did not impact the Company's financial position or results of operations.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w:t>
      </w:r>
    </w:p>
    <w:p>
      <w:pPr>
        <w:spacing w:after="0" w:line="90"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(ASU 2015-02). ASU 2015-02 affects reporting entities that are required to evaluate whether they should consolidate certain legal entities. ASU 2015-02 modifies the evaluation of whether limited partnerships and similar legal entities are variable interest entities (VIEs) or voting interest entities, eliminates the presumption that a general partner should consolidate a limited partnership and affects the consolidation analysis of reporting entities that are involved with VIEs, particularly those that have fee arrangements and related party relationships. ASU 2015-02 is effective for fiscal years, and for interim periods within those fiscal years, beginning after December 15, 2015. Early adoption is permitted. A reporting entity may apply the amendments in this guidance using a modified retrospective approach by recording a cumulative-effect adjustment to equity as of the beginning of the fiscal year of adoption. A reporting entity also may apply the amendments retrospectively. The adoption of ASU 2015-02 did not impact the Company’s financial position or results of operations.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Compensation</w:t>
      </w:r>
    </w:p>
    <w:p>
      <w:pPr>
        <w:spacing w:after="0" w:line="88" w:lineRule="exact"/>
        <w:rPr>
          <w:sz w:val="20"/>
          <w:szCs w:val="20"/>
          <w:color w:val="auto"/>
        </w:rPr>
      </w:pPr>
    </w:p>
    <w:p>
      <w:pPr>
        <w:ind w:right="20" w:firstLine="432"/>
        <w:spacing w:after="0" w:line="263" w:lineRule="auto"/>
        <w:rPr>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n June 2014, the FASB issued ASU 2014-12,</w:t>
      </w:r>
      <w:r>
        <w:rPr>
          <w:rFonts w:ascii="Arial" w:cs="Arial" w:eastAsia="Arial" w:hAnsi="Arial"/>
          <w:sz w:val="20"/>
          <w:szCs w:val="20"/>
          <w:color w:val="auto"/>
        </w:rPr>
        <w:t xml:space="preserve"> </w:t>
      </w:r>
      <w:r>
        <w:rPr>
          <w:rFonts w:ascii="Arial" w:cs="Arial" w:eastAsia="Arial" w:hAnsi="Arial"/>
          <w:sz w:val="18"/>
          <w:szCs w:val="18"/>
          <w:i w:val="1"/>
          <w:iCs w:val="1"/>
          <w:color w:val="auto"/>
        </w:rPr>
        <w:t>Accounting for Share-Based Payments When the Terms of an Award Provide That a Performance Target</w:t>
      </w:r>
      <w:r>
        <w:rPr>
          <w:rFonts w:ascii="Arial" w:cs="Arial" w:eastAsia="Arial" w:hAnsi="Arial"/>
          <w:sz w:val="20"/>
          <w:szCs w:val="20"/>
          <w:color w:val="auto"/>
        </w:rPr>
        <w:t xml:space="preserve"> </w:t>
      </w:r>
      <w:r>
        <w:rPr>
          <w:rFonts w:ascii="Arial" w:cs="Arial" w:eastAsia="Arial" w:hAnsi="Arial"/>
          <w:sz w:val="18"/>
          <w:szCs w:val="18"/>
          <w:i w:val="1"/>
          <w:iCs w:val="1"/>
          <w:color w:val="auto"/>
        </w:rPr>
        <w:t xml:space="preserve">Could Be Achieved after the Requisite Service Period </w:t>
      </w:r>
      <w:r>
        <w:rPr>
          <w:rFonts w:ascii="Arial" w:cs="Arial" w:eastAsia="Arial" w:hAnsi="Arial"/>
          <w:sz w:val="18"/>
          <w:szCs w:val="18"/>
          <w:color w:val="auto"/>
        </w:rPr>
        <w:t>(ASU 2014-12)</w:t>
      </w:r>
      <w:r>
        <w:rPr>
          <w:rFonts w:ascii="Arial" w:cs="Arial" w:eastAsia="Arial" w:hAnsi="Arial"/>
          <w:sz w:val="19"/>
          <w:szCs w:val="19"/>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that a performance target that affects vesting and that could be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requisite service period be treated as a performance condition. ASU 2014-12 is effective for annual periods and interim periods within those annual periods beginning after December 15, 2015. Early adoption is permitted. The adoption of ASU 2014-12 did not impact the Company's financial position or results of operations.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Intangibles - Goodwill and Other</w:t>
      </w:r>
    </w:p>
    <w:p>
      <w:pPr>
        <w:spacing w:after="0" w:line="9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w:t>
      </w:r>
      <w:r>
        <w:rPr>
          <w:rFonts w:ascii="Arial" w:cs="Arial" w:eastAsia="Arial" w:hAnsi="Arial"/>
          <w:sz w:val="17"/>
          <w:szCs w:val="17"/>
          <w:color w:val="auto"/>
        </w:rPr>
        <w:t xml:space="preserve"> (ASU 2017-04). ASU 2017-04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The amendment should be applied on a prospective basis. ASU 2017-04 is effective for fiscal years beginning after December 15, 2019, and interim periods within those fiscal years. Early adoption is permitted for interim or annual goodwill impairment tests performed on testing dates after January 1, 2017. The Company early adopted ASU 2014-12 in the fourth quarter of fiscal 2017. The adoption did not impact the Company's financial position or results of operations.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Presentation of Financial Statements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 (Subtopic 205-40)</w:t>
      </w:r>
      <w:r>
        <w:rPr>
          <w:rFonts w:ascii="Arial" w:cs="Arial" w:eastAsia="Arial" w:hAnsi="Arial"/>
          <w:sz w:val="18"/>
          <w:szCs w:val="18"/>
          <w:color w:val="auto"/>
        </w:rPr>
        <w:t xml:space="preserve"> (ASU 2014-15), which provides guidance about management's responsibility to evaluate whether there is substantial doubt about an entity's ability to continue as a going concern and to provide related footnote disclosures. The update requires management to assess an entity’s ability to continue as a going concern by incorporating and expanding upon certain principles that are currently in U.S. auditing standards. Specifically, the update (1) provides a definition of the term "substantial doubt",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requires an evaluation every reporting period including interim periods, (3) provides principles for considering the mitigating effect of management’s plans, (4) requires certain disclosures when substantial doubt is alleviated as a result of consideration of management’s plans, (5) requires an express statement and other disclosures when substantial doubt is not alleviated, and (6) requires an assessment for a period of one year after the date that the financial statements are issued (or available to be issued). ASU 2014-15 is effective for annual reporting periods ending after December 15, 2016, and for annual periods and interim periods thereafter. As of October 28, 2017, the Company has concluded that substantial doubt about our ability to continue as a going concern does not exist.</w:t>
      </w:r>
    </w:p>
    <w:p>
      <w:pPr>
        <w:spacing w:after="0" w:line="58" w:lineRule="exact"/>
        <w:rPr>
          <w:sz w:val="20"/>
          <w:szCs w:val="20"/>
          <w:color w:val="auto"/>
        </w:rPr>
      </w:pPr>
    </w:p>
    <w:p>
      <w:pPr>
        <w:jc w:val="right"/>
        <w:ind w:right="9320"/>
        <w:spacing w:after="0"/>
        <w:rPr>
          <w:sz w:val="20"/>
          <w:szCs w:val="20"/>
          <w:color w:val="auto"/>
        </w:rPr>
      </w:pPr>
      <w:r>
        <w:rPr>
          <w:rFonts w:ascii="Arial" w:cs="Arial" w:eastAsia="Arial" w:hAnsi="Arial"/>
          <w:sz w:val="16"/>
          <w:szCs w:val="16"/>
          <w:i w:val="1"/>
          <w:iCs w:val="1"/>
          <w:color w:val="auto"/>
        </w:rPr>
        <w:t>Standards to be Implemented</w:t>
      </w:r>
    </w:p>
    <w:p>
      <w:pPr>
        <w:spacing w:after="0" w:line="194" w:lineRule="exact"/>
        <w:rPr>
          <w:sz w:val="20"/>
          <w:szCs w:val="20"/>
          <w:color w:val="auto"/>
        </w:rPr>
      </w:pPr>
    </w:p>
    <w:p>
      <w:pPr>
        <w:jc w:val="right"/>
        <w:ind w:right="93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guidance is effective for annual periods beginning after December 15, 2017, including interim periods within those periods. The Company will adopt ASU 2017-01 in the first quarter of the fiscal year ending November 2, 2019 (fiscal 2019). The impact of the adoption on the Company's financial position and results of operations will be dependent upon any future acquisitions or disposals.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(ASU 2016-16)</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2016-16 will require an entity to recognize the income tax consequences of an intra-entity transfer of an asset, other than inventory, when the transfer occurs. ASU 2016-16 is effective for fiscal years beginning after December 15, 2017, and interim periods within those fiscal years. Early adoption is permitted as of the beginning of an annual reporting period for which financial statements have not been issued or made available for issuance. ASU 2016-16 is effective for the Company in the first quarter of fiscal 2019. The Company is currently evaluating the adoption date and the impact, if any, adoption will have on its financial position and results of operations.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ASU 2016-15 provides guidance on several specific cash flow issues, including debt prepayment or extinguishment costs, settlement of certain debt instruments, contingent consideration payments made after a business combination, proceeds from the settlement of certain insurance claims and distributions received from equity method investees. ASU 2016-15 is effective for fiscal years beginning after December 15, 2017, and interim periods within those fiscal years. Early adoption is permitted in any interim or annual period. ASU 2016-15 is effective for the Company in the first quarter of fiscal 2019. The Company is currently evaluating the adoption date but does not expect the adoption of ASU 2016-15 to have a material impact on its consolidated financial statements.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Method Investments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In March 2016, the FASB issued ASU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of Accounting </w:t>
      </w:r>
      <w:r>
        <w:rPr>
          <w:rFonts w:ascii="Arial" w:cs="Arial" w:eastAsia="Arial" w:hAnsi="Arial"/>
          <w:sz w:val="17"/>
          <w:szCs w:val="17"/>
          <w:color w:val="auto"/>
        </w:rPr>
        <w:t>(ASU 2016-07). ASU 2016-07 eliminates the requirement that when an investment, initially accounted for under a method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method of accounting, subsequently qualifies for use of the equity method, an investor must retrospectively apply the equity method in prior periods in which it held the investment. This requires an investor to determine the fair value of the investee’s underlying assets and liabilities retrospectively at each investment date and revise all prior periods as if the equity method had always been applied. The new guidance requires the investor to apply the equity method prospectively from the date the investment qualifies for the equity method. The investor will add the carrying value of the existing investment to the cost of the additional investment to determine the initial cost basis of the equity method investment. ASU 2016-07 is effective for fiscal years beginning after December 15, 2016, and interim periods within those fiscal years. Early adoption is permitted in any interim or annual period. ASU 2016-07 is effective for the Company in the first quarter of fiscal 2018. The Company does not expect the adoption of ASU 2016-07 to have a material impact on its consolidated financial statements.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which amends and simplifies existing guidance in order to allow companies to more accurately present the economic effects of risk management activities in the financial statements. ASU 2017-12 is effective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fiscal years beginning after December 15, 2018, including interim periods within those years. Early adoption is permitted. ASU 2017-12 is effective for the Company in the first quarter of the fiscal year ending October 31, 2020 (fiscal 2020). The Company is currently evaluating the adoption date and the impact, if any, adoption will have on its financial position and results of operations.</w:t>
      </w:r>
    </w:p>
    <w:p>
      <w:pPr>
        <w:spacing w:after="0" w:line="4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March 2016, the FASB issued ASU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xml:space="preserve"> (ASU 2016-06). ASU 2016-06 clarifies the requirements for assessing whether contingent call (put) options that can accelerate the payment of principal on debt instruments are clearly and closely related to their debt hosts. An entity performing the assessment under ASU 2016-06 is required to assess the embedded call (put) options solely in accordance with the four-step decision sequence. ASU 2016-06 is effective for annual periods beginning after December 15, 2017, and interim periods within those annual periods. ASU 2016-06 is effective for the Company in the first quarter of fiscal 2019. The Company is currently evaluating the adoption date and the impact, if any, adoption will have on its financial position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ASU 2016-02 is effective for financial statements issued for fiscal years beginning after December 15, 2018, and interim periods within those fiscal years. ASU 2016-02 is effective for the Company in the first quarter of fiscal 2020. The Company is currently evaluating the adoption date and the impact adoption will have on its financial position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ASU 2016-13 requires a financial asset (or group of financial assets) measured at amortized cost basis to be presented at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and for interim periods within those fiscal years. ASU 2016-13 is effective for the Company in the first quarter of fiscal 2020. The Company is currently evaluating the adoption date and the impact, if any, adoption will have on its financial position and results of operations.</w:t>
      </w:r>
    </w:p>
    <w:p>
      <w:pPr>
        <w:spacing w:after="0" w:line="3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ASU 2016-01 requires equity investments to be measured at fair value with changes in fair value recognized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ASU 2016-01 is effective for the Company in the first quarter of fiscal 2019. The Company is currently evaluating the impact adoption will have on its financial position and results of operations.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 xml:space="preserve">In July 2015, the FASB issued ASU 2015-11, Inventory (Topic 330) -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(ASU 2015-11)</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subsequent measurement of inventories by replacing the lower of cost or market test with a lower of cost and net realizable value test. The guidance applies only to inventories for which cost is determined by methods other than last-in first-out (LIFO) and the retail inventory method. The guidance in ASU 2015-11 is effective for fiscal years beginning after December 15, 2016 and early adoption is permitted. ASU 2015-11 is effective for the Company in the first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quarter of fiscal 2018. The Company does not expect the adoption of ASU 2015-11 to have a material impact on its consolidated financial statements.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Compensation</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guidance clarifies when a change to the terms or conditions of a share-based payment award must be accounted for as a modification. ASU 2017-09 is effective for fiscal years, and interim periods within those annual periods, beginning after December 15, 2017, with early adoption permitted. ASU 2017-09 is effective for the Company in the first quarter of fiscal 2019. The Company is currently evaluating the adoption date and the impact, if any, adoption will have on its financial position and results of operations.</w:t>
      </w:r>
    </w:p>
    <w:p>
      <w:pPr>
        <w:spacing w:after="0" w:line="5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w:t>
      </w:r>
      <w:r>
        <w:rPr>
          <w:rFonts w:ascii="Arial" w:cs="Arial" w:eastAsia="Arial" w:hAnsi="Arial"/>
          <w:sz w:val="17"/>
          <w:szCs w:val="17"/>
          <w:color w:val="auto"/>
        </w:rPr>
        <w:t>ASU 2016-09). ASU 2016-09 simplifies several aspects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2016-09 is effective for fiscal years, and interim periods within those annual periods, beginning after December 15, 2016 and allows for prospective, retrospective or modified retrospective adoption, depending on the area covered in the update, with early adoption permitted. ASU 2016-09 is effective for the Company in the first quarter of fiscal 2018. Currently, excess tax benefits or deficiencies from the Company’s share-based payment awards are recorded in Capital in excess of par value (APIC) in its Consolidated Balance Sheets. Upon adoption, the Company will record any excess tax benefits or deficiencies from its share-based payments in its Consolidated Statements of Income in the reporting periods in which they occur. Currently excess tax benefits or deficiencies are classified within financing activities in the statement of cash flows. Upon adoption, the Company will classify any excess tax benefits or deficiencies as an operating activity in the Consolidated Statement of Cash Flows. As a result, subsequent to adoption, the Company’s income tax expense and associated effective tax rate will be impacted by fluctuations in stock price from grant date to vesting date and the exercises of awards by employees. The potential tax impacts remain unknown until the awards vest.</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nearly all existing revenue recognition guidance under U.S. GAAP. The core principle of ASU 2014-09 is that an entity should recognize revenue to depict the transfer of promised goods or services to customers in an amount that reflects the consideration to which the entity expects to be entitled in exchange for those goods or services. Additionally, the guidance requires improved disclosures to help users of financial statements better understand the nature, amount, timing, and uncertainty of revenue and cash flows arising from contracts with customers. The FASB has issued several amendments and updates to the new revenue standard, including guidance related to when an entity should recognize revenue gross as a principal or net as an agent and how an entity should identify performance obligations. As amended, ASU 2014-09 is effective for fiscal years, and interim periods within those fiscal years, beginning after December 15, 2017, which is the Company's first quarter of fiscal 2019. Early adoption is permitted for all entities only as of annual reporting periods beginning after December 15, 2016, including interim reporting periods within that reporting period. The Company has developed a project plan for the implementation of the guidance, including a review of all revenue streams to identify any differences in the timing, measurement or presentation of revenue recognition. The Company has reviewed its revenue streams and is nearing completion in assessing all potential impacts of the standard, including any impacts from recently issued amendments, and retrospectively adjusting financial information for prior fiscal years. The Company has also made progress on its impact assessment of the recent acquisition of Linear. While the Company is still in the process of completing its evaluation of the standard, it currently believes the most significant impact will be related to the timing of recognition of sales to certain distributors. As described in Note 2n, </w:t>
      </w:r>
      <w:r>
        <w:rPr>
          <w:rFonts w:ascii="Arial" w:cs="Arial" w:eastAsia="Arial" w:hAnsi="Arial"/>
          <w:sz w:val="16"/>
          <w:szCs w:val="16"/>
          <w:i w:val="1"/>
          <w:iCs w:val="1"/>
          <w:color w:val="auto"/>
        </w:rPr>
        <w:t>Revenue Recognition</w:t>
      </w:r>
      <w:r>
        <w:rPr>
          <w:rFonts w:ascii="Arial" w:cs="Arial" w:eastAsia="Arial" w:hAnsi="Arial"/>
          <w:sz w:val="16"/>
          <w:szCs w:val="16"/>
          <w:color w:val="auto"/>
        </w:rPr>
        <w:t>, of these Notes to the Consolidated Financial Statements, the Company currently defers revenue and the related cost of sales on shipments to certain distributors until the distributors resell the products to their customers. Upon adoption of ASU 2014-09, the Company will no longer be permitted to defer revenue until sale by the distributor to the end customer, but rather, will be required to estimate the effects of returns and allowances provided to distributors and record revenue at the time of sale to the distributor. The Company is continuing to evaluate the future impact and method of adoption of ASU 2014-09 and related amendments on its consolidated financial statements and related disclosures. The Company will adopt ASU 2014-09, using the full retrospective method, upon its effective date for the Company which is the Company’s first quarter of fiscal 2019.</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220" w:right="7100" w:hanging="212"/>
        <w:spacing w:after="0" w:line="393" w:lineRule="auto"/>
        <w:tabs>
          <w:tab w:leader="none" w:pos="18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grants, or has granted, stock options and other stock and stock-based awards under the Company's Amended and Restated 2006 Stock Incentive Plan (2006 Plan). This plan was originally approved by shareholders on March 14, 2006, and shareholders subsequently approved the amended and restated 2006 Plan in March 2014. The 2006 Plan provides for the grant of up to 34 million shares of the Company’s common stock, plus such number of additional shares that were subject to outstanding options under the Company’s previous equity compensation plans that have not been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12, 2021, but awards previously granted may extend beyond that date. The Company will not grant further equity awards under any previous equity compensation plans.</w:t>
      </w:r>
    </w:p>
    <w:p>
      <w:pPr>
        <w:spacing w:after="0" w:line="7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The maximum contractual term of all options is ten years. In addition, the Company has granted to employees restricted stock units that generally vest in one installment on the third anniversary of the grant date or in annual installments of 20% on each of the first, second, third, fourth and fifth anniversaries of the date of grant.</w:t>
      </w:r>
    </w:p>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October 28, 2017, a total of 14.7 million common shares were available for future grant under the 2006 Plan and 29.7 million common shares were reserved for issuance under the 2006 Plan and the Company's previous equity compensation plans.</w:t>
      </w:r>
    </w:p>
    <w:p>
      <w:pPr>
        <w:spacing w:after="0" w:line="7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Linear Replacement Awards</w:t>
      </w:r>
    </w:p>
    <w:p>
      <w:pPr>
        <w:spacing w:after="0" w:line="171"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In connection with the Acquisition, the Company issued equity awards, consisting of restricted stock awards and restricted stock units (replacement awards), to certain Linear employees in replacement of Linear equity awards. The replacement awards consisted of restricted stock awards and restricted stock units for approximately 2.8 million shares of the Company's common stock with a weighted average grant date fair value of $82.20. The terms and intrinsic value of these replacement awards are substantially the same as the converted Linear awards. The fair value of the replacement awards associated with services rendered through the Acquisition Date was recognized as a component of the total preliminary estimated acquisition consideration, and the remaining fair value of the replacement awards associated with post-Acquisition services will be recognized as an expense on a straight-line basis over the remaining vesting period.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Modification of Awards</w:t>
      </w:r>
    </w:p>
    <w:p>
      <w:pPr>
        <w:spacing w:after="0" w:line="13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Company has from time to time modified the terms of its equity awards to employees and directors. The modifications made to the Company’s equity awards in fiscal 2017, fiscal 2016 and fiscal 2015 did not result in significant incremental compensation costs, either individually or in the aggregate.</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3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Company uses the Black-Scholes valuation model to calculate the grant-date fair value of stock option awards and the Monte 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a service condition and those with both a service and performance condition represents the value of the Company's common stock on the date of grant, reduced by the present value of dividends expected to be paid on the Company's common stock prior to vesting.</w:t>
      </w:r>
    </w:p>
    <w:p>
      <w:pPr>
        <w:spacing w:after="0" w:line="6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using the Black-Scholes valuation model granted in fiscal 2017, fiscal 2016 and fiscal 2015 is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1,954</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$57.20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$10.38</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utilizes the Monte Carlo simulation valuation model to value market-based restricted stock units. The Monte Carlo simulation model utilizes multiple input variables that determine the probability of satisfying the market conditions stipulated in the award grant and calculates the fair market value for the market-based restricted stock units granted. The Monte Carlo simulation model also uses stock price volatility and other variables to estimate the probability of satisfying the market conditions, including the possibility that the market condition may not be satisfied, and the resulting fair value of the award. Information pertaining to the Company's market-based restricted stock units and the related estimated assumptions used to calculate the fair value of market-based restricted stock units granted in fiscal 2017, fiscal 2016 and fiscal 2015 using the Monte Carlo simulation model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Market-based Restricted Stock Units</w:t>
            </w: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4"/>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Units granted (in thousands)</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Grant-date fair value</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21"/>
                <w:szCs w:val="21"/>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21"/>
                <w:szCs w:val="21"/>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$55.67</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Historical stock price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34"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ind w:right="120" w:firstLine="8"/>
        <w:spacing w:after="0" w:line="273"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remaining maturities of the traded options used to estimate volatility are at least one year. The Company utilizes historical volatility as an input variable of the Monte Carlo simulation to estimate the grant date fair value of market-based restricted stock units. The market performance measure of these awards is based upon the interaction of multiple peer companies. Given the Company is required to use consistent statistical properties in the Monte Carlo simulation and implied volatility is not available across the population, historical volatility must be used.</w:t>
      </w:r>
    </w:p>
    <w:p>
      <w:pPr>
        <w:spacing w:after="0" w:line="8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8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7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 In connection with the Acquisition, the Company granted restricted stock awards to replace outstanding restricted stock awards of Linear employees. These restricted stock awards entitle recipients to voting and nonforfeitable dividend rights from the date of grant.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31"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4.7% to all unvested stock-based awards as of October 28, 2017. This analysis will be re-evaluated quarterly and the forfeiture rate will be adjusted as necessary. Ultimately, the actual expense recognized over the vesting period will only be for those options that vest.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13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consolidated statements of income. For fiscal 2017, fiscal 2016 and fiscal 2015, the Company had a sufficient APIC pool to cover any tax deficiencies recorded and as a result, these deficiencies did not affect its results of operations.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October 28, 2017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October 29, 2016</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11,704</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1,480</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(360)</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October 28, 2017</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9,347</w:t>
            </w:r>
          </w:p>
        </w:tc>
        <w:tc>
          <w:tcPr>
            <w:tcW w:w="16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$363,972</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October 28, 2017</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4,907</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$240,991</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October 28, 2017 (1)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9,011</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$356,098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7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total intrinsic value of options exercised (i.e. the difference between the market price at exercise and the price paid by the employee to exercise the options) during fiscal 2017, fiscal 2016 and fiscal 2015 was $144.6 million, $46.6 million and $99.2 million, respectively, and the total amount of proceeds received by the Company from exercise of these options during fiscal 2017, fiscal 2016 and fiscal 2015 was $133.3 million, $61.5 million and $122.6 million, respectively.</w:t>
      </w:r>
    </w:p>
    <w:p>
      <w:pPr>
        <w:spacing w:after="0" w:line="9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October 28, 2017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Units/Awards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Restricted stock units/awards outstanding at October 29, 2016</w:t>
            </w:r>
          </w:p>
        </w:tc>
        <w:tc>
          <w:tcPr>
            <w:tcW w:w="4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2,690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Units/Awards granted</w:t>
            </w:r>
          </w:p>
        </w:tc>
        <w:tc>
          <w:tcPr>
            <w:tcW w:w="4600" w:type="dxa"/>
            <w:vAlign w:val="bottom"/>
            <w:gridSpan w:val="2"/>
          </w:tcPr>
          <w:p>
            <w:pPr>
              <w:jc w:val="right"/>
              <w:ind w:right="48"/>
              <w:spacing w:after="0"/>
              <w:rPr>
                <w:sz w:val="20"/>
                <w:szCs w:val="20"/>
                <w:color w:val="auto"/>
              </w:rPr>
            </w:pPr>
            <w:r>
              <w:rPr>
                <w:rFonts w:ascii="Arial" w:cs="Arial" w:eastAsia="Arial" w:hAnsi="Arial"/>
                <w:sz w:val="18"/>
                <w:szCs w:val="18"/>
                <w:color w:val="auto"/>
              </w:rPr>
              <w:t>4,809</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Restrictions lapsed</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Restricted stock units/awards outstanding at October 28, 2017</w:t>
            </w:r>
          </w:p>
        </w:tc>
        <w:tc>
          <w:tcPr>
            <w:tcW w:w="4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5,680</w:t>
            </w:r>
          </w:p>
        </w:tc>
        <w:tc>
          <w:tcPr>
            <w:tcW w:w="1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71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of October 28, 2017, there was $375.2 million of total unrecognized compensation cost related to unvested share-based awards comprised of stock options and restricted stock units. That cost is expected to be recognized over a weighted-average period of 1.9 years. The total grant-date fair value of shares that vested during fiscal 2017, fiscal 2016 and fiscal 2015 was approximately $114.8 million, $62.8 million and $65.6 million, respectively.</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3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$6.2 billion of the Company’s common stock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October 28, 2017, the Company had repurchased a total of approximately 147.0 million shares of its common stock for approximately $5.4 billion under this program. An additional $792.5 million remains available for repurchase of shares under the current authorized program. The repurchased shares are held as authorized but unissued shares of common stock. In connection with the Acquisition, the Company temporarily suspended the common stock repurchase plan.</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also, from time to time, repurchases shares in settlement of employee minimum tax withholding obligations due upon the vesting of restricted stock units/awards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3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66"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 and Geographic Information</w:t>
      </w:r>
    </w:p>
    <w:p>
      <w:pPr>
        <w:spacing w:after="0" w:line="13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operates and tracks its results in one reportable segment based on the aggregation of eight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63" w:lineRule="exact"/>
        <w:rPr>
          <w:sz w:val="20"/>
          <w:szCs w:val="20"/>
          <w:color w:val="auto"/>
        </w:rPr>
      </w:pPr>
    </w:p>
    <w:p>
      <w:pPr>
        <w:ind w:left="720" w:hanging="280"/>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primary source of revenue for each operating segment is the sale of integrated circuits.</w:t>
      </w:r>
    </w:p>
    <w:p>
      <w:pPr>
        <w:spacing w:after="0" w:line="130" w:lineRule="exact"/>
        <w:rPr>
          <w:rFonts w:ascii="Arial" w:cs="Arial" w:eastAsia="Arial" w:hAnsi="Arial"/>
          <w:sz w:val="18"/>
          <w:szCs w:val="18"/>
          <w:color w:val="auto"/>
        </w:rPr>
      </w:pPr>
    </w:p>
    <w:p>
      <w:pPr>
        <w:ind w:right="180" w:firstLine="440"/>
        <w:spacing w:after="0" w:line="357" w:lineRule="auto"/>
        <w:tabs>
          <w:tab w:leader="none" w:pos="7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integrated circuits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12" w:lineRule="exact"/>
        <w:rPr>
          <w:rFonts w:ascii="Arial" w:cs="Arial" w:eastAsia="Arial" w:hAnsi="Arial"/>
          <w:sz w:val="17"/>
          <w:szCs w:val="17"/>
          <w:color w:val="auto"/>
        </w:rPr>
      </w:pPr>
    </w:p>
    <w:p>
      <w:pPr>
        <w:ind w:right="680" w:firstLine="440"/>
        <w:spacing w:after="0" w:line="324"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sells its products to tens of thousands of customers worldwide. Many of these customers use products spanning all operating segments in a wide range of applications.</w:t>
      </w:r>
    </w:p>
    <w:p>
      <w:pPr>
        <w:spacing w:after="0" w:line="35" w:lineRule="exact"/>
        <w:rPr>
          <w:rFonts w:ascii="Arial" w:cs="Arial" w:eastAsia="Arial" w:hAnsi="Arial"/>
          <w:sz w:val="18"/>
          <w:szCs w:val="18"/>
          <w:color w:val="auto"/>
        </w:rPr>
      </w:pPr>
    </w:p>
    <w:p>
      <w:pPr>
        <w:ind w:right="20" w:firstLine="440"/>
        <w:spacing w:after="0" w:line="324"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integrated circuits marketed by each of the Company's operating segments are sold globally through a direct sales force, third-party distributors, independent sales representatives and via our website to the same types of customers.</w:t>
      </w:r>
    </w:p>
    <w:p>
      <w:pPr>
        <w:spacing w:after="0" w:line="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over time. When this occurs, the Company reclassifies revenue by end market for prior periods. Such reclassifications typically do not materially change the sizing of, or the underlying trends of results within, each end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Product</w:t>
            </w:r>
          </w:p>
        </w:tc>
        <w:tc>
          <w:tcPr>
            <w:tcW w:w="2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Revenue</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Product</w:t>
            </w:r>
          </w:p>
        </w:tc>
        <w:tc>
          <w:tcPr>
            <w:tcW w:w="30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Revenue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2,361,549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1,497,070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1,495,887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782,961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541,774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526,493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1,047,606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687,697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727,585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915,387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694,868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685,127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5,107,503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3,421,409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3,435,092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3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Revenue by geographic region is based upon the primary end customer location for the Company's products. In fiscal 2017, fiscal 2016 and fiscal 2015, the predominant countries comprising “Rest of North and South America” are Canada and Mexico; the predominant countries comprising “Europe” are Germany, Sweden, France and the United Kingdom; and the predominant countries comprising “Rest of Asia” are South Korea and Taiwan.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1,999,041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1,299,629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1,325,279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North and South America</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97,189</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Europe</w:t>
            </w: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1,211,435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924,849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939,230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319,569</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China</w:t>
            </w: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842,532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575,690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511,365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Asia</w:t>
            </w:r>
          </w:p>
        </w:tc>
        <w:tc>
          <w:tcPr>
            <w:tcW w:w="2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445,304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242,460</w:t>
            </w:r>
          </w:p>
        </w:tc>
        <w:tc>
          <w:tcPr>
            <w:tcW w:w="0" w:type="dxa"/>
            <w:vAlign w:val="bottom"/>
          </w:tcPr>
          <w:p>
            <w:pPr>
              <w:spacing w:after="0"/>
              <w:rPr>
                <w:sz w:val="1"/>
                <w:szCs w:val="1"/>
                <w:color w:val="auto"/>
              </w:rPr>
            </w:pPr>
          </w:p>
        </w:tc>
      </w:tr>
      <w:tr>
        <w:trPr>
          <w:trHeight w:val="237"/>
        </w:trPr>
        <w:tc>
          <w:tcPr>
            <w:tcW w:w="4300" w:type="dxa"/>
            <w:vAlign w:val="bottom"/>
          </w:tcPr>
          <w:p>
            <w:pPr>
              <w:ind w:left="600"/>
              <w:spacing w:after="0"/>
              <w:rPr>
                <w:sz w:val="20"/>
                <w:szCs w:val="20"/>
                <w:color w:val="auto"/>
              </w:rPr>
            </w:pPr>
            <w:r>
              <w:rPr>
                <w:rFonts w:ascii="Arial" w:cs="Arial" w:eastAsia="Arial" w:hAnsi="Arial"/>
                <w:sz w:val="18"/>
                <w:szCs w:val="18"/>
                <w:color w:val="auto"/>
              </w:rPr>
              <w:t>Subtotal all foreign countries</w:t>
            </w:r>
          </w:p>
        </w:tc>
        <w:tc>
          <w:tcPr>
            <w:tcW w:w="2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3,108,462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2,121,780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2,109,813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5,107,503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3,421,409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3,435,092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Property, plant and equipment</w:t>
            </w:r>
          </w:p>
        </w:tc>
        <w:tc>
          <w:tcPr>
            <w:tcW w:w="2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vMerge w:val="continue"/>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504,968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253,417</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Ireland</w:t>
            </w:r>
          </w:p>
        </w:tc>
        <w:tc>
          <w:tcPr>
            <w:tcW w:w="2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188,728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174,952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173,703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Philippines</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195,662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Singapore</w:t>
            </w: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Malaysia</w:t>
            </w:r>
          </w:p>
        </w:tc>
        <w:tc>
          <w:tcPr>
            <w:tcW w:w="2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All other countries</w:t>
            </w:r>
          </w:p>
        </w:tc>
        <w:tc>
          <w:tcPr>
            <w:tcW w:w="2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29,952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21,328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Subtotal all foreign countries</w:t>
            </w:r>
          </w:p>
        </w:tc>
        <w:tc>
          <w:tcPr>
            <w:tcW w:w="2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602,336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390,693</w:t>
            </w:r>
          </w:p>
        </w:tc>
        <w:tc>
          <w:tcPr>
            <w:tcW w:w="0" w:type="dxa"/>
            <w:vAlign w:val="bottom"/>
          </w:tcPr>
          <w:p>
            <w:pPr>
              <w:spacing w:after="0"/>
              <w:rPr>
                <w:sz w:val="1"/>
                <w:szCs w:val="1"/>
                <w:color w:val="auto"/>
              </w:rPr>
            </w:pPr>
          </w:p>
        </w:tc>
      </w:tr>
      <w:tr>
        <w:trPr>
          <w:trHeight w:val="257"/>
        </w:trPr>
        <w:tc>
          <w:tcPr>
            <w:tcW w:w="430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2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1,107,304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636,116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644,110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100" w:type="dxa"/>
            <w:vAlign w:val="bottom"/>
            <w:vMerge w:val="restart"/>
          </w:tcPr>
          <w:p>
            <w:pPr>
              <w:jc w:val="right"/>
              <w:ind w:right="510"/>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w:t>
      </w:r>
    </w:p>
    <w:p>
      <w:pPr>
        <w:spacing w:after="0" w:line="1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8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1, 2014 to October 28, 2017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Reduction of</w:t>
            </w:r>
          </w:p>
        </w:tc>
        <w:tc>
          <w:tcPr>
            <w:tcW w:w="16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Early Retirement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200" w:type="dxa"/>
            <w:vAlign w:val="bottom"/>
          </w:tcPr>
          <w:p>
            <w:pPr>
              <w:spacing w:after="0"/>
              <w:rPr>
                <w:sz w:val="12"/>
                <w:szCs w:val="12"/>
                <w:color w:val="auto"/>
              </w:rPr>
            </w:pPr>
          </w:p>
        </w:tc>
        <w:tc>
          <w:tcPr>
            <w:tcW w:w="11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0"/>
              </w:rPr>
              <w:t>Costs Action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Action</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13,684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Fiscal 2016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2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8,126</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49,463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Fiscal 2017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41,337</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49,463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rPr>
              <w:t>Reduction of</w:t>
            </w:r>
          </w:p>
        </w:tc>
        <w:tc>
          <w:tcPr>
            <w:tcW w:w="120" w:type="dxa"/>
            <w:vAlign w:val="bottom"/>
          </w:tcPr>
          <w:p>
            <w:pPr>
              <w:spacing w:after="0"/>
              <w:rPr>
                <w:sz w:val="23"/>
                <w:szCs w:val="23"/>
                <w:color w:val="auto"/>
              </w:rPr>
            </w:pPr>
          </w:p>
        </w:tc>
        <w:tc>
          <w:tcPr>
            <w:tcW w:w="1340" w:type="dxa"/>
            <w:vAlign w:val="bottom"/>
            <w:gridSpan w:val="2"/>
            <w:vMerge w:val="restart"/>
          </w:tcPr>
          <w:p>
            <w:pPr>
              <w:jc w:val="right"/>
              <w:ind w:right="113"/>
              <w:spacing w:after="0"/>
              <w:rPr>
                <w:sz w:val="20"/>
                <w:szCs w:val="20"/>
                <w:color w:val="auto"/>
              </w:rPr>
            </w:pPr>
            <w:r>
              <w:rPr>
                <w:rFonts w:ascii="Arial" w:cs="Arial" w:eastAsia="Arial" w:hAnsi="Arial"/>
                <w:sz w:val="14"/>
                <w:szCs w:val="14"/>
                <w:b w:val="1"/>
                <w:bCs w:val="1"/>
                <w:color w:val="auto"/>
              </w:rPr>
              <w:t>Early Retirement</w:t>
            </w:r>
          </w:p>
        </w:tc>
        <w:tc>
          <w:tcPr>
            <w:tcW w:w="0" w:type="dxa"/>
            <w:vAlign w:val="bottom"/>
          </w:tcPr>
          <w:p>
            <w:pPr>
              <w:spacing w:after="0"/>
              <w:rPr>
                <w:sz w:val="1"/>
                <w:szCs w:val="1"/>
                <w:color w:val="auto"/>
              </w:rPr>
            </w:pPr>
          </w:p>
        </w:tc>
      </w:tr>
      <w:tr>
        <w:trPr>
          <w:trHeight w:val="149"/>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Costs Action</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Action</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1, 2014</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Facility closure costs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31, 2015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Fiscal 2016 special charges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13,684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29, 2016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Fiscal 2017 special charges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8,126</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41,337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foreign currency on accrual</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28, 2017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Early Retirement Offer Action</w:t>
      </w:r>
    </w:p>
    <w:p>
      <w:pPr>
        <w:spacing w:after="0" w:line="131" w:lineRule="exact"/>
        <w:rPr>
          <w:sz w:val="20"/>
          <w:szCs w:val="20"/>
          <w:color w:val="auto"/>
        </w:rPr>
      </w:pPr>
    </w:p>
    <w:p>
      <w:pPr>
        <w:ind w:right="440" w:firstLine="392"/>
        <w:spacing w:after="0" w:line="302" w:lineRule="auto"/>
        <w:rPr>
          <w:sz w:val="20"/>
          <w:szCs w:val="20"/>
          <w:color w:val="auto"/>
        </w:rPr>
      </w:pPr>
      <w:r>
        <w:rPr>
          <w:rFonts w:ascii="Arial" w:cs="Arial" w:eastAsia="Arial" w:hAnsi="Arial"/>
          <w:sz w:val="16"/>
          <w:szCs w:val="16"/>
          <w:color w:val="auto"/>
        </w:rPr>
        <w:t>During fiscal 2017, the Company initiated an early retirement offer. This resulted in a special charge of approximately $41.3 million for severance, related benefits and other costs in accordance with this program for 225 manufacturing, engineering and selling, marketing, general and administrative (SMG&amp;A) employees. As of October 28, 2017, the Company still employed 26 of the 225 employees included in these cost reduction actions. These employees must continue to be employed by the Company until their employment is terminated in order to receive the severance benefits.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of Operating Costs Actions</w:t>
      </w:r>
    </w:p>
    <w:p>
      <w:pPr>
        <w:spacing w:after="0" w:line="13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fiscal 2016, the Company recorded special charges of approximately $13.7 million for severance and fringe benefit costs in accordance with the Company's ongoing benefit plan for 123 manufacturing, engineering and SMG&amp;A employees. As of October 28, 2017, the Company still employed 23 of the 123 employees included in these cost reduction actions. These employees must continue to be employed by the Company until their employment is terminated in order to receive the severance benefit.</w:t>
      </w:r>
    </w:p>
    <w:p>
      <w:pPr>
        <w:spacing w:after="0" w:line="92"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During fiscal 2017, the Company recorded special charges of approximately $8.1 million for severance and fringe benefit costs in accordance with the Company's ongoing benefit plan or statutory requirements at foreign locations for 177 manufacturing, engineering and SMG&amp;A employees. As of October 28, 2017, the Company still employed 10 of the 177 employees included in this cost reduction action. These employees must continue to be employed by the Company until their employment is terminated in order to receive the severance benefits.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Linear Technology Corporation</w:t>
      </w:r>
    </w:p>
    <w:p>
      <w:pPr>
        <w:spacing w:after="0" w:line="171" w:lineRule="exact"/>
        <w:rPr>
          <w:sz w:val="20"/>
          <w:szCs w:val="20"/>
          <w:color w:val="auto"/>
        </w:rPr>
      </w:pPr>
    </w:p>
    <w:p>
      <w:pPr>
        <w:ind w:right="880" w:firstLine="405"/>
        <w:spacing w:after="0" w:line="274" w:lineRule="auto"/>
        <w:rPr>
          <w:sz w:val="20"/>
          <w:szCs w:val="20"/>
          <w:color w:val="auto"/>
        </w:rPr>
      </w:pPr>
      <w:r>
        <w:rPr>
          <w:rFonts w:ascii="Arial" w:cs="Arial" w:eastAsia="Arial" w:hAnsi="Arial"/>
          <w:sz w:val="17"/>
          <w:szCs w:val="17"/>
          <w:color w:val="auto"/>
        </w:rPr>
        <w:t>On the Acquisition Date, the Company completed its acquisition of all of the voting interests of Linear, an independent manufacturer of high performance analog integrated circuits. Under the terms of the agreement pursuant to which the Company acquired Linear (Merger</w:t>
      </w:r>
    </w:p>
    <w:p>
      <w:pPr>
        <w:ind w:right="120"/>
        <w:spacing w:after="0" w:line="271" w:lineRule="auto"/>
        <w:rPr>
          <w:sz w:val="20"/>
          <w:szCs w:val="20"/>
          <w:color w:val="auto"/>
        </w:rPr>
      </w:pPr>
      <w:r>
        <w:rPr>
          <w:rFonts w:ascii="Arial" w:cs="Arial" w:eastAsia="Arial" w:hAnsi="Arial"/>
          <w:sz w:val="17"/>
          <w:szCs w:val="17"/>
          <w:color w:val="auto"/>
        </w:rPr>
        <w:t>Agreement), Linear stockholders received, for each outstanding share of Linear common stock, $46.00 in cash and 0.2321 of a share of the Company's common stock at the closing. The Company believes the combination creates the premier analog technology company with the industry’s most comprehensive suite of high-performance analog offerings. The results of operations of Linear from the Acquisition Date are included in the Company’s consolidated statements of income, consolidated balance sheet, consolidated statement of cash flows and shareholders’ equity for fiscal 2017. The amount of revenue attributable to Linear included in the Company's consolidated statements of income for fiscal 2017 was $913.2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in the Acquisition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40"/>
              <w:spacing w:after="0"/>
              <w:rPr>
                <w:sz w:val="20"/>
                <w:szCs w:val="20"/>
                <w:color w:val="auto"/>
              </w:rPr>
            </w:pPr>
            <w:r>
              <w:rPr>
                <w:rFonts w:ascii="Arial" w:cs="Arial" w:eastAsia="Arial" w:hAnsi="Arial"/>
                <w:sz w:val="18"/>
                <w:szCs w:val="18"/>
                <w:color w:val="auto"/>
              </w:rPr>
              <w:t>Cash consideration (a)</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11,092,047</w:t>
            </w:r>
          </w:p>
        </w:tc>
      </w:tr>
      <w:tr>
        <w:trPr>
          <w:trHeight w:val="27"/>
        </w:trPr>
        <w:tc>
          <w:tcPr>
            <w:tcW w:w="8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(b)</w:t>
            </w:r>
          </w:p>
        </w:tc>
        <w:tc>
          <w:tcPr>
            <w:tcW w:w="9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4,593,655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Fair value of replacement share-based and cash awards (c)</w:t>
            </w:r>
          </w:p>
        </w:tc>
        <w:tc>
          <w:tcPr>
            <w:tcW w:w="9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70,954</w:t>
            </w:r>
          </w:p>
        </w:tc>
      </w:tr>
      <w:tr>
        <w:trPr>
          <w:trHeight w:val="27"/>
        </w:trPr>
        <w:tc>
          <w:tcPr>
            <w:tcW w:w="8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purchase consideration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15,756,656</w:t>
            </w:r>
          </w:p>
        </w:tc>
      </w:tr>
      <w:tr>
        <w:trPr>
          <w:trHeight w:val="20"/>
        </w:trPr>
        <w:tc>
          <w:tcPr>
            <w:tcW w:w="8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660" w:right="20"/>
        <w:spacing w:after="0" w:line="250" w:lineRule="auto"/>
        <w:rPr>
          <w:sz w:val="20"/>
          <w:szCs w:val="20"/>
          <w:color w:val="auto"/>
        </w:rPr>
      </w:pPr>
      <w:r>
        <w:rPr>
          <w:rFonts w:ascii="Arial" w:cs="Arial" w:eastAsia="Arial" w:hAnsi="Arial"/>
          <w:sz w:val="18"/>
          <w:szCs w:val="18"/>
          <w:color w:val="auto"/>
        </w:rPr>
        <w:t xml:space="preserve">(a)The cash consideration was funded utilizing cash on hand, the net proceeds from bridge credit and term loan facilities and the proceeds received from the Company's issuance of the Notes (see Note 16, </w:t>
      </w:r>
      <w:r>
        <w:rPr>
          <w:rFonts w:ascii="Arial" w:cs="Arial" w:eastAsia="Arial" w:hAnsi="Arial"/>
          <w:sz w:val="18"/>
          <w:szCs w:val="18"/>
          <w:i w:val="1"/>
          <w:iCs w:val="1"/>
          <w:color w:val="auto"/>
        </w:rPr>
        <w:t>Debt</w:t>
      </w:r>
      <w:r>
        <w:rPr>
          <w:rFonts w:ascii="Arial" w:cs="Arial" w:eastAsia="Arial" w:hAnsi="Arial"/>
          <w:sz w:val="18"/>
          <w:szCs w:val="18"/>
          <w:color w:val="auto"/>
        </w:rPr>
        <w:t>, of these Notes to Consolidated Financial Statements). This reflects the cash portion of the purchase consideration paid to Linear stockholders of approximately $11.1 billion, as well as $16.3 million for the cash-settled portion of consideration paid to holders of restricted stock and restricted stock awards that automatically vested at the effective time of the Acquisition pursuant to pre-existing change-of-control agreements.</w:t>
      </w:r>
    </w:p>
    <w:p>
      <w:pPr>
        <w:spacing w:after="0" w:line="2" w:lineRule="exact"/>
        <w:rPr>
          <w:sz w:val="20"/>
          <w:szCs w:val="20"/>
          <w:color w:val="auto"/>
        </w:rPr>
      </w:pPr>
    </w:p>
    <w:p>
      <w:pPr>
        <w:ind w:left="660" w:right="260" w:hanging="4"/>
        <w:spacing w:after="0" w:line="250" w:lineRule="auto"/>
        <w:tabs>
          <w:tab w:leader="none" w:pos="9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fair value is based on the issuance of approximately 55.9 million shares of the Company's common stock with a per-share value of $82.20 (the closing price of the Company's common stock on The Nasdaq Global Select Market on the Acquisition Date).</w:t>
      </w:r>
    </w:p>
    <w:p>
      <w:pPr>
        <w:ind w:left="660" w:right="340" w:hanging="4"/>
        <w:spacing w:after="0" w:line="277" w:lineRule="auto"/>
        <w:tabs>
          <w:tab w:leader="none" w:pos="9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connection with the Acquisition, the Company issued equity and cash awards to certain Linear employees to replace Linear equity awards. This amount represents the portion of the fair value of the replacement equity and cash awards associated with services rendered though the Acquisition Date and have been included as a component of the total estimated purchase consideration.</w:t>
      </w:r>
    </w:p>
    <w:p>
      <w:pPr>
        <w:spacing w:after="0" w:line="11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preliminary fair values of assets acquired and liabilities assumed as of the Acquisition Date are set forth in the table below. The excess of the purchase consideration over the aggregate Acquisition Date value of identifiable net assets acquired was recorded as goodwill. None of the goodwill is expected to be deductible for tax purposes. These preliminary Acquisition Date values were generally determined through established and generally accepted valuation techniques and are subject to change during the measurement period as valuations are finalized. As a result, the Acquisition accounting is not complete and additional information that existed at the Acquisition Date may become known to the Company during the remainder of the measurement period. Subsequent to the initial acquisition accounting recognized during the second quarter of fiscal 2017, the Company recorded acquisition accounting adjustments of $52.1 million to goodwill comprised of $23.8 million to inventory, $0.7 million to fixed assets, $12.2 million to intangible assets, $0.3 million to accounts receivable, $2.8 million to assumed liabilities and $18.4 million to deferred tax liabilities. As of the filing date of this Annual Report on Form 10-K, the Company is still in the process of valuing Linear's assets, including inventory, fixed assets, intangible assets, and liabilities, including deferred revenue and related income tax accounting.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9480" w:type="dxa"/>
            <w:vAlign w:val="bottom"/>
          </w:tcPr>
          <w:p>
            <w:pPr>
              <w:ind w:left="4660"/>
              <w:spacing w:after="0"/>
              <w:rPr>
                <w:sz w:val="20"/>
                <w:szCs w:val="20"/>
                <w:color w:val="auto"/>
              </w:rPr>
            </w:pPr>
            <w:r>
              <w:rPr>
                <w:rFonts w:ascii="Arial" w:cs="Arial" w:eastAsia="Arial" w:hAnsi="Arial"/>
                <w:sz w:val="18"/>
                <w:szCs w:val="18"/>
                <w:b w:val="1"/>
                <w:bCs w:val="1"/>
                <w:color w:val="auto"/>
              </w:rPr>
              <w:t>ANALOG DEVICES, INC.</w:t>
            </w: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80" w:type="dxa"/>
            <w:vAlign w:val="bottom"/>
          </w:tcPr>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94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1,466,445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100,246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(a)</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146,282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461,698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462,285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(Note 10)</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5,152,600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 (Note 10)</w:t>
            </w: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10,532,272</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18,336,610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Assumed liabilities</w:t>
            </w: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188,454</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2,391,500</w:t>
            </w:r>
          </w:p>
        </w:tc>
        <w:tc>
          <w:tcPr>
            <w:tcW w:w="0" w:type="dxa"/>
            <w:vAlign w:val="bottom"/>
          </w:tcPr>
          <w:p>
            <w:pPr>
              <w:spacing w:after="0"/>
              <w:rPr>
                <w:sz w:val="1"/>
                <w:szCs w:val="1"/>
                <w:color w:val="auto"/>
              </w:rPr>
            </w:pP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purchase consideration</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15,756,656</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20"/>
                <w:szCs w:val="20"/>
                <w:color w:val="auto"/>
              </w:rPr>
              <w:t>____________</w:t>
            </w: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40" w:hanging="328"/>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fair value of accounts receivable was $146.5 million, with the gross contractual amount being $148.2 million, of which the Company estimates that $1.7 million is uncollectible.</w:t>
      </w:r>
    </w:p>
    <w:p>
      <w:pPr>
        <w:spacing w:after="0" w:line="13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acquired intangible assets consisted of the following, which are being amortized on a straight-line basis over their estimated useful lives or on an accelerated method of amortization that is expected to reflect the estimated pattern of economic use.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Useful</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6"/>
              <w:spacing w:after="0"/>
              <w:rPr>
                <w:sz w:val="20"/>
                <w:szCs w:val="20"/>
                <w:color w:val="auto"/>
              </w:rPr>
            </w:pPr>
            <w:r>
              <w:rPr>
                <w:rFonts w:ascii="Arial" w:cs="Arial" w:eastAsia="Arial" w:hAnsi="Arial"/>
                <w:sz w:val="18"/>
                <w:szCs w:val="18"/>
                <w:color w:val="auto"/>
              </w:rPr>
              <w:t>1,046,100</w:t>
            </w: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72,200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640" w:type="dxa"/>
            <w:vAlign w:val="bottom"/>
          </w:tcPr>
          <w:p>
            <w:pPr>
              <w:jc w:val="right"/>
              <w:ind w:right="136"/>
              <w:spacing w:after="0"/>
              <w:rPr>
                <w:sz w:val="20"/>
                <w:szCs w:val="20"/>
                <w:color w:val="auto"/>
              </w:rPr>
            </w:pPr>
            <w:r>
              <w:rPr>
                <w:rFonts w:ascii="Arial" w:cs="Arial" w:eastAsia="Arial" w:hAnsi="Arial"/>
                <w:sz w:val="18"/>
                <w:szCs w:val="18"/>
                <w:color w:val="auto"/>
              </w:rPr>
              <w:t>4,034,300</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amortizable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5,152,600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goodwill recognized is attributable to synergies which are expected to enhance and expand the Company’s overall product portfolio and opportunities in new and existing markets, future technologies that have yet to be determined and Linear's assembled workforce. Future technologies do not meet the criteria for recognition separately from goodwill because they are part of future development and growth of the business.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significant contingencies assumed as part of the Acquisition.</w:t>
      </w:r>
    </w:p>
    <w:p>
      <w:pPr>
        <w:spacing w:after="0" w:line="13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Company recognized $69.5 million of transaction-related costs, including legal, accounting and other related fees that were expensed in fiscal 2017. These costs are included in the consolidated statements of income in operating expenses within SMG&amp;A expenses. The Company may incur additional transaction-related costs within the next twelve months related to the Acquisition that will be expensed as incurred.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unaudited pro forma consolidated financial information combines the unaudited results of the Company for the year ended October 28,</w:t>
      </w:r>
    </w:p>
    <w:p>
      <w:pPr>
        <w:spacing w:after="0" w:line="4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2017 and the unaudited results of Linear for the year ended October 28, 2017 and assumes that the Acquisition, which closed on March 10, 2017, was completed on November 1, 2015 (the first day of fiscal 2016). The pro forma consolidated financial information has been calculated after applying the Company’s accounting policies and includes adjustments for amortization expense of acquired intangible assets, transaction-related costs, a step-up in the value of acquired inventory and property, plant and equipment, compensation expense for ongoing share-based compensation arrangements replaced and interest expense for the debt incurred to fund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1, 2015.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00" w:type="dxa"/>
            <w:vAlign w:val="bottom"/>
          </w:tcPr>
          <w:p>
            <w:pPr>
              <w:ind w:left="80"/>
              <w:spacing w:after="0"/>
              <w:rPr>
                <w:sz w:val="20"/>
                <w:szCs w:val="20"/>
                <w:color w:val="auto"/>
              </w:rPr>
            </w:pPr>
            <w:r>
              <w:rPr>
                <w:rFonts w:ascii="Arial" w:cs="Arial" w:eastAsia="Arial" w:hAnsi="Arial"/>
                <w:sz w:val="18"/>
                <w:szCs w:val="18"/>
                <w:color w:val="auto"/>
              </w:rPr>
              <w:t>(thousands, except per share data)</w:t>
            </w:r>
          </w:p>
        </w:tc>
        <w:tc>
          <w:tcPr>
            <w:tcW w:w="3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Pro Forma Twelve Months Ended</w:t>
            </w:r>
          </w:p>
        </w:tc>
      </w:tr>
      <w:tr>
        <w:trPr>
          <w:trHeight w:val="264"/>
        </w:trPr>
        <w:tc>
          <w:tcPr>
            <w:tcW w:w="7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October 28, 2017</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October 29, 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5,702,841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4,842,658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1,039,522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359,037</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2.78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0.97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3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any other acquisitions completed in fiscal 2017, fiscal 2016 or fiscal 2015 herein as they were not material to the Company on either an individual or an aggregate basis. The Company included the results of operations of each acquisition in its consolidated statement of income from the date of each acquisition.</w:t>
      </w:r>
    </w:p>
    <w:p>
      <w:pPr>
        <w:spacing w:after="0" w:line="177"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Investments in The Analog Devices, Inc. Deferred Compensation Plan (the Deferred Compensation Plan) are classified as trading. The components of the investments as of October 28, 2017 and October 29,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31,097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23,787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Compensation Plan investments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33,510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26,916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fair values of these investments are based on published market quotes on October 28, 2017 and October 29, 2016, respectively. Adjustments to the fair value of, and income pertaining to, Deferred Compensation Plan investments are recorded in operating expenses within selling, marketing, general and administrative. Gross realized and unrealized gains and losses from trading securities were not material in fiscal 2017, fiscal 2016 or fiscal 2015.</w:t>
      </w:r>
    </w:p>
    <w:p>
      <w:pPr>
        <w:spacing w:after="0" w:line="5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The Company has recorded a corresponding liability for amounts owed to the Deferred Compensation Plan participants. See Note 10,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 Liability, </w:t>
      </w:r>
      <w:r>
        <w:rPr>
          <w:rFonts w:ascii="Arial" w:cs="Arial" w:eastAsia="Arial" w:hAnsi="Arial"/>
          <w:sz w:val="18"/>
          <w:szCs w:val="18"/>
          <w:color w:val="auto"/>
        </w:rPr>
        <w:t>of these Notes to Consolidated Financial Statements for further information. These investments are specifically designated as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Company solely for the purpose of paying benefits under the Deferred Compensation Plan. However, in the event the Company were to become insolvent, the investments would be available to all unsecured general creditors.</w:t>
      </w:r>
    </w:p>
    <w:p>
      <w:pPr>
        <w:spacing w:after="0" w:line="18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Other investments consist of interests in venture capital funds and other long-term investments. Investments are accounted for using the equity or cost method of accounting, depending on the nature of the investment, as appropriate. Realized gains and losses from equity method investments are reflected in nonoperating (income) expense based upon the Company's ownership share of the investee's financial results. Realized gains or losses on cost-method investments are determined based on the specific identification basis and are recognized in nonoperating (income) expense.</w:t>
      </w:r>
    </w:p>
    <w:p>
      <w:pPr>
        <w:spacing w:after="0" w:line="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2017 and fiscal 2016, the Company recognized other-than-temporary impairments of $5.0 million and $6.0 million, respectively, recorded in the condensed consolidated statement of income in other, net, within non-operating (income) expense, related to cost method investments that the Company determined were impaired. There were no other-than-temporary impairments recognized in any other of the fiscal periods presented.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material net realized or unrealized gains or losses from other investments during fiscal 2017, fiscal 2016 and fiscal 2015.</w:t>
      </w:r>
    </w:p>
    <w:p>
      <w:pPr>
        <w:spacing w:after="0" w:line="221"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at October 28, 2017 and October 29, 2016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(Note 16)</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charges (Note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105,069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255,857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w:t>
      </w:r>
    </w:p>
    <w:p>
      <w:pPr>
        <w:spacing w:after="0" w:line="1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50"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Company leases certain facilities, equipment and software under various operating leases that expire at various dates through 2057. The lease agreements frequently include renewal and escalation clauses and require the Company to pay taxes, insurance and maintenance costs. Total rental expense under operating leases was approximately $58.8 million in fiscal 2017, $58.5 million in fiscal 2016 and $51.8 million in fiscal 2015.</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October 28,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24"/>
                <w:szCs w:val="2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23,663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13,048</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37,578</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142,913</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50"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For former Linear employees, the Company contributes to a defined contribution plan for qualified U.S. employees as part of the Company’s semi-annual profit sharing payouts. The total expense related to the defined contribution plans for U.S. employees was $35.8 million in fiscal 2017, $28.3 million in fiscal 2016 and $26.3 million in fiscal 2015. The Company also has various defined benefit pension and other retirement plans for certain non-U.S. employees that are consistent with local statutory requirements and practices. The total expense related to the various defined benefit pension, contribution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other retirement plans for certain non-U.S. employees, excluding settlement charges related to the Company's Irish defined benefit plan in fiscal 2015, was $33.0 million in fiscal 2017, $26.9 million in fiscal 2016 and $33.3 million in fiscal 2015.</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Non-U.S. Plan Disclosures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fiscal 2015, the Company converted the benefits provided to participants in the Company’s Irish defined benefits pension plan (the DB Plan) to benefits provided under the Company’s Irish defined contribution plan. As a result, in fiscal 2015 the Company recorded expenses of $223.7 million, including settlement charges, legal, accounting and other professional fees to settle the pension obligation. The assets related to the DB Plan were liquidated and used to purchase annuities for retirees and distributed to active and deferred members' accounts in the Company's Irish defined contribution plan in connection with the plan conversion. Accordingly, plan assets for the DB Plan were zero as of the end of fiscal 2015.</w:t>
      </w:r>
    </w:p>
    <w:p>
      <w:pPr>
        <w:spacing w:after="0" w:line="159" w:lineRule="exact"/>
        <w:rPr>
          <w:sz w:val="20"/>
          <w:szCs w:val="20"/>
          <w:color w:val="auto"/>
        </w:rPr>
      </w:pPr>
    </w:p>
    <w:p>
      <w:pPr>
        <w:ind w:right="120" w:firstLine="432"/>
        <w:spacing w:after="0" w:line="258"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has elected to measure defined benefit plan assets and obligations as of October 31, which is the month-end that is closest to its fiscal year-ends, which were October 28, 2017 for fiscal 2017 and October 29, 2016 for fiscal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annual periodic pension cost of non-U.S. plans for fiscal 2017, fiscal 2016 and fiscal 2015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11,636</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7,257</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Curtailment impact</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impact</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226,810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243,195</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Benefit Obligations and Plan Assets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Obligation and asset data of the Company’s non-U.S. plans at October 28, 2017 and October 29, 2016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129,711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106,533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Benefit obligation at end of year</w:t>
            </w:r>
          </w:p>
        </w:tc>
        <w:tc>
          <w:tcPr>
            <w:tcW w:w="39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139,516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129,711</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69,823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70,365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9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79,616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Funded Status</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Funded status</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(59,888)</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Balance Sheet</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(59,282)</w:t>
            </w:r>
          </w:p>
        </w:tc>
        <w:tc>
          <w:tcPr>
            <w:tcW w:w="0" w:type="dxa"/>
            <w:vAlign w:val="bottom"/>
          </w:tcPr>
          <w:p>
            <w:pPr>
              <w:spacing w:after="0"/>
              <w:rPr>
                <w:sz w:val="1"/>
                <w:szCs w:val="1"/>
                <w:color w:val="auto"/>
              </w:rPr>
            </w:pPr>
          </w:p>
        </w:tc>
      </w:tr>
      <w:tr>
        <w:trPr>
          <w:trHeight w:val="237"/>
        </w:trPr>
        <w:tc>
          <w:tcPr>
            <w:tcW w:w="4440" w:type="dxa"/>
            <w:vAlign w:val="bottom"/>
          </w:tcPr>
          <w:p>
            <w:pPr>
              <w:ind w:left="380"/>
              <w:spacing w:after="0"/>
              <w:rPr>
                <w:sz w:val="20"/>
                <w:szCs w:val="20"/>
                <w:color w:val="auto"/>
              </w:rPr>
            </w:pPr>
            <w:r>
              <w:rPr>
                <w:rFonts w:ascii="Arial" w:cs="Arial" w:eastAsia="Arial" w:hAnsi="Arial"/>
                <w:sz w:val="18"/>
                <w:szCs w:val="18"/>
                <w:color w:val="auto"/>
              </w:rPr>
              <w:t>Net amount recognized</w:t>
            </w:r>
          </w:p>
        </w:tc>
        <w:tc>
          <w:tcPr>
            <w:tcW w:w="39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vMerge w:val="restart"/>
          </w:tcPr>
          <w:p>
            <w:pPr>
              <w:jc w:val="right"/>
              <w:ind w:right="2450"/>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contributions less than net periodic benefit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Changes Recognized in 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 arising during the year (includes curtailment gains not recognized as a component of net periodic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amounts included in 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or settlement recognition of 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26,137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Estimated amounts that will be amortized from accumulated other comprehensive (loss) income over the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next fiscal year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accumulated benefit obligation for non-U.S. pension plans was $116.7 million and $106.4 million at October 28, 2017 and October 29, 2016, respectively.</w:t>
      </w:r>
    </w:p>
    <w:p>
      <w:pPr>
        <w:spacing w:after="0" w:line="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October 28, 2017 and October 29, 2016 is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Plans with projected benefit obligations in excess of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139,516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129,711</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69,823</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1"/>
              </w:rPr>
              <w:t>Plans with accumulated benefit obligations in excess of plan assets:</w:t>
            </w:r>
          </w:p>
        </w:tc>
        <w:tc>
          <w:tcPr>
            <w:tcW w:w="2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98,244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103,470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93,164</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45,948</w:t>
            </w:r>
          </w:p>
        </w:tc>
      </w:tr>
      <w:tr>
        <w:trPr>
          <w:trHeight w:val="459"/>
        </w:trPr>
        <w:tc>
          <w:tcPr>
            <w:tcW w:w="5400" w:type="dxa"/>
            <w:vAlign w:val="bottom"/>
          </w:tcPr>
          <w:p>
            <w:pPr>
              <w:spacing w:after="0"/>
              <w:rPr>
                <w:sz w:val="24"/>
                <w:szCs w:val="24"/>
                <w:color w:val="auto"/>
              </w:rPr>
            </w:pPr>
          </w:p>
        </w:tc>
        <w:tc>
          <w:tcPr>
            <w:tcW w:w="2940" w:type="dxa"/>
            <w:vAlign w:val="bottom"/>
          </w:tcPr>
          <w:p>
            <w:pPr>
              <w:jc w:val="right"/>
              <w:ind w:right="245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as well as the differences in the attributes of the participants. As of October 29, 2016, the Company changed the method utilized to estimate the service cost and interest cost components of net periodic benefit cost for certain of its defined benefit pension plans. Prior to October 29, 2016, the Company estimated the service cost and interest cost components of net periodic benefit costs using a single weighted average discount rate. Beginning October 29, 2016, the Company uses a spot rate approach to estimate the service and interest cost components of net periodic benefit cost for certain of its defined benefit pension plans as the Company believes this approach calculates a better estimate. The change did not, and is not expected to, materially affect the Company's Consolidated Statement of Income.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projected benefit obligation was determined using the following weighted-average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365"/>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82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5.58%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9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October 28, 2017 and October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2016 using the same three-level hierarchy described in Note 2j,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of these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28, 2017</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8"/>
              </w:rPr>
              <w:t>October 29, 2016</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Unit trust funds(1)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4,681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Equities(1)</w:t>
            </w:r>
          </w:p>
        </w:tc>
        <w:tc>
          <w:tcPr>
            <w:tcW w:w="16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4,701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32,520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37,290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30,510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30,584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income securities(2)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39,442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33,573</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Total assets measured at fair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5,909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73,638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ind w:left="840"/>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79,616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68,764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69,823</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-98425</wp:posOffset>
            </wp:positionV>
            <wp:extent cx="5866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9" w:lineRule="exact"/>
        <w:rPr>
          <w:sz w:val="20"/>
          <w:szCs w:val="20"/>
          <w:color w:val="auto"/>
        </w:rPr>
      </w:pPr>
    </w:p>
    <w:p>
      <w:pPr>
        <w:ind w:left="360" w:right="40" w:hanging="325"/>
        <w:spacing w:after="0" w:line="272" w:lineRule="auto"/>
        <w:tabs>
          <w:tab w:leader="none" w:pos="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Level 3 securities are valued at book value per share based upon the financial statements of the investment.</w:t>
      </w:r>
    </w:p>
    <w:p>
      <w:pPr>
        <w:spacing w:after="0" w:line="15" w:lineRule="exact"/>
        <w:rPr>
          <w:rFonts w:ascii="Arial" w:cs="Arial" w:eastAsia="Arial" w:hAnsi="Arial"/>
          <w:sz w:val="17"/>
          <w:szCs w:val="17"/>
          <w:color w:val="auto"/>
        </w:rPr>
      </w:pPr>
    </w:p>
    <w:p>
      <w:pPr>
        <w:ind w:left="360" w:right="140" w:hanging="325"/>
        <w:spacing w:after="0" w:line="27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76"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The table below presents a reconciliation of the plan assets measured at fair value on a recurring basis using significant unobservable inputs (Level 3) for fiscal 2017 and fiscal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Equities</w:t>
            </w: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982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8"/>
          <w:szCs w:val="18"/>
          <w:color w:val="auto"/>
        </w:rPr>
        <w:t>Purchases, sales,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and unrealized return on plan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Exchange rate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as of October 28, 2017</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Estimated future cash flows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Expected fiscal 2018 Company contributions and 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Expected Company Contributions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Expected Benefit Payments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(420)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420</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ind w:left="1287" w:hanging="1287"/>
        <w:spacing w:after="0"/>
        <w:tabs>
          <w:tab w:leader="none" w:pos="12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69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127"/>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4,978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-902335</wp:posOffset>
            </wp:positionV>
            <wp:extent cx="1012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9133" w:space="720"/>
            <w:col w:w="1567"/>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380"/>
              <w:spacing w:after="0"/>
              <w:rPr>
                <w:sz w:val="20"/>
                <w:szCs w:val="20"/>
                <w:color w:val="auto"/>
              </w:rPr>
            </w:pPr>
            <w:r>
              <w:rPr>
                <w:rFonts w:ascii="Arial" w:cs="Arial" w:eastAsia="Arial" w:hAnsi="Arial"/>
                <w:sz w:val="18"/>
                <w:szCs w:val="18"/>
                <w:color w:val="auto"/>
              </w:rPr>
              <w:t>2019</w:t>
            </w:r>
          </w:p>
        </w:tc>
        <w:tc>
          <w:tcPr>
            <w:tcW w:w="6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1,958</w:t>
            </w:r>
          </w:p>
        </w:tc>
      </w:tr>
      <w:tr>
        <w:trPr>
          <w:trHeight w:val="27"/>
        </w:trPr>
        <w:tc>
          <w:tcPr>
            <w:tcW w:w="3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6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2021</w:t>
            </w:r>
          </w:p>
        </w:tc>
        <w:tc>
          <w:tcPr>
            <w:tcW w:w="6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2,079</w:t>
            </w:r>
          </w:p>
        </w:tc>
      </w:tr>
      <w:tr>
        <w:trPr>
          <w:trHeight w:val="27"/>
        </w:trPr>
        <w:tc>
          <w:tcPr>
            <w:tcW w:w="3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6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2023</w:t>
            </w:r>
          </w:p>
        </w:tc>
        <w:tc>
          <w:tcPr>
            <w:tcW w:w="6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2,936</w:t>
            </w:r>
          </w:p>
        </w:tc>
      </w:tr>
      <w:tr>
        <w:trPr>
          <w:trHeight w:val="27"/>
        </w:trPr>
        <w:tc>
          <w:tcPr>
            <w:tcW w:w="3700" w:type="dxa"/>
            <w:vAlign w:val="bottom"/>
          </w:tcPr>
          <w:p>
            <w:pPr>
              <w:spacing w:after="0"/>
              <w:rPr>
                <w:sz w:val="2"/>
                <w:szCs w:val="2"/>
                <w:color w:val="auto"/>
              </w:rPr>
            </w:pPr>
          </w:p>
        </w:tc>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 through 2027</w:t>
            </w:r>
          </w:p>
        </w:tc>
        <w:tc>
          <w:tcPr>
            <w:tcW w:w="6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21,083</w:t>
            </w:r>
          </w:p>
        </w:tc>
      </w:tr>
      <w:tr>
        <w:trPr>
          <w:trHeight w:val="459"/>
        </w:trPr>
        <w:tc>
          <w:tcPr>
            <w:tcW w:w="3700" w:type="dxa"/>
            <w:vAlign w:val="bottom"/>
          </w:tcPr>
          <w:p>
            <w:pPr>
              <w:spacing w:after="0"/>
              <w:rPr>
                <w:sz w:val="24"/>
                <w:szCs w:val="24"/>
                <w:color w:val="auto"/>
              </w:rPr>
            </w:pPr>
          </w:p>
        </w:tc>
        <w:tc>
          <w:tcPr>
            <w:tcW w:w="6740" w:type="dxa"/>
            <w:vAlign w:val="bottom"/>
          </w:tcPr>
          <w:p>
            <w:pPr>
              <w:jc w:val="right"/>
              <w:ind w:right="4550"/>
              <w:spacing w:after="0"/>
              <w:rPr>
                <w:sz w:val="20"/>
                <w:szCs w:val="20"/>
                <w:color w:val="auto"/>
              </w:rPr>
            </w:pPr>
            <w:r>
              <w:rPr>
                <w:rFonts w:ascii="Arial" w:cs="Arial" w:eastAsia="Arial" w:hAnsi="Arial"/>
                <w:sz w:val="18"/>
                <w:szCs w:val="18"/>
                <w:color w:val="auto"/>
              </w:rPr>
              <w:t>83</w:t>
            </w: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reconciliation of income tax computed at the U.S. federal statutory rates to income tax expense for fiscal 2017, fiscal 2016 and fiscal 2015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 reconciliation: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289,970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334,922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283,540</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foreign income subject to lower tax rate</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(385,189)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(264,157)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(198,061)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(4,425)</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4,875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(51,088)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2,449</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159,466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35,641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38,973</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109,040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(5,883)</w:t>
            </w: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101,226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95,257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113,236</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Included in income tax expense for fiscal 2017 is $98.2 million related to post acquisition integration and $10.8 million related to non-deductible acquisition costs. For financial reporting purposes, income before income taxes for fiscal 2017, fiscal 2016 and fiscal 2015 includes the following components: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109,565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110,710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718,920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954,279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699,404</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828,485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956,921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810,114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for fiscal 2017, fiscal 2016 and fiscal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857,664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65,942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98,813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927,095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165,450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(24,822)</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(825,869)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has a basis difference in its investment in foreign subsidiaries of $10.7 billion primarily as a result of unremitted earnings, the Acquisition and post-acquisition integration . The unremitted earnings as of October 28, 2017 was $6.3 billion. The Company intends for this basis difference to be permanently reinvested. Accordingly no U.S. income taxes have been provided. Determination of the amount of unrecognized deferred income tax liability related to the outside basis difference associated with the Acquisition is not practicable, due to the complexities associated with the manner in which the basis difference could reverse including through receipt of dividends, sale or various other events.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and liabilities for fiscal 2017 and fiscal 2016 are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48,062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56,345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39,256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(67,094)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(193,059)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(315,785)</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(1,642,361)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valuation allowances of $53.8 million and $67.1 million at October 28, 2017 and October 29, 2016, respectively, are valuation allowances primarily for the Company’s state credit carryforwards. The reduction in the valuation allowance is primarily attributable to the Acquisition. The Company believes that it is more-likely-than-not that these credit carryovers will not be realized and as a result has recorded a full valuation allowance as of October 28, 2017. The state credit carryover of $68.3 million will begin to expire in 2018.</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operating losses relate to the U.S and are not subject to a valuation allowance. These losses will begin to expire in 2025.</w:t>
      </w:r>
    </w:p>
    <w:p>
      <w:pPr>
        <w:spacing w:after="0" w:line="131"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of October 28, 2017 and October 29, 2016, the Company had a net liability of $47.6 million and $75.6 million, respectively, for unrealized tax benefits, all of which, if settled in the Company’s favor, would lower the Company’s effective tax rate in the period recorded. As of October 28, 2017 and October 29, 2016, the Company had a liability of approximately $10.8 million and $20.1 million, respectively, for interest and penalties. The Company includes interest and penalties related to unrecognized tax benefits within the provision for taxes in the consolidated statements of income. The total gross liability as of October 28, 2017 and October 29, 2016 of $49.6 million and $81.7 million, respectively, for uncertain tax positions is classified as non-current, and is included in other non-current liabilities, because the Company believes that the ultimate payment or settlement of these liabilities may not occur within the next twelve months. The consolidated statements of income for fiscal year 2017, fiscal 2016 and fiscal 2015 include $(12.3) million, $4.0 million and $4.1 million, respectively, of interest and penalties related to these uncertain tax positions. Over the next fiscal year, the Company anticipates the liability may be reduced up to $22.6 million for the possible expiration of an income tax statute of limitations.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2015 through fiscal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Unrealized Tax Benefits</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65,464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71,782</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29, 2016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68,535</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acquisition</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12,332</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28,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37,857</w:t>
            </w:r>
          </w:p>
        </w:tc>
      </w:tr>
      <w:tr>
        <w:trPr>
          <w:trHeight w:val="20"/>
        </w:trPr>
        <w:tc>
          <w:tcPr>
            <w:tcW w:w="9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had filed a petition with the U.S. Tax Court for one open matter for fiscal years 2006 and 2007 that pertained to Section 965 of the Internal Revenue Code related to the beneficial tax treatment of dividends paid from foreign owned companies under The American Jobs Creation Act. The Company recorded a $36.5 million reserve for this potential liability in the fourth quarter of fiscal 2013. A favorable ruling was rendered by the U.S. Tax Court on November 22, 2016. On February 27, 2017, the U.S. Tax Court’s Decision Order was entered and the 90-day period for the Internal Revenue Service to file a Notice of Appeal lapsed on May 30, 2017. As a result, on May 30, 2017, the Company released the $50.5 million reserve, which was comprised of the $41.7 million in originally-recorded and subsequent accruals for this potential liability, plus $8.8 million of net interest.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U.S. federal tax returns prior to fiscal 2014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Ireland tax returns prior to fiscal 2013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tax returns for Linear Technology Pte. Ltd. (Singapore) prior to the fiscal year ended June 2012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tax returns for Linear Semiconductor Sdn. Bhd. (Malaysia) prior to the fiscal year ended June 2011 are no longer subject to examination.</w:t>
      </w:r>
    </w:p>
    <w:p>
      <w:pPr>
        <w:spacing w:after="0" w:line="142"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The Company has a partial tax holiday in Singapore and Malaysia whereby the local statutory rate is significantly reduced, if certain conditions are met. The tax holiday for Singapore is effective through August 2019 and the tax holiday for Malaysia is effective through July 2025. The impact of the Singapore and Malaysia tax holidays was to increase net income by approximately $27.4 million in fiscal year 2017.</w:t>
      </w:r>
    </w:p>
    <w:p>
      <w:pPr>
        <w:spacing w:after="0" w:line="177"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3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Company has a senior unsecured revolving credit facility with certain institutional lenders (the Credit Agreement) that expires on July 10, 2020. The Credit Agreement provides that the Company may borrow up to $1.0 billion. To date, the Company has not borrowed under this revolving credit facility but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0.50% or (iii) one month Eurodollar Rate plus 1%). The Credit Agreement imposes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EBITDA (earnings before interest, taxes, depreciation, and amortization) of not greater than 5.0 to 1.0. The debt covenant will be reduced over time to 3.0 to 1.0 starting in May 2018. As of October 28, 2017, the Company was compliant with these covenants.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28, 2017,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 and issuance costs. Debt discount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28, 2017, the Company was compliant with these covenants. The 2025 Notes and 2045 Notes are subordinated to any future secured debt and to the other liabilities of the Company's subsidiaries.</w:t>
      </w:r>
    </w:p>
    <w:p>
      <w:pPr>
        <w:spacing w:after="0" w:line="1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July 26, 2016, the Company entered into a definitive agreement to acquire Linear (the Merger Agreement). In connection with the Acquisition, the Company announced that it had obtained commitment financing in the form of a 364-day senior unsecured bridge facility in an aggregate principal amount of up to $7.5 billion (364-day Bridge Commitment) and a 90-day senior unsecured bridge facility in an aggregate principal amount of up to $4.1 billion (90-day Bridge Commitment). As discussed below, as a result of entering into the term loan facility and the issuance of $2.1 billion senior unsecured notes, the 364-day Bridge Commitment was terminated and $13.7 million and $7.2 million of unamortized bridge fees relating to the 364-day Bridge Commitment were accelerated and amortized into interest expense in fiscal 2016 and first quarter of fiscal 2017, respectively. Total fees incurred by the Company for the 364-day Bridge Commitment were approximately $27.5 million.</w:t>
      </w:r>
    </w:p>
    <w:p>
      <w:pPr>
        <w:spacing w:after="0" w:line="12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 the Acquisition Date, the Company entered into a 90-day Bridge Credit Agreement (the Bridge Credit Agreement). The Bridge Credit Agreement provided for unsecured loans in an aggregate principal amount of up to $4.1 billion. In the third quarter of fiscal 2017, the Company repaid all of the $4.1 billion of outstanding loans under the Bridge Credit Agreement. Total fees incurred by the Company for the 90-day Bridge Commitment and Bridge Credit Agreement were approximately $15.0 million.</w:t>
      </w:r>
    </w:p>
    <w:p>
      <w:pPr>
        <w:spacing w:after="0" w:line="133"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On September 23, 2016, the Company entered into a term loan facility consisting of a 3-year unsecured term loan facility in the principal amount of $2.5 billion and a 5-year unsecured term loan facility in the principal amount of $2.5 billion established pursuant to a credit agreement (Term Loan Agreement). The Term Loan Agreement replaced $5.0 billion of the 364-Bridge Commitment. On the Acquisition Date, the Company borrowed under the Term Loan Agreement, consisting of a 3-year unsecured term loan in the principal amount of $2.5 billion, due March 10, 2020 and a 5-year unsecured term loan in the principal amount of $2.5 billion, due March 10, 2022. The 5-year term loan requires repayment in quarterly installments on the last business day of each March, June, September and December with the first required payment due June 2017. Prepayments of principal on the term loans can be made at any time without penalty. In fiscal 2017, the Company repaid $400.0 million of principal on the 5-year unsecured term loan, which satisfied the quarterly obligations due through September 2019. In addition, in fiscal 2017, the Company repaid $550.0 million of principal on the 3-year unsecured term loan. The term loans bear interest at a rate per annum equal to the Eurodollar Rate plus a margin based on the Company’s debt ratings from time to time of between</w:t>
      </w:r>
    </w:p>
    <w:p>
      <w:pPr>
        <w:spacing w:after="0" w:line="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0.75% and 1.63% in the case of the 3-year term loan, and a margin of between 0.88% and 1.75% in the case of the 5-year term loan. As a result of entering into the Term Loan Agreement and drawing on the available borrowings, the Company incurred fees of approximately $11.5 million. The Company recorded these costs as deferred financing costs and will amortize them on a straight-line basis through interest expense over the expected 3- and 5-year terms of the term loans. On November 10, 2017, the Company paid $300.0 million of principal on the 3-year unsecured term loan using cash on hand as of October 28, 2017. This amount was not contractually due under the terms of the loan. As such this amount was classified as current in the Consolidated Balance Sheet as of October 28,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and together with the 2021 Notes, the December 2023 Notes and the 2026 Notes, the Notes) with semi-annual fixed interest payments due on June 5 and December 5 of each year, commencing June 5, 2017. The net proceeds of the offering were $2.1 billion, after discount and issuance costs. Debt discount and issuance costs will be amortized through interest expense over the term of the Notes. The Notes were issued pursuant to an indenture, as supplemented by a supplemental indenture, and the indenture and supplemental indenture contain certain covenants, events of default and other customary provisions. As of October 28, 2017, the Company was compliant with these covenants. The Notes rank without preference or priority among themselves and equally in right of payment with all other existing and future senior unsecured debt and senior in right of payment to all of the Company's future subordinated debt. The issuance of the Notes replaced the remaining $2.5 billion of the 364-day Bridge Commitment.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debt consisted of the following as of October 28, 2017 and October 29, 2016:</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71"/>
              <w:spacing w:after="0"/>
              <w:rPr>
                <w:sz w:val="20"/>
                <w:szCs w:val="20"/>
                <w:color w:val="auto"/>
              </w:rPr>
            </w:pPr>
            <w:r>
              <w:rPr>
                <w:rFonts w:ascii="Arial" w:cs="Arial" w:eastAsia="Arial" w:hAnsi="Arial"/>
                <w:sz w:val="14"/>
                <w:szCs w:val="14"/>
                <w:b w:val="1"/>
                <w:bCs w:val="1"/>
                <w:color w:val="auto"/>
              </w:rPr>
              <w:t>October 28,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251"/>
              <w:spacing w:after="0"/>
              <w:rPr>
                <w:sz w:val="20"/>
                <w:szCs w:val="20"/>
                <w:color w:val="auto"/>
              </w:rPr>
            </w:pPr>
            <w:r>
              <w:rPr>
                <w:rFonts w:ascii="Arial" w:cs="Arial" w:eastAsia="Arial" w:hAnsi="Arial"/>
                <w:sz w:val="14"/>
                <w:szCs w:val="14"/>
                <w:b w:val="1"/>
                <w:bCs w:val="1"/>
                <w:color w:val="auto"/>
              </w:rPr>
              <w:t>October 29, 2016</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19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Unamortized discount and</w:t>
            </w:r>
          </w:p>
        </w:tc>
        <w:tc>
          <w:tcPr>
            <w:tcW w:w="360" w:type="dxa"/>
            <w:vAlign w:val="bottom"/>
          </w:tcPr>
          <w:p>
            <w:pPr>
              <w:spacing w:after="0"/>
              <w:rPr>
                <w:sz w:val="13"/>
                <w:szCs w:val="13"/>
                <w:color w:val="auto"/>
              </w:rPr>
            </w:pPr>
          </w:p>
        </w:tc>
        <w:tc>
          <w:tcPr>
            <w:tcW w:w="14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182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6"/>
              </w:rPr>
              <w:t>Unamortized discount and</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2"/>
              </w:rPr>
              <w:t>debt issuance costs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2"/>
              </w:rPr>
              <w:t>debt issuance costs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3-Year term loan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5-Year term loan</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2,100,000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Notes, due December 2021</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2023 Notes, due June 2023</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 due December 2023</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2025 Notes, due December 2025</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Notes, due December 2026</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2036 Notes, due December 2036</w:t>
            </w:r>
          </w:p>
        </w:tc>
        <w:tc>
          <w:tcPr>
            <w:tcW w:w="3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2045 Notes, due December 2045</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37"/>
        </w:trPr>
        <w:tc>
          <w:tcPr>
            <w:tcW w:w="376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3-Year term loan, current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60" w:type="dxa"/>
            <w:vAlign w:val="bottom"/>
          </w:tcPr>
          <w:p>
            <w:pPr>
              <w:ind w:left="200"/>
              <w:spacing w:after="0"/>
              <w:rPr>
                <w:sz w:val="20"/>
                <w:szCs w:val="20"/>
                <w:color w:val="auto"/>
              </w:rPr>
            </w:pPr>
            <w:r>
              <w:rPr>
                <w:rFonts w:ascii="Arial" w:cs="Arial" w:eastAsia="Arial" w:hAnsi="Arial"/>
                <w:sz w:val="18"/>
                <w:szCs w:val="18"/>
                <w:color w:val="auto"/>
              </w:rPr>
              <w:t>Total Current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On November 10, 2017, the Company repaid $300.0 million of principal on its 3-year unsecured term loan facility. This amount was not contractually due under the terms of the loan. As such this amount is classified as current in the Consolidated Balance Sheet as of October 28, 2017.</w:t>
      </w:r>
    </w:p>
    <w:p>
      <w:pPr>
        <w:spacing w:after="0" w:line="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November 20, 2017, the Board of Directors of the Company declared a cash dividend of $0.45 per outstanding share of common stock. The dividend will be paid on December 12, 2017 to all shareholders of record at the close of business on December 1, 2017.</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(thousands, except per share amounts and as noted)</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fiscal year is the 52-week or 53-week period ending on the Saturday closest to the last day in October. The Company's interim periods operates on a 4-4-5 fiscal calendar, where each fiscal quarter is comprised of two 4-week periods and one 5-week period, with each week ending on a Saturday. The Company's fiscal year quarterly financial information for fiscal 2017 and fiscal 2016 include results of operations of Linear from March 10,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4Q17</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3Q17</w:t>
            </w:r>
          </w:p>
        </w:tc>
        <w:tc>
          <w:tcPr>
            <w:tcW w:w="106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2Q17</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1Q17</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4Q16</w:t>
            </w:r>
          </w:p>
        </w:tc>
        <w:tc>
          <w:tcPr>
            <w:tcW w:w="1040" w:type="dxa"/>
            <w:vAlign w:val="bottom"/>
            <w:gridSpan w:val="2"/>
          </w:tcPr>
          <w:p>
            <w:pPr>
              <w:ind w:left="340"/>
              <w:spacing w:after="0"/>
              <w:rPr>
                <w:sz w:val="20"/>
                <w:szCs w:val="20"/>
                <w:color w:val="auto"/>
              </w:rPr>
            </w:pPr>
            <w:r>
              <w:rPr>
                <w:rFonts w:ascii="Arial" w:cs="Arial" w:eastAsia="Arial" w:hAnsi="Arial"/>
                <w:sz w:val="13"/>
                <w:szCs w:val="13"/>
                <w:b w:val="1"/>
                <w:bCs w:val="1"/>
                <w:color w:val="auto"/>
              </w:rPr>
              <w:t>3Q16</w:t>
            </w:r>
          </w:p>
        </w:tc>
        <w:tc>
          <w:tcPr>
            <w:tcW w:w="1040" w:type="dxa"/>
            <w:vAlign w:val="bottom"/>
            <w:gridSpan w:val="2"/>
          </w:tcPr>
          <w:p>
            <w:pPr>
              <w:ind w:left="340"/>
              <w:spacing w:after="0"/>
              <w:rPr>
                <w:sz w:val="20"/>
                <w:szCs w:val="20"/>
                <w:color w:val="auto"/>
              </w:rPr>
            </w:pPr>
            <w:r>
              <w:rPr>
                <w:rFonts w:ascii="Arial" w:cs="Arial" w:eastAsia="Arial" w:hAnsi="Arial"/>
                <w:sz w:val="13"/>
                <w:szCs w:val="13"/>
                <w:b w:val="1"/>
                <w:bCs w:val="1"/>
                <w:color w:val="auto"/>
              </w:rPr>
              <w:t>2Q16</w:t>
            </w:r>
          </w:p>
        </w:tc>
        <w:tc>
          <w:tcPr>
            <w:tcW w:w="940" w:type="dxa"/>
            <w:vAlign w:val="bottom"/>
          </w:tcPr>
          <w:p>
            <w:pPr>
              <w:jc w:val="right"/>
              <w:ind w:right="248"/>
              <w:spacing w:after="0"/>
              <w:rPr>
                <w:sz w:val="20"/>
                <w:szCs w:val="20"/>
                <w:color w:val="auto"/>
              </w:rPr>
            </w:pPr>
            <w:r>
              <w:rPr>
                <w:rFonts w:ascii="Arial" w:cs="Arial" w:eastAsia="Arial" w:hAnsi="Arial"/>
                <w:sz w:val="13"/>
                <w:szCs w:val="13"/>
                <w:b w:val="1"/>
                <w:bCs w:val="1"/>
                <w:color w:val="auto"/>
              </w:rPr>
              <w:t>1Q16</w:t>
            </w:r>
          </w:p>
        </w:tc>
        <w:tc>
          <w:tcPr>
            <w:tcW w:w="0" w:type="dxa"/>
            <w:vAlign w:val="bottom"/>
          </w:tcPr>
          <w:p>
            <w:pPr>
              <w:spacing w:after="0"/>
              <w:rPr>
                <w:sz w:val="1"/>
                <w:szCs w:val="1"/>
                <w:color w:val="auto"/>
              </w:rPr>
            </w:pPr>
          </w:p>
        </w:tc>
      </w:tr>
      <w:tr>
        <w:trPr>
          <w:trHeight w:val="25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1,541,170</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1,433,902</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1,147,982</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984,449</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1,003,623</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869,591</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778,766</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769,429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sales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535,145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667,278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507,539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335,945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336,936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297,301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267,863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292,136</w:t>
            </w: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1,006,025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766,624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640,443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648,504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666,687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572,290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510,903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477,293</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273,746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275,670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235,232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183,954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172,926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163,227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160,235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157,428</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Selling, marketing, general and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185,721</w:t>
            </w:r>
          </w:p>
        </w:tc>
        <w:tc>
          <w:tcPr>
            <w:tcW w:w="100" w:type="dxa"/>
            <w:vAlign w:val="bottom"/>
          </w:tcPr>
          <w:p>
            <w:pPr>
              <w:spacing w:after="0"/>
              <w:rPr>
                <w:sz w:val="20"/>
                <w:szCs w:val="20"/>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183,980</w:t>
            </w:r>
          </w:p>
        </w:tc>
        <w:tc>
          <w:tcPr>
            <w:tcW w:w="100" w:type="dxa"/>
            <w:vAlign w:val="bottom"/>
          </w:tcPr>
          <w:p>
            <w:pPr>
              <w:spacing w:after="0"/>
              <w:rPr>
                <w:sz w:val="20"/>
                <w:szCs w:val="20"/>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190,686</w:t>
            </w:r>
          </w:p>
        </w:tc>
        <w:tc>
          <w:tcPr>
            <w:tcW w:w="100" w:type="dxa"/>
            <w:vAlign w:val="bottom"/>
          </w:tcPr>
          <w:p>
            <w:pPr>
              <w:spacing w:after="0"/>
              <w:rPr>
                <w:sz w:val="20"/>
                <w:szCs w:val="20"/>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130,659</w:t>
            </w:r>
          </w:p>
        </w:tc>
        <w:tc>
          <w:tcPr>
            <w:tcW w:w="100" w:type="dxa"/>
            <w:vAlign w:val="bottom"/>
          </w:tcPr>
          <w:p>
            <w:pPr>
              <w:spacing w:after="0"/>
              <w:rPr>
                <w:sz w:val="20"/>
                <w:szCs w:val="20"/>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118,881</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122,909</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112,186</w:t>
            </w:r>
          </w:p>
        </w:tc>
        <w:tc>
          <w:tcPr>
            <w:tcW w:w="100" w:type="dxa"/>
            <w:vAlign w:val="bottom"/>
          </w:tcPr>
          <w:p>
            <w:pPr>
              <w:spacing w:after="0"/>
              <w:rPr>
                <w:sz w:val="20"/>
                <w:szCs w:val="20"/>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107,462</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Special charges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49,463</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13,684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220"/>
              <w:spacing w:after="0"/>
              <w:rPr>
                <w:sz w:val="20"/>
                <w:szCs w:val="20"/>
                <w:color w:val="auto"/>
              </w:rPr>
            </w:pPr>
            <w:r>
              <w:rPr>
                <w:rFonts w:ascii="Arial" w:cs="Arial" w:eastAsia="Arial" w:hAnsi="Arial"/>
                <w:sz w:val="16"/>
                <w:szCs w:val="16"/>
                <w:color w:val="auto"/>
              </w:rPr>
              <w:t>Other operating expense</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98,348</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112,153</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68,690</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18,160</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17,899</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17,447</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17,419</w:t>
            </w:r>
          </w:p>
        </w:tc>
        <w:tc>
          <w:tcPr>
            <w:tcW w:w="10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17,358</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557,815</w:t>
            </w:r>
          </w:p>
        </w:tc>
        <w:tc>
          <w:tcPr>
            <w:tcW w:w="10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571,803</w:t>
            </w:r>
          </w:p>
        </w:tc>
        <w:tc>
          <w:tcPr>
            <w:tcW w:w="1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494,608</w:t>
            </w:r>
          </w:p>
        </w:tc>
        <w:tc>
          <w:tcPr>
            <w:tcW w:w="10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382,236</w:t>
            </w:r>
          </w:p>
        </w:tc>
        <w:tc>
          <w:tcPr>
            <w:tcW w:w="10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309,706</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303,583</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303,524</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282,248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448,210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194,821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145,835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266,268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356,981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268,707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207,379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195,045</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Nonoperating (income) expenses:</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6"/>
                <w:szCs w:val="16"/>
                <w:color w:val="auto"/>
              </w:rPr>
              <w:t>Interest expense (a)</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63,517</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73,073</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71,636</w:t>
            </w:r>
          </w:p>
        </w:tc>
        <w:tc>
          <w:tcPr>
            <w:tcW w:w="1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42,614</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38,764</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18,476</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18,455</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13,062</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5,417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1,897</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25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nonoperating (income) expense</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66,546</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68,023</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59,121</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32,959</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33,547</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12,307</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12,469</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12,868</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381,664</w:t>
            </w:r>
          </w:p>
        </w:tc>
        <w:tc>
          <w:tcPr>
            <w:tcW w:w="10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126,798</w:t>
            </w:r>
          </w:p>
        </w:tc>
        <w:tc>
          <w:tcPr>
            <w:tcW w:w="1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86,714</w:t>
            </w:r>
          </w:p>
        </w:tc>
        <w:tc>
          <w:tcPr>
            <w:tcW w:w="10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233,309</w:t>
            </w:r>
          </w:p>
        </w:tc>
        <w:tc>
          <w:tcPr>
            <w:tcW w:w="10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323,434</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256,400</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194,910</w:t>
            </w:r>
          </w:p>
        </w:tc>
        <w:tc>
          <w:tcPr>
            <w:tcW w:w="100" w:type="dxa"/>
            <w:vAlign w:val="bottom"/>
          </w:tcPr>
          <w:p>
            <w:pPr>
              <w:spacing w:after="0"/>
              <w:rPr>
                <w:sz w:val="21"/>
                <w:szCs w:val="21"/>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182,177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 (b)</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34,014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57,882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16,180</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27,277</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25,970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24,337</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17,673</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347,650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68,916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93,564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217,129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296,157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230,430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170,573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164,504</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 earnings per common share</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64"/>
        </w:trPr>
        <w:tc>
          <w:tcPr>
            <w:tcW w:w="2880" w:type="dxa"/>
            <w:vAlign w:val="bottom"/>
          </w:tcPr>
          <w:p>
            <w:pPr>
              <w:ind w:left="380"/>
              <w:spacing w:after="0"/>
              <w:rPr>
                <w:sz w:val="20"/>
                <w:szCs w:val="20"/>
                <w:color w:val="auto"/>
              </w:rPr>
            </w:pPr>
            <w:r>
              <w:rPr>
                <w:rFonts w:ascii="Arial" w:cs="Arial" w:eastAsia="Arial" w:hAnsi="Arial"/>
                <w:sz w:val="16"/>
                <w:szCs w:val="16"/>
                <w:color w:val="auto"/>
                <w:w w:val="97"/>
              </w:rPr>
              <w:t>Diluted earnings per common share</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to compute earnings per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(in thousands):</w:t>
            </w: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368,043</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367,315</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341,316</w:t>
            </w:r>
          </w:p>
        </w:tc>
        <w:tc>
          <w:tcPr>
            <w:tcW w:w="1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308,786</w:t>
            </w:r>
          </w:p>
        </w:tc>
        <w:tc>
          <w:tcPr>
            <w:tcW w:w="1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307,854</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307,135</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308,790</w:t>
            </w:r>
          </w:p>
        </w:tc>
        <w:tc>
          <w:tcPr>
            <w:tcW w:w="10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311,166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372,053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371,159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345,654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313,076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311,633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310,558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312,250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314,793</w:t>
            </w:r>
          </w:p>
        </w:tc>
        <w:tc>
          <w:tcPr>
            <w:tcW w:w="0" w:type="dxa"/>
            <w:vAlign w:val="bottom"/>
          </w:tcPr>
          <w:p>
            <w:pPr>
              <w:spacing w:after="0"/>
              <w:rPr>
                <w:sz w:val="1"/>
                <w:szCs w:val="1"/>
                <w:color w:val="auto"/>
              </w:rPr>
            </w:pPr>
          </w:p>
        </w:tc>
      </w:tr>
      <w:tr>
        <w:trPr>
          <w:trHeight w:val="251"/>
        </w:trPr>
        <w:tc>
          <w:tcPr>
            <w:tcW w:w="28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8"/>
        <w:spacing w:after="0" w:line="258" w:lineRule="auto"/>
        <w:tabs>
          <w:tab w:leader="none" w:pos="1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expense in fiscal 2017 and the fourth quarter of fiscal 2016 includes interest and fees associated with financing commitments entered into in connection with the Acquisition.</w:t>
      </w:r>
    </w:p>
    <w:p>
      <w:pPr>
        <w:spacing w:after="0" w:line="1" w:lineRule="exact"/>
        <w:rPr>
          <w:rFonts w:ascii="Arial" w:cs="Arial" w:eastAsia="Arial" w:hAnsi="Arial"/>
          <w:sz w:val="18"/>
          <w:szCs w:val="18"/>
          <w:color w:val="auto"/>
        </w:rPr>
      </w:pPr>
    </w:p>
    <w:p>
      <w:pPr>
        <w:ind w:right="80" w:firstLine="8"/>
        <w:spacing w:after="0" w:line="253" w:lineRule="auto"/>
        <w:tabs>
          <w:tab w:leader="none" w:pos="1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 for income taxes in the second quarter of fiscal 2017 included a tax benefit of $15.0 million for the release of a state tax credit valuation allowance as a result of the Acquisition. Provision for income taxes in the third quarter of fiscal 2017 included approximately $98.2 million of tax expense incurred during the quarter as part of the post-Acquisition integration, partially offset by a tax benefit of $50.5 million related to the reduction of reserves and related interest resulting from the U.S. Tax Court’s favorable ruling, as well as lower statutory tax rates applicable to our operations in the foreign jurisdictions in which we earn income.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0" w:right="239" w:bottom="1440" w:gutter="0" w:footer="0" w:header="0"/>
        </w:sectPr>
      </w:pPr>
    </w:p>
    <w:bookmarkStart w:id="91" w:name="page92"/>
    <w:bookmarkEnd w:id="91"/>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firstLine="440"/>
        <w:spacing w:after="0" w:line="269" w:lineRule="auto"/>
        <w:tabs>
          <w:tab w:leader="none" w:pos="677"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October 28, 2017.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28, 2017,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left="700" w:hanging="260"/>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60" w:hanging="326"/>
        <w:spacing w:after="0" w:line="277"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right="20" w:hanging="326"/>
        <w:spacing w:after="0" w:line="264"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October 28, 2017. In making this assessment, the company’s management used the criteria set forth by the Committee of Sponsoring Organizations of the Treadway Commission (COSO) in Internal Control-Integrated 2013 Framework.</w:t>
      </w:r>
    </w:p>
    <w:p>
      <w:pPr>
        <w:spacing w:after="0" w:line="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Based on this assessment, our management concluded that, as of October 28, 2017, our internal control over financial reporting is effective based on those criteria.</w:t>
      </w:r>
    </w:p>
    <w:p>
      <w:pPr>
        <w:spacing w:after="0" w:line="3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Management excluded from its assessment of the Company’s internal control over financial reporting as of October 28, 2017, the internal control over financial reporting of Linear Technology Corporation (Linear), which was acquired by the Company on March 10, 2017. This exclusion is consistent with guidance issued by the SEC that an assessment of a recently acquired business may be omitted from the scope of management's report on internal control over financial reporting in the year of acquisition. Total and net assets of Linear as October 28, 2017, excluding goodwill and other intangible assets, which are included in management’s assessment of internal control over financial reporting as of October 28, 2017, were approximately $864.5 million and $106.9 million, respectively. Linear represented $913.2 million of our consolidated net revenues for the year ended October 28, 2017. See a discussion of this acquisition in Note 6,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of the Notes to the Consolidated Financial Statements contained in Item 8 of this Annual Report on Form 10-K.</w:t>
      </w:r>
    </w:p>
    <w:p>
      <w:pPr>
        <w:spacing w:after="0" w:line="3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15" w:right="239" w:bottom="1440" w:gutter="0" w:footer="0" w:header="0"/>
        </w:sectPr>
      </w:pPr>
    </w:p>
    <w:bookmarkStart w:id="92" w:name="page93"/>
    <w:bookmarkEnd w:id="92"/>
    <w:p>
      <w:pPr>
        <w:ind w:left="680" w:hanging="240"/>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Attestation Report of the Registered Public Accounting Firm</w:t>
      </w:r>
    </w:p>
    <w:p>
      <w:pPr>
        <w:spacing w:after="0" w:line="34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Analog Devices, Inc.’s internal control over financial reporting as of October 28, 2017, based on criteria established in Internal Control-Integrated Framework issued by the Committee of Sponsoring Organizations of the Treadway Commission (2013 framework),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Linear Technology Corporation, which is included in the 2017 consolidated financial statements of Analog Devices, Inc. and constituted $864.5 million and $106.9 million of total and net assets, respectively, as of October 28, 2017 and $913.2 million of revenues for the year then ended. Our audit of internal control over financial reporting of Analog Devices, Inc. also did not include an evaluation of the internal control over financial reporting of Linear Technology Corporation.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Analog Devices, Inc. maintained, in all material respects, effective internal control over financial reporting as of October 28, 2017,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Analog Devices, Inc. as of October 28, 2017 and October 29, 2016, and the related consolidated statements of income, comprehensive income, shareholders’ equity and cash flows for each of the three years in the period ended October 28, 2017 of Analog Devices, Inc. and our report dated November 22,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65" w:right="239" w:bottom="1440" w:gutter="0" w:footer="0" w:header="0"/>
        </w:sectPr>
      </w:pPr>
    </w:p>
    <w:bookmarkStart w:id="93" w:name="page94"/>
    <w:bookmarkEnd w:id="93"/>
    <w:p>
      <w:pPr>
        <w:ind w:firstLine="440"/>
        <w:spacing w:after="0" w:line="264" w:lineRule="auto"/>
        <w:tabs>
          <w:tab w:leader="none" w:pos="68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October 28, 2017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584" w:right="49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Information required by this item relating to our directors and nominees is contained under the caption “Proposal 1 — Election of Directors” contained in our 2018 proxy statement to be filed with the U.S. Securities and Exchange Commission (the SEC) within 120 days after October 28, 2017 and is incorporated herein by reference. Information required by this item relating to our executive officers is contained under the caption “EXECUTIVE OFFICERS OF THE REGISTRANT” in Part I of this Annual Report on Form 10-K and is incorporated herein by reference. Information required by this item relating to compliance with Section 16(a) of the Securities Exchange Act of 1934 is contained under the caption “Section 16(a) Beneficial Ownership Reporting Compliance” in our 2018 proxy statement to be filed with the SEC within 120 days after October 28, 2017 and is incorporated herein by reference.</w:t>
      </w:r>
    </w:p>
    <w:p>
      <w:pPr>
        <w:spacing w:after="0" w:line="70" w:lineRule="exact"/>
        <w:rPr>
          <w:sz w:val="20"/>
          <w:szCs w:val="20"/>
          <w:color w:val="auto"/>
        </w:rPr>
      </w:pPr>
    </w:p>
    <w:p>
      <w:pPr>
        <w:jc w:val="both"/>
        <w:ind w:right="380" w:firstLine="432"/>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jc w:val="both"/>
        <w:ind w:right="380" w:firstLine="432"/>
        <w:spacing w:after="0" w:line="277" w:lineRule="auto"/>
        <w:rPr>
          <w:sz w:val="20"/>
          <w:szCs w:val="20"/>
          <w:color w:val="auto"/>
        </w:rPr>
      </w:pPr>
      <w:r>
        <w:rPr>
          <w:rFonts w:ascii="Arial" w:cs="Arial" w:eastAsia="Arial" w:hAnsi="Arial"/>
          <w:sz w:val="18"/>
          <w:szCs w:val="18"/>
          <w:color w:val="auto"/>
        </w:rPr>
        <w:t>During fiscal 2017, we made no material change to the procedures by which shareholders may recommend nominees to our Board of Directors, as described in our 2017 proxy statement.</w:t>
      </w:r>
    </w:p>
    <w:p>
      <w:pPr>
        <w:spacing w:after="0" w:line="7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Information required by this item relating to the audit committee of our Board of Directors is contained under the caption “Corporate Governance — Board of Directors Meetings and Committees — Audit Committee” in our 2018 proxy statement to be filed with the SEC within 120 days after October 28, 2017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Information required by this item is contained under the captions “Corporate Governance — Director Compensation” and “Information About Executive Compensation” in our 2018 proxy statement to be filed with the SEC within 120 days after October 28, 2017 and is incorporated herein by reference.</w:t>
      </w:r>
    </w:p>
    <w:p>
      <w:pPr>
        <w:spacing w:after="0" w:line="177" w:lineRule="exact"/>
        <w:rPr>
          <w:sz w:val="20"/>
          <w:szCs w:val="20"/>
          <w:color w:val="auto"/>
        </w:rPr>
      </w:pPr>
    </w:p>
    <w:p>
      <w:pPr>
        <w:ind w:left="1140" w:right="3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under the caption “Security Ownership of Certain Beneficial Owners and Management” in our 2018 proxy statement to be filed with the SEC within 120 days after October 28, 2017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2018 proxy statement to be filed with the SEC within 120 days after October 28, 2017 and is incorporated herein by reference.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Information required by this item relating to transactions with related persons is contained under the caption “Corporate Governance — Certain Relationships and Related Transactions” in our 2018 proxy statement to be filed with the SEC within 120 days after October 28, 2017 and is incorporated herein by reference. Information required by this item relating to director independence is contained under the caption “Corporate Governance — Determination of Independence” in our 2018 proxy statement to be filed with the SEC within 120 days after October 28, 2017 and is incorporated herein by reference.</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5"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Information required by this item is contained under the caption “Corporate Governance — Independent Registered Public Accounting Firm Fees and Other Matters” in our 2018 proxy statement to be filed with the SEC within 120 days after October 28, 2017 and is incorporated herein by reference.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580" w:right="299" w:bottom="1440" w:gutter="0" w:footer="0" w:header="0"/>
        </w:sectPr>
      </w:pPr>
    </w:p>
    <w:bookmarkStart w:id="95" w:name="page96"/>
    <w:bookmarkEnd w:id="9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167" w:lineRule="exact"/>
        <w:rPr>
          <w:sz w:val="20"/>
          <w:szCs w:val="20"/>
          <w:color w:val="auto"/>
        </w:rPr>
      </w:pPr>
    </w:p>
    <w:p>
      <w:pPr>
        <w:ind w:left="620" w:hanging="585"/>
        <w:spacing w:after="0"/>
        <w:tabs>
          <w:tab w:leader="none" w:pos="6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Income for the years ended October 28, 2017, October 29, 2016 and October 31, 2015</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Comprehensive Income for the years ended October 28, 2017, October 29, 2016 and October 31, 2015</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Balance Sheets as of October 28, 2017 and October 29, 2016</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Shareholders’ Equity for the years ended October 28, 2017, October 29, 2016 and October 31, 2015</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Cash Flows for the years ended October 28, 2017, October 29, 2016 and October 31, 2015</w:t>
      </w:r>
    </w:p>
    <w:p>
      <w:pPr>
        <w:spacing w:after="0" w:line="248" w:lineRule="exact"/>
        <w:rPr>
          <w:sz w:val="20"/>
          <w:szCs w:val="20"/>
          <w:color w:val="auto"/>
        </w:rPr>
      </w:pPr>
    </w:p>
    <w:p>
      <w:pPr>
        <w:ind w:left="240" w:hanging="178"/>
        <w:spacing w:after="0"/>
        <w:tabs>
          <w:tab w:leader="none" w:pos="2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w:t>
      </w:r>
    </w:p>
    <w:p>
      <w:pPr>
        <w:spacing w:after="0" w:line="23" w:lineRule="exact"/>
        <w:rPr>
          <w:sz w:val="20"/>
          <w:szCs w:val="20"/>
          <w:color w:val="auto"/>
        </w:rPr>
      </w:pPr>
    </w:p>
    <w:p>
      <w:pPr>
        <w:ind w:right="300" w:firstLine="432"/>
        <w:spacing w:after="0" w:line="261"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00" w:type="dxa"/>
            <w:vAlign w:val="bottom"/>
            <w:gridSpan w:val="7"/>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80"/>
        </w:trPr>
        <w:tc>
          <w:tcPr>
            <w:tcW w:w="1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Agreement and Plan of Merger, dated as of July 26, 2016, by and among Analog Devices, Inc., Linear Technology Corporation and Tahoe</w:t>
              </w:r>
            </w:hyperlink>
          </w:p>
        </w:tc>
        <w:tc>
          <w:tcPr>
            <w:tcW w:w="1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Acquisition Corp.</w:t>
              </w:r>
              <w:r>
                <w:rPr>
                  <w:rFonts w:ascii="Arial" w:cs="Arial" w:eastAsia="Arial" w:hAnsi="Arial"/>
                  <w:sz w:val="18"/>
                  <w:szCs w:val="18"/>
                  <w:color w:val="000000"/>
                  <w:w w:val="95"/>
                </w:rPr>
                <w:t>, filed as exhibit 2.1 to the Company's Current Report on Form 8-K (File No. 1-7819) as filed with the Commission on</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July 29, 2016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Restated Articles of Organization of Analog Devices, Inc., as amended</w:t>
              </w:r>
            </w:hyperlink>
            <w:r>
              <w:rPr>
                <w:rFonts w:ascii="Arial" w:cs="Arial" w:eastAsia="Arial" w:hAnsi="Arial"/>
                <w:sz w:val="18"/>
                <w:szCs w:val="18"/>
                <w:color w:val="000000"/>
                <w:w w:val="91"/>
              </w:rPr>
              <w:t>,</w:t>
            </w:r>
            <w:r>
              <w:rPr>
                <w:rFonts w:ascii="Arial" w:cs="Arial" w:eastAsia="Arial" w:hAnsi="Arial"/>
                <w:sz w:val="18"/>
                <w:szCs w:val="18"/>
                <w:color w:val="0000FF"/>
                <w:w w:val="91"/>
              </w:rPr>
              <w:t xml:space="preserve"> </w:t>
            </w:r>
            <w:r>
              <w:rPr>
                <w:rFonts w:ascii="Arial" w:cs="Arial" w:eastAsia="Arial" w:hAnsi="Arial"/>
                <w:sz w:val="18"/>
                <w:szCs w:val="18"/>
                <w:color w:val="000000"/>
                <w:w w:val="91"/>
              </w:rPr>
              <w:t>filed as exhibit 3.1 to the Company's Quarterly Report on Form 10-</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4"/>
              </w:rPr>
              <w:t>Q for the fiscal quarter ended May 3, 2008 (File No. 1-7819) as filed with the Commission on May 20,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Amendment to Restated Articles of Organization of Analog Devices, Inc.</w:t>
              </w:r>
            </w:hyperlink>
            <w:r>
              <w:rPr>
                <w:rFonts w:ascii="Arial" w:cs="Arial" w:eastAsia="Arial" w:hAnsi="Arial"/>
                <w:sz w:val="18"/>
                <w:szCs w:val="18"/>
                <w:color w:val="000000"/>
                <w:w w:val="92"/>
              </w:rPr>
              <w:t>,</w:t>
            </w:r>
            <w:r>
              <w:rPr>
                <w:rFonts w:ascii="Arial" w:cs="Arial" w:eastAsia="Arial" w:hAnsi="Arial"/>
                <w:sz w:val="18"/>
                <w:szCs w:val="18"/>
                <w:color w:val="0000FF"/>
                <w:w w:val="92"/>
              </w:rPr>
              <w:t xml:space="preserve"> </w:t>
            </w:r>
            <w:r>
              <w:rPr>
                <w:rFonts w:ascii="Arial" w:cs="Arial" w:eastAsia="Arial" w:hAnsi="Arial"/>
                <w:sz w:val="18"/>
                <w:szCs w:val="18"/>
                <w:color w:val="000000"/>
                <w:w w:val="92"/>
              </w:rPr>
              <w:t>filed as exhibit 3.1 to the Company's Current Report on Form 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K (File No. 1-7819) as filed with the Commission on December 8, 2008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Amended and Restated By-Laws of Analog Devices, Inc.</w:t>
              </w:r>
            </w:hyperlink>
            <w:r>
              <w:rPr>
                <w:rFonts w:ascii="Arial" w:cs="Arial" w:eastAsia="Arial" w:hAnsi="Arial"/>
                <w:sz w:val="18"/>
                <w:szCs w:val="18"/>
                <w:color w:val="000000"/>
                <w:w w:val="94"/>
              </w:rPr>
              <w:t>,</w:t>
            </w:r>
            <w:r>
              <w:rPr>
                <w:rFonts w:ascii="Arial" w:cs="Arial" w:eastAsia="Arial" w:hAnsi="Arial"/>
                <w:sz w:val="18"/>
                <w:szCs w:val="18"/>
                <w:color w:val="0000FF"/>
                <w:w w:val="94"/>
              </w:rPr>
              <w:t xml:space="preserve"> </w:t>
            </w:r>
            <w:r>
              <w:rPr>
                <w:rFonts w:ascii="Arial" w:cs="Arial" w:eastAsia="Arial" w:hAnsi="Arial"/>
                <w:sz w:val="18"/>
                <w:szCs w:val="18"/>
                <w:color w:val="000000"/>
                <w:w w:val="94"/>
              </w:rPr>
              <w:t>filed as exhibit 3.1 to the Company's Current Report on Form 8-K (File No. 1-</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7819) as filed with the Commission on January 28, 2010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Indenture, dated as of June 3, 2013, by and between Analog Devices, Inc. and The Bank of New York Mellon Trust Company, N.A., as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trustee</w:t>
              </w:r>
              <w:r>
                <w:rPr>
                  <w:rFonts w:ascii="Arial" w:cs="Arial" w:eastAsia="Arial" w:hAnsi="Arial"/>
                  <w:sz w:val="18"/>
                  <w:szCs w:val="18"/>
                  <w:color w:val="000000"/>
                  <w:w w:val="92"/>
                </w:rPr>
                <w:t xml:space="preserve">, filed as exhibit 4.1 to the Company's Current Report on Form 8-K (File No. 1-7819) as filed with the Commission on June 3, </w:t>
              </w:r>
            </w:hyperlink>
            <w:r>
              <w:rPr>
                <w:rFonts w:ascii="Arial" w:cs="Arial" w:eastAsia="Arial" w:hAnsi="Arial"/>
                <w:sz w:val="18"/>
                <w:szCs w:val="18"/>
                <w:color w:val="0000FF"/>
                <w:w w:val="92"/>
              </w:rPr>
              <w:t>2013</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Supplemental Indenture, dated as of June 3, 2013, by and between Analog Devices, Inc. and The Bank of New York Mellon Trust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tcBorders>
            <w:gridSpan w:val="9"/>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Company, N.A., as trustee</w:t>
              </w:r>
              <w:r>
                <w:rPr>
                  <w:rFonts w:ascii="Arial" w:cs="Arial" w:eastAsia="Arial" w:hAnsi="Arial"/>
                  <w:sz w:val="18"/>
                  <w:szCs w:val="18"/>
                  <w:color w:val="000000"/>
                  <w:w w:val="92"/>
                </w:rPr>
                <w:t>, filed as exhibit 4.2 to the Company's Current Report on Form 8-K (File No. 1-7819) as filed with the</w:t>
              </w:r>
            </w:hyperlink>
          </w:p>
        </w:tc>
        <w:tc>
          <w:tcPr>
            <w:tcW w:w="78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Commission on June 3, 2013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3"/>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Supplemental Indenture, dated December 14, 2015, between Analog Devices, Inc. and The Bank of New York Mellon Trust Company,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tcBorders>
            <w:gridSpan w:val="10"/>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N.A., as trustee</w:t>
              </w:r>
              <w:r>
                <w:rPr>
                  <w:rFonts w:ascii="Arial" w:cs="Arial" w:eastAsia="Arial" w:hAnsi="Arial"/>
                  <w:sz w:val="18"/>
                  <w:szCs w:val="18"/>
                  <w:color w:val="000000"/>
                  <w:w w:val="92"/>
                </w:rPr>
                <w:t>, filed as exhibit 4.2 to the Company's Current Report on Form 8-K (File No. 1-7819) as filed with the Commission on</w:t>
              </w:r>
            </w:hyperlink>
          </w:p>
        </w:tc>
        <w:tc>
          <w:tcPr>
            <w:tcW w:w="40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December 14, 2015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60" w:type="dxa"/>
            <w:vAlign w:val="bottom"/>
            <w:tcBorders>
              <w:bottom w:val="single" w:sz="8" w:color="0000FF"/>
            </w:tcBorders>
            <w:gridSpan w:val="12"/>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Supplemental Indenture, dated December 5, 2016, between Analog Devices, Inc. and The Bank of New York Mellon Trust Company, N.A.,</w:t>
              </w:r>
            </w:hyperlink>
          </w:p>
        </w:tc>
        <w:tc>
          <w:tcPr>
            <w:tcW w:w="6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as trustee</w:t>
              </w:r>
              <w:r>
                <w:rPr>
                  <w:rFonts w:ascii="Arial" w:cs="Arial" w:eastAsia="Arial" w:hAnsi="Arial"/>
                  <w:sz w:val="18"/>
                  <w:szCs w:val="18"/>
                  <w:color w:val="000000"/>
                  <w:w w:val="92"/>
                </w:rPr>
                <w:t>, filed as exhibit 4.2 to the Company's Current Report on Form 8-K (File No. 1-7819) as filed with the Commission on December</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60" w:type="dxa"/>
            <w:vAlign w:val="bottom"/>
            <w:gridSpan w:val="11"/>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5, 2016 and incorporated herein by reference.</w:t>
            </w:r>
          </w:p>
        </w:tc>
      </w:tr>
      <w:tr>
        <w:trPr>
          <w:trHeight w:val="48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8"/>
          </w:tcPr>
          <w:p>
            <w:pPr>
              <w:jc w:val="right"/>
              <w:ind w:right="528"/>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6" w:name="page97"/>
    <w:bookmarkEnd w:id="96"/>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1" w:lineRule="exact"/>
        <w:rPr>
          <w:sz w:val="20"/>
          <w:szCs w:val="20"/>
          <w:color w:val="auto"/>
        </w:rPr>
      </w:pPr>
    </w:p>
    <w:p>
      <w:pPr>
        <w:ind w:left="140"/>
        <w:spacing w:after="0"/>
        <w:tabs>
          <w:tab w:leader="none" w:pos="10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35">
        <w:r>
          <w:rPr>
            <w:rFonts w:ascii="Arial" w:cs="Arial" w:eastAsia="Arial" w:hAnsi="Arial"/>
            <w:sz w:val="16"/>
            <w:szCs w:val="16"/>
            <w:u w:val="single" w:color="auto"/>
            <w:color w:val="0000FF"/>
          </w:rPr>
          <w:t>Analog Devices, Inc. Amended and Restated Deferred Compensation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10.1 to the Company's Current Report on Form</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8-K as filed with the Commission on December 8, 2008 (File No. 1-7819) and incorporated herein by reference.</w:t>
      </w:r>
    </w:p>
    <w:p>
      <w:pPr>
        <w:spacing w:after="0" w:line="49" w:lineRule="exact"/>
        <w:rPr>
          <w:sz w:val="20"/>
          <w:szCs w:val="20"/>
          <w:color w:val="auto"/>
        </w:rPr>
      </w:pPr>
    </w:p>
    <w:p>
      <w:pPr>
        <w:ind w:left="1020" w:right="20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36">
        <w:r>
          <w:rPr>
            <w:rFonts w:ascii="Arial" w:cs="Arial" w:eastAsia="Arial" w:hAnsi="Arial"/>
            <w:sz w:val="18"/>
            <w:szCs w:val="18"/>
            <w:u w:val="single" w:color="auto"/>
            <w:color w:val="0000FF"/>
          </w:rPr>
          <w:t>First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30, 2011 (File No. 1-7819) as filed with the Commission on August 16, 2011 and incorporated herein by reference.</w:t>
      </w:r>
    </w:p>
    <w:p>
      <w:pPr>
        <w:spacing w:after="0" w:line="19" w:lineRule="exact"/>
        <w:rPr>
          <w:sz w:val="20"/>
          <w:szCs w:val="20"/>
          <w:color w:val="auto"/>
        </w:rPr>
      </w:pPr>
    </w:p>
    <w:p>
      <w:pPr>
        <w:ind w:left="102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37">
        <w:r>
          <w:rPr>
            <w:rFonts w:ascii="Arial" w:cs="Arial" w:eastAsia="Arial" w:hAnsi="Arial"/>
            <w:sz w:val="18"/>
            <w:szCs w:val="18"/>
            <w:u w:val="single" w:color="auto"/>
            <w:color w:val="0000FF"/>
          </w:rPr>
          <w:t>Second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August 1, 2015 (File No. 1-7819) as filed with the Commission on August 18, 2015 and incorporated herein by reference.</w:t>
      </w:r>
    </w:p>
    <w:p>
      <w:pPr>
        <w:spacing w:after="0" w:line="19" w:lineRule="exact"/>
        <w:rPr>
          <w:sz w:val="20"/>
          <w:szCs w:val="20"/>
          <w:color w:val="auto"/>
        </w:rPr>
      </w:pPr>
    </w:p>
    <w:p>
      <w:pPr>
        <w:ind w:left="1020" w:right="14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38">
        <w:r>
          <w:rPr>
            <w:rFonts w:ascii="Arial" w:cs="Arial" w:eastAsia="Arial" w:hAnsi="Arial"/>
            <w:sz w:val="18"/>
            <w:szCs w:val="18"/>
            <w:u w:val="single" w:color="auto"/>
            <w:color w:val="0000FF"/>
          </w:rPr>
          <w:t>Third Amendment to the Analog Devices, Inc. Amended and Restated Deferred Compensation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10.6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20" w:right="80" w:hanging="863"/>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*10.5</w:t>
      </w:r>
      <w:r>
        <w:rPr>
          <w:sz w:val="20"/>
          <w:szCs w:val="20"/>
          <w:color w:val="auto"/>
        </w:rPr>
        <w:tab/>
      </w:r>
      <w:hyperlink r:id="rId39">
        <w:r>
          <w:rPr>
            <w:rFonts w:ascii="Arial" w:cs="Arial" w:eastAsia="Arial" w:hAnsi="Arial"/>
            <w:sz w:val="17"/>
            <w:szCs w:val="17"/>
            <w:u w:val="single" w:color="auto"/>
            <w:color w:val="0000FF"/>
          </w:rPr>
          <w:t>Trust Agreement for Deferred Compensation Plan dated as of October 1, 2003 between Analog Devices, Inc. and Fidelity Management</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Trust Company</w:t>
        </w:r>
        <w:r>
          <w:rPr>
            <w:rFonts w:ascii="Arial" w:cs="Arial" w:eastAsia="Arial" w:hAnsi="Arial"/>
            <w:sz w:val="17"/>
            <w:szCs w:val="17"/>
            <w:color w:val="000000"/>
          </w:rPr>
          <w:t xml:space="preserve">, filed as exhibit 10.28 to the Company's Annual Report on Form 10-K for the fiscal year ended November 1, 2003 (File </w:t>
        </w:r>
      </w:hyperlink>
      <w:r>
        <w:rPr>
          <w:rFonts w:ascii="Arial" w:cs="Arial" w:eastAsia="Arial" w:hAnsi="Arial"/>
          <w:sz w:val="17"/>
          <w:szCs w:val="17"/>
          <w:color w:val="0000FF"/>
        </w:rPr>
        <w:t xml:space="preserve">No. </w:t>
      </w:r>
      <w:r>
        <w:rPr>
          <w:rFonts w:ascii="Arial" w:cs="Arial" w:eastAsia="Arial" w:hAnsi="Arial"/>
          <w:sz w:val="17"/>
          <w:szCs w:val="17"/>
          <w:color w:val="000000"/>
        </w:rPr>
        <w:t>1-7819) as filed with the Commission on December 23, 2003 and incorporated herein by reference.</w:t>
      </w:r>
    </w:p>
    <w:p>
      <w:pPr>
        <w:spacing w:after="0" w:line="3" w:lineRule="exact"/>
        <w:rPr>
          <w:sz w:val="20"/>
          <w:szCs w:val="20"/>
          <w:color w:val="auto"/>
        </w:rPr>
      </w:pPr>
    </w:p>
    <w:p>
      <w:pPr>
        <w:ind w:left="1020" w:right="20" w:hanging="863"/>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*10.6</w:t>
      </w:r>
      <w:r>
        <w:rPr>
          <w:sz w:val="20"/>
          <w:szCs w:val="20"/>
          <w:color w:val="auto"/>
        </w:rPr>
        <w:tab/>
      </w:r>
      <w:hyperlink r:id="rId40">
        <w:r>
          <w:rPr>
            <w:rFonts w:ascii="Arial" w:cs="Arial" w:eastAsia="Arial" w:hAnsi="Arial"/>
            <w:sz w:val="17"/>
            <w:szCs w:val="17"/>
            <w:u w:val="single" w:color="auto"/>
            <w:color w:val="0000FF"/>
          </w:rPr>
          <w:t>First Amendment to Trust Agreement for Deferred Compensation Plan between Analog Devices, Inc. and Fidelity Management Trust</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Company dated as of January 1, 2005</w:t>
        </w:r>
        <w:r>
          <w:rPr>
            <w:rFonts w:ascii="Arial" w:cs="Arial" w:eastAsia="Arial" w:hAnsi="Arial"/>
            <w:sz w:val="17"/>
            <w:szCs w:val="17"/>
            <w:color w:val="000000"/>
          </w:rPr>
          <w:t xml:space="preserve">, filed as exhibit 10.3 to the Company's Annual Report on Form 10-K for the fiscal year ended </w:t>
        </w:r>
      </w:hyperlink>
      <w:r>
        <w:rPr>
          <w:rFonts w:ascii="Arial" w:cs="Arial" w:eastAsia="Arial" w:hAnsi="Arial"/>
          <w:sz w:val="17"/>
          <w:szCs w:val="17"/>
          <w:color w:val="0000FF"/>
        </w:rPr>
        <w:t xml:space="preserve">October </w:t>
      </w:r>
      <w:r>
        <w:rPr>
          <w:rFonts w:ascii="Arial" w:cs="Arial" w:eastAsia="Arial" w:hAnsi="Arial"/>
          <w:sz w:val="17"/>
          <w:szCs w:val="17"/>
          <w:color w:val="000000"/>
        </w:rPr>
        <w:t>28, 2006 (File No. 1-7819) as filed with the Commission on November 20, 2006 and incorporated herein by reference.</w:t>
      </w:r>
    </w:p>
    <w:p>
      <w:pPr>
        <w:spacing w:after="0" w:line="3" w:lineRule="exact"/>
        <w:rPr>
          <w:sz w:val="20"/>
          <w:szCs w:val="20"/>
          <w:color w:val="auto"/>
        </w:rPr>
      </w:pPr>
    </w:p>
    <w:p>
      <w:pPr>
        <w:jc w:val="both"/>
        <w:ind w:left="1020" w:right="280" w:hanging="863"/>
        <w:spacing w:after="0" w:line="305" w:lineRule="auto"/>
        <w:tabs>
          <w:tab w:leader="none" w:pos="1000" w:val="left"/>
        </w:tabs>
        <w:rPr>
          <w:rFonts w:ascii="Arial" w:cs="Arial" w:eastAsia="Arial" w:hAnsi="Arial"/>
          <w:sz w:val="16"/>
          <w:szCs w:val="16"/>
          <w:color w:val="0000FF"/>
        </w:rPr>
      </w:pPr>
      <w:r>
        <w:rPr>
          <w:rFonts w:ascii="Arial" w:cs="Arial" w:eastAsia="Arial" w:hAnsi="Arial"/>
          <w:sz w:val="18"/>
          <w:szCs w:val="18"/>
          <w:color w:val="auto"/>
        </w:rPr>
        <w:t>*10.7</w:t>
      </w:r>
      <w:r>
        <w:rPr>
          <w:sz w:val="20"/>
          <w:szCs w:val="20"/>
          <w:color w:val="auto"/>
        </w:rPr>
        <w:tab/>
      </w:r>
      <w:hyperlink r:id="rId41">
        <w:r>
          <w:rPr>
            <w:rFonts w:ascii="Arial" w:cs="Arial" w:eastAsia="Arial" w:hAnsi="Arial"/>
            <w:sz w:val="16"/>
            <w:szCs w:val="16"/>
            <w:u w:val="single" w:color="auto"/>
            <w:color w:val="0000FF"/>
          </w:rPr>
          <w:t>Second Amendment to Trust Agreement for Deferred Compensation Plan between Analog Devices, Inc. and Fidelity Management Trust</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Company dated as of December 10, 2007</w:t>
        </w:r>
        <w:r>
          <w:rPr>
            <w:rFonts w:ascii="Arial" w:cs="Arial" w:eastAsia="Arial" w:hAnsi="Arial"/>
            <w:sz w:val="16"/>
            <w:szCs w:val="16"/>
            <w:color w:val="000000"/>
          </w:rPr>
          <w:t>, filed as exhibit 10.41 to the Company's Annual Report on Form 10-K for the fiscal year ended</w:t>
        </w:r>
      </w:hyperlink>
      <w:r>
        <w:rPr>
          <w:rFonts w:ascii="Arial" w:cs="Arial" w:eastAsia="Arial" w:hAnsi="Arial"/>
          <w:sz w:val="16"/>
          <w:szCs w:val="16"/>
          <w:color w:val="0000FF"/>
        </w:rPr>
        <w:t xml:space="preserve"> </w:t>
      </w:r>
      <w:r>
        <w:rPr>
          <w:rFonts w:ascii="Arial" w:cs="Arial" w:eastAsia="Arial" w:hAnsi="Arial"/>
          <w:sz w:val="16"/>
          <w:szCs w:val="16"/>
          <w:color w:val="000000"/>
        </w:rPr>
        <w:t>November 1, 2008 (File No. 1-7819) as filed with the Commission on November 25, 2008 and incorporated herein by reference.</w:t>
      </w:r>
    </w:p>
    <w:p>
      <w:pPr>
        <w:spacing w:after="0" w:line="1" w:lineRule="exact"/>
        <w:rPr>
          <w:sz w:val="20"/>
          <w:szCs w:val="20"/>
          <w:color w:val="auto"/>
        </w:rPr>
      </w:pPr>
    </w:p>
    <w:p>
      <w:pPr>
        <w:ind w:left="1020" w:right="4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2">
        <w:r>
          <w:rPr>
            <w:rFonts w:ascii="Arial" w:cs="Arial" w:eastAsia="Arial" w:hAnsi="Arial"/>
            <w:sz w:val="18"/>
            <w:szCs w:val="18"/>
            <w:u w:val="single" w:color="auto"/>
            <w:color w:val="0000FF"/>
          </w:rPr>
          <w:t>Amended and Restated 2006 Stock Incentive Plan of Analog Devices, Inc.</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 Report on Form</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10-Q for the fiscal quarter ended February 1, 2014 (File No. 1-7819) as filed with the Commission on February 18, 2014 and incorporated herein by reference.</w:t>
      </w:r>
    </w:p>
    <w:p>
      <w:pPr>
        <w:spacing w:after="0" w:line="19" w:lineRule="exact"/>
        <w:rPr>
          <w:sz w:val="20"/>
          <w:szCs w:val="20"/>
          <w:color w:val="auto"/>
        </w:rPr>
      </w:pPr>
    </w:p>
    <w:p>
      <w:pPr>
        <w:ind w:left="1020" w:right="20" w:hanging="863"/>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3">
        <w:r>
          <w:rPr>
            <w:rFonts w:ascii="Arial" w:cs="Arial" w:eastAsia="Arial" w:hAnsi="Arial"/>
            <w:sz w:val="18"/>
            <w:szCs w:val="18"/>
            <w:u w:val="single" w:color="auto"/>
            <w:color w:val="0000FF"/>
          </w:rPr>
          <w:t>Linear Technology Corporation Amended and Restated 2005 Equity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4.1 to the Post-Effective Amendment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No. 1 on Form S-8 to the Company's Registration Statement on Form S-4 (File No. 333-213454) as filed with the Commission on March 15, 2017 and incorporated herein by reference.</w:t>
      </w:r>
    </w:p>
    <w:p>
      <w:pPr>
        <w:spacing w:after="0" w:line="19" w:lineRule="exact"/>
        <w:rPr>
          <w:sz w:val="20"/>
          <w:szCs w:val="20"/>
          <w:color w:val="auto"/>
        </w:rPr>
      </w:pPr>
    </w:p>
    <w:p>
      <w:pPr>
        <w:jc w:val="both"/>
        <w:ind w:left="1020" w:right="28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4">
        <w:r>
          <w:rPr>
            <w:rFonts w:ascii="Arial" w:cs="Arial" w:eastAsia="Arial" w:hAnsi="Arial"/>
            <w:sz w:val="18"/>
            <w:szCs w:val="18"/>
            <w:u w:val="single" w:color="auto"/>
            <w:color w:val="0000FF"/>
          </w:rPr>
          <w:t>Analog Devices, Inc. Amended and Restated 2010 Equity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4.2 to the Post-Effective Amendment No. 1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Form S-8 to the Company's Registration Statement on Form S-4 (File No. 333-213454) as filed with the Commission on March 15, 2017 and incorporated herein by reference.</w:t>
      </w:r>
    </w:p>
    <w:p>
      <w:pPr>
        <w:spacing w:after="0" w:line="19" w:lineRule="exact"/>
        <w:rPr>
          <w:sz w:val="20"/>
          <w:szCs w:val="20"/>
          <w:color w:val="auto"/>
        </w:rPr>
      </w:pPr>
    </w:p>
    <w:p>
      <w:pPr>
        <w:ind w:left="1020" w:right="140" w:hanging="905"/>
        <w:spacing w:after="0" w:line="291" w:lineRule="auto"/>
        <w:tabs>
          <w:tab w:leader="none" w:pos="1000" w:val="left"/>
        </w:tabs>
        <w:rPr>
          <w:rFonts w:ascii="Arial" w:cs="Arial" w:eastAsia="Arial" w:hAnsi="Arial"/>
          <w:sz w:val="16"/>
          <w:szCs w:val="16"/>
          <w:color w:val="0000FF"/>
        </w:rPr>
      </w:pPr>
      <w:r>
        <w:rPr>
          <w:rFonts w:ascii="Arial" w:cs="Arial" w:eastAsia="Arial" w:hAnsi="Arial"/>
          <w:sz w:val="18"/>
          <w:szCs w:val="18"/>
          <w:color w:val="auto"/>
        </w:rPr>
        <w:t>*10.11</w:t>
      </w:r>
      <w:r>
        <w:rPr>
          <w:sz w:val="20"/>
          <w:szCs w:val="20"/>
          <w:color w:val="auto"/>
        </w:rPr>
        <w:tab/>
      </w:r>
      <w:hyperlink r:id="rId45">
        <w:r>
          <w:rPr>
            <w:rFonts w:ascii="Arial" w:cs="Arial" w:eastAsia="Arial" w:hAnsi="Arial"/>
            <w:sz w:val="16"/>
            <w:szCs w:val="16"/>
            <w:u w:val="single" w:color="auto"/>
            <w:color w:val="0000FF"/>
          </w:rPr>
          <w:t>Form of Global Non-Qualified Stock Option Agreement for Employees for usage under the Company's Amended and Restated 2006 Stock</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Incentive Plan</w:t>
        </w:r>
        <w:r>
          <w:rPr>
            <w:rFonts w:ascii="Arial" w:cs="Arial" w:eastAsia="Arial" w:hAnsi="Arial"/>
            <w:sz w:val="16"/>
            <w:szCs w:val="16"/>
            <w:color w:val="000000"/>
          </w:rPr>
          <w:t>, filed as exhibit 10.1 to the Company's Quarterly Report on Form 10-Q for the fiscal quarter ended January 28, 2017</w:t>
        </w:r>
      </w:hyperlink>
    </w:p>
    <w:p>
      <w:pPr>
        <w:ind w:left="1020"/>
        <w:spacing w:after="0"/>
        <w:rPr>
          <w:sz w:val="20"/>
          <w:szCs w:val="20"/>
          <w:color w:val="auto"/>
        </w:rPr>
      </w:pPr>
      <w:r>
        <w:rPr>
          <w:rFonts w:ascii="Arial" w:cs="Arial" w:eastAsia="Arial" w:hAnsi="Arial"/>
          <w:sz w:val="18"/>
          <w:szCs w:val="18"/>
          <w:color w:val="auto"/>
        </w:rPr>
        <w:t>(File No. 1-7819) as filed with the Commission on February 15, 2017 and incorporated herein by reference.</w:t>
      </w:r>
    </w:p>
    <w:p>
      <w:pPr>
        <w:spacing w:after="0" w:line="49" w:lineRule="exact"/>
        <w:rPr>
          <w:sz w:val="20"/>
          <w:szCs w:val="20"/>
          <w:color w:val="auto"/>
        </w:rPr>
      </w:pPr>
    </w:p>
    <w:p>
      <w:pPr>
        <w:jc w:val="both"/>
        <w:ind w:left="1020" w:right="80" w:hanging="908"/>
        <w:spacing w:after="0" w:line="264" w:lineRule="auto"/>
        <w:tabs>
          <w:tab w:leader="none" w:pos="1000" w:val="left"/>
        </w:tabs>
        <w:rPr>
          <w:rFonts w:ascii="Arial" w:cs="Arial" w:eastAsia="Arial" w:hAnsi="Arial"/>
          <w:sz w:val="18"/>
          <w:szCs w:val="18"/>
          <w:color w:val="0000FF"/>
        </w:rPr>
      </w:pPr>
      <w:r>
        <w:rPr>
          <w:rFonts w:ascii="Arial" w:cs="Arial" w:eastAsia="Arial" w:hAnsi="Arial"/>
          <w:sz w:val="18"/>
          <w:szCs w:val="18"/>
          <w:color w:val="auto"/>
        </w:rPr>
        <w:t>*10.12</w:t>
      </w:r>
      <w:r>
        <w:rPr>
          <w:sz w:val="20"/>
          <w:szCs w:val="20"/>
          <w:color w:val="auto"/>
        </w:rPr>
        <w:tab/>
      </w:r>
      <w:hyperlink r:id="rId46">
        <w:r>
          <w:rPr>
            <w:rFonts w:ascii="Arial" w:cs="Arial" w:eastAsia="Arial" w:hAnsi="Arial"/>
            <w:sz w:val="18"/>
            <w:szCs w:val="18"/>
            <w:u w:val="single" w:color="auto"/>
            <w:color w:val="0000FF"/>
          </w:rPr>
          <w:t>Form of Non-Qualified Stock Option Agreement for Directors for usage under the Company's Amended and Restated 2006 Stock Incentive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Plan</w:t>
        </w:r>
        <w:r>
          <w:rPr>
            <w:rFonts w:ascii="Arial" w:cs="Arial" w:eastAsia="Arial" w:hAnsi="Arial"/>
            <w:sz w:val="18"/>
            <w:szCs w:val="18"/>
            <w:color w:val="000000"/>
          </w:rPr>
          <w:t>, filed as exhibit 10.4 to the Company's Quarterly Report on Form 10-Q for the fiscal quarter ended January 28, 2017 (File No. 1-7819)</w:t>
        </w:r>
      </w:hyperlink>
      <w:r>
        <w:rPr>
          <w:rFonts w:ascii="Arial" w:cs="Arial" w:eastAsia="Arial" w:hAnsi="Arial"/>
          <w:sz w:val="18"/>
          <w:szCs w:val="18"/>
          <w:color w:val="0000FF"/>
        </w:rPr>
        <w:t xml:space="preserve"> </w:t>
      </w:r>
      <w:r>
        <w:rPr>
          <w:rFonts w:ascii="Arial" w:cs="Arial" w:eastAsia="Arial" w:hAnsi="Arial"/>
          <w:sz w:val="18"/>
          <w:szCs w:val="18"/>
          <w:color w:val="000000"/>
        </w:rPr>
        <w:t>as filed with the Commission on February 15, 2017 and incorporated herein by reference.</w:t>
      </w:r>
    </w:p>
    <w:p>
      <w:pPr>
        <w:spacing w:after="0" w:line="19" w:lineRule="exact"/>
        <w:rPr>
          <w:sz w:val="20"/>
          <w:szCs w:val="20"/>
          <w:color w:val="auto"/>
        </w:rPr>
      </w:pPr>
    </w:p>
    <w:p>
      <w:pPr>
        <w:jc w:val="both"/>
        <w:ind w:left="1020" w:right="640" w:hanging="908"/>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47">
        <w:r>
          <w:rPr>
            <w:rFonts w:ascii="Arial" w:cs="Arial" w:eastAsia="Arial" w:hAnsi="Arial"/>
            <w:sz w:val="17"/>
            <w:szCs w:val="17"/>
            <w:u w:val="single" w:color="auto"/>
            <w:color w:val="0000FF"/>
          </w:rPr>
          <w:t>Form of Global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10.2 to the Company's Quarterly Report on Form 10-Q for the fiscal quarter ended January 28, 2017</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15, 2017 and incorporated herein by reference.</w:t>
      </w:r>
    </w:p>
    <w:p>
      <w:pPr>
        <w:spacing w:after="0" w:line="3" w:lineRule="exact"/>
        <w:rPr>
          <w:sz w:val="20"/>
          <w:szCs w:val="20"/>
          <w:color w:val="auto"/>
        </w:rPr>
      </w:pPr>
    </w:p>
    <w:p>
      <w:pPr>
        <w:ind w:left="1020" w:right="200" w:hanging="908"/>
        <w:spacing w:after="0" w:line="286" w:lineRule="auto"/>
        <w:tabs>
          <w:tab w:leader="none" w:pos="1000" w:val="left"/>
        </w:tabs>
        <w:rPr>
          <w:rFonts w:ascii="Arial" w:cs="Arial" w:eastAsia="Arial" w:hAnsi="Arial"/>
          <w:sz w:val="17"/>
          <w:szCs w:val="17"/>
          <w:color w:val="0000FF"/>
        </w:rPr>
      </w:pPr>
      <w:r>
        <w:rPr>
          <w:rFonts w:ascii="Arial" w:cs="Arial" w:eastAsia="Arial" w:hAnsi="Arial"/>
          <w:sz w:val="18"/>
          <w:szCs w:val="18"/>
          <w:color w:val="auto"/>
        </w:rPr>
        <w:t>*10.14</w:t>
      </w:r>
      <w:r>
        <w:rPr>
          <w:sz w:val="20"/>
          <w:szCs w:val="20"/>
          <w:color w:val="auto"/>
        </w:rPr>
        <w:tab/>
      </w:r>
      <w:hyperlink r:id="rId48">
        <w:r>
          <w:rPr>
            <w:rFonts w:ascii="Arial" w:cs="Arial" w:eastAsia="Arial" w:hAnsi="Arial"/>
            <w:sz w:val="17"/>
            <w:szCs w:val="17"/>
            <w:u w:val="single" w:color="auto"/>
            <w:color w:val="0000FF"/>
          </w:rPr>
          <w:t>Form of Performance Restricted Stock Unit Agreement for Employees for usage under the Company's Amended and Restated 2006 Stock</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Incentive Plan</w:t>
        </w:r>
        <w:r>
          <w:rPr>
            <w:rFonts w:ascii="Arial" w:cs="Arial" w:eastAsia="Arial" w:hAnsi="Arial"/>
            <w:sz w:val="17"/>
            <w:szCs w:val="17"/>
            <w:color w:val="000000"/>
          </w:rPr>
          <w:t>, filed as exhibit 10.3 to the Company's Quarterly Report on Form 10-Q for the fiscal quarter ended January 28, 2017</w:t>
        </w:r>
      </w:hyperlink>
      <w:r>
        <w:rPr>
          <w:rFonts w:ascii="Arial" w:cs="Arial" w:eastAsia="Arial" w:hAnsi="Arial"/>
          <w:sz w:val="17"/>
          <w:szCs w:val="17"/>
          <w:color w:val="0000FF"/>
        </w:rPr>
        <w:t xml:space="preserve"> </w:t>
      </w:r>
      <w:r>
        <w:rPr>
          <w:rFonts w:ascii="Arial" w:cs="Arial" w:eastAsia="Arial" w:hAnsi="Arial"/>
          <w:sz w:val="17"/>
          <w:szCs w:val="17"/>
          <w:color w:val="000000"/>
        </w:rPr>
        <w:t>(File No. 1-7819) as filed with the Commission on February 15, 2017 and incorporated herein by reference.</w:t>
      </w:r>
    </w:p>
    <w:p>
      <w:pPr>
        <w:spacing w:after="0" w:line="3" w:lineRule="exact"/>
        <w:rPr>
          <w:sz w:val="20"/>
          <w:szCs w:val="20"/>
          <w:color w:val="auto"/>
        </w:rPr>
      </w:pPr>
    </w:p>
    <w:p>
      <w:pPr>
        <w:ind w:left="1020" w:right="18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9">
        <w:r>
          <w:rPr>
            <w:rFonts w:ascii="Arial" w:cs="Arial" w:eastAsia="Arial" w:hAnsi="Arial"/>
            <w:sz w:val="18"/>
            <w:szCs w:val="18"/>
            <w:u w:val="single" w:color="auto"/>
            <w:color w:val="0000FF"/>
          </w:rPr>
          <w:t>Form of Restricted Stock Unit Agreement for Directors for usage under the Company's Amended and Restated 2006 Stock Incentive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10.5 to the Company's Quarterly Report on Form 10-Q for the fiscal quarter ended January 28, 2017 (File No. 1-7819) as filed with the Commission on February 15, 2017 and incorporated herein by reference.</w:t>
      </w:r>
    </w:p>
    <w:p>
      <w:pPr>
        <w:spacing w:after="0" w:line="19" w:lineRule="exact"/>
        <w:rPr>
          <w:sz w:val="20"/>
          <w:szCs w:val="20"/>
          <w:color w:val="auto"/>
        </w:rPr>
      </w:pPr>
    </w:p>
    <w:p>
      <w:pPr>
        <w:jc w:val="both"/>
        <w:ind w:left="1020" w:right="460" w:hanging="908"/>
        <w:spacing w:after="0" w:line="264" w:lineRule="auto"/>
        <w:tabs>
          <w:tab w:leader="none" w:pos="10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0">
        <w:r>
          <w:rPr>
            <w:rFonts w:ascii="Arial" w:cs="Arial" w:eastAsia="Arial" w:hAnsi="Arial"/>
            <w:sz w:val="18"/>
            <w:szCs w:val="18"/>
            <w:u w:val="single" w:color="auto"/>
            <w:color w:val="0000FF"/>
          </w:rPr>
          <w:t>Form of Analog Devices, Inc. Equity Award Conversion Notice to Linear employees</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Report on Form 10-Q for the fiscal quarter ended April 29, 2017 (File No. 1-7819) as filed with the Commission on May 31, 2017 and incorporated herein by reference.</w:t>
      </w:r>
    </w:p>
    <w:p>
      <w:pPr>
        <w:sectPr>
          <w:pgSz w:w="11900" w:h="16838" w:orient="portrait"/>
          <w:cols w:equalWidth="0" w:num="1">
            <w:col w:w="11160"/>
          </w:cols>
          <w:pgMar w:left="440" w:top="954" w:right="299" w:bottom="1440" w:gutter="0" w:footer="0" w:header="0"/>
        </w:sectPr>
      </w:pPr>
    </w:p>
    <w:bookmarkStart w:id="97" w:name="page98"/>
    <w:bookmarkEnd w:id="97"/>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66675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ind w:left="1060" w:right="40" w:hanging="956"/>
        <w:spacing w:after="0" w:line="264" w:lineRule="auto"/>
        <w:tabs>
          <w:tab w:leader="none" w:pos="104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52">
        <w:r>
          <w:rPr>
            <w:rFonts w:ascii="Arial" w:cs="Arial" w:eastAsia="Arial" w:hAnsi="Arial"/>
            <w:sz w:val="18"/>
            <w:szCs w:val="18"/>
            <w:u w:val="single" w:color="auto"/>
            <w:color w:val="0000FF"/>
          </w:rPr>
          <w:t>Form of Linear Integration Performance Restricted Stock Unit Agreement for Employees for usage under the Analog Devices, Inc.</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Amended and Restated 2006 Stock Incentive Plan</w:t>
        </w:r>
        <w:r>
          <w:rPr>
            <w:rFonts w:ascii="Arial" w:cs="Arial" w:eastAsia="Arial" w:hAnsi="Arial"/>
            <w:sz w:val="18"/>
            <w:szCs w:val="18"/>
            <w:color w:val="000000"/>
          </w:rPr>
          <w:t>, filed as Exhibit 10.1 to the Company's Current Report on Form 8-K (File No. 1</w:t>
        </w:r>
      </w:hyperlink>
      <w:r>
        <w:rPr>
          <w:rFonts w:ascii="Arial" w:cs="Arial" w:eastAsia="Arial" w:hAnsi="Arial"/>
          <w:sz w:val="18"/>
          <w:szCs w:val="18"/>
          <w:color w:val="0000FF"/>
        </w:rPr>
        <w:t>-</w:t>
      </w:r>
      <w:r>
        <w:rPr>
          <w:rFonts w:ascii="Arial" w:cs="Arial" w:eastAsia="Arial" w:hAnsi="Arial"/>
          <w:sz w:val="18"/>
          <w:szCs w:val="18"/>
          <w:color w:val="000000"/>
        </w:rPr>
        <w:t>7819) as</w:t>
      </w:r>
      <w:r>
        <w:rPr>
          <w:rFonts w:ascii="Arial" w:cs="Arial" w:eastAsia="Arial" w:hAnsi="Arial"/>
          <w:sz w:val="18"/>
          <w:szCs w:val="18"/>
          <w:color w:val="0000FF"/>
        </w:rPr>
        <w:t xml:space="preserve"> </w:t>
      </w:r>
      <w:r>
        <w:rPr>
          <w:rFonts w:ascii="Arial" w:cs="Arial" w:eastAsia="Arial" w:hAnsi="Arial"/>
          <w:sz w:val="18"/>
          <w:szCs w:val="18"/>
          <w:color w:val="000000"/>
        </w:rPr>
        <w:t>filed with the Commission on July 11, 2017 and incorporated by reference herein.</w:t>
      </w:r>
    </w:p>
    <w:p>
      <w:pPr>
        <w:spacing w:after="0" w:line="19" w:lineRule="exact"/>
        <w:rPr>
          <w:sz w:val="20"/>
          <w:szCs w:val="20"/>
          <w:color w:val="auto"/>
        </w:rPr>
      </w:pPr>
    </w:p>
    <w:p>
      <w:pPr>
        <w:ind w:left="1060" w:right="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3">
        <w:r>
          <w:rPr>
            <w:rFonts w:ascii="Arial" w:cs="Arial" w:eastAsia="Arial" w:hAnsi="Arial"/>
            <w:sz w:val="18"/>
            <w:szCs w:val="18"/>
            <w:u w:val="single" w:color="auto"/>
            <w:color w:val="0000FF"/>
          </w:rPr>
          <w:t>Analog Devices BV (Ireland) Employee Stock Option Program,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 to the Company's Annual Report on Form</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10-K for the fiscal year ended November 2, 2002 (File No. 1-7819) as filed with the Commission on January 29, 2003 and incorporated herein by reference.</w:t>
      </w:r>
    </w:p>
    <w:p>
      <w:pPr>
        <w:spacing w:after="0" w:line="19" w:lineRule="exact"/>
        <w:rPr>
          <w:sz w:val="20"/>
          <w:szCs w:val="20"/>
          <w:color w:val="auto"/>
        </w:rPr>
      </w:pPr>
    </w:p>
    <w:p>
      <w:pPr>
        <w:jc w:val="center"/>
        <w:ind w:left="520" w:right="6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*10.19     </w:t>
      </w:r>
      <w:hyperlink r:id="rId54">
        <w:r>
          <w:rPr>
            <w:rFonts w:ascii="Arial" w:cs="Arial" w:eastAsia="Arial" w:hAnsi="Arial"/>
            <w:sz w:val="17"/>
            <w:szCs w:val="17"/>
            <w:u w:val="single" w:color="auto"/>
            <w:color w:val="0000FF"/>
          </w:rPr>
          <w:t>2017 Executive Performance Incentive Plan</w:t>
        </w:r>
      </w:hyperlink>
      <w:r>
        <w:rPr>
          <w:rFonts w:ascii="Arial" w:cs="Arial" w:eastAsia="Arial" w:hAnsi="Arial"/>
          <w:sz w:val="17"/>
          <w:szCs w:val="17"/>
          <w:color w:val="auto"/>
        </w:rPr>
        <w:t>, filed as exhibit 10.15 to the Company's Annual Report on Form 10-K for the fiscal year ended October 29, 2016 (File No. 1-7819) as filed with the Commission on November 22, 2016 and incorporated herein by reference.</w:t>
      </w:r>
    </w:p>
    <w:p>
      <w:pPr>
        <w:spacing w:after="0" w:line="1" w:lineRule="exact"/>
        <w:rPr>
          <w:sz w:val="20"/>
          <w:szCs w:val="20"/>
          <w:color w:val="auto"/>
        </w:rPr>
      </w:pPr>
    </w:p>
    <w:p>
      <w:pPr>
        <w:ind w:left="1060" w:right="320" w:hanging="956"/>
        <w:spacing w:after="0" w:line="277"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5">
        <w:r>
          <w:rPr>
            <w:rFonts w:ascii="Arial" w:cs="Arial" w:eastAsia="Arial" w:hAnsi="Arial"/>
            <w:sz w:val="18"/>
            <w:szCs w:val="18"/>
            <w:u w:val="single" w:color="auto"/>
            <w:color w:val="0000FF"/>
          </w:rPr>
          <w:t>Linear Technology Executive Bonus Plan</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Appendix A to Linear Technology Corporation's 2014 Definitive Proxy Statement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Schedule 14A (File No. 000-14864), as filed with the Commission on September 26, 2014.</w:t>
      </w:r>
    </w:p>
    <w:p>
      <w:pPr>
        <w:spacing w:after="0" w:line="8" w:lineRule="exact"/>
        <w:rPr>
          <w:sz w:val="20"/>
          <w:szCs w:val="20"/>
          <w:color w:val="auto"/>
        </w:rPr>
      </w:pPr>
    </w:p>
    <w:p>
      <w:pPr>
        <w:ind w:left="1060" w:right="2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6">
        <w:r>
          <w:rPr>
            <w:rFonts w:ascii="Arial" w:cs="Arial" w:eastAsia="Arial" w:hAnsi="Arial"/>
            <w:sz w:val="18"/>
            <w:szCs w:val="18"/>
            <w:u w:val="single" w:color="auto"/>
            <w:color w:val="0000FF"/>
          </w:rPr>
          <w:t>Analog Devices, Inc. Executive Section 162(m) plan,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 Company's Quarterly Report on Form 10-Q</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for the fiscal quarter ended May 4, 2013 (File No. 1-7819) as filed with the Commission on May 21, 2013 and incorporated herein by reference.</w:t>
      </w:r>
    </w:p>
    <w:p>
      <w:pPr>
        <w:spacing w:after="0" w:line="19" w:lineRule="exact"/>
        <w:rPr>
          <w:sz w:val="20"/>
          <w:szCs w:val="20"/>
          <w:color w:val="auto"/>
        </w:rPr>
      </w:pPr>
    </w:p>
    <w:p>
      <w:pPr>
        <w:ind w:left="1060" w:right="20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7">
        <w:r>
          <w:rPr>
            <w:rFonts w:ascii="Arial" w:cs="Arial" w:eastAsia="Arial" w:hAnsi="Arial"/>
            <w:sz w:val="18"/>
            <w:szCs w:val="18"/>
            <w:u w:val="single" w:color="auto"/>
            <w:color w:val="0000FF"/>
          </w:rPr>
          <w:t>Separation Agreement between Analog Devices, Inc. and David A. Zinsner, dated March 27, 2017</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April 29, 2017 (File No. 1-7819) as filed with the Commission on May 31, 2017 and incorporated herein by reference.</w:t>
      </w:r>
    </w:p>
    <w:p>
      <w:pPr>
        <w:spacing w:after="0" w:line="19" w:lineRule="exact"/>
        <w:rPr>
          <w:sz w:val="20"/>
          <w:szCs w:val="20"/>
          <w:color w:val="auto"/>
        </w:rPr>
      </w:pPr>
    </w:p>
    <w:p>
      <w:pPr>
        <w:ind w:left="1060" w:right="20" w:hanging="956"/>
        <w:spacing w:after="0" w:line="298" w:lineRule="auto"/>
        <w:tabs>
          <w:tab w:leader="none" w:pos="104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58">
        <w:r>
          <w:rPr>
            <w:rFonts w:ascii="Arial" w:cs="Arial" w:eastAsia="Arial" w:hAnsi="Arial"/>
            <w:sz w:val="17"/>
            <w:szCs w:val="17"/>
            <w:u w:val="single" w:color="auto"/>
            <w:color w:val="0000FF"/>
          </w:rPr>
          <w:t>Form of Employee Retention Agreement</w:t>
        </w:r>
      </w:hyperlink>
      <w:r>
        <w:rPr>
          <w:rFonts w:ascii="Arial" w:cs="Arial" w:eastAsia="Arial" w:hAnsi="Arial"/>
          <w:sz w:val="17"/>
          <w:szCs w:val="17"/>
          <w:color w:val="000000"/>
        </w:rPr>
        <w: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filed as exhibit 10.1 to the Company's Quarterly Report on Form 10-Q for the fiscal quarter ended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May 5, 2012 (File No. 1-7819) as filed with the Commission on May 22, 2012 and incorporated herein by reference.</w:t>
      </w:r>
    </w:p>
    <w:p>
      <w:pPr>
        <w:spacing w:after="0" w:line="1" w:lineRule="exact"/>
        <w:rPr>
          <w:sz w:val="20"/>
          <w:szCs w:val="20"/>
          <w:color w:val="auto"/>
        </w:rPr>
      </w:pPr>
    </w:p>
    <w:p>
      <w:pPr>
        <w:ind w:left="1060" w:right="10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9">
        <w:r>
          <w:rPr>
            <w:rFonts w:ascii="Arial" w:cs="Arial" w:eastAsia="Arial" w:hAnsi="Arial"/>
            <w:sz w:val="18"/>
            <w:szCs w:val="18"/>
            <w:u w:val="single" w:color="auto"/>
            <w:color w:val="0000FF"/>
          </w:rPr>
          <w:t>Change of Control Severance Agreement between Linear Technology Corporation and Steve Pietkiewicz, dated July 25, 2017</w:t>
        </w:r>
      </w:hyperlink>
      <w:r>
        <w:rPr>
          <w:rFonts w:ascii="Arial" w:cs="Arial" w:eastAsia="Arial" w:hAnsi="Arial"/>
          <w:sz w:val="18"/>
          <w:szCs w:val="18"/>
          <w:color w:val="000000"/>
        </w:rPr>
        <w:t>,filed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10.2 to the Company's 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60" w:right="1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0">
        <w:r>
          <w:rPr>
            <w:rFonts w:ascii="Arial" w:cs="Arial" w:eastAsia="Arial" w:hAnsi="Arial"/>
            <w:sz w:val="18"/>
            <w:szCs w:val="18"/>
            <w:u w:val="single" w:color="auto"/>
            <w:color w:val="0000FF"/>
          </w:rPr>
          <w:t>Employee Retention Agreement between the Company and Steve Pietkiewicz, dated July 25, 2017</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Quarterly Report on Form 10-Q for the fiscal quarter ended July 29, 2017 (File No. 1-7819) as filed with the Commission on August 30, 2017 and incorporated herein by reference.</w:t>
      </w:r>
    </w:p>
    <w:p>
      <w:pPr>
        <w:spacing w:after="0" w:line="19" w:lineRule="exact"/>
        <w:rPr>
          <w:sz w:val="20"/>
          <w:szCs w:val="20"/>
          <w:color w:val="auto"/>
        </w:rPr>
      </w:pPr>
    </w:p>
    <w:p>
      <w:pPr>
        <w:ind w:left="1060" w:right="1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1">
        <w:r>
          <w:rPr>
            <w:rFonts w:ascii="Arial" w:cs="Arial" w:eastAsia="Arial" w:hAnsi="Arial"/>
            <w:sz w:val="18"/>
            <w:szCs w:val="18"/>
            <w:u w:val="single" w:color="auto"/>
            <w:color w:val="0000FF"/>
          </w:rPr>
          <w:t>Employee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10.20 to the Company's Annual</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jc w:val="both"/>
        <w:ind w:left="1060" w:right="32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61">
        <w:r>
          <w:rPr>
            <w:rFonts w:ascii="Arial" w:cs="Arial" w:eastAsia="Arial" w:hAnsi="Arial"/>
            <w:sz w:val="18"/>
            <w:szCs w:val="18"/>
            <w:u w:val="single" w:color="auto"/>
            <w:color w:val="0000FF"/>
          </w:rPr>
          <w:t>Senior Management Change in Control Severance Policy of Analog Devices, Inc., as amended</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10.21 to the Company's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ind w:left="40"/>
        <w:spacing w:after="0"/>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w:anchor="page104">
        <w:r>
          <w:rPr>
            <w:rFonts w:ascii="Arial" w:cs="Arial" w:eastAsia="Arial" w:hAnsi="Arial"/>
            <w:sz w:val="18"/>
            <w:szCs w:val="18"/>
            <w:u w:val="single" w:color="auto"/>
            <w:color w:val="0000FF"/>
          </w:rPr>
          <w:t>Offer Letter for Prashanth Mahendra-Rajah, dated August 4, 2017.</w:t>
        </w:r>
      </w:hyperlink>
    </w:p>
    <w:p>
      <w:pPr>
        <w:spacing w:after="0" w:line="63" w:lineRule="exact"/>
        <w:rPr>
          <w:sz w:val="20"/>
          <w:szCs w:val="20"/>
          <w:color w:val="auto"/>
        </w:rPr>
      </w:pPr>
    </w:p>
    <w:p>
      <w:pPr>
        <w:ind w:left="1060" w:right="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2">
        <w:r>
          <w:rPr>
            <w:rFonts w:ascii="Arial" w:cs="Arial" w:eastAsia="Arial" w:hAnsi="Arial"/>
            <w:sz w:val="18"/>
            <w:szCs w:val="18"/>
            <w:u w:val="single" w:color="auto"/>
            <w:color w:val="0000FF"/>
          </w:rPr>
          <w:t>Form of Indemnification Agreement for Directors and Officers</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10.30 to the Company's Annual Report on Form 10-K for</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the fiscal year ended November 1, 2008 (File No. 1-7819) as filed with the Commission on November 25, 2008 and incorporated herein by reference.</w:t>
      </w:r>
    </w:p>
    <w:p>
      <w:pPr>
        <w:spacing w:after="0" w:line="19" w:lineRule="exact"/>
        <w:rPr>
          <w:sz w:val="20"/>
          <w:szCs w:val="20"/>
          <w:color w:val="auto"/>
        </w:rPr>
      </w:pPr>
    </w:p>
    <w:p>
      <w:pPr>
        <w:ind w:left="106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63">
        <w:r>
          <w:rPr>
            <w:rFonts w:ascii="Arial" w:cs="Arial" w:eastAsia="Arial" w:hAnsi="Arial"/>
            <w:sz w:val="18"/>
            <w:szCs w:val="18"/>
            <w:u w:val="single" w:color="auto"/>
            <w:color w:val="0000FF"/>
          </w:rPr>
          <w:t>Employment Agreement between Hittite Microwave Corporation and Rick D. Hess dated March 13, 2013</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 exhibit 10.1 to the</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Company's Quarterly Report on Form 10-Q for the fiscal quarter ended January 31, 2015 (File No. 1-7819) as filed with the Commission on February 17, 2015 and incorporated herein by reference.</w:t>
      </w:r>
    </w:p>
    <w:p>
      <w:pPr>
        <w:spacing w:after="0" w:line="19" w:lineRule="exact"/>
        <w:rPr>
          <w:sz w:val="20"/>
          <w:szCs w:val="20"/>
          <w:color w:val="auto"/>
        </w:rPr>
      </w:pPr>
    </w:p>
    <w:p>
      <w:pPr>
        <w:ind w:left="1060" w:right="10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64">
        <w:r>
          <w:rPr>
            <w:rFonts w:ascii="Arial" w:cs="Arial" w:eastAsia="Arial" w:hAnsi="Arial"/>
            <w:sz w:val="18"/>
            <w:szCs w:val="18"/>
            <w:u w:val="single" w:color="auto"/>
            <w:color w:val="0000FF"/>
          </w:rPr>
          <w:t>Amendment No. 1 to Employment Agreement between Hittite Microwave Corporation and Rick D. Hess dated August 27, 2013</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10.2 to the Company's Quarterly Report on Form 10-Q for the fiscal quarter ended January 31, 2015 (File No. 1-7819) as filed with the Commission on February 17, 2015 and incorporated herein by reference.</w:t>
      </w:r>
    </w:p>
    <w:p>
      <w:pPr>
        <w:spacing w:after="0" w:line="19" w:lineRule="exact"/>
        <w:rPr>
          <w:sz w:val="20"/>
          <w:szCs w:val="20"/>
          <w:color w:val="auto"/>
        </w:rPr>
      </w:pPr>
    </w:p>
    <w:p>
      <w:pPr>
        <w:ind w:left="1060" w:right="80" w:hanging="956"/>
        <w:spacing w:after="0" w:line="264"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65">
        <w:r>
          <w:rPr>
            <w:rFonts w:ascii="Arial" w:cs="Arial" w:eastAsia="Arial" w:hAnsi="Arial"/>
            <w:sz w:val="18"/>
            <w:szCs w:val="18"/>
            <w:u w:val="single" w:color="auto"/>
            <w:color w:val="0000FF"/>
          </w:rPr>
          <w:t>Amendment No. 2 to Employment Agreement between Hittite Microwave Corporation and Rick D. Hess dated April 9, 2014</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filed as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10.2 to Hittite Microwave Corporation's Quarterly Report on Form 10-Q for the fiscal quarter ended March 31, 2014 (File No. 000-51448) as filed with the Commission on May 6, 2014 and incorporated herein by reference.</w:t>
      </w:r>
    </w:p>
    <w:p>
      <w:pPr>
        <w:spacing w:after="0" w:line="19" w:lineRule="exact"/>
        <w:rPr>
          <w:sz w:val="20"/>
          <w:szCs w:val="20"/>
          <w:color w:val="auto"/>
        </w:rPr>
      </w:pPr>
    </w:p>
    <w:p>
      <w:pPr>
        <w:jc w:val="right"/>
        <w:ind w:left="100" w:right="24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*10.33     </w:t>
      </w:r>
      <w:hyperlink r:id="rId66">
        <w:r>
          <w:rPr>
            <w:rFonts w:ascii="Arial" w:cs="Arial" w:eastAsia="Arial" w:hAnsi="Arial"/>
            <w:sz w:val="17"/>
            <w:szCs w:val="17"/>
            <w:u w:val="single" w:color="auto"/>
            <w:color w:val="0000FF"/>
          </w:rPr>
          <w:t>Amendment No. 3 to Employment Agreement with Rick D. Hess dated June 9, 2014</w:t>
        </w:r>
      </w:hyperlink>
      <w:r>
        <w:rPr>
          <w:rFonts w:ascii="Arial" w:cs="Arial" w:eastAsia="Arial" w:hAnsi="Arial"/>
          <w:sz w:val="17"/>
          <w:szCs w:val="17"/>
          <w:color w:val="auto"/>
        </w:rPr>
        <w:t>, filed as exhibit d(3) to the Company's Tender Offer Statement on Schedule TO-T (File No, 005-81515) as filed with the Commission on June 23, 2014 and incorporated herein by reference.</w:t>
      </w:r>
    </w:p>
    <w:p>
      <w:pPr>
        <w:spacing w:after="0" w:line="1" w:lineRule="exact"/>
        <w:rPr>
          <w:sz w:val="20"/>
          <w:szCs w:val="20"/>
          <w:color w:val="auto"/>
        </w:rPr>
      </w:pPr>
    </w:p>
    <w:p>
      <w:pPr>
        <w:jc w:val="right"/>
        <w:ind w:left="100" w:right="2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*10.34     </w:t>
      </w:r>
      <w:hyperlink r:id="rId67">
        <w:r>
          <w:rPr>
            <w:rFonts w:ascii="Arial" w:cs="Arial" w:eastAsia="Arial" w:hAnsi="Arial"/>
            <w:sz w:val="17"/>
            <w:szCs w:val="17"/>
            <w:u w:val="single" w:color="auto"/>
            <w:color w:val="0000FF"/>
          </w:rPr>
          <w:t>Amendment No. 4 to Employment Agreement with Rick D. Hess dated June 9, 2014</w:t>
        </w:r>
      </w:hyperlink>
      <w:r>
        <w:rPr>
          <w:rFonts w:ascii="Arial" w:cs="Arial" w:eastAsia="Arial" w:hAnsi="Arial"/>
          <w:sz w:val="17"/>
          <w:szCs w:val="17"/>
          <w:color w:val="auto"/>
        </w:rPr>
        <w:t>, filed as exhibit d(4) to the Company’s Tender Offer Statement on Schedule TO-T (File No. 005-81515) as filed with the Commission on June 23, 2014 and incorporated herein by reference.</w:t>
      </w:r>
    </w:p>
    <w:p>
      <w:pPr>
        <w:sectPr>
          <w:pgSz w:w="11900" w:h="16838" w:orient="portrait"/>
          <w:cols w:equalWidth="0" w:num="1">
            <w:col w:w="11160"/>
          </w:cols>
          <w:pgMar w:left="480" w:top="738" w:right="2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Exhibit No.</w:t>
            </w: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60" w:type="dxa"/>
            <w:vAlign w:val="bottom"/>
            <w:gridSpan w:val="12"/>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1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*10.35</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14"/>
          </w:tcPr>
          <w:p>
            <w:pPr>
              <w:spacing w:after="0" w:line="202"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Amendment No. 5 to Employment Agreement with Rick D. Hess dated October 31, 2014</w:t>
              </w:r>
            </w:hyperlink>
            <w:r>
              <w:rPr>
                <w:rFonts w:ascii="Arial" w:cs="Arial" w:eastAsia="Arial" w:hAnsi="Arial"/>
                <w:sz w:val="18"/>
                <w:szCs w:val="18"/>
                <w:color w:val="000000"/>
                <w:w w:val="92"/>
              </w:rPr>
              <w:t>,</w:t>
            </w:r>
            <w:r>
              <w:rPr>
                <w:rFonts w:ascii="Arial" w:cs="Arial" w:eastAsia="Arial" w:hAnsi="Arial"/>
                <w:sz w:val="18"/>
                <w:szCs w:val="18"/>
                <w:color w:val="0000FF"/>
                <w:w w:val="92"/>
              </w:rPr>
              <w:t xml:space="preserve"> </w:t>
            </w:r>
            <w:r>
              <w:rPr>
                <w:rFonts w:ascii="Arial" w:cs="Arial" w:eastAsia="Arial" w:hAnsi="Arial"/>
                <w:sz w:val="18"/>
                <w:szCs w:val="18"/>
                <w:color w:val="000000"/>
                <w:w w:val="92"/>
              </w:rPr>
              <w:t>filed as exhibit 10.6 to the Company's Quarterly</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w w:val="93"/>
              </w:rPr>
              <w:t>Report on Form 10-Q for the fiscal quarter ended January 31, 2015 (File No. 1-7819) as filed with the Commission on February 17, 2015</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4"/>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Amendment No. 6 to Employment Agreement with Rick D. Hess, dated June 13, 2017</w:t>
              </w:r>
            </w:hyperlink>
            <w:r>
              <w:rPr>
                <w:rFonts w:ascii="Arial" w:cs="Arial" w:eastAsia="Arial" w:hAnsi="Arial"/>
                <w:sz w:val="18"/>
                <w:szCs w:val="18"/>
                <w:color w:val="000000"/>
                <w:w w:val="95"/>
              </w:rPr>
              <w:t>,</w:t>
            </w:r>
            <w:r>
              <w:rPr>
                <w:rFonts w:ascii="Arial" w:cs="Arial" w:eastAsia="Arial" w:hAnsi="Arial"/>
                <w:sz w:val="18"/>
                <w:szCs w:val="18"/>
                <w:color w:val="0000FF"/>
                <w:w w:val="95"/>
              </w:rPr>
              <w:t xml:space="preserve"> </w:t>
            </w:r>
            <w:r>
              <w:rPr>
                <w:rFonts w:ascii="Arial" w:cs="Arial" w:eastAsia="Arial" w:hAnsi="Arial"/>
                <w:sz w:val="18"/>
                <w:szCs w:val="18"/>
                <w:color w:val="000000"/>
                <w:w w:val="95"/>
              </w:rPr>
              <w:t>filed as Exhibit 10.1 to the Company's Current</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Report on Form 8-K (File No. 1-7819) as filed with the Commission on June 15, 2017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4"/>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Credit Agreement, dated as of September 23, 2016, among Analog Devices, Inc., as Borrower, JPMorgan Chase Bank, N.A. as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Administrative Agent and each lender from time to time party thereto</w:t>
              </w:r>
              <w:r>
                <w:rPr>
                  <w:rFonts w:ascii="Arial" w:cs="Arial" w:eastAsia="Arial" w:hAnsi="Arial"/>
                  <w:sz w:val="18"/>
                  <w:szCs w:val="18"/>
                  <w:color w:val="000000"/>
                  <w:w w:val="93"/>
                </w:rPr>
                <w:t xml:space="preserve">, filed as exhibit 10.1 to the Company's Current Report on </w:t>
              </w:r>
            </w:hyperlink>
            <w:r>
              <w:rPr>
                <w:rFonts w:ascii="Arial" w:cs="Arial" w:eastAsia="Arial" w:hAnsi="Arial"/>
                <w:sz w:val="18"/>
                <w:szCs w:val="18"/>
                <w:color w:val="0000FF"/>
                <w:w w:val="93"/>
              </w:rPr>
              <w:t xml:space="preserve">Form </w:t>
            </w:r>
            <w:r>
              <w:rPr>
                <w:rFonts w:ascii="Arial" w:cs="Arial" w:eastAsia="Arial" w:hAnsi="Arial"/>
                <w:sz w:val="18"/>
                <w:szCs w:val="18"/>
                <w:color w:val="000000"/>
                <w:w w:val="93"/>
              </w:rPr>
              <w:t>8-K</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(File No. 1-7819) as filed with the Commission on September 26, 2016 and incorporated herein by reference.</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20" w:type="dxa"/>
            <w:vAlign w:val="bottom"/>
            <w:tcBorders>
              <w:bottom w:val="single" w:sz="8" w:color="0000FF"/>
            </w:tcBorders>
            <w:gridSpan w:val="12"/>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Amendment and Restatement Agreement, dated as of September 23, 2016, among Analog Devices, Inc., as Borrower, Bank of America,</w:t>
              </w:r>
            </w:hyperlink>
          </w:p>
        </w:tc>
        <w:tc>
          <w:tcPr>
            <w:tcW w:w="300" w:type="dxa"/>
            <w:vAlign w:val="bottom"/>
            <w:gridSpan w:val="2"/>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N.A. as Administrative Agent, Swing Line Lender and L/C Issuer and each lender from time to time party thereto</w:t>
              </w:r>
              <w:r>
                <w:rPr>
                  <w:rFonts w:ascii="Arial" w:cs="Arial" w:eastAsia="Arial" w:hAnsi="Arial"/>
                  <w:sz w:val="18"/>
                  <w:szCs w:val="18"/>
                  <w:color w:val="000000"/>
                  <w:w w:val="94"/>
                </w:rPr>
                <w:t xml:space="preserve">, filed as exhibit 10.2 </w:t>
              </w:r>
            </w:hyperlink>
            <w:r>
              <w:rPr>
                <w:rFonts w:ascii="Arial" w:cs="Arial" w:eastAsia="Arial" w:hAnsi="Arial"/>
                <w:sz w:val="18"/>
                <w:szCs w:val="18"/>
                <w:color w:val="0000FF"/>
                <w:w w:val="94"/>
              </w:rPr>
              <w:t>to</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w w:val="95"/>
              </w:rPr>
              <w:t>the Company's Current Report on Form 8-K (File No. 1-7819) as filed with the Commission on September 26, 2016 and incorporated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herein by reference.</w:t>
            </w:r>
          </w:p>
        </w:tc>
      </w:tr>
      <w:tr>
        <w:trPr>
          <w:trHeight w:val="23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†12.1</w:t>
            </w:r>
          </w:p>
        </w:tc>
        <w:tc>
          <w:tcPr>
            <w:tcW w:w="40" w:type="dxa"/>
            <w:vAlign w:val="bottom"/>
          </w:tcPr>
          <w:p>
            <w:pPr>
              <w:spacing w:after="0"/>
              <w:rPr>
                <w:sz w:val="19"/>
                <w:szCs w:val="19"/>
                <w:color w:val="auto"/>
              </w:rPr>
            </w:pPr>
          </w:p>
        </w:tc>
        <w:tc>
          <w:tcPr>
            <w:tcW w:w="10120" w:type="dxa"/>
            <w:vAlign w:val="bottom"/>
            <w:gridSpan w:val="14"/>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Computation of Consolidated Ratios of Earnings to Fixed Charges.</w:t>
              </w:r>
            </w:hyperlink>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†21</w:t>
            </w:r>
          </w:p>
        </w:tc>
        <w:tc>
          <w:tcPr>
            <w:tcW w:w="40" w:type="dxa"/>
            <w:vAlign w:val="bottom"/>
          </w:tcPr>
          <w:p>
            <w:pPr>
              <w:spacing w:after="0"/>
              <w:rPr>
                <w:sz w:val="21"/>
                <w:szCs w:val="21"/>
                <w:color w:val="auto"/>
              </w:rPr>
            </w:pPr>
          </w:p>
        </w:tc>
        <w:tc>
          <w:tcPr>
            <w:tcW w:w="4820" w:type="dxa"/>
            <w:vAlign w:val="bottom"/>
            <w:tcBorders>
              <w:top w:val="single" w:sz="8" w:color="0000FF"/>
            </w:tcBorders>
            <w:gridSpan w:val="3"/>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Subsidiaries of the Company.</w:t>
              </w:r>
            </w:hyperlink>
          </w:p>
        </w:tc>
        <w:tc>
          <w:tcPr>
            <w:tcW w:w="5300" w:type="dxa"/>
            <w:vAlign w:val="bottom"/>
            <w:gridSpan w:val="11"/>
          </w:tcPr>
          <w:p>
            <w:pPr>
              <w:spacing w:after="0"/>
              <w:rPr>
                <w:sz w:val="21"/>
                <w:szCs w:val="21"/>
                <w:color w:val="auto"/>
              </w:rPr>
            </w:pPr>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†23</w:t>
            </w:r>
          </w:p>
        </w:tc>
        <w:tc>
          <w:tcPr>
            <w:tcW w:w="40" w:type="dxa"/>
            <w:vAlign w:val="bottom"/>
          </w:tcPr>
          <w:p>
            <w:pPr>
              <w:spacing w:after="0"/>
              <w:rPr>
                <w:sz w:val="21"/>
                <w:szCs w:val="21"/>
                <w:color w:val="auto"/>
              </w:rPr>
            </w:pPr>
          </w:p>
        </w:tc>
        <w:tc>
          <w:tcPr>
            <w:tcW w:w="58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Consent of Ernst &amp; Young LLP, Independent Registered Public Accounting Firm.</w:t>
              </w:r>
            </w:hyperlink>
          </w:p>
        </w:tc>
        <w:tc>
          <w:tcPr>
            <w:tcW w:w="4240" w:type="dxa"/>
            <w:vAlign w:val="bottom"/>
            <w:gridSpan w:val="7"/>
          </w:tcPr>
          <w:p>
            <w:pPr>
              <w:spacing w:after="0"/>
              <w:rPr>
                <w:sz w:val="21"/>
                <w:szCs w:val="2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†31.1</w:t>
            </w:r>
          </w:p>
        </w:tc>
        <w:tc>
          <w:tcPr>
            <w:tcW w:w="40" w:type="dxa"/>
            <w:vAlign w:val="bottom"/>
          </w:tcPr>
          <w:p>
            <w:pPr>
              <w:spacing w:after="0"/>
              <w:rPr>
                <w:sz w:val="21"/>
                <w:szCs w:val="21"/>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Certification Pursuant to Rule 13a-14(a) and 15d-14(a) of the Exchange Act, as Adopted Pursuant to Section 302 of the Sarbanes-Oxley Act</w:t>
              </w:r>
            </w:hyperlink>
          </w:p>
        </w:tc>
        <w:tc>
          <w:tcPr>
            <w:tcW w:w="2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4"/>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of 2002 (Chief Executive Officer)</w:t>
              </w:r>
              <w:r>
                <w:rPr>
                  <w:rFonts w:ascii="Arial" w:cs="Arial" w:eastAsia="Arial" w:hAnsi="Arial"/>
                  <w:sz w:val="18"/>
                  <w:szCs w:val="18"/>
                  <w:color w:val="000000"/>
                </w:rPr>
                <w:t>.</w:t>
              </w:r>
            </w:hyperlink>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†31.2</w:t>
            </w:r>
          </w:p>
        </w:tc>
        <w:tc>
          <w:tcPr>
            <w:tcW w:w="40" w:type="dxa"/>
            <w:vAlign w:val="bottom"/>
          </w:tcPr>
          <w:p>
            <w:pPr>
              <w:spacing w:after="0"/>
              <w:rPr>
                <w:sz w:val="21"/>
                <w:szCs w:val="21"/>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14">
              <w:r>
                <w:rPr>
                  <w:rFonts w:ascii="Arial" w:cs="Arial" w:eastAsia="Arial" w:hAnsi="Arial"/>
                  <w:sz w:val="18"/>
                  <w:szCs w:val="18"/>
                  <w:color w:val="0000FF"/>
                  <w:w w:val="90"/>
                </w:rPr>
                <w:t>Certification Pursuant to Rule 13a-14(a) and 15d-14(a) of the Exchange Act, as Adopted Pursuant to Section 302 of the Sarbanes-Oxley Act</w:t>
              </w:r>
            </w:hyperlink>
          </w:p>
        </w:tc>
        <w:tc>
          <w:tcPr>
            <w:tcW w:w="2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114">
              <w:r>
                <w:rPr>
                  <w:rFonts w:ascii="Arial" w:cs="Arial" w:eastAsia="Arial" w:hAnsi="Arial"/>
                  <w:sz w:val="18"/>
                  <w:szCs w:val="18"/>
                  <w:color w:val="0000FF"/>
                  <w:w w:val="93"/>
                </w:rPr>
                <w:t>of 2002 (Chief Financial Officer).</w:t>
              </w:r>
            </w:hyperlink>
          </w:p>
        </w:tc>
        <w:tc>
          <w:tcPr>
            <w:tcW w:w="7660" w:type="dxa"/>
            <w:vAlign w:val="bottom"/>
            <w:gridSpan w:val="12"/>
          </w:tcPr>
          <w:p>
            <w:pPr>
              <w:spacing w:after="0"/>
              <w:rPr>
                <w:sz w:val="17"/>
                <w:szCs w:val="17"/>
                <w:color w:val="auto"/>
              </w:rPr>
            </w:pP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†32.1</w:t>
            </w:r>
          </w:p>
        </w:tc>
        <w:tc>
          <w:tcPr>
            <w:tcW w:w="40" w:type="dxa"/>
            <w:vAlign w:val="bottom"/>
          </w:tcPr>
          <w:p>
            <w:pPr>
              <w:spacing w:after="0"/>
              <w:rPr>
                <w:sz w:val="21"/>
                <w:szCs w:val="21"/>
                <w:color w:val="auto"/>
              </w:rPr>
            </w:pPr>
          </w:p>
        </w:tc>
        <w:tc>
          <w:tcPr>
            <w:tcW w:w="10120" w:type="dxa"/>
            <w:vAlign w:val="bottom"/>
            <w:gridSpan w:val="1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Pursuant to 18 U.S.C. Section 1350 (Chief Executive Officer)</w:t>
              </w:r>
            </w:hyperlink>
            <w:r>
              <w:rPr>
                <w:rFonts w:ascii="Arial" w:cs="Arial" w:eastAsia="Arial" w:hAnsi="Arial"/>
                <w:sz w:val="18"/>
                <w:szCs w:val="18"/>
                <w:color w:val="000000"/>
              </w:rPr>
              <w:t>.</w:t>
            </w:r>
          </w:p>
        </w:tc>
      </w:tr>
      <w:tr>
        <w:trPr>
          <w:trHeight w:val="25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†32.2</w:t>
            </w:r>
          </w:p>
        </w:tc>
        <w:tc>
          <w:tcPr>
            <w:tcW w:w="40" w:type="dxa"/>
            <w:vAlign w:val="bottom"/>
          </w:tcPr>
          <w:p>
            <w:pPr>
              <w:spacing w:after="0"/>
              <w:rPr>
                <w:sz w:val="21"/>
                <w:szCs w:val="21"/>
                <w:color w:val="auto"/>
              </w:rPr>
            </w:pPr>
          </w:p>
        </w:tc>
        <w:tc>
          <w:tcPr>
            <w:tcW w:w="5400" w:type="dxa"/>
            <w:vAlign w:val="bottom"/>
            <w:tcBorders>
              <w:top w:val="single" w:sz="8" w:color="0000FF"/>
            </w:tcBorders>
            <w:gridSpan w:val="6"/>
          </w:tcPr>
          <w:p>
            <w:pPr>
              <w:spacing w:after="0"/>
              <w:rPr>
                <w:rFonts w:ascii="Arial" w:cs="Arial" w:eastAsia="Arial" w:hAnsi="Arial"/>
                <w:sz w:val="18"/>
                <w:szCs w:val="18"/>
                <w:color w:val="0000FF"/>
                <w:w w:val="92"/>
              </w:rPr>
            </w:pPr>
            <w:hyperlink w:anchor="page116">
              <w:r>
                <w:rPr>
                  <w:rFonts w:ascii="Arial" w:cs="Arial" w:eastAsia="Arial" w:hAnsi="Arial"/>
                  <w:sz w:val="18"/>
                  <w:szCs w:val="18"/>
                  <w:color w:val="0000FF"/>
                  <w:w w:val="92"/>
                </w:rPr>
                <w:t>Certification Pursuant to 18 U.S.C. Section 1350 (Chief Financial Officer)</w:t>
              </w:r>
            </w:hyperlink>
            <w:r>
              <w:rPr>
                <w:rFonts w:ascii="Arial" w:cs="Arial" w:eastAsia="Arial" w:hAnsi="Arial"/>
                <w:sz w:val="18"/>
                <w:szCs w:val="18"/>
                <w:color w:val="000000"/>
                <w:w w:val="92"/>
              </w:rPr>
              <w:t>.</w:t>
            </w:r>
          </w:p>
        </w:tc>
        <w:tc>
          <w:tcPr>
            <w:tcW w:w="4720" w:type="dxa"/>
            <w:vAlign w:val="bottom"/>
            <w:gridSpan w:val="8"/>
          </w:tcPr>
          <w:p>
            <w:pPr>
              <w:spacing w:after="0"/>
              <w:rPr>
                <w:sz w:val="21"/>
                <w:szCs w:val="21"/>
                <w:color w:val="auto"/>
              </w:rPr>
            </w:pPr>
          </w:p>
        </w:tc>
      </w:tr>
      <w:tr>
        <w:trPr>
          <w:trHeight w:val="291"/>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 INS</w:t>
            </w:r>
          </w:p>
        </w:tc>
        <w:tc>
          <w:tcPr>
            <w:tcW w:w="40" w:type="dxa"/>
            <w:vAlign w:val="bottom"/>
          </w:tcPr>
          <w:p>
            <w:pPr>
              <w:spacing w:after="0"/>
              <w:rPr>
                <w:sz w:val="24"/>
                <w:szCs w:val="24"/>
                <w:color w:val="auto"/>
              </w:rPr>
            </w:pPr>
          </w:p>
        </w:tc>
        <w:tc>
          <w:tcPr>
            <w:tcW w:w="53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780" w:type="dxa"/>
            <w:vAlign w:val="bottom"/>
            <w:gridSpan w:val="9"/>
          </w:tcPr>
          <w:p>
            <w:pPr>
              <w:spacing w:after="0"/>
              <w:rPr>
                <w:sz w:val="24"/>
                <w:szCs w:val="24"/>
                <w:color w:val="auto"/>
              </w:rPr>
            </w:pP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 SCH</w:t>
            </w:r>
          </w:p>
        </w:tc>
        <w:tc>
          <w:tcPr>
            <w:tcW w:w="40" w:type="dxa"/>
            <w:vAlign w:val="bottom"/>
          </w:tcPr>
          <w:p>
            <w:pPr>
              <w:spacing w:after="0"/>
              <w:rPr>
                <w:sz w:val="23"/>
                <w:szCs w:val="23"/>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XBRL Schema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 CAL</w:t>
            </w:r>
          </w:p>
        </w:tc>
        <w:tc>
          <w:tcPr>
            <w:tcW w:w="40" w:type="dxa"/>
            <w:vAlign w:val="bottom"/>
          </w:tcPr>
          <w:p>
            <w:pPr>
              <w:spacing w:after="0"/>
              <w:rPr>
                <w:sz w:val="23"/>
                <w:szCs w:val="23"/>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 LAB</w:t>
            </w:r>
          </w:p>
        </w:tc>
        <w:tc>
          <w:tcPr>
            <w:tcW w:w="40" w:type="dxa"/>
            <w:vAlign w:val="bottom"/>
          </w:tcPr>
          <w:p>
            <w:pPr>
              <w:spacing w:after="0"/>
              <w:rPr>
                <w:sz w:val="23"/>
                <w:szCs w:val="23"/>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 PRE</w:t>
            </w:r>
          </w:p>
        </w:tc>
        <w:tc>
          <w:tcPr>
            <w:tcW w:w="40" w:type="dxa"/>
            <w:vAlign w:val="bottom"/>
          </w:tcPr>
          <w:p>
            <w:pPr>
              <w:spacing w:after="0"/>
              <w:rPr>
                <w:sz w:val="23"/>
                <w:szCs w:val="23"/>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 DEF</w:t>
            </w:r>
          </w:p>
        </w:tc>
        <w:tc>
          <w:tcPr>
            <w:tcW w:w="40" w:type="dxa"/>
            <w:vAlign w:val="bottom"/>
          </w:tcPr>
          <w:p>
            <w:pPr>
              <w:spacing w:after="0"/>
              <w:rPr>
                <w:sz w:val="23"/>
                <w:szCs w:val="23"/>
                <w:color w:val="auto"/>
              </w:rPr>
            </w:pPr>
          </w:p>
        </w:tc>
        <w:tc>
          <w:tcPr>
            <w:tcW w:w="10120" w:type="dxa"/>
            <w:vAlign w:val="bottom"/>
            <w:gridSpan w:val="1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620" w:hanging="585"/>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80" w:hanging="545"/>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pacing w:after="0" w:line="158"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Statements of Income for the years ended October 28, 2017, October 29, 2016 and October 31, 2015, (ii) Consolidated Balance Sheets as of October 28, 2017 and October 29, 2016, (iii) Consolidated Statements of Shareholders’ Equity for the years ended October 28, 2017, October 29, 2016 and October 31, 2015,</w:t>
      </w:r>
    </w:p>
    <w:p>
      <w:pPr>
        <w:ind w:right="60" w:firstLine="8"/>
        <w:spacing w:after="0" w:line="255" w:lineRule="auto"/>
        <w:tabs>
          <w:tab w:leader="none" w:pos="3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October 28, 2017, October 29, 2016 and October 31, 2015, (v) Consolidated Statements of Cash Flows for the years ended October 28, 2017, October 29, 2016 and October 31, 2015, (vi) Notes to Consolidated Financial Statements for the years ended October 28, 2017, October 29, 2016 and October 31, 2015.</w:t>
      </w:r>
    </w:p>
    <w:p>
      <w:pPr>
        <w:sectPr>
          <w:pgSz w:w="11900" w:h="16838" w:orient="portrait"/>
          <w:cols w:equalWidth="0" w:num="1">
            <w:col w:w="11420"/>
          </w:cols>
          <w:pgMar w:left="240" w:top="805" w:right="2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OCTOBER 28,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9019"/>
          </w:cols>
          <w:pgMar w:left="1440" w:top="1440"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28, 2017, October 29, 2016 and October 31,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at Beginning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(Reductions)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9"/>
              </w:rPr>
              <w:t>Deductions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Statement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Accounts Receivable Reserves and Allowances: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28, 2017</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5,117</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12,284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Valuation Reserve for Deferred Tax Asset: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31, 2015</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52,064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52,675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Year ended October 29, 2016</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52,675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13,658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67,094</w:t>
            </w:r>
          </w:p>
        </w:tc>
        <w:tc>
          <w:tcPr>
            <w:tcW w:w="0" w:type="dxa"/>
            <w:vAlign w:val="bottom"/>
          </w:tcPr>
          <w:p>
            <w:pPr>
              <w:spacing w:after="0"/>
              <w:rPr>
                <w:sz w:val="1"/>
                <w:szCs w:val="1"/>
                <w:color w:val="auto"/>
              </w:rPr>
            </w:pPr>
          </w:p>
        </w:tc>
      </w:tr>
      <w:tr>
        <w:trPr>
          <w:trHeight w:val="2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October 28, 2017</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67,094</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53,787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99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ANALOG DEVICES, INC.</w:t>
      </w:r>
    </w:p>
    <w:p>
      <w:pPr>
        <w:spacing w:after="0" w:line="185" w:lineRule="exact"/>
        <w:rPr>
          <w:sz w:val="20"/>
          <w:szCs w:val="20"/>
          <w:color w:val="auto"/>
        </w:rPr>
      </w:pPr>
    </w:p>
    <w:p>
      <w:pPr>
        <w:ind w:left="552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439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2017</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580" w:right="299" w:bottom="1440" w:gutter="0" w:footer="0" w:header="0"/>
        </w:sectPr>
      </w:pPr>
    </w:p>
    <w:bookmarkStart w:id="102" w:name="page103"/>
    <w:bookmarkEnd w:id="102"/>
    <w:p>
      <w:pPr>
        <w:ind w:right="6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5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Vincent Roche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President and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41"/>
        </w:trPr>
        <w:tc>
          <w:tcPr>
            <w:tcW w:w="48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2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Vincent Roche</w:t>
            </w:r>
          </w:p>
        </w:tc>
        <w:tc>
          <w:tcPr>
            <w:tcW w:w="460" w:type="dxa"/>
            <w:vAlign w:val="bottom"/>
            <w:vMerge w:val="continue"/>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/s/ Prashanth Mahendra-Rajah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Senior Vice President, Finance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8"/>
              </w:rPr>
              <w:t>Prashanth Mahendra-Rajah</w:t>
            </w:r>
          </w:p>
        </w:tc>
        <w:tc>
          <w:tcPr>
            <w:tcW w:w="460" w:type="dxa"/>
            <w:vAlign w:val="bottom"/>
          </w:tcPr>
          <w:p>
            <w:pPr>
              <w:spacing w:after="0"/>
              <w:rPr>
                <w:sz w:val="20"/>
                <w:szCs w:val="20"/>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Eileen Wynne</w:t>
            </w:r>
          </w:p>
        </w:tc>
        <w:tc>
          <w:tcPr>
            <w:tcW w:w="460" w:type="dxa"/>
            <w:vAlign w:val="bottom"/>
          </w:tcPr>
          <w:p>
            <w:pPr>
              <w:spacing w:after="0"/>
              <w:rPr>
                <w:sz w:val="24"/>
                <w:szCs w:val="24"/>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2"/>
              </w:rPr>
              <w:t>Vice President and Chief Accounting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Eileen Wynne</w:t>
            </w:r>
          </w:p>
        </w:tc>
        <w:tc>
          <w:tcPr>
            <w:tcW w:w="460" w:type="dxa"/>
            <w:vAlign w:val="bottom"/>
          </w:tcPr>
          <w:p>
            <w:pPr>
              <w:spacing w:after="0"/>
              <w:rPr>
                <w:sz w:val="20"/>
                <w:szCs w:val="20"/>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Bruce R. Evans</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Bruce R. Evans</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4"/>
              </w:rPr>
              <w:t>/s/ Edward H. Frank</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Edward H. Frank</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rPr>
              <w:t>/s/ Mark M. Little</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9"/>
              </w:rPr>
              <w:t>Mark M. Little</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4,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Prashanth Mahendra-Rajah</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150 NE 6th Ave, Unit 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Delray Beach, FL 33483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Dear Prashanth,</w:t>
      </w:r>
    </w:p>
    <w:p>
      <w:pPr>
        <w:spacing w:after="0" w:line="220" w:lineRule="exact"/>
        <w:rPr>
          <w:sz w:val="20"/>
          <w:szCs w:val="20"/>
          <w:color w:val="auto"/>
        </w:rPr>
      </w:pPr>
    </w:p>
    <w:p>
      <w:pPr>
        <w:ind w:right="180"/>
        <w:spacing w:after="0" w:line="313" w:lineRule="auto"/>
        <w:rPr>
          <w:sz w:val="20"/>
          <w:szCs w:val="20"/>
          <w:color w:val="auto"/>
        </w:rPr>
      </w:pPr>
      <w:r>
        <w:rPr>
          <w:rFonts w:ascii="Arial" w:cs="Arial" w:eastAsia="Arial" w:hAnsi="Arial"/>
          <w:sz w:val="21"/>
          <w:szCs w:val="21"/>
          <w:color w:val="auto"/>
        </w:rPr>
        <w:t>It is a great pleasure to offer you employment to join Analog Devices, Inc. (the “Company”) as Senior Vice President, Finance and Chief Financial Officer reporting to Vincent Roche, the Company’s President and Chief Executive Officer.</w:t>
      </w:r>
    </w:p>
    <w:p>
      <w:pPr>
        <w:spacing w:after="0" w:line="140" w:lineRule="exact"/>
        <w:rPr>
          <w:sz w:val="20"/>
          <w:szCs w:val="20"/>
          <w:color w:val="auto"/>
        </w:rPr>
      </w:pPr>
    </w:p>
    <w:p>
      <w:pPr>
        <w:ind w:right="60"/>
        <w:spacing w:after="0" w:line="283" w:lineRule="auto"/>
        <w:rPr>
          <w:sz w:val="20"/>
          <w:szCs w:val="20"/>
          <w:color w:val="auto"/>
        </w:rPr>
      </w:pPr>
      <w:r>
        <w:rPr>
          <w:rFonts w:ascii="Arial" w:cs="Arial" w:eastAsia="Arial" w:hAnsi="Arial"/>
          <w:sz w:val="22"/>
          <w:szCs w:val="22"/>
          <w:color w:val="auto"/>
        </w:rPr>
        <w:t>You will be paid at the bi-weekly rate of $21,153.85 which is annualized at $550,000.00. In addition to your base salary, you will be eligible to participate in the Company’s Executive Performance Incentive Plan (the “Plan”), which is based on the Company’s overall financial performance. Your bonus target under the Plan will be 100% of your base salary. You are eligible to participate in the Plan beginning on the first date of your employment.</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22"/>
          <w:szCs w:val="22"/>
          <w:color w:val="auto"/>
        </w:rPr>
        <w:t>You will also be paid a one-time hiring bonus of $500,000 (less applicable taxes), after joining the Company. This bonus will be earned and paid according to the terms outlined in the Company’s Hiring Bonus Agreement, which you have separately received. If you voluntarily resign or are terminated by the Company for cause within the first twelve months of employment you will be required to repay the bonus.</w:t>
      </w:r>
    </w:p>
    <w:p>
      <w:pPr>
        <w:spacing w:after="0" w:line="171"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color w:val="auto"/>
        </w:rPr>
        <w:t>You will receive a restricted stock unit award (“RSU award”) valued at $2,000,000 under the terms of the Company’s Amended and Restated 2006 Stock Incentive Plan. The “grant date” of this RSU award will be the 15th day of the month following the first date of your employment or the next trading day of the NASDAQ, as applicable. To determine the number of RSUs, we will divide the value of the award by the fair market value (FMV) of each RSU. The FMV considers a variety of factors including the price and volatility of the Company’s stock around the time of the grant, the value of the dividend and interest rates. Subject to the terms of the RSU award, each one (1) RSU shall, upon vesting, automatically convert into one (1) share of Common Stock of Analog Devices. This RSU award will vest in annual installments of one-third per year of the total RSU awarded, beginning one year from the grant date. You will receive further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0"/>
        <w:spacing w:after="0"/>
        <w:tabs>
          <w:tab w:leader="none" w:pos="140" w:val="left"/>
          <w:tab w:leader="none" w:pos="140" w:val="left"/>
          <w:tab w:leader="none" w:pos="140" w:val="left"/>
          <w:tab w:leader="none" w:pos="140" w:val="left"/>
          <w:tab w:leader="none" w:pos="140" w:val="left"/>
          <w:tab w:leader="none" w:pos="140" w:val="left"/>
        </w:tabs>
        <w:rPr>
          <w:sz w:val="20"/>
          <w:szCs w:val="20"/>
          <w:color w:val="auto"/>
        </w:rPr>
      </w:pPr>
      <w:r>
        <w:rPr>
          <w:rFonts w:ascii="Arial" w:cs="Arial" w:eastAsia="Arial" w:hAnsi="Arial"/>
          <w:sz w:val="16"/>
          <w:szCs w:val="16"/>
          <w:color w:val="auto"/>
        </w:rPr>
        <w:t>Analog Devices, Inc.</w:t>
        <w:tab/>
        <w:t>|</w:t>
        <w:tab/>
        <w:t>One Technology Way</w:t>
        <w:tab/>
        <w:t>|</w:t>
        <w:tab/>
        <w:t>P.O. Box 9106</w:t>
        <w:tab/>
        <w:t>|</w:t>
      </w:r>
      <w:r>
        <w:rPr>
          <w:sz w:val="20"/>
          <w:szCs w:val="20"/>
          <w:color w:val="auto"/>
        </w:rPr>
        <w:tab/>
      </w:r>
      <w:r>
        <w:rPr>
          <w:rFonts w:ascii="Arial" w:cs="Arial" w:eastAsia="Arial" w:hAnsi="Arial"/>
          <w:sz w:val="15"/>
          <w:szCs w:val="15"/>
          <w:color w:val="auto"/>
        </w:rPr>
        <w:t>Norwood, MA 02062-9106</w:t>
      </w:r>
    </w:p>
    <w:p>
      <w:pPr>
        <w:sectPr>
          <w:pgSz w:w="11900" w:h="16838" w:orient="portrait"/>
          <w:cols w:equalWidth="0" w:num="1">
            <w:col w:w="11420"/>
          </w:cols>
          <w:pgMar w:left="240" w:top="503"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information regarding this RSU award, including important tax information, after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promote the successful integration of Linear Technology Corporation (“Linear”), which the Company acquired 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March 10, 2017, you will also receive a performance-based restricted stock unit award (“PRSU award”) valued at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$1,650,000 under the terms of Amended and Restated 2006 Stock Incentive Plan. The “grant date” of the PRSU award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will be the 15th day of the month following the first date of your employment or the next trading day of the NASDAQ, as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applicable. The PRSU award is subject to the achievement of a pre-established performance goal based on the trailing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twelve month non-GAAP operating profit before taxes (“OPBT”) as a percentage of revenue of the Company,</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determined as of the end of the second quarter of the Company’s fiscal year 2020. A number of PRSUs equal to 120%</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the target number of PRSUs will vest on July 17, 2020 only if the Compensation Committee has certified that the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OPBT goal has been attained and is subject to your continued service through the vesting date. The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Committee may exercise negative discretion to reduce (but not increase) the number of PRSUs that would otherwise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vest by considering the attainment level of the following two additional performance goals: (i) 50% of the PRSUs that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are determined to vest based on the attainment of the OPBT goal may be reduced based on the attainment level of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pre-established net synergy goal achieved in connection with the acquisition of Linear, and (ii) 50% of the PRSUs that</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are determined to vest based on the attainment of the OPBT goal may be reduced based on the attainment level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pre-established three-year cumulative revenue goal of Linear on a standalone basis. Attainment among performance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parameters is subject to interpolation on a linear basis. You will receive further information regarding this PRSU award,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including important tax information, after the grant date.</w:t>
      </w:r>
    </w:p>
    <w:p>
      <w:pPr>
        <w:spacing w:after="0" w:line="220" w:lineRule="exact"/>
        <w:rPr>
          <w:sz w:val="20"/>
          <w:szCs w:val="20"/>
          <w:color w:val="auto"/>
        </w:rPr>
      </w:pPr>
    </w:p>
    <w:p>
      <w:pPr>
        <w:jc w:val="both"/>
        <w:ind w:right="280"/>
        <w:spacing w:after="0" w:line="285" w:lineRule="auto"/>
        <w:rPr>
          <w:sz w:val="20"/>
          <w:szCs w:val="20"/>
          <w:color w:val="auto"/>
        </w:rPr>
      </w:pPr>
      <w:r>
        <w:rPr>
          <w:rFonts w:ascii="Arial" w:cs="Arial" w:eastAsia="Arial" w:hAnsi="Arial"/>
          <w:sz w:val="22"/>
          <w:szCs w:val="22"/>
          <w:color w:val="auto"/>
        </w:rPr>
        <w:t>The Company intends to be supportive of your relocation to the United States. The relocation benefits will expire one year from your start date. If you voluntarily resign or are terminated by the Company for cause within the first twelve months of employment you will be required to repay any relocation benefits paid to you.</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22"/>
          <w:szCs w:val="22"/>
          <w:color w:val="auto"/>
        </w:rPr>
        <w:t>You will be provided with the Company’s standard Employee Retention Agreement for executive officers which provides that, in the event a Change of Control occurs, you will be paid in the amount equal to the sum of (A) 299% of the higher of (i) your annual base salary in effect at the Date of Termination or (ii) your annual base salary in effect immediately prior to the Change of Control, plus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403" w:right="239" w:bottom="1440" w:gutter="0" w:footer="0" w:header="0"/>
        </w:sectPr>
      </w:pPr>
    </w:p>
    <w:bookmarkStart w:id="105" w:name="page106"/>
    <w:bookmarkEnd w:id="105"/>
    <w:p>
      <w:pPr>
        <w:ind w:right="120" w:firstLine="8"/>
        <w:spacing w:after="0" w:line="283" w:lineRule="auto"/>
        <w:tabs>
          <w:tab w:leader="none" w:pos="348" w:val="left"/>
        </w:tabs>
        <w:numPr>
          <w:ilvl w:val="0"/>
          <w:numId w:val="75"/>
        </w:numPr>
        <w:rPr>
          <w:rFonts w:ascii="Arial" w:cs="Arial" w:eastAsia="Arial" w:hAnsi="Arial"/>
          <w:sz w:val="22"/>
          <w:szCs w:val="22"/>
          <w:color w:val="auto"/>
        </w:rPr>
      </w:pPr>
      <w:r>
        <w:rPr>
          <w:rFonts w:ascii="Arial" w:cs="Arial" w:eastAsia="Arial" w:hAnsi="Arial"/>
          <w:sz w:val="22"/>
          <w:szCs w:val="22"/>
          <w:color w:val="auto"/>
        </w:rPr>
        <w:t>299% of the aggregate cash bonuses paid or awarded to you in respect of the four fiscal quarters preceding the Date of Termination, plus (iii) the continuation of life, disability, dental, accident and group health insurance benefits for a period of 24 months. Please review the Employee Retention Agreement, which you have separately received, for more details.</w:t>
      </w:r>
    </w:p>
    <w:p>
      <w:pPr>
        <w:spacing w:after="0" w:line="171" w:lineRule="exact"/>
        <w:rPr>
          <w:sz w:val="20"/>
          <w:szCs w:val="20"/>
          <w:color w:val="auto"/>
        </w:rPr>
      </w:pPr>
    </w:p>
    <w:p>
      <w:pPr>
        <w:spacing w:after="0" w:line="299" w:lineRule="auto"/>
        <w:rPr>
          <w:sz w:val="20"/>
          <w:szCs w:val="20"/>
          <w:color w:val="auto"/>
        </w:rPr>
      </w:pPr>
      <w:r>
        <w:rPr>
          <w:rFonts w:ascii="Arial" w:cs="Arial" w:eastAsia="Arial" w:hAnsi="Arial"/>
          <w:sz w:val="21"/>
          <w:szCs w:val="21"/>
          <w:color w:val="auto"/>
        </w:rPr>
        <w:t>You will be eligible for the Company’s Deferred Compensation Program and will receive further information regarding this benefit in the near future. You will also be eligible to participate in various employee benefit programs including group health, life, and disability insurance; a tuition assistance program; and, a retirement savings plan with a generous Company contribution beginning upon hire and participation in the Plan. More detailed information about Analog’s benefit programs can be found at our Benefit for Life website at http://benefits.analog.com/adi-benefit-summaries.html.</w:t>
      </w:r>
    </w:p>
    <w:p>
      <w:pPr>
        <w:spacing w:after="0" w:line="157" w:lineRule="exact"/>
        <w:rPr>
          <w:sz w:val="20"/>
          <w:szCs w:val="20"/>
          <w:color w:val="auto"/>
        </w:rPr>
      </w:pPr>
    </w:p>
    <w:p>
      <w:pPr>
        <w:ind w:right="80"/>
        <w:spacing w:after="0" w:line="283" w:lineRule="auto"/>
        <w:rPr>
          <w:sz w:val="20"/>
          <w:szCs w:val="20"/>
          <w:color w:val="auto"/>
        </w:rPr>
      </w:pPr>
      <w:r>
        <w:rPr>
          <w:rFonts w:ascii="Arial" w:cs="Arial" w:eastAsia="Arial" w:hAnsi="Arial"/>
          <w:sz w:val="22"/>
          <w:szCs w:val="22"/>
          <w:color w:val="auto"/>
        </w:rPr>
        <w:t>The Company’s offer of employment is contingent upon verification of employment information provided in your employment process, successful completion of a background check as determined by the Company, proof of employment eligibility, and signing of our Employee Confidentiality and Developments Agreement, a copy of which has been separately provided to you.</w:t>
      </w:r>
    </w:p>
    <w:p>
      <w:pPr>
        <w:spacing w:after="0" w:line="171" w:lineRule="exact"/>
        <w:rPr>
          <w:sz w:val="20"/>
          <w:szCs w:val="20"/>
          <w:color w:val="auto"/>
        </w:rPr>
      </w:pPr>
    </w:p>
    <w:p>
      <w:pPr>
        <w:ind w:right="140"/>
        <w:spacing w:after="0" w:line="283" w:lineRule="auto"/>
        <w:rPr>
          <w:sz w:val="20"/>
          <w:szCs w:val="20"/>
          <w:color w:val="auto"/>
        </w:rPr>
      </w:pPr>
      <w:r>
        <w:rPr>
          <w:rFonts w:ascii="Arial" w:cs="Arial" w:eastAsia="Arial" w:hAnsi="Arial"/>
          <w:sz w:val="22"/>
          <w:szCs w:val="22"/>
          <w:color w:val="auto"/>
        </w:rPr>
        <w:t>Your employment relationship with Analog Devices will be on an “at will” basis. This means either you or the Company may terminate the employment relationship at any time, for any reason, or without a reason, and without prior notice. No one at the Company has the authority to alter your “at will” status other than the Chief Executive Officer and the Senior Vice President of Human Resources, which in such cases must be done in a writing signed by one of the foregoing executives.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This offer letter is not a contract. The Company reserves the right to amend or terminate any of the above-described programs, plans or policies at any time and from time to time. This means that policies, compensation and benefits may be amended or terminated at the Company’s discretion.</w:t>
      </w:r>
    </w:p>
    <w:p>
      <w:pPr>
        <w:spacing w:after="0" w:line="166" w:lineRule="exact"/>
        <w:rPr>
          <w:sz w:val="20"/>
          <w:szCs w:val="20"/>
          <w:color w:val="auto"/>
        </w:rPr>
      </w:pPr>
    </w:p>
    <w:p>
      <w:pPr>
        <w:ind w:right="40"/>
        <w:spacing w:after="0" w:line="283" w:lineRule="auto"/>
        <w:rPr>
          <w:sz w:val="20"/>
          <w:szCs w:val="20"/>
          <w:color w:val="auto"/>
        </w:rPr>
      </w:pPr>
      <w:r>
        <w:rPr>
          <w:rFonts w:ascii="Arial" w:cs="Arial" w:eastAsia="Arial" w:hAnsi="Arial"/>
          <w:sz w:val="22"/>
          <w:szCs w:val="22"/>
          <w:color w:val="auto"/>
        </w:rPr>
        <w:t>This offer of employment is not based on your possession of or access to any proprietary information belonging to your current or previous employers. When you accept this offer of employment and join us, the Company directs that you do not disclose any such information or bring materials belonging to any former employer or use any such materials while in the Company’s employ. Further, you represent and warrant to the Company that you are not bound by any restrictions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403" w:right="25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or covenant not to compete that would prevent you from performing your expected job duties at the Company.</w:t>
      </w:r>
    </w:p>
    <w:p>
      <w:pPr>
        <w:spacing w:after="0" w:line="220" w:lineRule="exact"/>
        <w:rPr>
          <w:sz w:val="20"/>
          <w:szCs w:val="20"/>
          <w:color w:val="auto"/>
        </w:rPr>
      </w:pPr>
    </w:p>
    <w:p>
      <w:pPr>
        <w:spacing w:after="0" w:line="313" w:lineRule="auto"/>
        <w:rPr>
          <w:sz w:val="20"/>
          <w:szCs w:val="20"/>
          <w:color w:val="auto"/>
        </w:rPr>
      </w:pPr>
      <w:r>
        <w:rPr>
          <w:rFonts w:ascii="Arial" w:cs="Arial" w:eastAsia="Arial" w:hAnsi="Arial"/>
          <w:sz w:val="21"/>
          <w:szCs w:val="21"/>
          <w:color w:val="auto"/>
        </w:rPr>
        <w:t>Prashanth, we believe you will be an excellent addition to the Analog Devices executive team and look forward to your starting with us. We are certain you will find your employment with Analog Devices both challenging and rewarding.</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80"/>
          </w:cols>
          <w:pgMar w:left="240" w:top="403" w:right="379"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If you have any questions or concerns, please do not hesitate to contact me at (781) 461-3148.</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Jean Philibert</w:t>
      </w:r>
      <w:r>
        <w:rPr>
          <w:rFonts w:ascii="Arial" w:cs="Arial" w:eastAsia="Arial" w:hAnsi="Arial"/>
          <w:sz w:val="22"/>
          <w:szCs w:val="22"/>
          <w:color w:val="auto"/>
        </w:rPr>
        <w:t>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Jean Philibert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I accept the above offer and will begin my employment on September 28,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340" w:val="left"/>
        </w:tabs>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Prashanth Mahendra-Rajah</w:t>
      </w:r>
      <w:r>
        <w:rPr>
          <w:sz w:val="20"/>
          <w:szCs w:val="20"/>
          <w:color w:val="auto"/>
        </w:rPr>
        <w:tab/>
      </w:r>
      <w:r>
        <w:rPr>
          <w:rFonts w:ascii="Arial" w:cs="Arial" w:eastAsia="Arial" w:hAnsi="Arial"/>
          <w:sz w:val="21"/>
          <w:szCs w:val="21"/>
          <w:color w:val="auto"/>
        </w:rPr>
        <w:t xml:space="preserve">Date: </w:t>
      </w:r>
      <w:r>
        <w:rPr>
          <w:rFonts w:ascii="Arial" w:cs="Arial" w:eastAsia="Arial" w:hAnsi="Arial"/>
          <w:sz w:val="21"/>
          <w:szCs w:val="21"/>
          <w:u w:val="single" w:color="auto"/>
          <w:color w:val="auto"/>
        </w:rPr>
        <w:t>August 8, 2017</w:t>
      </w:r>
    </w:p>
    <w:p>
      <w:pPr>
        <w:spacing w:after="0" w:line="200" w:lineRule="exact"/>
        <w:rPr>
          <w:sz w:val="20"/>
          <w:szCs w:val="20"/>
          <w:color w:val="auto"/>
        </w:rPr>
      </w:pPr>
    </w:p>
    <w:p>
      <w:pPr>
        <w:spacing w:after="0" w:line="239"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876"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756"/>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Analog Devices, Inc.</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Ratio of Earnings to Fixed Charges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Nov. 2,</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Nov. 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Oct. 31,</w:t>
            </w:r>
          </w:p>
        </w:tc>
        <w:tc>
          <w:tcPr>
            <w:tcW w:w="26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 29,</w:t>
            </w: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Oct. 28,</w:t>
            </w: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 thousands, except ratios)</w:t>
            </w:r>
          </w:p>
        </w:tc>
        <w:tc>
          <w:tcPr>
            <w:tcW w:w="180" w:type="dxa"/>
            <w:vAlign w:val="bottom"/>
          </w:tcPr>
          <w:p>
            <w:pPr>
              <w:spacing w:after="0"/>
              <w:rPr>
                <w:sz w:val="23"/>
                <w:szCs w:val="23"/>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Determination of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before provision for taxes on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815,323</w:t>
            </w:r>
          </w:p>
        </w:tc>
        <w:tc>
          <w:tcPr>
            <w:tcW w:w="100" w:type="dxa"/>
            <w:vAlign w:val="bottom"/>
          </w:tcPr>
          <w:p>
            <w:pPr>
              <w:spacing w:after="0"/>
              <w:rPr>
                <w:sz w:val="20"/>
                <w:szCs w:val="20"/>
                <w:color w:val="auto"/>
              </w:rPr>
            </w:pP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729,345</w:t>
            </w:r>
          </w:p>
        </w:tc>
        <w:tc>
          <w:tcPr>
            <w:tcW w:w="80" w:type="dxa"/>
            <w:vAlign w:val="bottom"/>
          </w:tcPr>
          <w:p>
            <w:pPr>
              <w:spacing w:after="0"/>
              <w:rPr>
                <w:sz w:val="20"/>
                <w:szCs w:val="20"/>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810,114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956,921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828,485</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Capitalized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250,182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earnings as defined</w:t>
            </w: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847,600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765,372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838,359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1,043,896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1,078,721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Interest and amortization expense</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85,808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248,554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portion of rent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r>
      <w:tr>
        <w:trPr>
          <w:trHeight w:val="237"/>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35,973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250,182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Capitalized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32,223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35,973</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86,921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250,182</w:t>
            </w:r>
          </w:p>
        </w:tc>
      </w:tr>
      <w:tr>
        <w:trPr>
          <w:trHeight w:val="311"/>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8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61" w:right="239" w:bottom="1440" w:gutter="0" w:footer="0" w:header="0"/>
        </w:sectPr>
      </w:pPr>
    </w:p>
    <w:bookmarkStart w:id="109" w:name="page110"/>
    <w:bookmarkEnd w:id="109"/>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gridSpan w:val="3"/>
          </w:tcPr>
          <w:p>
            <w:pPr>
              <w:ind w:left="2160"/>
              <w:spacing w:after="0"/>
              <w:rPr>
                <w:sz w:val="20"/>
                <w:szCs w:val="20"/>
                <w:color w:val="auto"/>
              </w:rPr>
            </w:pPr>
            <w:r>
              <w:rPr>
                <w:rFonts w:ascii="Arial" w:cs="Arial" w:eastAsia="Arial" w:hAnsi="Arial"/>
                <w:sz w:val="20"/>
                <w:szCs w:val="20"/>
                <w:b w:val="1"/>
                <w:bCs w:val="1"/>
                <w:color w:val="auto"/>
                <w:w w:val="90"/>
              </w:rPr>
              <w:t>Exhibit 21</w:t>
            </w:r>
          </w:p>
        </w:tc>
      </w:tr>
      <w:tr>
        <w:trPr>
          <w:trHeight w:val="432"/>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640" w:type="dxa"/>
            <w:vAlign w:val="bottom"/>
          </w:tcPr>
          <w:p>
            <w:pPr>
              <w:jc w:val="center"/>
              <w:ind w:left="1261"/>
              <w:spacing w:after="0"/>
              <w:rPr>
                <w:sz w:val="20"/>
                <w:szCs w:val="20"/>
                <w:color w:val="auto"/>
              </w:rPr>
            </w:pPr>
            <w:r>
              <w:rPr>
                <w:rFonts w:ascii="Arial" w:cs="Arial" w:eastAsia="Arial" w:hAnsi="Arial"/>
                <w:sz w:val="20"/>
                <w:szCs w:val="20"/>
                <w:b w:val="1"/>
                <w:bCs w:val="1"/>
                <w:color w:val="auto"/>
                <w:w w:val="89"/>
              </w:rPr>
              <w:t>As of October 28, 2017</w:t>
            </w: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590"/>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Name of Subsidiary</w:t>
            </w:r>
          </w:p>
        </w:tc>
        <w:tc>
          <w:tcPr>
            <w:tcW w:w="30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State or Other Jurisdiction of</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right w:val="single" w:sz="8" w:color="auto"/>
            </w:tcBorders>
            <w:gridSpan w:val="3"/>
          </w:tcPr>
          <w:p>
            <w:pPr>
              <w:spacing w:after="0" w:line="209" w:lineRule="exact"/>
              <w:rPr>
                <w:sz w:val="20"/>
                <w:szCs w:val="20"/>
                <w:color w:val="auto"/>
              </w:rPr>
            </w:pPr>
            <w:r>
              <w:rPr>
                <w:rFonts w:ascii="Arial" w:cs="Arial" w:eastAsia="Arial" w:hAnsi="Arial"/>
                <w:sz w:val="20"/>
                <w:szCs w:val="20"/>
                <w:b w:val="1"/>
                <w:bCs w:val="1"/>
                <w:color w:val="auto"/>
              </w:rPr>
              <w:t>Incorporation or Organization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6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Australia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Pty,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Bermuda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Bermuda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Canada,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(China)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(Shanghai) Co.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Denmark</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 Egypt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Egypt</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(Finland) OY</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Finland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India Private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Global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Technology U.C.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Israel,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K.K.</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Korea,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Coöperatief, U.A.</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Holdings,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Nederland, B.V.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Norway AS</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(Philippines),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Gen. Trias,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Realty Holdings,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S.L.U.</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A.B.</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Taiwan,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Mikroelektronik Sanayi Ve Ticaret Ltd. Sirketi</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Massachusetts,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Federal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ADI Micromachines,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SARL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India Pvt.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Nordic AB</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Hittite Microwave LLC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HMC Netherlands, C.V.</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Innovasic, Inc.</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Canada Corp.</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(Hangzhou) Analog IC Design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SARL</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GmbH</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Corporation Limited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Hong Kong</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Semiconductor India PTE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Linear Technology (Israel) Ltd.</w:t>
            </w:r>
          </w:p>
        </w:tc>
        <w:tc>
          <w:tcPr>
            <w:tcW w:w="30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-8255</wp:posOffset>
            </wp:positionV>
            <wp:extent cx="8890" cy="10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4">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-8255</wp:posOffset>
            </wp:positionV>
            <wp:extent cx="8890" cy="10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897" w:orient="portrait"/>
          <w:cols w:equalWidth="0" w:num="1">
            <w:col w:w="11440"/>
          </w:cols>
          <w:pgMar w:left="240" w:top="360" w:right="219" w:bottom="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70"/>
        </w:trPr>
        <w:tc>
          <w:tcPr>
            <w:tcW w:w="8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(Italy) Srl</w:t>
            </w:r>
          </w:p>
        </w:tc>
        <w:tc>
          <w:tcPr>
            <w:tcW w:w="3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GK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Korea Co.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Semiconductor Sdn Bhd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Semiconductor Mexico S. de R.L. de C.V.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PTE LTD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A.B.</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Taiwan Corporation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(U.K.) Limited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Lyric Semiconductor,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Company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Linear Technology Holding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Multigig,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OneTree Microdevices, Inc.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 USA</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8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SNAP Sensor SA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83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14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w:t>
      </w:r>
    </w:p>
    <w:p>
      <w:pPr>
        <w:spacing w:after="0" w:line="257"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60" w:lineRule="exact"/>
        <w:rPr>
          <w:sz w:val="20"/>
          <w:szCs w:val="20"/>
          <w:color w:val="auto"/>
        </w:rPr>
      </w:pPr>
    </w:p>
    <w:p>
      <w:pPr>
        <w:ind w:left="660" w:right="260" w:hanging="328"/>
        <w:spacing w:after="0" w:line="288"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Registration Statements on Form S-8 (Nos. 2-63561, 2-90023, 33-4067, 33-22604, 33-22605, 33-29484, 33-39851, 33-39852, 33-46521, 33-60642, 33-60696, 33-61427, 33-64849, 333-04771, 333-04819, 333-04821, 333-47787, 333-47789, 333-48243, 333-57444, 333-69359, 333-79551</w:t>
      </w:r>
      <w:r>
        <w:rPr>
          <w:rFonts w:ascii="Arial" w:cs="Arial" w:eastAsia="Arial" w:hAnsi="Arial"/>
          <w:sz w:val="19"/>
          <w:szCs w:val="19"/>
          <w:b w:val="1"/>
          <w:bCs w:val="1"/>
          <w:color w:val="auto"/>
        </w:rPr>
        <w:t>,</w:t>
      </w:r>
      <w:r>
        <w:rPr>
          <w:rFonts w:ascii="Arial" w:cs="Arial" w:eastAsia="Arial" w:hAnsi="Arial"/>
          <w:sz w:val="19"/>
          <w:szCs w:val="19"/>
          <w:color w:val="auto"/>
        </w:rPr>
        <w:t xml:space="preserve"> 333-87055, 333-40224, 333-40222, 333-50092, 333-53314, 333-53828,</w:t>
      </w:r>
    </w:p>
    <w:p>
      <w:pPr>
        <w:spacing w:after="0" w:line="1" w:lineRule="exact"/>
        <w:rPr>
          <w:rFonts w:ascii="Arial" w:cs="Arial" w:eastAsia="Arial" w:hAnsi="Arial"/>
          <w:sz w:val="19"/>
          <w:szCs w:val="19"/>
          <w:color w:val="auto"/>
        </w:rPr>
      </w:pPr>
    </w:p>
    <w:p>
      <w:pPr>
        <w:ind w:left="660" w:right="240"/>
        <w:spacing w:after="0" w:line="243" w:lineRule="auto"/>
        <w:rPr>
          <w:rFonts w:ascii="Arial" w:cs="Arial" w:eastAsia="Arial" w:hAnsi="Arial"/>
          <w:sz w:val="19"/>
          <w:szCs w:val="19"/>
          <w:color w:val="auto"/>
        </w:rPr>
      </w:pPr>
      <w:r>
        <w:rPr>
          <w:rFonts w:ascii="Arial" w:cs="Arial" w:eastAsia="Arial" w:hAnsi="Arial"/>
          <w:sz w:val="22"/>
          <w:szCs w:val="22"/>
          <w:color w:val="auto"/>
        </w:rPr>
        <w:t>333-75170, 333-113510, 333-132409, 333-156309, 333-163653, 333-181951, 333-194556, 333-213454 and 333-216696) of Analog Devices, Inc.;</w:t>
      </w:r>
    </w:p>
    <w:p>
      <w:pPr>
        <w:ind w:left="660" w:hanging="328"/>
        <w:spacing w:after="0" w:line="323" w:lineRule="auto"/>
        <w:tabs>
          <w:tab w:leader="none" w:pos="6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Registration Statements on Form S-3 (Nos. 333-08505, 333-08509, 333-17651, 333-87053, 333-48928, 333-51530, 333-53660, 333-160215, 333-183490, and 333-207043) of Analog Devices, Inc. and in the related Prospectuses; and</w:t>
      </w:r>
    </w:p>
    <w:p>
      <w:pPr>
        <w:spacing w:after="0" w:line="163" w:lineRule="exact"/>
        <w:rPr>
          <w:rFonts w:ascii="Arial" w:cs="Arial" w:eastAsia="Arial" w:hAnsi="Arial"/>
          <w:sz w:val="19"/>
          <w:szCs w:val="19"/>
          <w:color w:val="auto"/>
        </w:rPr>
      </w:pPr>
    </w:p>
    <w:p>
      <w:pPr>
        <w:ind w:left="660" w:hanging="328"/>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Registration Statement on Form S-4 (No. 333-213454) of Analog Devices, Inc. and in the related Prospectus.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November 22, 2017, with respect to the consolidated financial statements and schedule of Analog Devices, Inc. and the effectiveness of internal control over financial reporting of Analog Devices, Inc. included in this Annual Report (Form 10-K) of Analog Devices, Inc. for the year ended October 28,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22, 2017</w:t>
      </w:r>
    </w:p>
    <w:p>
      <w:pPr>
        <w:sectPr>
          <w:pgSz w:w="11900" w:h="16838" w:orient="portrait"/>
          <w:cols w:equalWidth="0" w:num="1">
            <w:col w:w="11420"/>
          </w:cols>
          <w:pgMar w:left="24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71" w:lineRule="exact"/>
        <w:rPr>
          <w:sz w:val="20"/>
          <w:szCs w:val="20"/>
          <w:color w:val="auto"/>
        </w:rPr>
      </w:pPr>
    </w:p>
    <w:p>
      <w:pPr>
        <w:ind w:left="520" w:hanging="188"/>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2017</w:t>
      </w:r>
    </w:p>
    <w:p>
      <w:pPr>
        <w:sectPr>
          <w:pgSz w:w="11900" w:h="16838" w:orient="portrait"/>
          <w:cols w:equalWidth="0" w:num="1">
            <w:col w:w="11420"/>
          </w:cols>
          <w:pgMar w:left="240" w:top="202"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171" w:lineRule="exact"/>
        <w:rPr>
          <w:sz w:val="20"/>
          <w:szCs w:val="20"/>
          <w:color w:val="auto"/>
        </w:rPr>
      </w:pPr>
    </w:p>
    <w:p>
      <w:pPr>
        <w:ind w:left="520" w:hanging="188"/>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83185</wp:posOffset>
            </wp:positionV>
            <wp:extent cx="4056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3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2017</w:t>
      </w:r>
    </w:p>
    <w:p>
      <w:pPr>
        <w:sectPr>
          <w:pgSz w:w="11900" w:h="16838" w:orient="portrait"/>
          <w:cols w:equalWidth="0" w:num="1">
            <w:col w:w="11420"/>
          </w:cols>
          <w:pgMar w:left="240" w:top="202"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28, 2017 as filed with the Securities and Exchange Commission on the date hereof (the “Report”), the undersigned, Vincent Roche, Chief Executive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Vincent Roche</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2017</w:t>
      </w:r>
    </w:p>
    <w:p>
      <w:pPr>
        <w:sectPr>
          <w:pgSz w:w="11900" w:h="16838" w:orient="portrait"/>
          <w:cols w:equalWidth="0" w:num="1">
            <w:col w:w="11420"/>
          </w:cols>
          <w:pgMar w:left="240" w:top="20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October 28, 2017 as filed with the Securities and Exchange Commission on the date hereof (the “Report”), the undersigned, Prashanth Mahendra-Rajah, Chief Financial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83185</wp:posOffset>
            </wp:positionV>
            <wp:extent cx="3910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Prashanth Mahendra-Rajah</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22, 2017</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3"/>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2"/>
    </w:lvl>
  </w:abstractNum>
  <w:abstractNum w:abstractNumId="20">
    <w:nsid w:val="3DC240FB"/>
    <w:multiLevelType w:val="hybridMultilevel"/>
    <w:lvl w:ilvl="0">
      <w:lvlJc w:val="left"/>
      <w:lvlText w:val="%1."/>
      <w:numFmt w:val="lowerLetter"/>
      <w:start w:val="3"/>
    </w:lvl>
  </w:abstractNum>
  <w:abstractNum w:abstractNumId="21">
    <w:nsid w:val="1BA026FA"/>
    <w:multiLevelType w:val="hybridMultilevel"/>
    <w:lvl w:ilvl="0">
      <w:lvlJc w:val="left"/>
      <w:lvlText w:val="%1."/>
      <w:numFmt w:val="lowerLetter"/>
      <w:start w:val="4"/>
    </w:lvl>
  </w:abstractNum>
  <w:abstractNum w:abstractNumId="22">
    <w:nsid w:val="79A1DEAA"/>
    <w:multiLevelType w:val="hybridMultilevel"/>
    <w:lvl w:ilvl="0">
      <w:lvlJc w:val="left"/>
      <w:lvlText w:val="%1."/>
      <w:numFmt w:val="lowerLetter"/>
      <w:start w:val="5"/>
    </w:lvl>
  </w:abstractNum>
  <w:abstractNum w:abstractNumId="23">
    <w:nsid w:val="75C6C33A"/>
    <w:multiLevelType w:val="hybridMultilevel"/>
    <w:lvl w:ilvl="0">
      <w:lvlJc w:val="left"/>
      <w:lvlText w:val="%1."/>
      <w:numFmt w:val="lowerLetter"/>
      <w:start w:val="6"/>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lowerLetter"/>
      <w:start w:val="7"/>
    </w:lvl>
  </w:abstractNum>
  <w:abstractNum w:abstractNumId="26">
    <w:nsid w:val="520EEDD1"/>
    <w:multiLevelType w:val="hybridMultilevel"/>
    <w:lvl w:ilvl="0">
      <w:lvlJc w:val="left"/>
      <w:lvlText w:val="%1."/>
      <w:numFmt w:val="lowerRoman"/>
      <w:start w:val="1"/>
    </w:lvl>
  </w:abstractNum>
  <w:abstractNum w:abstractNumId="27">
    <w:nsid w:val="374A3FE6"/>
    <w:multiLevelType w:val="hybridMultilevel"/>
    <w:lvl w:ilvl="0">
      <w:lvlJc w:val="left"/>
      <w:lvlText w:val="%1."/>
      <w:numFmt w:val="lowerLetter"/>
      <w:start w:val="10"/>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lowerLetter"/>
      <w:start w:val="11"/>
    </w:lvl>
  </w:abstractNum>
  <w:abstractNum w:abstractNumId="32">
    <w:nsid w:val="39386575"/>
    <w:multiLevelType w:val="hybridMultilevel"/>
    <w:lvl w:ilvl="0">
      <w:lvlJc w:val="left"/>
      <w:lvlText w:val="%1."/>
      <w:numFmt w:val="lowerLetter"/>
      <w:start w:val="12"/>
    </w:lvl>
  </w:abstractNum>
  <w:abstractNum w:abstractNumId="33">
    <w:nsid w:val="1CF10FD8"/>
    <w:multiLevelType w:val="hybridMultilevel"/>
    <w:lvl w:ilvl="0">
      <w:lvlJc w:val="left"/>
      <w:lvlText w:val="%1."/>
      <w:numFmt w:val="lowerLetter"/>
      <w:start w:val="15"/>
    </w:lvl>
  </w:abstractNum>
  <w:abstractNum w:abstractNumId="34">
    <w:nsid w:val="180115BE"/>
    <w:multiLevelType w:val="hybridMultilevel"/>
    <w:lvl w:ilvl="0">
      <w:lvlJc w:val="left"/>
      <w:lvlText w:val="%1."/>
      <w:numFmt w:val="lowerLetter"/>
      <w:start w:val="16"/>
    </w:lvl>
  </w:abstractNum>
  <w:abstractNum w:abstractNumId="35">
    <w:nsid w:val="235BA861"/>
    <w:multiLevelType w:val="hybridMultilevel"/>
    <w:lvl w:ilvl="0">
      <w:lvlJc w:val="left"/>
      <w:lvlText w:val="%1."/>
      <w:numFmt w:val="lowerLetter"/>
      <w:start w:val="17"/>
    </w:lvl>
  </w:abstractNum>
  <w:abstractNum w:abstractNumId="36">
    <w:nsid w:val="47398C89"/>
    <w:multiLevelType w:val="hybridMultilevel"/>
    <w:lvl w:ilvl="0">
      <w:lvlJc w:val="left"/>
      <w:lvlText w:val="%1."/>
      <w:numFmt w:val="lowerLetter"/>
      <w:start w:val="18"/>
    </w:lvl>
  </w:abstractNum>
  <w:abstractNum w:abstractNumId="37">
    <w:nsid w:val="354FE9F9"/>
    <w:multiLevelType w:val="hybridMultilevel"/>
    <w:lvl w:ilvl="0">
      <w:lvlJc w:val="left"/>
      <w:lvlText w:val="%1."/>
      <w:numFmt w:val="lowerLetter"/>
      <w:start w:val="19"/>
    </w:lvl>
  </w:abstractNum>
  <w:abstractNum w:abstractNumId="38">
    <w:nsid w:val="15B5AF5C"/>
    <w:multiLevelType w:val="hybridMultilevel"/>
    <w:lvl w:ilvl="0">
      <w:lvlJc w:val="left"/>
      <w:lvlText w:val="%1."/>
      <w:numFmt w:val="lowerLetter"/>
      <w:start w:val="20"/>
    </w:lvl>
  </w:abstractNum>
  <w:abstractNum w:abstractNumId="39">
    <w:nsid w:val="741226BB"/>
    <w:multiLevelType w:val="hybridMultilevel"/>
    <w:lvl w:ilvl="0">
      <w:lvlJc w:val="left"/>
      <w:lvlText w:val="(%1)"/>
      <w:numFmt w:val="decimal"/>
      <w:start w:val="2"/>
    </w:lvl>
  </w:abstractNum>
  <w:abstractNum w:abstractNumId="40">
    <w:nsid w:val="D34B6A8"/>
    <w:multiLevelType w:val="hybridMultilevel"/>
    <w:lvl w:ilvl="0">
      <w:lvlJc w:val="left"/>
      <w:lvlText w:val="%1."/>
      <w:numFmt w:val="decimal"/>
      <w:start w:val="3"/>
    </w:lvl>
  </w:abstractNum>
  <w:abstractNum w:abstractNumId="41">
    <w:nsid w:val="10233C99"/>
    <w:multiLevelType w:val="hybridMultilevel"/>
    <w:lvl w:ilvl="0">
      <w:lvlJc w:val="left"/>
      <w:lvlText w:val="(%1)"/>
      <w:numFmt w:val="decimal"/>
      <w:start w:val="4"/>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4"/>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5"/>
    </w:lvl>
  </w:abstractNum>
  <w:abstractNum w:abstractNumId="46">
    <w:nsid w:val="579BE4F1"/>
    <w:multiLevelType w:val="hybridMultilevel"/>
    <w:lvl w:ilvl="0">
      <w:lvlJc w:val="left"/>
      <w:lvlText w:val="%1."/>
      <w:numFmt w:val="decimal"/>
      <w:start w:val="6"/>
    </w:lvl>
  </w:abstractNum>
  <w:abstractNum w:abstractNumId="47">
    <w:nsid w:val="310C50B3"/>
    <w:multiLevelType w:val="hybridMultilevel"/>
    <w:lvl w:ilvl="0">
      <w:lvlJc w:val="left"/>
      <w:lvlText w:val="(%1)"/>
      <w:numFmt w:val="lowerLetter"/>
      <w:start w:val="2"/>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decimal"/>
      <w:start w:val="7"/>
    </w:lvl>
  </w:abstractNum>
  <w:abstractNum w:abstractNumId="50">
    <w:nsid w:val="25A70BF7"/>
    <w:multiLevelType w:val="hybridMultilevel"/>
    <w:lvl w:ilvl="0">
      <w:lvlJc w:val="left"/>
      <w:lvlText w:val="%1."/>
      <w:numFmt w:val="decimal"/>
      <w:start w:val="8"/>
    </w:lvl>
  </w:abstractNum>
  <w:abstractNum w:abstractNumId="51">
    <w:nsid w:val="1DBABF00"/>
    <w:multiLevelType w:val="hybridMultilevel"/>
    <w:lvl w:ilvl="0">
      <w:lvlJc w:val="left"/>
      <w:lvlText w:val="%1."/>
      <w:numFmt w:val="decimal"/>
      <w:start w:val="9"/>
    </w:lvl>
  </w:abstractNum>
  <w:abstractNum w:abstractNumId="52">
    <w:nsid w:val="4AD084E9"/>
    <w:multiLevelType w:val="hybridMultilevel"/>
    <w:lvl w:ilvl="0">
      <w:lvlJc w:val="left"/>
      <w:lvlText w:val="%1."/>
      <w:numFmt w:val="decimal"/>
      <w:start w:val="10"/>
    </w:lvl>
  </w:abstractNum>
  <w:abstractNum w:abstractNumId="53">
    <w:nsid w:val="1F48EAA1"/>
    <w:multiLevelType w:val="hybridMultilevel"/>
    <w:lvl w:ilvl="0">
      <w:lvlJc w:val="left"/>
      <w:lvlText w:val="%1."/>
      <w:numFmt w:val="decimal"/>
      <w:start w:val="11"/>
    </w:lvl>
  </w:abstractNum>
  <w:abstractNum w:abstractNumId="54">
    <w:nsid w:val="1381823A"/>
    <w:multiLevelType w:val="hybridMultilevel"/>
    <w:lvl w:ilvl="0">
      <w:lvlJc w:val="left"/>
      <w:lvlText w:val="%1."/>
      <w:numFmt w:val="decimal"/>
      <w:start w:val="12"/>
    </w:lvl>
  </w:abstractNum>
  <w:abstractNum w:abstractNumId="55">
    <w:nsid w:val="5DB70AE5"/>
    <w:multiLevelType w:val="hybridMultilevel"/>
    <w:lvl w:ilvl="0">
      <w:lvlJc w:val="left"/>
      <w:lvlText w:val="%1."/>
      <w:numFmt w:val="decimal"/>
      <w:start w:val="13"/>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14"/>
    </w:lvl>
  </w:abstractNum>
  <w:abstractNum w:abstractNumId="59">
    <w:nsid w:val="5F5E7FD0"/>
    <w:multiLevelType w:val="hybridMultilevel"/>
    <w:lvl w:ilvl="0">
      <w:lvlJc w:val="left"/>
      <w:lvlText w:val="%1."/>
      <w:numFmt w:val="decimal"/>
      <w:start w:val="15"/>
    </w:lvl>
  </w:abstractNum>
  <w:abstractNum w:abstractNumId="60">
    <w:nsid w:val="98A3148"/>
    <w:multiLevelType w:val="hybridMultilevel"/>
    <w:lvl w:ilvl="0">
      <w:lvlJc w:val="left"/>
      <w:lvlText w:val="%1."/>
      <w:numFmt w:val="decimal"/>
      <w:start w:val="16"/>
    </w:lvl>
  </w:abstractNum>
  <w:abstractNum w:abstractNumId="61">
    <w:nsid w:val="799D0247"/>
    <w:multiLevelType w:val="hybridMultilevel"/>
    <w:lvl w:ilvl="0">
      <w:lvlJc w:val="left"/>
      <w:lvlText w:val="%1."/>
      <w:numFmt w:val="decimal"/>
      <w:start w:val="17"/>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lowerLetter"/>
      <w:start w:val="3"/>
    </w:lvl>
  </w:abstractNum>
  <w:abstractNum w:abstractNumId="66">
    <w:nsid w:val="661E3F1E"/>
    <w:multiLevelType w:val="hybridMultilevel"/>
    <w:lvl w:ilvl="0">
      <w:lvlJc w:val="left"/>
      <w:lvlText w:val="(%1)"/>
      <w:numFmt w:val="lowerLetter"/>
      <w:start w:val="4"/>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2"/>
    </w:lvl>
    <w:lvl w:ilvl="1">
      <w:lvlJc w:val="left"/>
      <w:lvlText w:val="\emdash "/>
      <w:numFmt w:val="bullet"/>
      <w:start w:val="1"/>
    </w:lvl>
  </w:abstractNum>
  <w:abstractNum w:abstractNumId="70">
    <w:nsid w:val="51D9C564"/>
    <w:multiLevelType w:val="hybridMultilevel"/>
    <w:lvl w:ilvl="0">
      <w:lvlJc w:val="left"/>
      <w:lvlText w:val="%1."/>
      <w:numFmt w:val="decimal"/>
      <w:start w:val="3"/>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lowerRoman"/>
      <w:start w:val="4"/>
    </w:lvl>
  </w:abstractNum>
  <w:abstractNum w:abstractNumId="74">
    <w:nsid w:val="42963E5A"/>
    <w:multiLevelType w:val="hybridMultilevel"/>
    <w:lvl w:ilvl="0">
      <w:lvlJc w:val="left"/>
      <w:lvlText w:val="(%1)"/>
      <w:numFmt w:val="upperLetter"/>
      <w:start w:val="2"/>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4" Type="http://schemas.openxmlformats.org/officeDocument/2006/relationships/image" Target="media/image19.png"/><Relationship Id="rId51" Type="http://schemas.openxmlformats.org/officeDocument/2006/relationships/image" Target="media/image20.png"/><Relationship Id="rId72" Type="http://schemas.openxmlformats.org/officeDocument/2006/relationships/image" Target="media/image21.png"/><Relationship Id="rId73" Type="http://schemas.openxmlformats.org/officeDocument/2006/relationships/image" Target="media/image22.png"/><Relationship Id="rId74" Type="http://schemas.openxmlformats.org/officeDocument/2006/relationships/image" Target="media/image23.png"/><Relationship Id="rId75" Type="http://schemas.openxmlformats.org/officeDocument/2006/relationships/image" Target="media/image24.png"/><Relationship Id="rId76" Type="http://schemas.openxmlformats.org/officeDocument/2006/relationships/image" Target="media/image25.png"/><Relationship Id="rId77" Type="http://schemas.openxmlformats.org/officeDocument/2006/relationships/image" Target="media/image26.png"/><Relationship Id="rId78" Type="http://schemas.openxmlformats.org/officeDocument/2006/relationships/image" Target="media/image27.png"/><Relationship Id="rId79" Type="http://schemas.openxmlformats.org/officeDocument/2006/relationships/image" Target="media/image28.png"/><Relationship Id="rId26" Type="http://schemas.openxmlformats.org/officeDocument/2006/relationships/hyperlink" Target="http://www.sec.gov/Archives/edgar/data/6281/000119312516664807/d202922dex21.htm" TargetMode="External"/><Relationship Id="rId27" Type="http://schemas.openxmlformats.org/officeDocument/2006/relationships/hyperlink" Target="http://www.sec.gov/Archives/edgar/data/6281/000095013508003842/b69749adexv3w1.htm" TargetMode="External"/><Relationship Id="rId28" Type="http://schemas.openxmlformats.org/officeDocument/2006/relationships/hyperlink" Target="http://www.sec.gov/Archives/edgar/data/6281/000095013508007881/b73171adexv3w1.htm" TargetMode="External"/><Relationship Id="rId29" Type="http://schemas.openxmlformats.org/officeDocument/2006/relationships/hyperlink" Target="http://www.sec.gov/Archives/edgar/data/6281/000095012310005988/b79098exv3w1.htm" TargetMode="External"/><Relationship Id="rId30" Type="http://schemas.openxmlformats.org/officeDocument/2006/relationships/hyperlink" Target="http://www.sec.gov/Archives/edgar/data/6281/000119312513245264/d548763dex41.htm" TargetMode="External"/><Relationship Id="rId31" Type="http://schemas.openxmlformats.org/officeDocument/2006/relationships/hyperlink" Target="http://www.sec.gov/Archives/edgar/data/6281/000119312513245264/d548763dex42.htm" TargetMode="External"/><Relationship Id="rId32" Type="http://schemas.openxmlformats.org/officeDocument/2006/relationships/hyperlink" Target="http://www.sec.gov/Archives/edgar/data/6281/000119312515402658/d105027dex42.htm" TargetMode="External"/><Relationship Id="rId33" Type="http://schemas.openxmlformats.org/officeDocument/2006/relationships/hyperlink" Target="http://www.sec.gov/Archives/edgar/data/6281/000119312516785105/d304855dex42.htm" TargetMode="External"/><Relationship Id="rId35" Type="http://schemas.openxmlformats.org/officeDocument/2006/relationships/hyperlink" Target="http://www.sec.gov/Archives/edgar/data/6281/000095013508007881/b73171adexv10w1.htm" TargetMode="External"/><Relationship Id="rId36" Type="http://schemas.openxmlformats.org/officeDocument/2006/relationships/hyperlink" Target="http://www.sec.gov/Archives/edgar/data/6281/000095012311077973/b86716aexv10w1.htm" TargetMode="External"/><Relationship Id="rId37" Type="http://schemas.openxmlformats.org/officeDocument/2006/relationships/hyperlink" Target="http://www.sec.gov/Archives/edgar/data/6281/000000628115000027/exhibit101.htm" TargetMode="External"/><Relationship Id="rId38" Type="http://schemas.openxmlformats.org/officeDocument/2006/relationships/hyperlink" Target="http://www.sec.gov/Archives/edgar/data/6281/000000628117000114/exhibit106-3rdamendmenttod.htm" TargetMode="External"/><Relationship Id="rId39" Type="http://schemas.openxmlformats.org/officeDocument/2006/relationships/hyperlink" Target="http://www.sec.gov/Archives/edgar/data/6281/000095013503006138/b48618aiexv10w28.txt" TargetMode="External"/><Relationship Id="rId40" Type="http://schemas.openxmlformats.org/officeDocument/2006/relationships/hyperlink" Target="http://www.sec.gov/Archives/edgar/data/6281/000095013506007047/b63086adexv10w3.txt" TargetMode="External"/><Relationship Id="rId41" Type="http://schemas.openxmlformats.org/officeDocument/2006/relationships/hyperlink" Target="http://www.sec.gov/Archives/edgar/data/6281/000095013508007596/b72976adexv10w41.htm" TargetMode="External"/><Relationship Id="rId42" Type="http://schemas.openxmlformats.org/officeDocument/2006/relationships/hyperlink" Target="http://www.sec.gov/Archives/edgar/data/6281/000000628114000003/ex-101.htm" TargetMode="External"/><Relationship Id="rId43" Type="http://schemas.openxmlformats.org/officeDocument/2006/relationships/hyperlink" Target="http://www.sec.gov/Archives/edgar/data/6281/000119312517082344/d356229dex41.htm" TargetMode="External"/><Relationship Id="rId44" Type="http://schemas.openxmlformats.org/officeDocument/2006/relationships/hyperlink" Target="http://www.sec.gov/Archives/edgar/data/6281/000119312517082344/d356229dex42.htm" TargetMode="External"/><Relationship Id="rId45" Type="http://schemas.openxmlformats.org/officeDocument/2006/relationships/hyperlink" Target="http://www.sec.gov/Archives/edgar/data/6281/000000628117000008/q117exhibit101.htm" TargetMode="External"/><Relationship Id="rId46" Type="http://schemas.openxmlformats.org/officeDocument/2006/relationships/hyperlink" Target="http://www.sec.gov/Archives/edgar/data/6281/000000628117000008/q117exhibit104.htm" TargetMode="External"/><Relationship Id="rId47" Type="http://schemas.openxmlformats.org/officeDocument/2006/relationships/hyperlink" Target="http://www.sec.gov/Archives/edgar/data/6281/000000628117000008/q117exhibit102.htm" TargetMode="External"/><Relationship Id="rId48" Type="http://schemas.openxmlformats.org/officeDocument/2006/relationships/hyperlink" Target="http://www.sec.gov/Archives/edgar/data/6281/000000628117000008/q117exhibit103.htm" TargetMode="External"/><Relationship Id="rId49" Type="http://schemas.openxmlformats.org/officeDocument/2006/relationships/hyperlink" Target="http://www.sec.gov/Archives/edgar/data/6281/000000628117000008/q117exhibit105.htm" TargetMode="External"/><Relationship Id="rId50" Type="http://schemas.openxmlformats.org/officeDocument/2006/relationships/hyperlink" Target="http://www.sec.gov/Archives/edgar/data/6281/000000628117000086/q217exhibit101.htm" TargetMode="External"/><Relationship Id="rId52" Type="http://schemas.openxmlformats.org/officeDocument/2006/relationships/hyperlink" Target="http://www.sec.gov/Archives/edgar/data/6281/000000628117000104/exhibit101-analogxperforma.htm" TargetMode="External"/><Relationship Id="rId53" Type="http://schemas.openxmlformats.org/officeDocument/2006/relationships/hyperlink" Target="http://www.sec.gov/Archives/edgar/data/6281/000095013503000473/b45351adexv10w3.txt" TargetMode="External"/><Relationship Id="rId54" Type="http://schemas.openxmlformats.org/officeDocument/2006/relationships/hyperlink" Target="http://www.sec.gov/Archives/edgar/data/6281/000000628116000097/exhibit1015-2017executivep.htm" TargetMode="External"/><Relationship Id="rId55" Type="http://schemas.openxmlformats.org/officeDocument/2006/relationships/hyperlink" Target="http://www.sec.gov/Archives/edgar/data/791907/000120677414002925/linear_def14a.htm" TargetMode="External"/><Relationship Id="rId56" Type="http://schemas.openxmlformats.org/officeDocument/2006/relationships/hyperlink" Target="http://www.sec.gov/Archives/edgar/data/6281/000000628113000021/ex-101.htm" TargetMode="External"/><Relationship Id="rId57" Type="http://schemas.openxmlformats.org/officeDocument/2006/relationships/hyperlink" Target="http://www.sec.gov/Archives/edgar/data/6281/000000628117000086/q217exhibit103.htm" TargetMode="External"/><Relationship Id="rId58" Type="http://schemas.openxmlformats.org/officeDocument/2006/relationships/hyperlink" Target="http://www.sec.gov/Archives/edgar/data/6281/000119312512243459/d308637dex101.htm" TargetMode="External"/><Relationship Id="rId59" Type="http://schemas.openxmlformats.org/officeDocument/2006/relationships/hyperlink" Target="http://www.sec.gov/Archives/edgar/data/6281/000000628117000114/exhibit102-pietkiewiczcoca.htm" TargetMode="External"/><Relationship Id="rId60" Type="http://schemas.openxmlformats.org/officeDocument/2006/relationships/hyperlink" Target="http://www.sec.gov/Archives/edgar/data/6281/000000628117000114/exhibit103-pietkiewiczrete.htm" TargetMode="External"/><Relationship Id="rId61" Type="http://schemas.openxmlformats.org/officeDocument/2006/relationships/hyperlink" Target="http://www.sec.gov/Archives/edgar/data/6281/000095013500000300/0000950135-00-000300.txt" TargetMode="External"/><Relationship Id="rId62" Type="http://schemas.openxmlformats.org/officeDocument/2006/relationships/hyperlink" Target="http://www.sec.gov/Archives/edgar/data/6281/000095013508007596/b72976adexv10w30.htm" TargetMode="External"/><Relationship Id="rId63" Type="http://schemas.openxmlformats.org/officeDocument/2006/relationships/hyperlink" Target="http://www.sec.gov/Archives/edgar/data/6281/000000628115000005/adi-1312015xex101.htm" TargetMode="External"/><Relationship Id="rId64" Type="http://schemas.openxmlformats.org/officeDocument/2006/relationships/hyperlink" Target="http://www.sec.gov/Archives/edgar/data/6281/000000628115000005/adi-01312015xex102.htm" TargetMode="External"/><Relationship Id="rId65" Type="http://schemas.openxmlformats.org/officeDocument/2006/relationships/hyperlink" Target="http://www.sec.gov/Archives/edgar/data/1130866/000110465914035153/a14-9947_1ex10d2.htm" TargetMode="External"/><Relationship Id="rId66" Type="http://schemas.openxmlformats.org/officeDocument/2006/relationships/hyperlink" Target="http://www.sec.gov/Archives/edgar/data/6281/000119312514244672/d741347dex99d3.htm" TargetMode="External"/><Relationship Id="rId67" Type="http://schemas.openxmlformats.org/officeDocument/2006/relationships/hyperlink" Target="http://www.sec.gov/Archives/edgar/data/6281/000119312514244672/d741347dex99d4.htm" TargetMode="External"/><Relationship Id="rId68" Type="http://schemas.openxmlformats.org/officeDocument/2006/relationships/hyperlink" Target="http://www.sec.gov/Archives/edgar/data/6281/000000628115000005/adi-1312015xex106.htm" TargetMode="External"/><Relationship Id="rId69" Type="http://schemas.openxmlformats.org/officeDocument/2006/relationships/hyperlink" Target="http://www.sec.gov/Archives/edgar/data/6281/000119312517204701/d145790dex101.htm" TargetMode="External"/><Relationship Id="rId70" Type="http://schemas.openxmlformats.org/officeDocument/2006/relationships/hyperlink" Target="http://www.sec.gov/Archives/edgar/data/6281/000119312516719117/d266727dex101.htm" TargetMode="External"/><Relationship Id="rId71" Type="http://schemas.openxmlformats.org/officeDocument/2006/relationships/hyperlink" Target="http://www.sec.gov/Archives/edgar/data/6281/000119312516719117/d2667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2019-12-29T02:35:27Z</dcterms:created>
  <dcterms:modified xsi:type="dcterms:W3CDTF">2019-12-29T02:35:27Z</dcterms:modified>
</cp:coreProperties>
</file>