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10">
        <w:r>
          <w:rPr>
            <w:rFonts w:ascii="Arial" w:cs="Arial" w:eastAsia="Arial" w:hAnsi="Arial"/>
            <w:sz w:val="17"/>
            <w:szCs w:val="17"/>
            <w:b w:val="1"/>
            <w:bCs w:val="1"/>
            <w:u w:val="single" w:color="auto"/>
            <w:color w:val="0000EE"/>
          </w:rPr>
          <w:t>Table of Contents</w:t>
        </w:r>
      </w:hyperlink>
    </w:p>
    <w:p>
      <w:pPr>
        <w:spacing w:after="0" w:line="294"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399"/>
        <w:spacing w:after="0"/>
        <w:rPr>
          <w:sz w:val="20"/>
          <w:szCs w:val="20"/>
          <w:color w:val="auto"/>
        </w:rPr>
      </w:pPr>
      <w:r>
        <w:rPr>
          <w:rFonts w:ascii="Arial" w:cs="Arial" w:eastAsia="Arial" w:hAnsi="Arial"/>
          <w:sz w:val="17"/>
          <w:szCs w:val="17"/>
          <w:b w:val="1"/>
          <w:bCs w:val="1"/>
          <w:color w:val="auto"/>
        </w:rPr>
        <w:t>Washington, D.C. 20549</w:t>
      </w:r>
    </w:p>
    <w:p>
      <w:pPr>
        <w:spacing w:after="0" w:line="82"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SCHEDULE 14A</w:t>
      </w:r>
    </w:p>
    <w:p>
      <w:pPr>
        <w:spacing w:after="0" w:line="22"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(Rule 14a-101)</w:t>
      </w:r>
    </w:p>
    <w:p>
      <w:pPr>
        <w:spacing w:after="0" w:line="82" w:lineRule="exact"/>
        <w:rPr>
          <w:sz w:val="24"/>
          <w:szCs w:val="24"/>
          <w:color w:val="auto"/>
        </w:rPr>
      </w:pPr>
    </w:p>
    <w:p>
      <w:pPr>
        <w:ind w:left="3560"/>
        <w:spacing w:after="0"/>
        <w:rPr>
          <w:sz w:val="20"/>
          <w:szCs w:val="20"/>
          <w:color w:val="auto"/>
        </w:rPr>
      </w:pPr>
      <w:r>
        <w:rPr>
          <w:rFonts w:ascii="Arial" w:cs="Arial" w:eastAsia="Arial" w:hAnsi="Arial"/>
          <w:sz w:val="17"/>
          <w:szCs w:val="17"/>
          <w:b w:val="1"/>
          <w:bCs w:val="1"/>
          <w:color w:val="auto"/>
        </w:rPr>
        <w:t>INFORMATION REQUIRED IN PROXY STATEMENT</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7"/>
          <w:szCs w:val="17"/>
          <w:b w:val="1"/>
          <w:bCs w:val="1"/>
          <w:color w:val="auto"/>
        </w:rPr>
        <w:t>SCHEDULE 14A INFORMATION</w:t>
      </w:r>
    </w:p>
    <w:p>
      <w:pPr>
        <w:spacing w:after="0" w:line="104" w:lineRule="exact"/>
        <w:rPr>
          <w:sz w:val="24"/>
          <w:szCs w:val="24"/>
          <w:color w:val="auto"/>
        </w:rPr>
      </w:pPr>
    </w:p>
    <w:p>
      <w:pPr>
        <w:ind w:left="3180"/>
        <w:spacing w:after="0"/>
        <w:rPr>
          <w:sz w:val="20"/>
          <w:szCs w:val="20"/>
          <w:color w:val="auto"/>
        </w:rPr>
      </w:pPr>
      <w:r>
        <w:rPr>
          <w:rFonts w:ascii="Arial" w:cs="Arial" w:eastAsia="Arial" w:hAnsi="Arial"/>
          <w:sz w:val="17"/>
          <w:szCs w:val="17"/>
          <w:b w:val="1"/>
          <w:bCs w:val="1"/>
          <w:color w:val="auto"/>
        </w:rPr>
        <w:t>Proxy Statement Pursuant to Section 14(a) of the Securities</w:t>
      </w:r>
    </w:p>
    <w:p>
      <w:pPr>
        <w:spacing w:after="0" w:line="22"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Exchange Act of 1934</w:t>
      </w:r>
    </w:p>
    <w:p>
      <w:pPr>
        <w:spacing w:after="0" w:line="164" w:lineRule="exact"/>
        <w:rPr>
          <w:sz w:val="24"/>
          <w:szCs w:val="24"/>
          <w:color w:val="auto"/>
        </w:rPr>
      </w:pPr>
    </w:p>
    <w:p>
      <w:pPr>
        <w:ind w:left="320"/>
        <w:spacing w:after="0" w:line="196" w:lineRule="exact"/>
        <w:tabs>
          <w:tab w:leader="none" w:pos="222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91" w:lineRule="exact"/>
        <w:rPr>
          <w:sz w:val="24"/>
          <w:szCs w:val="24"/>
          <w:color w:val="auto"/>
        </w:rPr>
      </w:pPr>
    </w:p>
    <w:p>
      <w:pPr>
        <w:ind w:left="320"/>
        <w:spacing w:after="0" w:line="196" w:lineRule="exact"/>
        <w:tabs>
          <w:tab w:leader="none" w:pos="3660" w:val="left"/>
        </w:tabs>
        <w:rPr>
          <w:sz w:val="20"/>
          <w:szCs w:val="20"/>
          <w:color w:val="auto"/>
        </w:rPr>
      </w:pPr>
      <w:r>
        <w:rPr>
          <w:rFonts w:ascii="Arial" w:cs="Arial" w:eastAsia="Arial" w:hAnsi="Arial"/>
          <w:sz w:val="17"/>
          <w:szCs w:val="17"/>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161" w:lineRule="exact"/>
        <w:rPr>
          <w:sz w:val="24"/>
          <w:szCs w:val="24"/>
          <w:color w:val="auto"/>
        </w:rPr>
      </w:pPr>
    </w:p>
    <w:p>
      <w:pPr>
        <w:ind w:left="320"/>
        <w:spacing w:after="0"/>
        <w:rPr>
          <w:sz w:val="20"/>
          <w:szCs w:val="20"/>
          <w:color w:val="auto"/>
        </w:rPr>
      </w:pPr>
      <w:r>
        <w:rPr>
          <w:rFonts w:ascii="Arial" w:cs="Arial" w:eastAsia="Arial" w:hAnsi="Arial"/>
          <w:sz w:val="17"/>
          <w:szCs w:val="17"/>
          <w:color w:val="auto"/>
        </w:rPr>
        <w:t>Check the appropriate box:</w:t>
      </w:r>
    </w:p>
    <w:p>
      <w:pPr>
        <w:spacing w:after="0" w:line="78" w:lineRule="exact"/>
        <w:rPr>
          <w:sz w:val="24"/>
          <w:szCs w:val="24"/>
          <w:color w:val="auto"/>
        </w:rPr>
      </w:pPr>
    </w:p>
    <w:p>
      <w:pPr>
        <w:ind w:left="580" w:hanging="264"/>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2" w:lineRule="exact"/>
        <w:rPr>
          <w:rFonts w:ascii="MS PGothic" w:cs="MS PGothic" w:eastAsia="MS PGothic" w:hAnsi="MS PGothic"/>
          <w:sz w:val="17"/>
          <w:szCs w:val="17"/>
          <w:color w:val="auto"/>
        </w:rPr>
      </w:pPr>
    </w:p>
    <w:p>
      <w:pPr>
        <w:ind w:left="320" w:right="4100" w:hanging="4"/>
        <w:spacing w:after="0" w:line="208" w:lineRule="exact"/>
        <w:tabs>
          <w:tab w:leader="none" w:pos="576"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ind w:left="580" w:hanging="264"/>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2" w:lineRule="exact"/>
        <w:rPr>
          <w:rFonts w:ascii="MS PGothic" w:cs="MS PGothic" w:eastAsia="MS PGothic" w:hAnsi="MS PGothic"/>
          <w:sz w:val="17"/>
          <w:szCs w:val="17"/>
          <w:color w:val="auto"/>
        </w:rPr>
      </w:pPr>
    </w:p>
    <w:p>
      <w:pPr>
        <w:ind w:left="580" w:hanging="264"/>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 240.14a-12</w:t>
      </w:r>
    </w:p>
    <w:p>
      <w:pPr>
        <w:spacing w:after="0" w:line="199"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55880</wp:posOffset>
            </wp:positionV>
            <wp:extent cx="6740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97" w:lineRule="exact"/>
        <w:rPr>
          <w:sz w:val="24"/>
          <w:szCs w:val="24"/>
          <w:color w:val="auto"/>
        </w:rPr>
      </w:pPr>
    </w:p>
    <w:p>
      <w:pPr>
        <w:jc w:val="center"/>
        <w:ind w:right="-39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275590</wp:posOffset>
            </wp:positionV>
            <wp:extent cx="6740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ind w:left="3380"/>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86" w:lineRule="exact"/>
        <w:rPr>
          <w:sz w:val="24"/>
          <w:szCs w:val="24"/>
          <w:color w:val="auto"/>
        </w:rPr>
      </w:pPr>
    </w:p>
    <w:p>
      <w:pPr>
        <w:ind w:left="320"/>
        <w:spacing w:after="0"/>
        <w:rPr>
          <w:sz w:val="20"/>
          <w:szCs w:val="20"/>
          <w:color w:val="auto"/>
        </w:rPr>
      </w:pPr>
      <w:r>
        <w:rPr>
          <w:rFonts w:ascii="Arial" w:cs="Arial" w:eastAsia="Arial" w:hAnsi="Arial"/>
          <w:sz w:val="17"/>
          <w:szCs w:val="17"/>
          <w:b w:val="1"/>
          <w:bCs w:val="1"/>
          <w:color w:val="auto"/>
        </w:rPr>
        <w:t>Payment of Filing Fee (Check the appropriate box):</w:t>
      </w:r>
    </w:p>
    <w:p>
      <w:pPr>
        <w:spacing w:after="0" w:line="139" w:lineRule="exact"/>
        <w:rPr>
          <w:sz w:val="24"/>
          <w:szCs w:val="24"/>
          <w:color w:val="auto"/>
        </w:rPr>
      </w:pPr>
    </w:p>
    <w:p>
      <w:pPr>
        <w:ind w:left="740" w:hanging="424"/>
        <w:spacing w:after="0"/>
        <w:tabs>
          <w:tab w:leader="none" w:pos="7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30" w:lineRule="exact"/>
        <w:rPr>
          <w:sz w:val="24"/>
          <w:szCs w:val="24"/>
          <w:color w:val="auto"/>
        </w:rPr>
      </w:pPr>
    </w:p>
    <w:p>
      <w:pPr>
        <w:ind w:left="740" w:hanging="424"/>
        <w:spacing w:after="0"/>
        <w:tabs>
          <w:tab w:leader="none" w:pos="7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20" w:lineRule="exact"/>
        <w:rPr>
          <w:rFonts w:ascii="MS PGothic" w:cs="MS PGothic" w:eastAsia="MS PGothic" w:hAnsi="MS PGothic"/>
          <w:sz w:val="17"/>
          <w:szCs w:val="17"/>
          <w:color w:val="auto"/>
        </w:rPr>
      </w:pPr>
    </w:p>
    <w:p>
      <w:pPr>
        <w:ind w:left="1260" w:hanging="527"/>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1260" w:hanging="527"/>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left="1260" w:hanging="527"/>
        <w:spacing w:after="0" w:line="256" w:lineRule="auto"/>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89" w:lineRule="exact"/>
        <w:rPr>
          <w:rFonts w:ascii="Arial" w:cs="Arial" w:eastAsia="Arial" w:hAnsi="Arial"/>
          <w:sz w:val="17"/>
          <w:szCs w:val="17"/>
          <w:color w:val="auto"/>
        </w:rPr>
      </w:pPr>
    </w:p>
    <w:p>
      <w:pPr>
        <w:ind w:left="1260" w:hanging="527"/>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1260" w:hanging="527"/>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left="740" w:hanging="424"/>
        <w:spacing w:after="0"/>
        <w:tabs>
          <w:tab w:leader="none" w:pos="7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90" w:lineRule="exact"/>
        <w:rPr>
          <w:rFonts w:ascii="MS PGothic" w:cs="MS PGothic" w:eastAsia="MS PGothic" w:hAnsi="MS PGothic"/>
          <w:sz w:val="17"/>
          <w:szCs w:val="17"/>
          <w:color w:val="auto"/>
        </w:rPr>
      </w:pPr>
    </w:p>
    <w:p>
      <w:pPr>
        <w:ind w:left="740" w:right="160" w:hanging="424"/>
        <w:spacing w:after="0" w:line="247" w:lineRule="auto"/>
        <w:tabs>
          <w:tab w:leader="none" w:pos="7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8" w:lineRule="exact"/>
        <w:rPr>
          <w:rFonts w:ascii="MS PGothic" w:cs="MS PGothic" w:eastAsia="MS PGothic" w:hAnsi="MS PGothic"/>
          <w:sz w:val="17"/>
          <w:szCs w:val="17"/>
          <w:color w:val="auto"/>
        </w:rPr>
      </w:pPr>
    </w:p>
    <w:p>
      <w:pPr>
        <w:ind w:left="1260" w:hanging="527"/>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left="1260" w:hanging="527"/>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1260" w:hanging="527"/>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left="1260" w:hanging="527"/>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803910</wp:posOffset>
            </wp:positionH>
            <wp:positionV relativeFrom="paragraph">
              <wp:posOffset>-3675380</wp:posOffset>
            </wp:positionV>
            <wp:extent cx="61379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-3295015</wp:posOffset>
            </wp:positionV>
            <wp:extent cx="61379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-2783205</wp:posOffset>
            </wp:positionV>
            <wp:extent cx="61379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-2394585</wp:posOffset>
            </wp:positionV>
            <wp:extent cx="6137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-2014855</wp:posOffset>
            </wp:positionV>
            <wp:extent cx="61379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-998855</wp:posOffset>
            </wp:positionV>
            <wp:extent cx="61379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-610235</wp:posOffset>
            </wp:positionV>
            <wp:extent cx="61379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-230505</wp:posOffset>
            </wp:positionV>
            <wp:extent cx="61379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157480</wp:posOffset>
            </wp:positionV>
            <wp:extent cx="61379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37910" cy="8255"/>
                    </a:xfrm>
                    <a:prstGeom prst="rect">
                      <a:avLst/>
                    </a:prstGeom>
                    <a:noFill/>
                  </pic:spPr>
                </pic:pic>
              </a:graphicData>
            </a:graphic>
          </wp:anchor>
        </w:drawing>
      </w:r>
    </w:p>
    <w:p>
      <w:pPr>
        <w:sectPr>
          <w:pgSz w:w="11900" w:h="16838" w:orient="portrait"/>
          <w:cols w:equalWidth="0" w:num="1">
            <w:col w:w="10860"/>
          </w:cols>
          <w:pgMar w:left="320" w:top="226" w:right="71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215900</wp:posOffset>
            </wp:positionV>
            <wp:extent cx="7000240" cy="9119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0240" cy="9119870"/>
                    </a:xfrm>
                    <a:prstGeom prst="rect">
                      <a:avLst/>
                    </a:prstGeom>
                    <a:noFill/>
                  </pic:spPr>
                </pic:pic>
              </a:graphicData>
            </a:graphic>
          </wp:anchor>
        </w:drawing>
      </w:r>
    </w:p>
    <w:p>
      <w:pPr>
        <w:sectPr>
          <w:pgSz w:w="11900" w:h="16838" w:orient="portrait"/>
          <w:cols w:equalWidth="0" w:num="1">
            <w:col w:w="10139"/>
          </w:cols>
          <w:pgMar w:left="320" w:top="447" w:right="1440"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696595</wp:posOffset>
            </wp:positionV>
            <wp:extent cx="6740525" cy="495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40525" cy="49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-122555</wp:posOffset>
            </wp:positionV>
            <wp:extent cx="1404620" cy="396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4620" cy="3962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color w:val="auto"/>
        </w:rPr>
        <w:t>One Analog Way</w:t>
      </w:r>
    </w:p>
    <w:p>
      <w:pPr>
        <w:jc w:val="right"/>
        <w:spacing w:after="0"/>
        <w:rPr>
          <w:sz w:val="20"/>
          <w:szCs w:val="20"/>
          <w:color w:val="auto"/>
        </w:rPr>
      </w:pPr>
      <w:r>
        <w:rPr>
          <w:rFonts w:ascii="Arial" w:cs="Arial" w:eastAsia="Arial" w:hAnsi="Arial"/>
          <w:sz w:val="17"/>
          <w:szCs w:val="17"/>
          <w:color w:val="auto"/>
        </w:rPr>
        <w:t>Wilmington, MA 01887</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55"/>
          <w:szCs w:val="55"/>
          <w:color w:val="auto"/>
        </w:rPr>
        <w:t>Letter From Our Board</w:t>
      </w: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Dear Fellow Shareholders,</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First and foremost, we thank you for your continued investment in Analog Devices, Inc., or ADI.</w:t>
      </w:r>
    </w:p>
    <w:p>
      <w:pPr>
        <w:spacing w:after="0" w:line="117" w:lineRule="exact"/>
        <w:rPr>
          <w:sz w:val="20"/>
          <w:szCs w:val="20"/>
          <w:color w:val="auto"/>
        </w:rPr>
      </w:pPr>
    </w:p>
    <w:p>
      <w:pPr>
        <w:ind w:left="320" w:right="1580"/>
        <w:spacing w:after="0" w:line="286" w:lineRule="auto"/>
        <w:rPr>
          <w:sz w:val="20"/>
          <w:szCs w:val="20"/>
          <w:color w:val="auto"/>
        </w:rPr>
      </w:pPr>
      <w:r>
        <w:rPr>
          <w:rFonts w:ascii="Arial" w:cs="Arial" w:eastAsia="Arial" w:hAnsi="Arial"/>
          <w:sz w:val="17"/>
          <w:szCs w:val="17"/>
          <w:color w:val="auto"/>
        </w:rPr>
        <w:t>At ADI, we are committed to maximizing shareholder value creation over the long-term, and we have a highly engaged Board and sound corporate governance structure in place to oversee this commitment.</w:t>
      </w:r>
    </w:p>
    <w:p>
      <w:pPr>
        <w:spacing w:after="0" w:line="54" w:lineRule="exact"/>
        <w:rPr>
          <w:sz w:val="20"/>
          <w:szCs w:val="20"/>
          <w:color w:val="auto"/>
        </w:rPr>
      </w:pPr>
    </w:p>
    <w:p>
      <w:pPr>
        <w:ind w:left="320" w:right="1500"/>
        <w:spacing w:after="0" w:line="276" w:lineRule="auto"/>
        <w:rPr>
          <w:sz w:val="20"/>
          <w:szCs w:val="20"/>
          <w:color w:val="auto"/>
        </w:rPr>
      </w:pPr>
      <w:r>
        <w:rPr>
          <w:rFonts w:ascii="Arial" w:cs="Arial" w:eastAsia="Arial" w:hAnsi="Arial"/>
          <w:sz w:val="16"/>
          <w:szCs w:val="16"/>
          <w:color w:val="auto"/>
        </w:rPr>
        <w:t xml:space="preserve">The ADI Board of Directors cordially invites you to attend the 2021 Annual Meeting of Shareholders, or Annual Meeting, which will be held virtually on </w:t>
      </w:r>
      <w:r>
        <w:rPr>
          <w:rFonts w:ascii="Arial" w:cs="Arial" w:eastAsia="Arial" w:hAnsi="Arial"/>
          <w:sz w:val="16"/>
          <w:szCs w:val="16"/>
          <w:color w:val="0066BA"/>
        </w:rPr>
        <w:t>Wednesday, March 10, 2021, at 9:00 a.m. local time</w:t>
      </w:r>
      <w:r>
        <w:rPr>
          <w:rFonts w:ascii="Arial" w:cs="Arial" w:eastAsia="Arial" w:hAnsi="Arial"/>
          <w:sz w:val="16"/>
          <w:szCs w:val="16"/>
          <w:color w:val="auto"/>
        </w:rPr>
        <w:t>. Due to the continued public health concerns about in-person gatherings related to the COVID-19 pandemic, the Board of Directors supports the company’s decision that this year, ADI will hold a virtual Annual Meeting conducted via live webcast in order to protect the health and well-being of its shareholders, employees and directors. We believe that hosting a virtual meeting will facilitate shareholder attendance and participation at the Annual Meeting by enabling shareholders to participate remotely from any location around the world. We have designed the format of the virtual Annual Meeting so that shareholders have the same rights and opportunities to vote and participate as they would have at a physical meeting. Shareholders will be able to submit questions before and during the meeting using online tools, providing you with the opportunity for meaningful engagement with the company. For instructions on attending the Annual Meeting virtually and voting your shares, please see pages A-6 and A-7.</w:t>
      </w:r>
    </w:p>
    <w:p>
      <w:pPr>
        <w:spacing w:after="0" w:line="70" w:lineRule="exact"/>
        <w:rPr>
          <w:sz w:val="20"/>
          <w:szCs w:val="20"/>
          <w:color w:val="auto"/>
        </w:rPr>
      </w:pPr>
    </w:p>
    <w:p>
      <w:pPr>
        <w:ind w:left="320" w:right="1860"/>
        <w:spacing w:after="0" w:line="286" w:lineRule="auto"/>
        <w:rPr>
          <w:sz w:val="20"/>
          <w:szCs w:val="20"/>
          <w:color w:val="auto"/>
        </w:rPr>
      </w:pPr>
      <w:r>
        <w:rPr>
          <w:rFonts w:ascii="Arial" w:cs="Arial" w:eastAsia="Arial" w:hAnsi="Arial"/>
          <w:sz w:val="17"/>
          <w:szCs w:val="17"/>
          <w:color w:val="auto"/>
        </w:rPr>
        <w:t>You vote is very important to us. Our Board encourages you to read these proxy materials and to vote your shares “FOR” each proposal.</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Thank you for the trust you place in us and the opportunity to serve as your directors.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7"/>
          <w:szCs w:val="17"/>
          <w:color w:val="0066BA"/>
        </w:rPr>
        <w:t>THE ADI BOARD OF DIRECTORS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0940"/>
          </w:cols>
          <w:pgMar w:left="320" w:top="447" w:right="6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696595</wp:posOffset>
            </wp:positionV>
            <wp:extent cx="6740525" cy="495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0525" cy="49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-122555</wp:posOffset>
            </wp:positionV>
            <wp:extent cx="1404620" cy="396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4620" cy="3962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color w:val="auto"/>
        </w:rPr>
        <w:t>One Analog Way</w:t>
      </w:r>
    </w:p>
    <w:p>
      <w:pPr>
        <w:jc w:val="right"/>
        <w:spacing w:after="0"/>
        <w:rPr>
          <w:sz w:val="20"/>
          <w:szCs w:val="20"/>
          <w:color w:val="auto"/>
        </w:rPr>
      </w:pPr>
      <w:r>
        <w:rPr>
          <w:rFonts w:ascii="Arial" w:cs="Arial" w:eastAsia="Arial" w:hAnsi="Arial"/>
          <w:sz w:val="17"/>
          <w:szCs w:val="17"/>
          <w:color w:val="auto"/>
        </w:rPr>
        <w:t>Wilmington, MA 01887</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55"/>
          <w:szCs w:val="55"/>
          <w:color w:val="auto"/>
        </w:rPr>
        <w:t>Letter From Our CEO</w:t>
      </w:r>
    </w:p>
    <w:p>
      <w:pPr>
        <w:sectPr>
          <w:pgSz w:w="11900" w:h="16838" w:orient="portrait"/>
          <w:cols w:equalWidth="0" w:num="1">
            <w:col w:w="10940"/>
          </w:cols>
          <w:pgMar w:left="320" w:top="447" w:right="6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Dear Fellow Shareholders,</w:t>
      </w:r>
    </w:p>
    <w:p>
      <w:pPr>
        <w:spacing w:after="0" w:line="182" w:lineRule="exact"/>
        <w:rPr>
          <w:sz w:val="20"/>
          <w:szCs w:val="20"/>
          <w:color w:val="auto"/>
        </w:rPr>
      </w:pPr>
    </w:p>
    <w:p>
      <w:pPr>
        <w:ind w:left="320"/>
        <w:spacing w:after="0" w:line="302" w:lineRule="auto"/>
        <w:rPr>
          <w:sz w:val="20"/>
          <w:szCs w:val="20"/>
          <w:color w:val="auto"/>
        </w:rPr>
      </w:pPr>
      <w:r>
        <w:rPr>
          <w:rFonts w:ascii="Arial" w:cs="Arial" w:eastAsia="Arial" w:hAnsi="Arial"/>
          <w:sz w:val="15"/>
          <w:szCs w:val="15"/>
          <w:color w:val="auto"/>
        </w:rPr>
        <w:t>The global pandemic created a challenging year for all. We were forced to rethink the health and safety of our employees as well as our customer engagement and business operations, while balancing our lives at home. At ADI, I’m proud of how we worked together with determination and optimism. We embraced and learned from this undoubtedly tough time, while making great strides in strengthening ADI for the future.</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0066BA"/>
        </w:rPr>
        <w:t>Fiscal 2020 Results &amp; Strategic Progress</w:t>
      </w:r>
    </w:p>
    <w:p>
      <w:pPr>
        <w:spacing w:after="0" w:line="123" w:lineRule="exact"/>
        <w:rPr>
          <w:sz w:val="20"/>
          <w:szCs w:val="20"/>
          <w:color w:val="auto"/>
        </w:rPr>
      </w:pPr>
    </w:p>
    <w:p>
      <w:pPr>
        <w:ind w:left="320"/>
        <w:spacing w:after="0" w:line="278" w:lineRule="auto"/>
        <w:rPr>
          <w:sz w:val="20"/>
          <w:szCs w:val="20"/>
          <w:color w:val="auto"/>
        </w:rPr>
      </w:pPr>
      <w:r>
        <w:rPr>
          <w:rFonts w:ascii="Arial" w:cs="Arial" w:eastAsia="Arial" w:hAnsi="Arial"/>
          <w:sz w:val="16"/>
          <w:szCs w:val="16"/>
          <w:color w:val="auto"/>
        </w:rPr>
        <w:t>Over the past decade, we strategically realigned our portfolio toward more durable end markets, creating a more diverse business across customers, products and applications. At the same time, we accelerated our innovation engine to continue to develop cutting-edge technologies, guided by our vision to solve our customers’ and the world’s toughest engineering challenges. It’s this combination of diversity and innovation, along with our financial discipline, that creates a virtuous cycle of innovation-led success.</w:t>
      </w:r>
    </w:p>
    <w:p>
      <w:pPr>
        <w:spacing w:after="0" w:line="64" w:lineRule="exact"/>
        <w:rPr>
          <w:sz w:val="20"/>
          <w:szCs w:val="20"/>
          <w:color w:val="auto"/>
        </w:rPr>
      </w:pPr>
    </w:p>
    <w:p>
      <w:pPr>
        <w:ind w:left="320" w:right="20"/>
        <w:spacing w:after="0" w:line="296" w:lineRule="auto"/>
        <w:rPr>
          <w:sz w:val="20"/>
          <w:szCs w:val="20"/>
          <w:color w:val="auto"/>
        </w:rPr>
      </w:pPr>
      <w:r>
        <w:rPr>
          <w:rFonts w:ascii="Arial" w:cs="Arial" w:eastAsia="Arial" w:hAnsi="Arial"/>
          <w:sz w:val="15"/>
          <w:szCs w:val="15"/>
          <w:color w:val="auto"/>
        </w:rPr>
        <w:t>Looking back at fiscal 2020, it was an uneven year. The first half was dampened by the pandemic, but the second half came back strong with revenue increasing 14% versus the first half. In total, we generated $5.6 billion of revenue, and our business-to-business (B2B) end markets of industrial, communications and automotive cumulatively outperformed peers for a third straight year. Despite this tough environment, we maintained solid profitability and delivered strong cash generation with operating cash flow of $2.0 billion and free cash flow of $1.8 billion. Notably, our free cash flow margin continues to be in the top 10% of companies in the S&amp;P 500. And, importantly, we returned more than $1.1 billion through dividends and share repurchases.</w:t>
      </w:r>
    </w:p>
    <w:p>
      <w:pPr>
        <w:spacing w:after="0" w:line="54" w:lineRule="exact"/>
        <w:rPr>
          <w:sz w:val="20"/>
          <w:szCs w:val="20"/>
          <w:color w:val="auto"/>
        </w:rPr>
      </w:pPr>
    </w:p>
    <w:p>
      <w:pPr>
        <w:ind w:left="320"/>
        <w:spacing w:after="0" w:line="258" w:lineRule="auto"/>
        <w:rPr>
          <w:sz w:val="20"/>
          <w:szCs w:val="20"/>
          <w:color w:val="auto"/>
        </w:rPr>
      </w:pPr>
      <w:r>
        <w:rPr>
          <w:rFonts w:ascii="Arial" w:cs="Arial" w:eastAsia="Arial" w:hAnsi="Arial"/>
          <w:sz w:val="17"/>
          <w:szCs w:val="17"/>
          <w:color w:val="auto"/>
        </w:rPr>
        <w:t>This resilient business model allows us to invest in our future during any economic backdrop. In fiscal 2020, we spent more than $1.0 billion in research and development with over 95% targeted at the most attractive B2B opportunities. This includes funding our go-to-market activities and product development to drive new vectors of growth, such as digital healthcare. We also announced our proposed acquisition of Maxim Integrated Products, Inc., or Maxim Integrated. This complementary combination will deepen our domain expertise and engineering capabilities, enabling us to create even more complete solutions for our customers.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Destination for the Best Analog Engineering Talent</w:t>
      </w:r>
    </w:p>
    <w:p>
      <w:pPr>
        <w:spacing w:after="0" w:line="12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Over the last several years, our customers have reallocated more of their engineering resources towards software, away from hardware. As a result, they are increasingly relying on us to fill this void and be their critical innovation partner in architecting analog solutions. Given these dynamics, I believe talent will become an even more important competitive differentiator across the semiconductor industry.</w:t>
      </w:r>
    </w:p>
    <w:p>
      <w:pPr>
        <w:spacing w:after="0" w:line="6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We have built ADI to be a destination for the world’s best analog engineering talent. At our core, we are a global team of problem solvers who do not wait for the future—but imagine it and build it. That’s why we’re committed to empowering our engineers with freedom and unlimited opportunities to improve the world around us and push the boundaries of what’s possible. Once combined with Maxim Integrated, we will stand at 10,000 engineers strong, and this increased scale will unlock additional avenues of professional growth for our people.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Our Mission to “Engineer Good”</w:t>
      </w:r>
    </w:p>
    <w:p>
      <w:pPr>
        <w:spacing w:after="0" w:line="123"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At ADI, we are passionately driven by our mission to “engineer good” for generations to come. This mission came to life in a unique way in fiscal 2020 as the COVID-19 pandemic revealed the fragility of our global healthcare system. To help meet the needs of the medical community, our team prioritized production of our healthcare solutions to support customers and we continued to partner with hospitals and biotech start-ups to develop solutions that leverage our technologies. Furthermore, our impact extended beyond our own facilities and capabilities as we made multi-million dollar donations through the Analog Devices Foundation to aid both global and local pandemic response efforts.</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Beyond the immediate challenges of the pandemic, we believe there is much more ADI can do, leveraging our expertise to preserve and regenerate our precious natural ecosystem. In support of this, we launched the semiconductor industry’s first green bond to help finance projects that offer sustainability benefits within our own operations. We also recently joined the United Nations Global Compact, a voluntary leadership platform for the development, implementation and disclosure of responsible business practices, that reinforces our commitment to operate with integrity.</w:t>
      </w:r>
    </w:p>
    <w:p>
      <w:pPr>
        <w:spacing w:after="0" w:line="675" w:lineRule="exact"/>
        <w:rPr>
          <w:sz w:val="20"/>
          <w:szCs w:val="20"/>
          <w:color w:val="auto"/>
        </w:rPr>
      </w:pPr>
    </w:p>
    <w:p>
      <w:pPr>
        <w:sectPr>
          <w:pgSz w:w="11900" w:h="16838" w:orient="portrait"/>
          <w:cols w:equalWidth="0" w:num="2">
            <w:col w:w="5380" w:space="360"/>
            <w:col w:w="5200"/>
          </w:cols>
          <w:pgMar w:left="320" w:top="447" w:right="639" w:bottom="1440" w:gutter="0" w:footer="0" w:header="0"/>
          <w:type w:val="continuous"/>
        </w:sectPr>
      </w:pPr>
    </w:p>
    <w:p>
      <w:pPr>
        <w:spacing w:after="0" w:line="8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A-2</w:t>
      </w:r>
    </w:p>
    <w:p>
      <w:pPr>
        <w:sectPr>
          <w:pgSz w:w="11900" w:h="16838" w:orient="portrait"/>
          <w:cols w:equalWidth="0" w:num="1">
            <w:col w:w="10940"/>
          </w:cols>
          <w:pgMar w:left="320" w:top="447" w:right="639" w:bottom="1440" w:gutter="0" w:footer="0" w:header="0"/>
          <w:type w:val="continuous"/>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0066BA"/>
        </w:rPr>
        <w:t>A More Connected, Safer and Sustainable Future</w:t>
      </w:r>
    </w:p>
    <w:p>
      <w:pPr>
        <w:spacing w:after="0" w:line="112" w:lineRule="exact"/>
        <w:rPr>
          <w:sz w:val="20"/>
          <w:szCs w:val="20"/>
          <w:color w:val="auto"/>
        </w:rPr>
      </w:pPr>
    </w:p>
    <w:p>
      <w:pPr>
        <w:ind w:left="320"/>
        <w:spacing w:after="0" w:line="281" w:lineRule="auto"/>
        <w:rPr>
          <w:sz w:val="20"/>
          <w:szCs w:val="20"/>
          <w:color w:val="auto"/>
        </w:rPr>
      </w:pPr>
      <w:r>
        <w:rPr>
          <w:rFonts w:ascii="Arial" w:cs="Arial" w:eastAsia="Arial" w:hAnsi="Arial"/>
          <w:sz w:val="16"/>
          <w:szCs w:val="16"/>
          <w:color w:val="auto"/>
        </w:rPr>
        <w:t>We are living in a time of unbounded opportunities driven by astonishing innovation in the third wave of Information and Communications Technology. This wave is characterized by pervasive sensing, hyper-scale and edge computing and ubiquitous connectivity. In this world, our customers are prioritizing digitalization and connectivity more than ever and new applications are emerging.</w:t>
      </w:r>
    </w:p>
    <w:p>
      <w:pPr>
        <w:spacing w:after="0" w:line="60" w:lineRule="exact"/>
        <w:rPr>
          <w:sz w:val="20"/>
          <w:szCs w:val="20"/>
          <w:color w:val="auto"/>
        </w:rPr>
      </w:pPr>
    </w:p>
    <w:p>
      <w:pPr>
        <w:ind w:left="320"/>
        <w:spacing w:after="0" w:line="276" w:lineRule="auto"/>
        <w:rPr>
          <w:sz w:val="20"/>
          <w:szCs w:val="20"/>
          <w:color w:val="auto"/>
        </w:rPr>
      </w:pPr>
      <w:r>
        <w:rPr>
          <w:rFonts w:ascii="Arial" w:cs="Arial" w:eastAsia="Arial" w:hAnsi="Arial"/>
          <w:sz w:val="16"/>
          <w:szCs w:val="16"/>
          <w:color w:val="auto"/>
        </w:rPr>
        <w:t>ADI, where data is born, provides the essential technologies to interpret the physical world around us and is enabling this market revolution. Over the years, we have invested in an industry-leading product portfolio with a suite of capabilities that range from DC to 100 gigahertz, from nanowatts to kilowatts, and from sensor to cloud. This portfolio supports customers of all sizes and is the foundation upon which we build more targeted, integrated solutions for our vertical applications. From Industry 4.0 to vehicle electrification to 5G communications, our next generation smart architectures are shaping a more connected, safer and sustainable future.</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0066BA"/>
        </w:rPr>
        <w:t>Building Resilience</w:t>
      </w:r>
    </w:p>
    <w:p>
      <w:pPr>
        <w:spacing w:after="0" w:line="112" w:lineRule="exact"/>
        <w:rPr>
          <w:sz w:val="20"/>
          <w:szCs w:val="20"/>
          <w:color w:val="auto"/>
        </w:rPr>
      </w:pPr>
    </w:p>
    <w:p>
      <w:pPr>
        <w:ind w:left="320" w:right="260"/>
        <w:spacing w:after="0" w:line="263" w:lineRule="auto"/>
        <w:rPr>
          <w:sz w:val="20"/>
          <w:szCs w:val="20"/>
          <w:color w:val="auto"/>
        </w:rPr>
      </w:pPr>
      <w:r>
        <w:rPr>
          <w:rFonts w:ascii="Arial" w:cs="Arial" w:eastAsia="Arial" w:hAnsi="Arial"/>
          <w:sz w:val="17"/>
          <w:szCs w:val="17"/>
          <w:color w:val="auto"/>
        </w:rPr>
        <w:t>In his book, “Antifragile: Things That Gain From Disorder,” author Nassim Nicholas Taleb writes that certain systems in nature, business and society actually gain strength when they are stressed, when randomness takes root, and chaos is the order of the day, calling them antifragile.</w:t>
      </w:r>
    </w:p>
    <w:p>
      <w:pPr>
        <w:spacing w:after="0" w:line="74" w:lineRule="exact"/>
        <w:rPr>
          <w:sz w:val="20"/>
          <w:szCs w:val="20"/>
          <w:color w:val="auto"/>
        </w:rPr>
      </w:pPr>
    </w:p>
    <w:p>
      <w:pPr>
        <w:ind w:left="320" w:right="60"/>
        <w:spacing w:after="0" w:line="263" w:lineRule="auto"/>
        <w:rPr>
          <w:sz w:val="20"/>
          <w:szCs w:val="20"/>
          <w:color w:val="auto"/>
        </w:rPr>
      </w:pPr>
      <w:r>
        <w:rPr>
          <w:rFonts w:ascii="Arial" w:cs="Arial" w:eastAsia="Arial" w:hAnsi="Arial"/>
          <w:sz w:val="17"/>
          <w:szCs w:val="17"/>
          <w:color w:val="auto"/>
        </w:rPr>
        <w:t>Over our 56-year history, ADI has proven to be antifragile. We have not only remained resilient during crises but have demonstrated an ability to learn and adapt quickly in a period of tremendous change. I am encouraged by our momentum and I am more confident than ever in ADI’s place in this reordered world.</w:t>
      </w:r>
    </w:p>
    <w:p>
      <w:pPr>
        <w:spacing w:after="0" w:line="74" w:lineRule="exact"/>
        <w:rPr>
          <w:sz w:val="20"/>
          <w:szCs w:val="20"/>
          <w:color w:val="auto"/>
        </w:rPr>
      </w:pPr>
    </w:p>
    <w:p>
      <w:pPr>
        <w:ind w:left="320" w:right="100"/>
        <w:spacing w:after="0" w:line="286" w:lineRule="auto"/>
        <w:rPr>
          <w:sz w:val="20"/>
          <w:szCs w:val="20"/>
          <w:color w:val="auto"/>
        </w:rPr>
      </w:pPr>
      <w:r>
        <w:rPr>
          <w:rFonts w:ascii="Arial" w:cs="Arial" w:eastAsia="Arial" w:hAnsi="Arial"/>
          <w:sz w:val="17"/>
          <w:szCs w:val="17"/>
          <w:color w:val="auto"/>
        </w:rPr>
        <w:t>Thank you for choosing to invest in ADI and for your continued trust in our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108585</wp:posOffset>
            </wp:positionV>
            <wp:extent cx="1644015" cy="817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44015" cy="81788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400"/>
        <w:spacing w:after="0"/>
        <w:rPr>
          <w:sz w:val="20"/>
          <w:szCs w:val="20"/>
          <w:color w:val="auto"/>
        </w:rPr>
      </w:pPr>
      <w:r>
        <w:rPr>
          <w:rFonts w:ascii="Arial" w:cs="Arial" w:eastAsia="Arial" w:hAnsi="Arial"/>
          <w:sz w:val="17"/>
          <w:szCs w:val="17"/>
          <w:color w:val="0066BA"/>
        </w:rPr>
        <w:t>VINCENT ROCHE</w:t>
      </w:r>
    </w:p>
    <w:p>
      <w:pPr>
        <w:spacing w:after="0" w:line="25"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President and</w:t>
      </w:r>
    </w:p>
    <w:p>
      <w:pPr>
        <w:spacing w:after="0" w:line="13"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Chief Executive</w:t>
      </w:r>
    </w:p>
    <w:p>
      <w:pPr>
        <w:spacing w:after="0" w:line="13"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B2B Highlights </w:t>
      </w:r>
      <w:r>
        <w:rPr>
          <w:sz w:val="1"/>
          <w:szCs w:val="1"/>
          <w:color w:val="auto"/>
        </w:rPr>
        <w:drawing>
          <wp:inline distT="0" distB="0" distL="0" distR="0">
            <wp:extent cx="1891665" cy="1238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91665" cy="12382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-238760</wp:posOffset>
            </wp:positionV>
            <wp:extent cx="3296285" cy="6476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96285" cy="647636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26"/>
          <w:szCs w:val="26"/>
          <w:color w:val="0066BA"/>
        </w:rPr>
        <w:t>Industrial</w:t>
      </w:r>
    </w:p>
    <w:p>
      <w:pPr>
        <w:spacing w:after="0" w:line="93" w:lineRule="exact"/>
        <w:rPr>
          <w:sz w:val="20"/>
          <w:szCs w:val="20"/>
          <w:color w:val="auto"/>
        </w:rPr>
      </w:pPr>
    </w:p>
    <w:p>
      <w:pPr>
        <w:ind w:left="1240" w:right="360"/>
        <w:spacing w:after="0" w:line="259" w:lineRule="auto"/>
        <w:rPr>
          <w:sz w:val="20"/>
          <w:szCs w:val="20"/>
          <w:color w:val="auto"/>
        </w:rPr>
      </w:pPr>
      <w:r>
        <w:rPr>
          <w:rFonts w:ascii="Arial" w:cs="Arial" w:eastAsia="Arial" w:hAnsi="Arial"/>
          <w:sz w:val="17"/>
          <w:szCs w:val="17"/>
          <w:color w:val="auto"/>
        </w:rPr>
        <w:t>Industrial is characterized by a diversity of customers, products and applications, and long product life cycles. ADI’s heritage in this market positions us as the partner of choice to meet the expanding needs of our customers from traditional challenges of precision, control and power management, as well as emerging challenges of connectivity and safety.</w:t>
      </w:r>
    </w:p>
    <w:p>
      <w:pPr>
        <w:spacing w:after="0" w:line="155" w:lineRule="exact"/>
        <w:rPr>
          <w:sz w:val="20"/>
          <w:szCs w:val="20"/>
          <w:color w:val="auto"/>
        </w:rPr>
      </w:pPr>
    </w:p>
    <w:p>
      <w:pPr>
        <w:spacing w:after="0"/>
        <w:rPr>
          <w:sz w:val="20"/>
          <w:szCs w:val="20"/>
          <w:color w:val="auto"/>
        </w:rPr>
      </w:pPr>
      <w:r>
        <w:rPr>
          <w:rFonts w:ascii="Arial" w:cs="Arial" w:eastAsia="Arial" w:hAnsi="Arial"/>
          <w:sz w:val="26"/>
          <w:szCs w:val="26"/>
          <w:color w:val="0066BA"/>
        </w:rPr>
        <w:t>Automotive</w:t>
      </w:r>
    </w:p>
    <w:p>
      <w:pPr>
        <w:spacing w:after="0" w:line="93" w:lineRule="exact"/>
        <w:rPr>
          <w:sz w:val="20"/>
          <w:szCs w:val="20"/>
          <w:color w:val="auto"/>
        </w:rPr>
      </w:pPr>
    </w:p>
    <w:p>
      <w:pPr>
        <w:ind w:left="1240" w:right="360"/>
        <w:spacing w:after="0" w:line="277" w:lineRule="auto"/>
        <w:rPr>
          <w:sz w:val="20"/>
          <w:szCs w:val="20"/>
          <w:color w:val="auto"/>
        </w:rPr>
      </w:pPr>
      <w:r>
        <w:rPr>
          <w:rFonts w:ascii="Arial" w:cs="Arial" w:eastAsia="Arial" w:hAnsi="Arial"/>
          <w:sz w:val="16"/>
          <w:szCs w:val="16"/>
          <w:color w:val="auto"/>
        </w:rPr>
        <w:t>ADI is creating a more sustainable, safe and immersive vehicle experience with our core franchises of audio processing, connectivity and power management. As we look ahead, the electric vehicle revolution unlocks new opportunities. We are a market leader in battery management systems, with over half of the top 10 electric vehicle brands using our solution.</w:t>
      </w:r>
    </w:p>
    <w:p>
      <w:pPr>
        <w:spacing w:after="0" w:line="142" w:lineRule="exact"/>
        <w:rPr>
          <w:sz w:val="20"/>
          <w:szCs w:val="20"/>
          <w:color w:val="auto"/>
        </w:rPr>
      </w:pPr>
    </w:p>
    <w:p>
      <w:pPr>
        <w:spacing w:after="0"/>
        <w:rPr>
          <w:sz w:val="20"/>
          <w:szCs w:val="20"/>
          <w:color w:val="auto"/>
        </w:rPr>
      </w:pPr>
      <w:r>
        <w:rPr>
          <w:rFonts w:ascii="Arial" w:cs="Arial" w:eastAsia="Arial" w:hAnsi="Arial"/>
          <w:sz w:val="26"/>
          <w:szCs w:val="26"/>
          <w:color w:val="0066BA"/>
        </w:rPr>
        <w:t>Communications</w:t>
      </w:r>
    </w:p>
    <w:p>
      <w:pPr>
        <w:spacing w:after="0" w:line="93" w:lineRule="exact"/>
        <w:rPr>
          <w:sz w:val="20"/>
          <w:szCs w:val="20"/>
          <w:color w:val="auto"/>
        </w:rPr>
      </w:pPr>
    </w:p>
    <w:p>
      <w:pPr>
        <w:ind w:left="1240" w:right="360"/>
        <w:spacing w:after="0" w:line="299" w:lineRule="auto"/>
        <w:rPr>
          <w:sz w:val="20"/>
          <w:szCs w:val="20"/>
          <w:color w:val="auto"/>
        </w:rPr>
      </w:pPr>
      <w:r>
        <w:rPr>
          <w:rFonts w:ascii="Arial" w:cs="Arial" w:eastAsia="Arial" w:hAnsi="Arial"/>
          <w:sz w:val="15"/>
          <w:szCs w:val="15"/>
          <w:color w:val="auto"/>
        </w:rPr>
        <w:t>In wireless, ADI is enabling next generation 5G systems. With our expertise in radio signal chains, microwave, mmWave and power, our radio solutions possess best-in-class performance, size and cost. In wireline, we are a leader in precision signal chains for optical control systems and power management, used by carrier networks and in data centers.</w:t>
      </w:r>
    </w:p>
    <w:p>
      <w:pPr>
        <w:spacing w:after="0" w:line="126" w:lineRule="exact"/>
        <w:rPr>
          <w:sz w:val="20"/>
          <w:szCs w:val="20"/>
          <w:color w:val="auto"/>
        </w:rPr>
      </w:pPr>
    </w:p>
    <w:p>
      <w:pPr>
        <w:spacing w:after="0"/>
        <w:rPr>
          <w:sz w:val="20"/>
          <w:szCs w:val="20"/>
          <w:color w:val="auto"/>
        </w:rPr>
      </w:pPr>
      <w:r>
        <w:rPr>
          <w:rFonts w:ascii="Arial" w:cs="Arial" w:eastAsia="Arial" w:hAnsi="Arial"/>
          <w:sz w:val="26"/>
          <w:szCs w:val="26"/>
          <w:color w:val="0066BA"/>
        </w:rPr>
        <w:t>Digital Healthcare</w:t>
      </w:r>
    </w:p>
    <w:p>
      <w:pPr>
        <w:spacing w:after="0" w:line="93" w:lineRule="exact"/>
        <w:rPr>
          <w:sz w:val="20"/>
          <w:szCs w:val="20"/>
          <w:color w:val="auto"/>
        </w:rPr>
      </w:pPr>
    </w:p>
    <w:p>
      <w:pPr>
        <w:ind w:left="1240" w:right="340"/>
        <w:spacing w:after="0" w:line="259" w:lineRule="auto"/>
        <w:rPr>
          <w:sz w:val="20"/>
          <w:szCs w:val="20"/>
          <w:color w:val="auto"/>
        </w:rPr>
      </w:pPr>
      <w:r>
        <w:rPr>
          <w:rFonts w:ascii="Arial" w:cs="Arial" w:eastAsia="Arial" w:hAnsi="Arial"/>
          <w:sz w:val="17"/>
          <w:szCs w:val="17"/>
          <w:color w:val="auto"/>
        </w:rPr>
        <w:t>Our core healthcare technologies, consisting of medical imaging, instrumentation and vital signs monitoring, have been critical in the fight against COVID-19. Looking forward, one of our missions is to fast-track the affordability, accessibility and wellness focus of global healthcare by extending clinical-grade patient care from the hospital to the home.</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A-3</w:t>
      </w:r>
    </w:p>
    <w:p>
      <w:pPr>
        <w:sectPr>
          <w:pgSz w:w="11900" w:h="16838" w:orient="portrait"/>
          <w:cols w:equalWidth="0" w:num="2">
            <w:col w:w="5400" w:space="700"/>
            <w:col w:w="4840"/>
          </w:cols>
          <w:pgMar w:left="320" w:top="447" w:right="6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696595</wp:posOffset>
            </wp:positionV>
            <wp:extent cx="6740525" cy="4959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40525" cy="49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-122555</wp:posOffset>
            </wp:positionV>
            <wp:extent cx="1404620" cy="396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04620" cy="3962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color w:val="auto"/>
        </w:rPr>
        <w:t>One Analog Way</w:t>
      </w:r>
    </w:p>
    <w:p>
      <w:pPr>
        <w:jc w:val="right"/>
        <w:spacing w:after="0"/>
        <w:rPr>
          <w:sz w:val="20"/>
          <w:szCs w:val="20"/>
          <w:color w:val="auto"/>
        </w:rPr>
      </w:pPr>
      <w:r>
        <w:rPr>
          <w:rFonts w:ascii="Arial" w:cs="Arial" w:eastAsia="Arial" w:hAnsi="Arial"/>
          <w:sz w:val="17"/>
          <w:szCs w:val="17"/>
          <w:color w:val="auto"/>
        </w:rPr>
        <w:t>Wilmington, MA 01887</w:t>
      </w: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55"/>
          <w:szCs w:val="55"/>
          <w:color w:val="auto"/>
        </w:rPr>
        <w:t>A Global Team</w:t>
      </w:r>
    </w:p>
    <w:p>
      <w:pPr>
        <w:spacing w:after="0" w:line="280" w:lineRule="exact"/>
        <w:rPr>
          <w:sz w:val="20"/>
          <w:szCs w:val="20"/>
          <w:color w:val="auto"/>
        </w:rPr>
      </w:pPr>
    </w:p>
    <w:p>
      <w:pPr>
        <w:ind w:left="320" w:right="80"/>
        <w:spacing w:after="0" w:line="248" w:lineRule="auto"/>
        <w:rPr>
          <w:sz w:val="20"/>
          <w:szCs w:val="20"/>
          <w:color w:val="auto"/>
        </w:rPr>
      </w:pPr>
      <w:r>
        <w:rPr>
          <w:rFonts w:ascii="Arial" w:cs="Arial" w:eastAsia="Arial" w:hAnsi="Arial"/>
          <w:sz w:val="28"/>
          <w:szCs w:val="28"/>
          <w:i w:val="1"/>
          <w:iCs w:val="1"/>
          <w:color w:val="0066BA"/>
        </w:rPr>
        <w:t>“At ADI, we don’t wait for the future — we imagine it and then we build it. Our global team of insatiably curious problem solvers is working every day to address our customers’ toughest challenges and develop breakthrough solutions that impact the world. By empowering our team through investment, creative freedom and a culture of innovation, we strive to be the destination for the world’s best analog engineering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125095</wp:posOffset>
            </wp:positionV>
            <wp:extent cx="586740" cy="586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740" cy="58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00"/>
        <w:spacing w:after="0"/>
        <w:rPr>
          <w:sz w:val="20"/>
          <w:szCs w:val="20"/>
          <w:color w:val="auto"/>
        </w:rPr>
      </w:pPr>
      <w:r>
        <w:rPr>
          <w:rFonts w:ascii="Arial" w:cs="Arial" w:eastAsia="Arial" w:hAnsi="Arial"/>
          <w:sz w:val="17"/>
          <w:szCs w:val="17"/>
          <w:color w:val="0066BA"/>
        </w:rPr>
        <w:t>DAN LEIBHOLZ</w:t>
      </w:r>
    </w:p>
    <w:p>
      <w:pPr>
        <w:spacing w:after="0" w:line="25"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Chief Technology Officer</w:t>
      </w: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Talent Priorities</w:t>
      </w:r>
    </w:p>
    <w:p>
      <w:pPr>
        <w:spacing w:after="0" w:line="124" w:lineRule="exact"/>
        <w:rPr>
          <w:sz w:val="20"/>
          <w:szCs w:val="20"/>
          <w:color w:val="auto"/>
        </w:rPr>
      </w:pPr>
    </w:p>
    <w:p>
      <w:pPr>
        <w:ind w:left="320"/>
        <w:spacing w:after="0" w:line="270" w:lineRule="auto"/>
        <w:rPr>
          <w:sz w:val="20"/>
          <w:szCs w:val="20"/>
          <w:color w:val="auto"/>
        </w:rPr>
      </w:pPr>
      <w:r>
        <w:rPr>
          <w:rFonts w:ascii="Arial" w:cs="Arial" w:eastAsia="Arial" w:hAnsi="Arial"/>
          <w:sz w:val="17"/>
          <w:szCs w:val="17"/>
          <w:color w:val="auto"/>
        </w:rPr>
        <w:t>Core to our talent engagement and development strategy is building a culture of 360-degree training and development throughout each team member’s career. We provide all of our people with the freedom, opportunity, and support so that they can realize their full potential and collectively shape the ADI of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117475</wp:posOffset>
            </wp:positionV>
            <wp:extent cx="6740525" cy="3510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40525" cy="3510915"/>
                    </a:xfrm>
                    <a:prstGeom prst="rect">
                      <a:avLst/>
                    </a:prstGeom>
                    <a:noFill/>
                  </pic:spPr>
                </pic:pic>
              </a:graphicData>
            </a:graphic>
          </wp:anchor>
        </w:drawing>
      </w:r>
    </w:p>
    <w:p>
      <w:pPr>
        <w:sectPr>
          <w:pgSz w:w="11900" w:h="16838" w:orient="portrait"/>
          <w:cols w:equalWidth="0" w:num="1">
            <w:col w:w="10940"/>
          </w:cols>
          <w:pgMar w:left="320" w:top="447" w:right="639" w:bottom="1037" w:gutter="0" w:footer="0" w:header="0"/>
        </w:sectPr>
      </w:pPr>
    </w:p>
    <w:p>
      <w:pPr>
        <w:spacing w:after="0" w:line="125" w:lineRule="exact"/>
        <w:rPr>
          <w:sz w:val="20"/>
          <w:szCs w:val="20"/>
          <w:color w:val="auto"/>
        </w:rPr>
      </w:pPr>
    </w:p>
    <w:tbl>
      <w:tblPr>
        <w:tblLayout w:type="fixed"/>
        <w:tblInd w:w="460" w:type="dxa"/>
        <w:tblCellMar>
          <w:top w:w="0" w:type="dxa"/>
          <w:left w:w="0" w:type="dxa"/>
          <w:bottom w:w="0" w:type="dxa"/>
          <w:right w:w="0" w:type="dxa"/>
        </w:tblCellMar>
      </w:tblPr>
      <w:tr>
        <w:trPr>
          <w:trHeight w:val="322"/>
        </w:trPr>
        <w:tc>
          <w:tcPr>
            <w:tcW w:w="380" w:type="dxa"/>
            <w:vAlign w:val="bottom"/>
          </w:tcPr>
          <w:p>
            <w:pPr>
              <w:jc w:val="right"/>
              <w:ind w:right="1"/>
              <w:spacing w:after="0"/>
              <w:rPr>
                <w:sz w:val="20"/>
                <w:szCs w:val="20"/>
                <w:color w:val="auto"/>
              </w:rPr>
            </w:pPr>
            <w:r>
              <w:rPr>
                <w:rFonts w:ascii="Arial" w:cs="Arial" w:eastAsia="Arial" w:hAnsi="Arial"/>
                <w:sz w:val="28"/>
                <w:szCs w:val="28"/>
                <w:b w:val="1"/>
                <w:bCs w:val="1"/>
                <w:color w:val="FFFFFF"/>
                <w:w w:val="94"/>
              </w:rPr>
              <w:t>1.</w:t>
            </w:r>
          </w:p>
        </w:tc>
        <w:tc>
          <w:tcPr>
            <w:tcW w:w="2240" w:type="dxa"/>
            <w:vAlign w:val="bottom"/>
            <w:shd w:val="clear" w:color="auto" w:fill="CCE0F1"/>
          </w:tcPr>
          <w:p>
            <w:pPr>
              <w:ind w:left="120"/>
              <w:spacing w:after="0"/>
              <w:rPr>
                <w:sz w:val="20"/>
                <w:szCs w:val="20"/>
                <w:color w:val="auto"/>
              </w:rPr>
            </w:pPr>
            <w:r>
              <w:rPr>
                <w:rFonts w:ascii="Arial" w:cs="Arial" w:eastAsia="Arial" w:hAnsi="Arial"/>
                <w:sz w:val="17"/>
                <w:szCs w:val="17"/>
                <w:b w:val="1"/>
                <w:bCs w:val="1"/>
                <w:color w:val="auto"/>
              </w:rPr>
              <w:t>Continuous Education</w:t>
            </w:r>
          </w:p>
        </w:tc>
        <w:tc>
          <w:tcPr>
            <w:tcW w:w="1340" w:type="dxa"/>
            <w:vAlign w:val="bottom"/>
          </w:tcPr>
          <w:p>
            <w:pPr>
              <w:ind w:left="100"/>
              <w:spacing w:after="0"/>
              <w:rPr>
                <w:sz w:val="20"/>
                <w:szCs w:val="20"/>
                <w:color w:val="auto"/>
              </w:rPr>
            </w:pPr>
            <w:r>
              <w:rPr>
                <w:rFonts w:ascii="Arial" w:cs="Arial" w:eastAsia="Arial" w:hAnsi="Arial"/>
                <w:sz w:val="17"/>
                <w:szCs w:val="17"/>
                <w:i w:val="1"/>
                <w:iCs w:val="1"/>
                <w:color w:val="auto"/>
                <w:w w:val="97"/>
              </w:rPr>
              <w:t>Encouraging our</w:t>
            </w:r>
          </w:p>
        </w:tc>
        <w:tc>
          <w:tcPr>
            <w:tcW w:w="3200" w:type="dxa"/>
            <w:vAlign w:val="bottom"/>
          </w:tcPr>
          <w:p>
            <w:pPr>
              <w:ind w:left="60"/>
              <w:spacing w:after="0"/>
              <w:rPr>
                <w:sz w:val="20"/>
                <w:szCs w:val="20"/>
                <w:color w:val="auto"/>
              </w:rPr>
            </w:pPr>
            <w:r>
              <w:rPr>
                <w:rFonts w:ascii="Arial" w:cs="Arial" w:eastAsia="Arial" w:hAnsi="Arial"/>
                <w:sz w:val="17"/>
                <w:szCs w:val="17"/>
                <w:color w:val="auto"/>
                <w:w w:val="93"/>
              </w:rPr>
              <w:t xml:space="preserve">Our annual </w:t>
            </w:r>
            <w:r>
              <w:rPr>
                <w:rFonts w:ascii="Arial" w:cs="Arial" w:eastAsia="Arial" w:hAnsi="Arial"/>
                <w:sz w:val="17"/>
                <w:szCs w:val="17"/>
                <w:b w:val="1"/>
                <w:bCs w:val="1"/>
                <w:color w:val="auto"/>
                <w:w w:val="93"/>
              </w:rPr>
              <w:t>General Technical Conference</w:t>
            </w:r>
          </w:p>
        </w:tc>
      </w:tr>
      <w:tr>
        <w:trPr>
          <w:trHeight w:val="194"/>
        </w:trPr>
        <w:tc>
          <w:tcPr>
            <w:tcW w:w="380" w:type="dxa"/>
            <w:vAlign w:val="bottom"/>
          </w:tcPr>
          <w:p>
            <w:pPr>
              <w:spacing w:after="0"/>
              <w:rPr>
                <w:sz w:val="16"/>
                <w:szCs w:val="16"/>
                <w:color w:val="auto"/>
              </w:rPr>
            </w:pPr>
          </w:p>
        </w:tc>
        <w:tc>
          <w:tcPr>
            <w:tcW w:w="2240" w:type="dxa"/>
            <w:vAlign w:val="bottom"/>
            <w:shd w:val="clear" w:color="auto" w:fill="CCE0F1"/>
          </w:tcPr>
          <w:p>
            <w:pPr>
              <w:ind w:left="120"/>
              <w:spacing w:after="0" w:line="194" w:lineRule="exact"/>
              <w:rPr>
                <w:sz w:val="20"/>
                <w:szCs w:val="20"/>
                <w:color w:val="auto"/>
              </w:rPr>
            </w:pPr>
            <w:r>
              <w:rPr>
                <w:rFonts w:ascii="Arial" w:cs="Arial" w:eastAsia="Arial" w:hAnsi="Arial"/>
                <w:sz w:val="17"/>
                <w:szCs w:val="17"/>
                <w:b w:val="1"/>
                <w:bCs w:val="1"/>
                <w:color w:val="auto"/>
              </w:rPr>
              <w:t>&amp; Networking</w:t>
            </w:r>
          </w:p>
        </w:tc>
        <w:tc>
          <w:tcPr>
            <w:tcW w:w="1340" w:type="dxa"/>
            <w:vAlign w:val="bottom"/>
          </w:tcPr>
          <w:p>
            <w:pPr>
              <w:ind w:left="100"/>
              <w:spacing w:after="0" w:line="194" w:lineRule="exact"/>
              <w:rPr>
                <w:sz w:val="20"/>
                <w:szCs w:val="20"/>
                <w:color w:val="auto"/>
              </w:rPr>
            </w:pPr>
            <w:r>
              <w:rPr>
                <w:rFonts w:ascii="Arial" w:cs="Arial" w:eastAsia="Arial" w:hAnsi="Arial"/>
                <w:sz w:val="17"/>
                <w:szCs w:val="17"/>
                <w:i w:val="1"/>
                <w:iCs w:val="1"/>
                <w:color w:val="auto"/>
              </w:rPr>
              <w:t>team to keep</w:t>
            </w:r>
          </w:p>
        </w:tc>
        <w:tc>
          <w:tcPr>
            <w:tcW w:w="3200" w:type="dxa"/>
            <w:vAlign w:val="bottom"/>
          </w:tcPr>
          <w:p>
            <w:pPr>
              <w:ind w:left="60"/>
              <w:spacing w:after="0" w:line="194" w:lineRule="exact"/>
              <w:rPr>
                <w:sz w:val="20"/>
                <w:szCs w:val="20"/>
                <w:color w:val="auto"/>
              </w:rPr>
            </w:pPr>
            <w:r>
              <w:rPr>
                <w:rFonts w:ascii="Arial" w:cs="Arial" w:eastAsia="Arial" w:hAnsi="Arial"/>
                <w:sz w:val="17"/>
                <w:szCs w:val="17"/>
                <w:b w:val="1"/>
                <w:bCs w:val="1"/>
                <w:color w:val="auto"/>
                <w:w w:val="94"/>
              </w:rPr>
              <w:t xml:space="preserve">(GTC) </w:t>
            </w:r>
            <w:r>
              <w:rPr>
                <w:rFonts w:ascii="Arial" w:cs="Arial" w:eastAsia="Arial" w:hAnsi="Arial"/>
                <w:sz w:val="17"/>
                <w:szCs w:val="17"/>
                <w:color w:val="auto"/>
                <w:w w:val="94"/>
              </w:rPr>
              <w:t>is dedicated to showcasing our talent</w:t>
            </w:r>
          </w:p>
        </w:tc>
      </w:tr>
      <w:tr>
        <w:trPr>
          <w:trHeight w:val="208"/>
        </w:trPr>
        <w:tc>
          <w:tcPr>
            <w:tcW w:w="380" w:type="dxa"/>
            <w:vAlign w:val="bottom"/>
          </w:tcPr>
          <w:p>
            <w:pPr>
              <w:spacing w:after="0"/>
              <w:rPr>
                <w:sz w:val="18"/>
                <w:szCs w:val="18"/>
                <w:color w:val="auto"/>
              </w:rPr>
            </w:pPr>
          </w:p>
        </w:tc>
        <w:tc>
          <w:tcPr>
            <w:tcW w:w="2240" w:type="dxa"/>
            <w:vAlign w:val="bottom"/>
            <w:shd w:val="clear" w:color="auto" w:fill="CCE0F1"/>
          </w:tcPr>
          <w:p>
            <w:pPr>
              <w:spacing w:after="0"/>
              <w:rPr>
                <w:sz w:val="18"/>
                <w:szCs w:val="18"/>
                <w:color w:val="auto"/>
              </w:rPr>
            </w:pPr>
          </w:p>
        </w:tc>
        <w:tc>
          <w:tcPr>
            <w:tcW w:w="1340" w:type="dxa"/>
            <w:vAlign w:val="bottom"/>
          </w:tcPr>
          <w:p>
            <w:pPr>
              <w:ind w:left="100"/>
              <w:spacing w:after="0"/>
              <w:rPr>
                <w:sz w:val="20"/>
                <w:szCs w:val="20"/>
                <w:color w:val="auto"/>
              </w:rPr>
            </w:pPr>
            <w:r>
              <w:rPr>
                <w:rFonts w:ascii="Arial" w:cs="Arial" w:eastAsia="Arial" w:hAnsi="Arial"/>
                <w:sz w:val="17"/>
                <w:szCs w:val="17"/>
                <w:i w:val="1"/>
                <w:iCs w:val="1"/>
                <w:color w:val="auto"/>
              </w:rPr>
              <w:t>learning &amp; grow</w:t>
            </w:r>
          </w:p>
        </w:tc>
        <w:tc>
          <w:tcPr>
            <w:tcW w:w="3200" w:type="dxa"/>
            <w:vAlign w:val="bottom"/>
          </w:tcPr>
          <w:p>
            <w:pPr>
              <w:ind w:left="60"/>
              <w:spacing w:after="0"/>
              <w:rPr>
                <w:sz w:val="20"/>
                <w:szCs w:val="20"/>
                <w:color w:val="auto"/>
              </w:rPr>
            </w:pPr>
            <w:r>
              <w:rPr>
                <w:rFonts w:ascii="Arial" w:cs="Arial" w:eastAsia="Arial" w:hAnsi="Arial"/>
                <w:sz w:val="17"/>
                <w:szCs w:val="17"/>
                <w:color w:val="auto"/>
              </w:rPr>
              <w:t>&amp; innovation. In fiscal 2020, 5,000+</w:t>
            </w:r>
          </w:p>
        </w:tc>
      </w:tr>
      <w:tr>
        <w:trPr>
          <w:trHeight w:val="208"/>
        </w:trPr>
        <w:tc>
          <w:tcPr>
            <w:tcW w:w="380" w:type="dxa"/>
            <w:vAlign w:val="bottom"/>
          </w:tcPr>
          <w:p>
            <w:pPr>
              <w:spacing w:after="0"/>
              <w:rPr>
                <w:sz w:val="18"/>
                <w:szCs w:val="18"/>
                <w:color w:val="auto"/>
              </w:rPr>
            </w:pPr>
          </w:p>
        </w:tc>
        <w:tc>
          <w:tcPr>
            <w:tcW w:w="2240" w:type="dxa"/>
            <w:vAlign w:val="bottom"/>
            <w:shd w:val="clear" w:color="auto" w:fill="CCE0F1"/>
          </w:tcPr>
          <w:p>
            <w:pPr>
              <w:spacing w:after="0"/>
              <w:rPr>
                <w:sz w:val="18"/>
                <w:szCs w:val="18"/>
                <w:color w:val="auto"/>
              </w:rPr>
            </w:pPr>
          </w:p>
        </w:tc>
        <w:tc>
          <w:tcPr>
            <w:tcW w:w="1340" w:type="dxa"/>
            <w:vAlign w:val="bottom"/>
          </w:tcPr>
          <w:p>
            <w:pPr>
              <w:ind w:left="100"/>
              <w:spacing w:after="0"/>
              <w:rPr>
                <w:sz w:val="20"/>
                <w:szCs w:val="20"/>
                <w:color w:val="auto"/>
              </w:rPr>
            </w:pPr>
            <w:r>
              <w:rPr>
                <w:rFonts w:ascii="Arial" w:cs="Arial" w:eastAsia="Arial" w:hAnsi="Arial"/>
                <w:sz w:val="17"/>
                <w:szCs w:val="17"/>
                <w:i w:val="1"/>
                <w:iCs w:val="1"/>
                <w:color w:val="auto"/>
              </w:rPr>
              <w:t>their networks</w:t>
            </w:r>
          </w:p>
        </w:tc>
        <w:tc>
          <w:tcPr>
            <w:tcW w:w="3200" w:type="dxa"/>
            <w:vAlign w:val="bottom"/>
          </w:tcPr>
          <w:p>
            <w:pPr>
              <w:ind w:left="60"/>
              <w:spacing w:after="0"/>
              <w:rPr>
                <w:sz w:val="20"/>
                <w:szCs w:val="20"/>
                <w:color w:val="auto"/>
              </w:rPr>
            </w:pPr>
            <w:r>
              <w:rPr>
                <w:rFonts w:ascii="Arial" w:cs="Arial" w:eastAsia="Arial" w:hAnsi="Arial"/>
                <w:sz w:val="17"/>
                <w:szCs w:val="17"/>
                <w:color w:val="auto"/>
                <w:w w:val="94"/>
              </w:rPr>
              <w:t>engineers from 30+ countries participated in</w:t>
            </w:r>
          </w:p>
        </w:tc>
      </w:tr>
      <w:tr>
        <w:trPr>
          <w:trHeight w:val="208"/>
        </w:trPr>
        <w:tc>
          <w:tcPr>
            <w:tcW w:w="380" w:type="dxa"/>
            <w:vAlign w:val="bottom"/>
          </w:tcPr>
          <w:p>
            <w:pPr>
              <w:spacing w:after="0"/>
              <w:rPr>
                <w:sz w:val="18"/>
                <w:szCs w:val="18"/>
                <w:color w:val="auto"/>
              </w:rPr>
            </w:pPr>
          </w:p>
        </w:tc>
        <w:tc>
          <w:tcPr>
            <w:tcW w:w="2240" w:type="dxa"/>
            <w:vAlign w:val="bottom"/>
            <w:shd w:val="clear" w:color="auto" w:fill="CCE0F1"/>
          </w:tcPr>
          <w:p>
            <w:pPr>
              <w:spacing w:after="0"/>
              <w:rPr>
                <w:sz w:val="18"/>
                <w:szCs w:val="18"/>
                <w:color w:val="auto"/>
              </w:rPr>
            </w:pPr>
          </w:p>
        </w:tc>
        <w:tc>
          <w:tcPr>
            <w:tcW w:w="13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7"/>
                <w:szCs w:val="17"/>
                <w:color w:val="auto"/>
                <w:w w:val="92"/>
              </w:rPr>
              <w:t>a virtual meeting with 280+ technical papers,</w:t>
            </w:r>
          </w:p>
        </w:tc>
      </w:tr>
      <w:tr>
        <w:trPr>
          <w:trHeight w:val="221"/>
        </w:trPr>
        <w:tc>
          <w:tcPr>
            <w:tcW w:w="380" w:type="dxa"/>
            <w:vAlign w:val="bottom"/>
          </w:tcPr>
          <w:p>
            <w:pPr>
              <w:spacing w:after="0"/>
              <w:rPr>
                <w:sz w:val="19"/>
                <w:szCs w:val="19"/>
                <w:color w:val="auto"/>
              </w:rPr>
            </w:pPr>
          </w:p>
        </w:tc>
        <w:tc>
          <w:tcPr>
            <w:tcW w:w="2240" w:type="dxa"/>
            <w:vAlign w:val="bottom"/>
            <w:shd w:val="clear" w:color="auto" w:fill="CCE0F1"/>
          </w:tcPr>
          <w:p>
            <w:pPr>
              <w:spacing w:after="0"/>
              <w:rPr>
                <w:sz w:val="19"/>
                <w:szCs w:val="19"/>
                <w:color w:val="auto"/>
              </w:rPr>
            </w:pPr>
          </w:p>
        </w:tc>
        <w:tc>
          <w:tcPr>
            <w:tcW w:w="1340" w:type="dxa"/>
            <w:vAlign w:val="bottom"/>
          </w:tcPr>
          <w:p>
            <w:pPr>
              <w:spacing w:after="0"/>
              <w:rPr>
                <w:sz w:val="19"/>
                <w:szCs w:val="19"/>
                <w:color w:val="auto"/>
              </w:rPr>
            </w:pPr>
          </w:p>
        </w:tc>
        <w:tc>
          <w:tcPr>
            <w:tcW w:w="3200" w:type="dxa"/>
            <w:vAlign w:val="bottom"/>
          </w:tcPr>
          <w:p>
            <w:pPr>
              <w:ind w:left="60"/>
              <w:spacing w:after="0"/>
              <w:rPr>
                <w:sz w:val="20"/>
                <w:szCs w:val="20"/>
                <w:color w:val="auto"/>
              </w:rPr>
            </w:pPr>
            <w:r>
              <w:rPr>
                <w:rFonts w:ascii="Arial" w:cs="Arial" w:eastAsia="Arial" w:hAnsi="Arial"/>
                <w:sz w:val="17"/>
                <w:szCs w:val="17"/>
                <w:color w:val="auto"/>
              </w:rPr>
              <w:t>posters, demos &amp; live workshops.</w:t>
            </w:r>
          </w:p>
        </w:tc>
      </w:tr>
      <w:tr>
        <w:trPr>
          <w:trHeight w:val="286"/>
        </w:trPr>
        <w:tc>
          <w:tcPr>
            <w:tcW w:w="380" w:type="dxa"/>
            <w:vAlign w:val="bottom"/>
          </w:tcPr>
          <w:p>
            <w:pPr>
              <w:spacing w:after="0"/>
              <w:rPr>
                <w:sz w:val="24"/>
                <w:szCs w:val="24"/>
                <w:color w:val="auto"/>
              </w:rPr>
            </w:pPr>
          </w:p>
        </w:tc>
        <w:tc>
          <w:tcPr>
            <w:tcW w:w="2240" w:type="dxa"/>
            <w:vAlign w:val="bottom"/>
            <w:shd w:val="clear" w:color="auto" w:fill="CCE0F1"/>
          </w:tcPr>
          <w:p>
            <w:pPr>
              <w:spacing w:after="0"/>
              <w:rPr>
                <w:sz w:val="24"/>
                <w:szCs w:val="24"/>
                <w:color w:val="auto"/>
              </w:rPr>
            </w:pPr>
          </w:p>
        </w:tc>
        <w:tc>
          <w:tcPr>
            <w:tcW w:w="134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 xml:space="preserve">Hundreds of employees take part in our </w:t>
      </w:r>
      <w:r>
        <w:rPr>
          <w:rFonts w:ascii="Arial" w:cs="Arial" w:eastAsia="Arial" w:hAnsi="Arial"/>
          <w:sz w:val="16"/>
          <w:szCs w:val="16"/>
          <w:b w:val="1"/>
          <w:bCs w:val="1"/>
          <w:color w:val="auto"/>
        </w:rPr>
        <w:t>ADI</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Technical University, </w:t>
      </w:r>
      <w:r>
        <w:rPr>
          <w:rFonts w:ascii="Arial" w:cs="Arial" w:eastAsia="Arial" w:hAnsi="Arial"/>
          <w:sz w:val="16"/>
          <w:szCs w:val="16"/>
          <w:color w:val="auto"/>
        </w:rPr>
        <w:t>which offers in-person</w:t>
      </w:r>
      <w:r>
        <w:rPr>
          <w:rFonts w:ascii="Arial" w:cs="Arial" w:eastAsia="Arial" w:hAnsi="Arial"/>
          <w:sz w:val="16"/>
          <w:szCs w:val="16"/>
          <w:b w:val="1"/>
          <w:bCs w:val="1"/>
          <w:color w:val="auto"/>
        </w:rPr>
        <w:t xml:space="preserve"> </w:t>
      </w:r>
      <w:r>
        <w:rPr>
          <w:rFonts w:ascii="Arial" w:cs="Arial" w:eastAsia="Arial" w:hAnsi="Arial"/>
          <w:sz w:val="16"/>
          <w:szCs w:val="16"/>
          <w:color w:val="auto"/>
        </w:rPr>
        <w:t>and on-demand classes &amp; workshops. It provides employees with the opportunity to broaden their engineering and functional expertise as well as learn through hands-on experiences.</w:t>
      </w:r>
    </w:p>
    <w:p>
      <w:pPr>
        <w:spacing w:after="0" w:line="51" w:lineRule="exact"/>
        <w:rPr>
          <w:sz w:val="20"/>
          <w:szCs w:val="20"/>
          <w:color w:val="auto"/>
        </w:rPr>
      </w:pPr>
    </w:p>
    <w:p>
      <w:pPr>
        <w:sectPr>
          <w:pgSz w:w="11900" w:h="16838" w:orient="portrait"/>
          <w:cols w:equalWidth="0" w:num="2">
            <w:col w:w="7620" w:space="140"/>
            <w:col w:w="3180"/>
          </w:cols>
          <w:pgMar w:left="320" w:top="447" w:right="639" w:bottom="1037" w:gutter="0" w:footer="0" w:header="0"/>
          <w:type w:val="continuous"/>
        </w:sectPr>
      </w:pPr>
    </w:p>
    <w:tbl>
      <w:tblPr>
        <w:tblLayout w:type="fixed"/>
        <w:tblInd w:w="460" w:type="dxa"/>
        <w:tblCellMar>
          <w:top w:w="0" w:type="dxa"/>
          <w:left w:w="0" w:type="dxa"/>
          <w:bottom w:w="0" w:type="dxa"/>
          <w:right w:w="0" w:type="dxa"/>
        </w:tblCellMar>
      </w:tblPr>
      <w:tr>
        <w:trPr>
          <w:trHeight w:val="262"/>
        </w:trPr>
        <w:tc>
          <w:tcPr>
            <w:tcW w:w="360" w:type="dxa"/>
            <w:vAlign w:val="bottom"/>
          </w:tcPr>
          <w:p>
            <w:pPr>
              <w:jc w:val="right"/>
              <w:spacing w:after="0" w:line="262" w:lineRule="exact"/>
              <w:rPr>
                <w:sz w:val="20"/>
                <w:szCs w:val="20"/>
                <w:color w:val="auto"/>
              </w:rPr>
            </w:pPr>
            <w:r>
              <w:rPr>
                <w:rFonts w:ascii="Arial" w:cs="Arial" w:eastAsia="Arial" w:hAnsi="Arial"/>
                <w:sz w:val="28"/>
                <w:szCs w:val="28"/>
                <w:b w:val="1"/>
                <w:bCs w:val="1"/>
                <w:color w:val="FFFFFF"/>
                <w:w w:val="94"/>
              </w:rPr>
              <w:t>2.</w:t>
            </w:r>
          </w:p>
        </w:tc>
        <w:tc>
          <w:tcPr>
            <w:tcW w:w="2120" w:type="dxa"/>
            <w:vAlign w:val="bottom"/>
          </w:tcPr>
          <w:p>
            <w:pPr>
              <w:ind w:left="140"/>
              <w:spacing w:after="0"/>
              <w:rPr>
                <w:sz w:val="20"/>
                <w:szCs w:val="20"/>
                <w:color w:val="auto"/>
              </w:rPr>
            </w:pPr>
            <w:r>
              <w:rPr>
                <w:rFonts w:ascii="Arial" w:cs="Arial" w:eastAsia="Arial" w:hAnsi="Arial"/>
                <w:sz w:val="17"/>
                <w:szCs w:val="17"/>
                <w:b w:val="1"/>
                <w:bCs w:val="1"/>
                <w:color w:val="auto"/>
              </w:rPr>
              <w:t>Promoting Experiential</w:t>
            </w:r>
          </w:p>
        </w:tc>
        <w:tc>
          <w:tcPr>
            <w:tcW w:w="1440" w:type="dxa"/>
            <w:vAlign w:val="bottom"/>
          </w:tcPr>
          <w:p>
            <w:pPr>
              <w:ind w:left="240"/>
              <w:spacing w:after="0"/>
              <w:rPr>
                <w:sz w:val="20"/>
                <w:szCs w:val="20"/>
                <w:color w:val="auto"/>
              </w:rPr>
            </w:pPr>
            <w:r>
              <w:rPr>
                <w:rFonts w:ascii="Arial" w:cs="Arial" w:eastAsia="Arial" w:hAnsi="Arial"/>
                <w:sz w:val="17"/>
                <w:szCs w:val="17"/>
                <w:i w:val="1"/>
                <w:iCs w:val="1"/>
                <w:color w:val="auto"/>
              </w:rPr>
              <w:t>Investing in our</w:t>
            </w:r>
          </w:p>
        </w:tc>
        <w:tc>
          <w:tcPr>
            <w:tcW w:w="3260" w:type="dxa"/>
            <w:vAlign w:val="bottom"/>
          </w:tcPr>
          <w:p>
            <w:pPr>
              <w:ind w:left="100"/>
              <w:spacing w:after="0"/>
              <w:rPr>
                <w:sz w:val="20"/>
                <w:szCs w:val="20"/>
                <w:color w:val="auto"/>
              </w:rPr>
            </w:pPr>
            <w:r>
              <w:rPr>
                <w:rFonts w:ascii="Arial" w:cs="Arial" w:eastAsia="Arial" w:hAnsi="Arial"/>
                <w:sz w:val="17"/>
                <w:szCs w:val="17"/>
                <w:b w:val="1"/>
                <w:bCs w:val="1"/>
                <w:color w:val="auto"/>
              </w:rPr>
              <w:t>GEEC, or Global Early Employee</w:t>
            </w:r>
          </w:p>
        </w:tc>
      </w:tr>
      <w:tr>
        <w:trPr>
          <w:trHeight w:val="194"/>
        </w:trPr>
        <w:tc>
          <w:tcPr>
            <w:tcW w:w="360" w:type="dxa"/>
            <w:vAlign w:val="bottom"/>
          </w:tcPr>
          <w:p>
            <w:pPr>
              <w:spacing w:after="0"/>
              <w:rPr>
                <w:sz w:val="16"/>
                <w:szCs w:val="16"/>
                <w:color w:val="auto"/>
              </w:rPr>
            </w:pPr>
          </w:p>
        </w:tc>
        <w:tc>
          <w:tcPr>
            <w:tcW w:w="2120" w:type="dxa"/>
            <w:vAlign w:val="bottom"/>
          </w:tcPr>
          <w:p>
            <w:pPr>
              <w:ind w:left="140"/>
              <w:spacing w:after="0" w:line="194" w:lineRule="exact"/>
              <w:rPr>
                <w:sz w:val="20"/>
                <w:szCs w:val="20"/>
                <w:color w:val="auto"/>
              </w:rPr>
            </w:pPr>
            <w:r>
              <w:rPr>
                <w:rFonts w:ascii="Arial" w:cs="Arial" w:eastAsia="Arial" w:hAnsi="Arial"/>
                <w:sz w:val="17"/>
                <w:szCs w:val="17"/>
                <w:b w:val="1"/>
                <w:bCs w:val="1"/>
                <w:color w:val="auto"/>
              </w:rPr>
              <w:t>Career Development</w:t>
            </w:r>
          </w:p>
        </w:tc>
        <w:tc>
          <w:tcPr>
            <w:tcW w:w="1440" w:type="dxa"/>
            <w:vAlign w:val="bottom"/>
          </w:tcPr>
          <w:p>
            <w:pPr>
              <w:ind w:left="240"/>
              <w:spacing w:after="0" w:line="194" w:lineRule="exact"/>
              <w:rPr>
                <w:sz w:val="20"/>
                <w:szCs w:val="20"/>
                <w:color w:val="auto"/>
              </w:rPr>
            </w:pPr>
            <w:r>
              <w:rPr>
                <w:rFonts w:ascii="Arial" w:cs="Arial" w:eastAsia="Arial" w:hAnsi="Arial"/>
                <w:sz w:val="17"/>
                <w:szCs w:val="17"/>
                <w:i w:val="1"/>
                <w:iCs w:val="1"/>
                <w:color w:val="auto"/>
              </w:rPr>
              <w:t>people with</w:t>
            </w:r>
          </w:p>
        </w:tc>
        <w:tc>
          <w:tcPr>
            <w:tcW w:w="3260" w:type="dxa"/>
            <w:vAlign w:val="bottom"/>
          </w:tcPr>
          <w:p>
            <w:pPr>
              <w:ind w:left="100"/>
              <w:spacing w:after="0" w:line="194" w:lineRule="exact"/>
              <w:rPr>
                <w:sz w:val="20"/>
                <w:szCs w:val="20"/>
                <w:color w:val="auto"/>
              </w:rPr>
            </w:pPr>
            <w:r>
              <w:rPr>
                <w:rFonts w:ascii="Arial" w:cs="Arial" w:eastAsia="Arial" w:hAnsi="Arial"/>
                <w:sz w:val="17"/>
                <w:szCs w:val="17"/>
                <w:b w:val="1"/>
                <w:bCs w:val="1"/>
                <w:color w:val="auto"/>
                <w:w w:val="97"/>
              </w:rPr>
              <w:t xml:space="preserve">Challenge, </w:t>
            </w:r>
            <w:r>
              <w:rPr>
                <w:rFonts w:ascii="Arial" w:cs="Arial" w:eastAsia="Arial" w:hAnsi="Arial"/>
                <w:sz w:val="17"/>
                <w:szCs w:val="17"/>
                <w:color w:val="auto"/>
                <w:w w:val="97"/>
              </w:rPr>
              <w:t>is a company-wide competition</w:t>
            </w:r>
          </w:p>
        </w:tc>
      </w:tr>
      <w:tr>
        <w:trPr>
          <w:trHeight w:val="208"/>
        </w:trPr>
        <w:tc>
          <w:tcPr>
            <w:tcW w:w="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40" w:type="dxa"/>
            <w:vAlign w:val="bottom"/>
          </w:tcPr>
          <w:p>
            <w:pPr>
              <w:ind w:left="240"/>
              <w:spacing w:after="0"/>
              <w:rPr>
                <w:sz w:val="20"/>
                <w:szCs w:val="20"/>
                <w:color w:val="auto"/>
              </w:rPr>
            </w:pPr>
            <w:r>
              <w:rPr>
                <w:rFonts w:ascii="Arial" w:cs="Arial" w:eastAsia="Arial" w:hAnsi="Arial"/>
                <w:sz w:val="17"/>
                <w:szCs w:val="17"/>
                <w:i w:val="1"/>
                <w:iCs w:val="1"/>
                <w:color w:val="auto"/>
              </w:rPr>
              <w:t>hands-on</w:t>
            </w:r>
          </w:p>
        </w:tc>
        <w:tc>
          <w:tcPr>
            <w:tcW w:w="3260" w:type="dxa"/>
            <w:vAlign w:val="bottom"/>
          </w:tcPr>
          <w:p>
            <w:pPr>
              <w:ind w:left="100"/>
              <w:spacing w:after="0"/>
              <w:rPr>
                <w:sz w:val="20"/>
                <w:szCs w:val="20"/>
                <w:color w:val="auto"/>
              </w:rPr>
            </w:pPr>
            <w:r>
              <w:rPr>
                <w:rFonts w:ascii="Arial" w:cs="Arial" w:eastAsia="Arial" w:hAnsi="Arial"/>
                <w:sz w:val="17"/>
                <w:szCs w:val="17"/>
                <w:color w:val="auto"/>
                <w:w w:val="91"/>
              </w:rPr>
              <w:t>that develops the business skills of those with</w:t>
            </w:r>
          </w:p>
        </w:tc>
      </w:tr>
      <w:tr>
        <w:trPr>
          <w:trHeight w:val="208"/>
        </w:trPr>
        <w:tc>
          <w:tcPr>
            <w:tcW w:w="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40" w:type="dxa"/>
            <w:vAlign w:val="bottom"/>
          </w:tcPr>
          <w:p>
            <w:pPr>
              <w:ind w:left="240"/>
              <w:spacing w:after="0"/>
              <w:rPr>
                <w:sz w:val="20"/>
                <w:szCs w:val="20"/>
                <w:color w:val="auto"/>
              </w:rPr>
            </w:pPr>
            <w:r>
              <w:rPr>
                <w:rFonts w:ascii="Arial" w:cs="Arial" w:eastAsia="Arial" w:hAnsi="Arial"/>
                <w:sz w:val="17"/>
                <w:szCs w:val="17"/>
                <w:i w:val="1"/>
                <w:iCs w:val="1"/>
                <w:color w:val="auto"/>
              </w:rPr>
              <w:t>experiences</w:t>
            </w:r>
          </w:p>
        </w:tc>
        <w:tc>
          <w:tcPr>
            <w:tcW w:w="3260" w:type="dxa"/>
            <w:vAlign w:val="bottom"/>
          </w:tcPr>
          <w:p>
            <w:pPr>
              <w:ind w:left="100"/>
              <w:spacing w:after="0"/>
              <w:rPr>
                <w:sz w:val="20"/>
                <w:szCs w:val="20"/>
                <w:color w:val="auto"/>
              </w:rPr>
            </w:pPr>
            <w:r>
              <w:rPr>
                <w:rFonts w:ascii="Arial" w:cs="Arial" w:eastAsia="Arial" w:hAnsi="Arial"/>
                <w:sz w:val="17"/>
                <w:szCs w:val="17"/>
                <w:color w:val="auto"/>
              </w:rPr>
              <w:t>five or fewer years of experience. We had</w:t>
            </w:r>
          </w:p>
        </w:tc>
      </w:tr>
      <w:tr>
        <w:trPr>
          <w:trHeight w:val="208"/>
        </w:trPr>
        <w:tc>
          <w:tcPr>
            <w:tcW w:w="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60" w:type="dxa"/>
            <w:vAlign w:val="bottom"/>
          </w:tcPr>
          <w:p>
            <w:pPr>
              <w:ind w:left="100"/>
              <w:spacing w:after="0"/>
              <w:rPr>
                <w:sz w:val="20"/>
                <w:szCs w:val="20"/>
                <w:color w:val="auto"/>
              </w:rPr>
            </w:pPr>
            <w:r>
              <w:rPr>
                <w:rFonts w:ascii="Arial" w:cs="Arial" w:eastAsia="Arial" w:hAnsi="Arial"/>
                <w:sz w:val="17"/>
                <w:szCs w:val="17"/>
                <w:color w:val="auto"/>
              </w:rPr>
              <w:t>400+ early career participants across 60</w:t>
            </w:r>
          </w:p>
        </w:tc>
      </w:tr>
      <w:tr>
        <w:trPr>
          <w:trHeight w:val="221"/>
        </w:trPr>
        <w:tc>
          <w:tcPr>
            <w:tcW w:w="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Arial" w:cs="Arial" w:eastAsia="Arial" w:hAnsi="Arial"/>
                <w:sz w:val="17"/>
                <w:szCs w:val="17"/>
                <w:color w:val="auto"/>
              </w:rPr>
              <w:t>teams in fiscal 2020.</w:t>
            </w:r>
          </w:p>
        </w:tc>
      </w:tr>
    </w:tbl>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b w:val="1"/>
          <w:bCs w:val="1"/>
          <w:color w:val="auto"/>
        </w:rPr>
        <w:t xml:space="preserve">Analog Garage </w:t>
      </w:r>
      <w:r>
        <w:rPr>
          <w:rFonts w:ascii="Arial" w:cs="Arial" w:eastAsia="Arial" w:hAnsi="Arial"/>
          <w:sz w:val="16"/>
          <w:szCs w:val="16"/>
          <w:color w:val="auto"/>
        </w:rPr>
        <w:t>is our innovation incubation</w:t>
      </w:r>
      <w:r>
        <w:rPr>
          <w:rFonts w:ascii="Arial" w:cs="Arial" w:eastAsia="Arial" w:hAnsi="Arial"/>
          <w:sz w:val="16"/>
          <w:szCs w:val="16"/>
          <w:b w:val="1"/>
          <w:bCs w:val="1"/>
          <w:color w:val="auto"/>
        </w:rPr>
        <w:t xml:space="preserve"> </w:t>
      </w:r>
      <w:r>
        <w:rPr>
          <w:rFonts w:ascii="Arial" w:cs="Arial" w:eastAsia="Arial" w:hAnsi="Arial"/>
          <w:sz w:val="16"/>
          <w:szCs w:val="16"/>
          <w:color w:val="auto"/>
        </w:rPr>
        <w:t>laboratory, bringing together 80+ engineers, data scientists, and hardware &amp; software experts to create new technologies &amp; new solutions in a fast-moving, idea-driven startup atmosphere.</w:t>
      </w:r>
    </w:p>
    <w:p>
      <w:pPr>
        <w:spacing w:after="0" w:line="1" w:lineRule="exact"/>
        <w:rPr>
          <w:sz w:val="20"/>
          <w:szCs w:val="20"/>
          <w:color w:val="auto"/>
        </w:rPr>
      </w:pPr>
    </w:p>
    <w:p>
      <w:pPr>
        <w:sectPr>
          <w:pgSz w:w="11900" w:h="16838" w:orient="portrait"/>
          <w:cols w:equalWidth="0" w:num="2">
            <w:col w:w="7640" w:space="120"/>
            <w:col w:w="3180"/>
          </w:cols>
          <w:pgMar w:left="320" w:top="447" w:right="639" w:bottom="1037" w:gutter="0" w:footer="0" w:header="0"/>
          <w:type w:val="continuous"/>
        </w:sectPr>
      </w:pPr>
    </w:p>
    <w:tbl>
      <w:tblPr>
        <w:tblLayout w:type="fixed"/>
        <w:tblInd w:w="460" w:type="dxa"/>
        <w:tblCellMar>
          <w:top w:w="0" w:type="dxa"/>
          <w:left w:w="0" w:type="dxa"/>
          <w:bottom w:w="0" w:type="dxa"/>
          <w:right w:w="0" w:type="dxa"/>
        </w:tblCellMar>
      </w:tblPr>
      <w:tr>
        <w:trPr>
          <w:trHeight w:val="310"/>
        </w:trPr>
        <w:tc>
          <w:tcPr>
            <w:tcW w:w="360" w:type="dxa"/>
            <w:vAlign w:val="bottom"/>
          </w:tcPr>
          <w:p>
            <w:pPr>
              <w:jc w:val="right"/>
              <w:spacing w:after="0" w:line="310" w:lineRule="exact"/>
              <w:rPr>
                <w:sz w:val="20"/>
                <w:szCs w:val="20"/>
                <w:color w:val="auto"/>
              </w:rPr>
            </w:pPr>
            <w:r>
              <w:rPr>
                <w:rFonts w:ascii="Arial" w:cs="Arial" w:eastAsia="Arial" w:hAnsi="Arial"/>
                <w:sz w:val="28"/>
                <w:szCs w:val="28"/>
                <w:b w:val="1"/>
                <w:bCs w:val="1"/>
                <w:color w:val="FFFFFF"/>
                <w:w w:val="94"/>
              </w:rPr>
              <w:t>3.</w:t>
            </w:r>
          </w:p>
        </w:tc>
        <w:tc>
          <w:tcPr>
            <w:tcW w:w="2020" w:type="dxa"/>
            <w:vAlign w:val="bottom"/>
          </w:tcPr>
          <w:p>
            <w:pPr>
              <w:ind w:left="140"/>
              <w:spacing w:after="0"/>
              <w:rPr>
                <w:sz w:val="20"/>
                <w:szCs w:val="20"/>
                <w:color w:val="auto"/>
              </w:rPr>
            </w:pPr>
            <w:r>
              <w:rPr>
                <w:rFonts w:ascii="Arial" w:cs="Arial" w:eastAsia="Arial" w:hAnsi="Arial"/>
                <w:sz w:val="17"/>
                <w:szCs w:val="17"/>
                <w:b w:val="1"/>
                <w:bCs w:val="1"/>
                <w:color w:val="auto"/>
              </w:rPr>
              <w:t>Broadening Access</w:t>
            </w:r>
          </w:p>
        </w:tc>
        <w:tc>
          <w:tcPr>
            <w:tcW w:w="1520" w:type="dxa"/>
            <w:vAlign w:val="bottom"/>
          </w:tcPr>
          <w:p>
            <w:pPr>
              <w:ind w:left="340"/>
              <w:spacing w:after="0"/>
              <w:rPr>
                <w:sz w:val="20"/>
                <w:szCs w:val="20"/>
                <w:color w:val="auto"/>
              </w:rPr>
            </w:pPr>
            <w:r>
              <w:rPr>
                <w:rFonts w:ascii="Arial" w:cs="Arial" w:eastAsia="Arial" w:hAnsi="Arial"/>
                <w:sz w:val="17"/>
                <w:szCs w:val="17"/>
                <w:i w:val="1"/>
                <w:iCs w:val="1"/>
                <w:color w:val="auto"/>
              </w:rPr>
              <w:t>Developing</w:t>
            </w:r>
          </w:p>
        </w:tc>
        <w:tc>
          <w:tcPr>
            <w:tcW w:w="3240" w:type="dxa"/>
            <w:vAlign w:val="bottom"/>
          </w:tcPr>
          <w:p>
            <w:pPr>
              <w:ind w:left="120"/>
              <w:spacing w:after="0"/>
              <w:rPr>
                <w:sz w:val="20"/>
                <w:szCs w:val="20"/>
                <w:color w:val="auto"/>
              </w:rPr>
            </w:pPr>
            <w:r>
              <w:rPr>
                <w:rFonts w:ascii="Arial" w:cs="Arial" w:eastAsia="Arial" w:hAnsi="Arial"/>
                <w:sz w:val="17"/>
                <w:szCs w:val="17"/>
                <w:color w:val="auto"/>
              </w:rPr>
              <w:t xml:space="preserve">20 years ago, we created the </w:t>
            </w:r>
            <w:r>
              <w:rPr>
                <w:rFonts w:ascii="Arial" w:cs="Arial" w:eastAsia="Arial" w:hAnsi="Arial"/>
                <w:sz w:val="17"/>
                <w:szCs w:val="17"/>
                <w:b w:val="1"/>
                <w:bCs w:val="1"/>
                <w:color w:val="auto"/>
              </w:rPr>
              <w:t>Academe</w:t>
            </w:r>
          </w:p>
        </w:tc>
      </w:tr>
      <w:tr>
        <w:trPr>
          <w:trHeight w:val="194"/>
        </w:trPr>
        <w:tc>
          <w:tcPr>
            <w:tcW w:w="360" w:type="dxa"/>
            <w:vAlign w:val="bottom"/>
          </w:tcPr>
          <w:p>
            <w:pPr>
              <w:spacing w:after="0"/>
              <w:rPr>
                <w:sz w:val="16"/>
                <w:szCs w:val="16"/>
                <w:color w:val="auto"/>
              </w:rPr>
            </w:pPr>
          </w:p>
        </w:tc>
        <w:tc>
          <w:tcPr>
            <w:tcW w:w="2020" w:type="dxa"/>
            <w:vAlign w:val="bottom"/>
          </w:tcPr>
          <w:p>
            <w:pPr>
              <w:ind w:left="140"/>
              <w:spacing w:after="0" w:line="194" w:lineRule="exact"/>
              <w:rPr>
                <w:sz w:val="20"/>
                <w:szCs w:val="20"/>
                <w:color w:val="auto"/>
              </w:rPr>
            </w:pPr>
            <w:r>
              <w:rPr>
                <w:rFonts w:ascii="Arial" w:cs="Arial" w:eastAsia="Arial" w:hAnsi="Arial"/>
                <w:sz w:val="17"/>
                <w:szCs w:val="17"/>
                <w:b w:val="1"/>
                <w:bCs w:val="1"/>
                <w:color w:val="auto"/>
              </w:rPr>
              <w:t>to Digital Economies</w:t>
            </w:r>
          </w:p>
        </w:tc>
        <w:tc>
          <w:tcPr>
            <w:tcW w:w="1520" w:type="dxa"/>
            <w:vAlign w:val="bottom"/>
          </w:tcPr>
          <w:p>
            <w:pPr>
              <w:ind w:left="340"/>
              <w:spacing w:after="0" w:line="194" w:lineRule="exact"/>
              <w:rPr>
                <w:sz w:val="20"/>
                <w:szCs w:val="20"/>
                <w:color w:val="auto"/>
              </w:rPr>
            </w:pPr>
            <w:r>
              <w:rPr>
                <w:rFonts w:ascii="Arial" w:cs="Arial" w:eastAsia="Arial" w:hAnsi="Arial"/>
                <w:sz w:val="17"/>
                <w:szCs w:val="17"/>
                <w:i w:val="1"/>
                <w:iCs w:val="1"/>
                <w:color w:val="auto"/>
              </w:rPr>
              <w:t>leaders who</w:t>
            </w:r>
          </w:p>
        </w:tc>
        <w:tc>
          <w:tcPr>
            <w:tcW w:w="3240" w:type="dxa"/>
            <w:vAlign w:val="bottom"/>
          </w:tcPr>
          <w:p>
            <w:pPr>
              <w:ind w:left="120"/>
              <w:spacing w:after="0" w:line="194" w:lineRule="exact"/>
              <w:rPr>
                <w:sz w:val="20"/>
                <w:szCs w:val="20"/>
                <w:color w:val="auto"/>
              </w:rPr>
            </w:pPr>
            <w:r>
              <w:rPr>
                <w:rFonts w:ascii="Arial" w:cs="Arial" w:eastAsia="Arial" w:hAnsi="Arial"/>
                <w:sz w:val="17"/>
                <w:szCs w:val="17"/>
                <w:b w:val="1"/>
                <w:bCs w:val="1"/>
                <w:color w:val="auto"/>
                <w:w w:val="92"/>
              </w:rPr>
              <w:t xml:space="preserve">Linkage </w:t>
            </w:r>
            <w:r>
              <w:rPr>
                <w:rFonts w:ascii="Arial" w:cs="Arial" w:eastAsia="Arial" w:hAnsi="Arial"/>
                <w:sz w:val="17"/>
                <w:szCs w:val="17"/>
                <w:color w:val="auto"/>
                <w:w w:val="92"/>
              </w:rPr>
              <w:t>program in the</w:t>
            </w:r>
            <w:r>
              <w:rPr>
                <w:rFonts w:ascii="Arial" w:cs="Arial" w:eastAsia="Arial" w:hAnsi="Arial"/>
                <w:sz w:val="17"/>
                <w:szCs w:val="17"/>
                <w:b w:val="1"/>
                <w:bCs w:val="1"/>
                <w:color w:val="auto"/>
                <w:w w:val="92"/>
              </w:rPr>
              <w:t xml:space="preserve"> Philippines </w:t>
            </w:r>
            <w:r>
              <w:rPr>
                <w:rFonts w:ascii="Arial" w:cs="Arial" w:eastAsia="Arial" w:hAnsi="Arial"/>
                <w:sz w:val="17"/>
                <w:szCs w:val="17"/>
                <w:color w:val="auto"/>
                <w:w w:val="92"/>
              </w:rPr>
              <w:t>to forge</w:t>
            </w:r>
          </w:p>
        </w:tc>
      </w:tr>
      <w:tr>
        <w:trPr>
          <w:trHeight w:val="208"/>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520" w:type="dxa"/>
            <w:vAlign w:val="bottom"/>
          </w:tcPr>
          <w:p>
            <w:pPr>
              <w:ind w:left="340"/>
              <w:spacing w:after="0"/>
              <w:rPr>
                <w:sz w:val="20"/>
                <w:szCs w:val="20"/>
                <w:color w:val="auto"/>
              </w:rPr>
            </w:pPr>
            <w:r>
              <w:rPr>
                <w:rFonts w:ascii="Arial" w:cs="Arial" w:eastAsia="Arial" w:hAnsi="Arial"/>
                <w:sz w:val="17"/>
                <w:szCs w:val="17"/>
                <w:i w:val="1"/>
                <w:iCs w:val="1"/>
                <w:color w:val="auto"/>
              </w:rPr>
              <w:t>reflect our</w:t>
            </w:r>
          </w:p>
        </w:tc>
        <w:tc>
          <w:tcPr>
            <w:tcW w:w="3240" w:type="dxa"/>
            <w:vAlign w:val="bottom"/>
          </w:tcPr>
          <w:p>
            <w:pPr>
              <w:ind w:left="120"/>
              <w:spacing w:after="0"/>
              <w:rPr>
                <w:sz w:val="20"/>
                <w:szCs w:val="20"/>
                <w:color w:val="auto"/>
              </w:rPr>
            </w:pPr>
            <w:r>
              <w:rPr>
                <w:rFonts w:ascii="Arial" w:cs="Arial" w:eastAsia="Arial" w:hAnsi="Arial"/>
                <w:sz w:val="17"/>
                <w:szCs w:val="17"/>
                <w:color w:val="auto"/>
                <w:w w:val="99"/>
              </w:rPr>
              <w:t>long-term, collaborative relationships with</w:t>
            </w:r>
          </w:p>
        </w:tc>
      </w:tr>
      <w:tr>
        <w:trPr>
          <w:trHeight w:val="208"/>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520" w:type="dxa"/>
            <w:vAlign w:val="bottom"/>
          </w:tcPr>
          <w:p>
            <w:pPr>
              <w:ind w:left="340"/>
              <w:spacing w:after="0"/>
              <w:rPr>
                <w:sz w:val="20"/>
                <w:szCs w:val="20"/>
                <w:color w:val="auto"/>
              </w:rPr>
            </w:pPr>
            <w:r>
              <w:rPr>
                <w:rFonts w:ascii="Arial" w:cs="Arial" w:eastAsia="Arial" w:hAnsi="Arial"/>
                <w:sz w:val="17"/>
                <w:szCs w:val="17"/>
                <w:i w:val="1"/>
                <w:iCs w:val="1"/>
                <w:color w:val="auto"/>
                <w:w w:val="98"/>
              </w:rPr>
              <w:t>global business</w:t>
            </w:r>
          </w:p>
        </w:tc>
        <w:tc>
          <w:tcPr>
            <w:tcW w:w="3240" w:type="dxa"/>
            <w:vAlign w:val="bottom"/>
          </w:tcPr>
          <w:p>
            <w:pPr>
              <w:ind w:left="120"/>
              <w:spacing w:after="0"/>
              <w:rPr>
                <w:sz w:val="20"/>
                <w:szCs w:val="20"/>
                <w:color w:val="auto"/>
              </w:rPr>
            </w:pPr>
            <w:r>
              <w:rPr>
                <w:rFonts w:ascii="Arial" w:cs="Arial" w:eastAsia="Arial" w:hAnsi="Arial"/>
                <w:sz w:val="17"/>
                <w:szCs w:val="17"/>
                <w:color w:val="auto"/>
                <w:w w:val="95"/>
              </w:rPr>
              <w:t>local higher education institutions. This has</w:t>
            </w:r>
          </w:p>
        </w:tc>
      </w:tr>
      <w:tr>
        <w:trPr>
          <w:trHeight w:val="221"/>
        </w:trPr>
        <w:tc>
          <w:tcPr>
            <w:tcW w:w="3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40" w:type="dxa"/>
            <w:vAlign w:val="bottom"/>
          </w:tcPr>
          <w:p>
            <w:pPr>
              <w:ind w:left="120"/>
              <w:spacing w:after="0"/>
              <w:rPr>
                <w:sz w:val="20"/>
                <w:szCs w:val="20"/>
                <w:color w:val="auto"/>
              </w:rPr>
            </w:pPr>
            <w:r>
              <w:rPr>
                <w:rFonts w:ascii="Arial" w:cs="Arial" w:eastAsia="Arial" w:hAnsi="Arial"/>
                <w:sz w:val="17"/>
                <w:szCs w:val="17"/>
                <w:color w:val="auto"/>
              </w:rPr>
              <w:t>helped inspire many students to</w:t>
            </w:r>
          </w:p>
        </w:tc>
      </w:tr>
    </w:tbl>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pursue engineering degrees &amp; dramatically aided our recruiting efforts. Today, we have a team of 1,800+ engineers, including those who develop &amp; test algorithms.</w:t>
      </w:r>
    </w:p>
    <w:p>
      <w:pPr>
        <w:spacing w:after="0" w:line="191" w:lineRule="exact"/>
        <w:rPr>
          <w:sz w:val="20"/>
          <w:szCs w:val="20"/>
          <w:color w:val="auto"/>
        </w:rPr>
      </w:pPr>
    </w:p>
    <w:p>
      <w:pPr>
        <w:sectPr>
          <w:pgSz w:w="11900" w:h="16838" w:orient="portrait"/>
          <w:cols w:equalWidth="0" w:num="2">
            <w:col w:w="7600" w:space="160"/>
            <w:col w:w="3180"/>
          </w:cols>
          <w:pgMar w:left="320" w:top="447" w:right="639" w:bottom="1037" w:gutter="0" w:footer="0" w:header="0"/>
          <w:type w:val="continuous"/>
        </w:sectPr>
      </w:pPr>
    </w:p>
    <w:tbl>
      <w:tblPr>
        <w:tblLayout w:type="fixed"/>
        <w:tblInd w:w="460" w:type="dxa"/>
        <w:tblCellMar>
          <w:top w:w="0" w:type="dxa"/>
          <w:left w:w="0" w:type="dxa"/>
          <w:bottom w:w="0" w:type="dxa"/>
          <w:right w:w="0" w:type="dxa"/>
        </w:tblCellMar>
      </w:tblPr>
      <w:tr>
        <w:trPr>
          <w:trHeight w:val="322"/>
        </w:trPr>
        <w:tc>
          <w:tcPr>
            <w:tcW w:w="360" w:type="dxa"/>
            <w:vAlign w:val="bottom"/>
          </w:tcPr>
          <w:p>
            <w:pPr>
              <w:jc w:val="right"/>
              <w:spacing w:after="0"/>
              <w:rPr>
                <w:sz w:val="20"/>
                <w:szCs w:val="20"/>
                <w:color w:val="auto"/>
              </w:rPr>
            </w:pPr>
            <w:r>
              <w:rPr>
                <w:rFonts w:ascii="Arial" w:cs="Arial" w:eastAsia="Arial" w:hAnsi="Arial"/>
                <w:sz w:val="28"/>
                <w:szCs w:val="28"/>
                <w:b w:val="1"/>
                <w:bCs w:val="1"/>
                <w:color w:val="FFFFFF"/>
                <w:w w:val="94"/>
              </w:rPr>
              <w:t>4.</w:t>
            </w:r>
          </w:p>
        </w:tc>
        <w:tc>
          <w:tcPr>
            <w:tcW w:w="2040" w:type="dxa"/>
            <w:vAlign w:val="bottom"/>
          </w:tcPr>
          <w:p>
            <w:pPr>
              <w:ind w:left="140"/>
              <w:spacing w:after="0"/>
              <w:rPr>
                <w:sz w:val="20"/>
                <w:szCs w:val="20"/>
                <w:color w:val="auto"/>
              </w:rPr>
            </w:pPr>
            <w:r>
              <w:rPr>
                <w:rFonts w:ascii="Arial" w:cs="Arial" w:eastAsia="Arial" w:hAnsi="Arial"/>
                <w:sz w:val="17"/>
                <w:szCs w:val="17"/>
                <w:b w:val="1"/>
                <w:bCs w:val="1"/>
                <w:color w:val="auto"/>
              </w:rPr>
              <w:t>Prioritizing Diversity</w:t>
            </w:r>
          </w:p>
        </w:tc>
        <w:tc>
          <w:tcPr>
            <w:tcW w:w="1400" w:type="dxa"/>
            <w:vAlign w:val="bottom"/>
          </w:tcPr>
          <w:p>
            <w:pPr>
              <w:ind w:left="320"/>
              <w:spacing w:after="0"/>
              <w:rPr>
                <w:sz w:val="20"/>
                <w:szCs w:val="20"/>
                <w:color w:val="auto"/>
              </w:rPr>
            </w:pPr>
            <w:r>
              <w:rPr>
                <w:rFonts w:ascii="Arial" w:cs="Arial" w:eastAsia="Arial" w:hAnsi="Arial"/>
                <w:sz w:val="17"/>
                <w:szCs w:val="17"/>
                <w:i w:val="1"/>
                <w:iCs w:val="1"/>
                <w:color w:val="auto"/>
              </w:rPr>
              <w:t>Building a</w:t>
            </w:r>
          </w:p>
        </w:tc>
        <w:tc>
          <w:tcPr>
            <w:tcW w:w="3120" w:type="dxa"/>
            <w:vAlign w:val="bottom"/>
          </w:tcPr>
          <w:p>
            <w:pPr>
              <w:ind w:left="220"/>
              <w:spacing w:after="0"/>
              <w:rPr>
                <w:sz w:val="20"/>
                <w:szCs w:val="20"/>
                <w:color w:val="auto"/>
              </w:rPr>
            </w:pPr>
            <w:r>
              <w:rPr>
                <w:rFonts w:ascii="Arial" w:cs="Arial" w:eastAsia="Arial" w:hAnsi="Arial"/>
                <w:sz w:val="17"/>
                <w:szCs w:val="17"/>
                <w:color w:val="auto"/>
                <w:w w:val="91"/>
              </w:rPr>
              <w:t>We support women’s career development</w:t>
            </w:r>
          </w:p>
        </w:tc>
      </w:tr>
      <w:tr>
        <w:trPr>
          <w:trHeight w:val="188"/>
        </w:trPr>
        <w:tc>
          <w:tcPr>
            <w:tcW w:w="360" w:type="dxa"/>
            <w:vAlign w:val="bottom"/>
          </w:tcPr>
          <w:p>
            <w:pPr>
              <w:spacing w:after="0"/>
              <w:rPr>
                <w:sz w:val="16"/>
                <w:szCs w:val="16"/>
                <w:color w:val="auto"/>
              </w:rPr>
            </w:pPr>
          </w:p>
        </w:tc>
        <w:tc>
          <w:tcPr>
            <w:tcW w:w="2040" w:type="dxa"/>
            <w:vAlign w:val="bottom"/>
          </w:tcPr>
          <w:p>
            <w:pPr>
              <w:ind w:left="140"/>
              <w:spacing w:after="0" w:line="189" w:lineRule="exact"/>
              <w:rPr>
                <w:sz w:val="20"/>
                <w:szCs w:val="20"/>
                <w:color w:val="auto"/>
              </w:rPr>
            </w:pPr>
            <w:r>
              <w:rPr>
                <w:rFonts w:ascii="Arial" w:cs="Arial" w:eastAsia="Arial" w:hAnsi="Arial"/>
                <w:sz w:val="17"/>
                <w:szCs w:val="17"/>
                <w:b w:val="1"/>
                <w:bCs w:val="1"/>
                <w:color w:val="auto"/>
              </w:rPr>
              <w:t>&amp; Inclusion</w:t>
            </w:r>
          </w:p>
        </w:tc>
        <w:tc>
          <w:tcPr>
            <w:tcW w:w="1400" w:type="dxa"/>
            <w:vAlign w:val="bottom"/>
          </w:tcPr>
          <w:p>
            <w:pPr>
              <w:ind w:left="320"/>
              <w:spacing w:after="0" w:line="189" w:lineRule="exact"/>
              <w:rPr>
                <w:sz w:val="20"/>
                <w:szCs w:val="20"/>
                <w:color w:val="auto"/>
              </w:rPr>
            </w:pPr>
            <w:r>
              <w:rPr>
                <w:rFonts w:ascii="Arial" w:cs="Arial" w:eastAsia="Arial" w:hAnsi="Arial"/>
                <w:sz w:val="17"/>
                <w:szCs w:val="17"/>
                <w:i w:val="1"/>
                <w:iCs w:val="1"/>
                <w:color w:val="auto"/>
              </w:rPr>
              <w:t>culture of</w:t>
            </w:r>
          </w:p>
        </w:tc>
        <w:tc>
          <w:tcPr>
            <w:tcW w:w="3120" w:type="dxa"/>
            <w:vAlign w:val="bottom"/>
          </w:tcPr>
          <w:p>
            <w:pPr>
              <w:ind w:left="220"/>
              <w:spacing w:after="0" w:line="189" w:lineRule="exact"/>
              <w:rPr>
                <w:sz w:val="20"/>
                <w:szCs w:val="20"/>
                <w:color w:val="auto"/>
              </w:rPr>
            </w:pPr>
            <w:r>
              <w:rPr>
                <w:rFonts w:ascii="Arial" w:cs="Arial" w:eastAsia="Arial" w:hAnsi="Arial"/>
                <w:sz w:val="17"/>
                <w:szCs w:val="17"/>
                <w:color w:val="auto"/>
                <w:w w:val="92"/>
              </w:rPr>
              <w:t xml:space="preserve">through our </w:t>
            </w:r>
            <w:r>
              <w:rPr>
                <w:rFonts w:ascii="Arial" w:cs="Arial" w:eastAsia="Arial" w:hAnsi="Arial"/>
                <w:sz w:val="17"/>
                <w:szCs w:val="17"/>
                <w:b w:val="1"/>
                <w:bCs w:val="1"/>
                <w:color w:val="auto"/>
                <w:w w:val="92"/>
              </w:rPr>
              <w:t>Elevate program.</w:t>
            </w:r>
            <w:r>
              <w:rPr>
                <w:rFonts w:ascii="Arial" w:cs="Arial" w:eastAsia="Arial" w:hAnsi="Arial"/>
                <w:sz w:val="17"/>
                <w:szCs w:val="17"/>
                <w:color w:val="auto"/>
                <w:w w:val="92"/>
              </w:rPr>
              <w:t xml:space="preserve"> More than</w:t>
            </w:r>
          </w:p>
        </w:tc>
      </w:tr>
      <w:tr>
        <w:trPr>
          <w:trHeight w:val="208"/>
        </w:trPr>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0" w:type="dxa"/>
            <w:vAlign w:val="bottom"/>
          </w:tcPr>
          <w:p>
            <w:pPr>
              <w:ind w:left="320"/>
              <w:spacing w:after="0"/>
              <w:rPr>
                <w:sz w:val="20"/>
                <w:szCs w:val="20"/>
                <w:color w:val="auto"/>
              </w:rPr>
            </w:pPr>
            <w:r>
              <w:rPr>
                <w:rFonts w:ascii="Arial" w:cs="Arial" w:eastAsia="Arial" w:hAnsi="Arial"/>
                <w:sz w:val="17"/>
                <w:szCs w:val="17"/>
                <w:i w:val="1"/>
                <w:iCs w:val="1"/>
                <w:color w:val="auto"/>
              </w:rPr>
              <w:t>inclusion &amp;</w:t>
            </w:r>
          </w:p>
        </w:tc>
        <w:tc>
          <w:tcPr>
            <w:tcW w:w="3120" w:type="dxa"/>
            <w:vAlign w:val="bottom"/>
          </w:tcPr>
          <w:p>
            <w:pPr>
              <w:ind w:left="220"/>
              <w:spacing w:after="0"/>
              <w:rPr>
                <w:sz w:val="20"/>
                <w:szCs w:val="20"/>
                <w:color w:val="auto"/>
              </w:rPr>
            </w:pPr>
            <w:r>
              <w:rPr>
                <w:rFonts w:ascii="Arial" w:cs="Arial" w:eastAsia="Arial" w:hAnsi="Arial"/>
                <w:sz w:val="17"/>
                <w:szCs w:val="17"/>
                <w:b w:val="1"/>
                <w:bCs w:val="1"/>
                <w:color w:val="auto"/>
              </w:rPr>
              <w:t>50% of women in this accelerated</w:t>
            </w:r>
          </w:p>
        </w:tc>
      </w:tr>
      <w:tr>
        <w:trPr>
          <w:trHeight w:val="214"/>
        </w:trPr>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0" w:type="dxa"/>
            <w:vAlign w:val="bottom"/>
          </w:tcPr>
          <w:p>
            <w:pPr>
              <w:ind w:left="320"/>
              <w:spacing w:after="0"/>
              <w:rPr>
                <w:sz w:val="20"/>
                <w:szCs w:val="20"/>
                <w:color w:val="auto"/>
              </w:rPr>
            </w:pPr>
            <w:r>
              <w:rPr>
                <w:rFonts w:ascii="Arial" w:cs="Arial" w:eastAsia="Arial" w:hAnsi="Arial"/>
                <w:sz w:val="17"/>
                <w:szCs w:val="17"/>
                <w:i w:val="1"/>
                <w:iCs w:val="1"/>
                <w:color w:val="auto"/>
              </w:rPr>
              <w:t>embracing</w:t>
            </w:r>
          </w:p>
        </w:tc>
        <w:tc>
          <w:tcPr>
            <w:tcW w:w="3120" w:type="dxa"/>
            <w:vAlign w:val="bottom"/>
          </w:tcPr>
          <w:p>
            <w:pPr>
              <w:ind w:left="220"/>
              <w:spacing w:after="0"/>
              <w:rPr>
                <w:sz w:val="20"/>
                <w:szCs w:val="20"/>
                <w:color w:val="auto"/>
              </w:rPr>
            </w:pPr>
            <w:r>
              <w:rPr>
                <w:rFonts w:ascii="Arial" w:cs="Arial" w:eastAsia="Arial" w:hAnsi="Arial"/>
                <w:sz w:val="17"/>
                <w:szCs w:val="17"/>
                <w:b w:val="1"/>
                <w:bCs w:val="1"/>
                <w:color w:val="auto"/>
                <w:w w:val="93"/>
              </w:rPr>
              <w:t xml:space="preserve">development program </w:t>
            </w:r>
            <w:r>
              <w:rPr>
                <w:rFonts w:ascii="Arial" w:cs="Arial" w:eastAsia="Arial" w:hAnsi="Arial"/>
                <w:sz w:val="17"/>
                <w:szCs w:val="17"/>
                <w:color w:val="auto"/>
                <w:w w:val="93"/>
              </w:rPr>
              <w:t>have moved into</w:t>
            </w:r>
          </w:p>
        </w:tc>
      </w:tr>
      <w:tr>
        <w:trPr>
          <w:trHeight w:val="208"/>
        </w:trPr>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0" w:type="dxa"/>
            <w:vAlign w:val="bottom"/>
          </w:tcPr>
          <w:p>
            <w:pPr>
              <w:ind w:left="320"/>
              <w:spacing w:after="0"/>
              <w:rPr>
                <w:sz w:val="20"/>
                <w:szCs w:val="20"/>
                <w:color w:val="auto"/>
              </w:rPr>
            </w:pPr>
            <w:r>
              <w:rPr>
                <w:rFonts w:ascii="Arial" w:cs="Arial" w:eastAsia="Arial" w:hAnsi="Arial"/>
                <w:sz w:val="17"/>
                <w:szCs w:val="17"/>
                <w:i w:val="1"/>
                <w:iCs w:val="1"/>
                <w:color w:val="auto"/>
              </w:rPr>
              <w:t>different</w:t>
            </w:r>
          </w:p>
        </w:tc>
        <w:tc>
          <w:tcPr>
            <w:tcW w:w="3120" w:type="dxa"/>
            <w:vAlign w:val="bottom"/>
          </w:tcPr>
          <w:p>
            <w:pPr>
              <w:ind w:left="220"/>
              <w:spacing w:after="0"/>
              <w:rPr>
                <w:sz w:val="20"/>
                <w:szCs w:val="20"/>
                <w:color w:val="auto"/>
              </w:rPr>
            </w:pPr>
            <w:r>
              <w:rPr>
                <w:rFonts w:ascii="Arial" w:cs="Arial" w:eastAsia="Arial" w:hAnsi="Arial"/>
                <w:sz w:val="17"/>
                <w:szCs w:val="17"/>
                <w:color w:val="auto"/>
              </w:rPr>
              <w:t>higher profile career roles.</w:t>
            </w:r>
          </w:p>
        </w:tc>
      </w:tr>
      <w:tr>
        <w:trPr>
          <w:trHeight w:val="221"/>
        </w:trPr>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00" w:type="dxa"/>
            <w:vAlign w:val="bottom"/>
          </w:tcPr>
          <w:p>
            <w:pPr>
              <w:ind w:left="320"/>
              <w:spacing w:after="0"/>
              <w:rPr>
                <w:sz w:val="20"/>
                <w:szCs w:val="20"/>
                <w:color w:val="auto"/>
              </w:rPr>
            </w:pPr>
            <w:r>
              <w:rPr>
                <w:rFonts w:ascii="Arial" w:cs="Arial" w:eastAsia="Arial" w:hAnsi="Arial"/>
                <w:sz w:val="17"/>
                <w:szCs w:val="17"/>
                <w:i w:val="1"/>
                <w:iCs w:val="1"/>
                <w:color w:val="auto"/>
              </w:rPr>
              <w:t>perspectives</w:t>
            </w:r>
          </w:p>
        </w:tc>
        <w:tc>
          <w:tcPr>
            <w:tcW w:w="3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49530</wp:posOffset>
            </wp:positionV>
            <wp:extent cx="641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0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 xml:space="preserve">We have a variety of </w:t>
      </w:r>
      <w:r>
        <w:rPr>
          <w:rFonts w:ascii="Arial" w:cs="Arial" w:eastAsia="Arial" w:hAnsi="Arial"/>
          <w:sz w:val="16"/>
          <w:szCs w:val="16"/>
          <w:b w:val="1"/>
          <w:bCs w:val="1"/>
          <w:color w:val="auto"/>
        </w:rPr>
        <w:t>Employee Networks</w:t>
      </w:r>
      <w:r>
        <w:rPr>
          <w:rFonts w:ascii="Arial" w:cs="Arial" w:eastAsia="Arial" w:hAnsi="Arial"/>
          <w:sz w:val="16"/>
          <w:szCs w:val="16"/>
          <w:color w:val="auto"/>
        </w:rPr>
        <w:t xml:space="preserve"> that help create a sense of inclusion. We added two new networks this year, including The Green Team to support ESG, for a total of six across ADI.</w:t>
      </w:r>
    </w:p>
    <w:p>
      <w:pPr>
        <w:spacing w:after="0" w:line="374" w:lineRule="exact"/>
        <w:rPr>
          <w:sz w:val="20"/>
          <w:szCs w:val="20"/>
          <w:color w:val="auto"/>
        </w:rPr>
      </w:pPr>
    </w:p>
    <w:p>
      <w:pPr>
        <w:sectPr>
          <w:pgSz w:w="11900" w:h="16838" w:orient="portrait"/>
          <w:cols w:equalWidth="0" w:num="2">
            <w:col w:w="7380" w:space="380"/>
            <w:col w:w="3180"/>
          </w:cols>
          <w:pgMar w:left="320" w:top="447" w:right="639" w:bottom="1037" w:gutter="0" w:footer="0" w:header="0"/>
          <w:type w:val="continuous"/>
        </w:sectPr>
      </w:pPr>
    </w:p>
    <w:p>
      <w:pPr>
        <w:spacing w:after="0" w:line="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A-4</w:t>
      </w:r>
    </w:p>
    <w:p>
      <w:pPr>
        <w:sectPr>
          <w:pgSz w:w="11900" w:h="16838" w:orient="portrait"/>
          <w:cols w:equalWidth="0" w:num="1">
            <w:col w:w="10940"/>
          </w:cols>
          <w:pgMar w:left="320" w:top="447" w:right="639" w:bottom="1037" w:gutter="0" w:footer="0" w:header="0"/>
          <w:type w:val="continuous"/>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0" w:right="240"/>
        <w:spacing w:after="0" w:line="270" w:lineRule="auto"/>
        <w:rPr>
          <w:sz w:val="20"/>
          <w:szCs w:val="20"/>
          <w:color w:val="auto"/>
        </w:rPr>
      </w:pPr>
      <w:r>
        <w:rPr>
          <w:rFonts w:ascii="Arial" w:cs="Arial" w:eastAsia="Arial" w:hAnsi="Arial"/>
          <w:sz w:val="17"/>
          <w:szCs w:val="17"/>
          <w:color w:val="auto"/>
        </w:rPr>
        <w:t>We know that amazing talent drives our success as a company. That’s why we aim to be the destination for the world’s best analog engineering talent. We invest in career-long talent development and foster an inclusive workplace where all voices and diverse backgrounds can contribute, thrive and produce better outcomes for our employees 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117475</wp:posOffset>
            </wp:positionV>
            <wp:extent cx="1304925" cy="793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4925" cy="793115"/>
                    </a:xfrm>
                    <a:prstGeom prst="rect">
                      <a:avLst/>
                    </a:prstGeom>
                    <a:noFill/>
                  </pic:spPr>
                </pic:pic>
              </a:graphicData>
            </a:graphic>
          </wp:anchor>
        </w:drawing>
      </w:r>
    </w:p>
    <w:p>
      <w:pPr>
        <w:spacing w:after="0" w:line="165" w:lineRule="exact"/>
        <w:rPr>
          <w:sz w:val="20"/>
          <w:szCs w:val="20"/>
          <w:color w:val="auto"/>
        </w:rPr>
      </w:pPr>
    </w:p>
    <w:tbl>
      <w:tblPr>
        <w:tblLayout w:type="fixed"/>
        <w:tblInd w:w="320" w:type="dxa"/>
        <w:tblCellMar>
          <w:top w:w="0" w:type="dxa"/>
          <w:left w:w="0" w:type="dxa"/>
          <w:bottom w:w="0" w:type="dxa"/>
          <w:right w:w="0" w:type="dxa"/>
        </w:tblCellMar>
      </w:tblPr>
      <w:tr>
        <w:trPr>
          <w:trHeight w:val="706"/>
        </w:trPr>
        <w:tc>
          <w:tcPr>
            <w:tcW w:w="5100" w:type="dxa"/>
            <w:vAlign w:val="bottom"/>
            <w:shd w:val="clear" w:color="auto" w:fill="CCE0F1"/>
          </w:tcPr>
          <w:p>
            <w:pPr>
              <w:ind w:left="2560"/>
              <w:spacing w:after="0"/>
              <w:rPr>
                <w:sz w:val="20"/>
                <w:szCs w:val="20"/>
                <w:color w:val="auto"/>
              </w:rPr>
            </w:pPr>
            <w:r>
              <w:rPr>
                <w:rFonts w:ascii="Arial" w:cs="Arial" w:eastAsia="Arial" w:hAnsi="Arial"/>
                <w:sz w:val="33"/>
                <w:szCs w:val="33"/>
                <w:b w:val="1"/>
                <w:bCs w:val="1"/>
                <w:color w:val="0066BA"/>
              </w:rPr>
              <w:t>~7,600</w:t>
            </w:r>
          </w:p>
        </w:tc>
        <w:tc>
          <w:tcPr>
            <w:tcW w:w="300" w:type="dxa"/>
            <w:vAlign w:val="bottom"/>
          </w:tcPr>
          <w:p>
            <w:pPr>
              <w:spacing w:after="0"/>
              <w:rPr>
                <w:sz w:val="24"/>
                <w:szCs w:val="24"/>
                <w:color w:val="auto"/>
              </w:rPr>
            </w:pPr>
          </w:p>
        </w:tc>
        <w:tc>
          <w:tcPr>
            <w:tcW w:w="5220" w:type="dxa"/>
            <w:vAlign w:val="bottom"/>
            <w:shd w:val="clear" w:color="auto" w:fill="CCE0F1"/>
          </w:tcPr>
          <w:p>
            <w:pPr>
              <w:ind w:left="2500"/>
              <w:spacing w:after="0"/>
              <w:rPr>
                <w:sz w:val="20"/>
                <w:szCs w:val="20"/>
                <w:color w:val="auto"/>
              </w:rPr>
            </w:pPr>
            <w:r>
              <w:rPr>
                <w:rFonts w:ascii="Arial" w:cs="Arial" w:eastAsia="Arial" w:hAnsi="Arial"/>
                <w:sz w:val="33"/>
                <w:szCs w:val="33"/>
                <w:b w:val="1"/>
                <w:bCs w:val="1"/>
                <w:color w:val="0066BA"/>
              </w:rPr>
              <w:t>~3,600</w:t>
            </w:r>
          </w:p>
        </w:tc>
      </w:tr>
      <w:tr>
        <w:trPr>
          <w:trHeight w:val="231"/>
        </w:trPr>
        <w:tc>
          <w:tcPr>
            <w:tcW w:w="5100" w:type="dxa"/>
            <w:vAlign w:val="bottom"/>
            <w:shd w:val="clear" w:color="auto" w:fill="CCE0F1"/>
          </w:tcPr>
          <w:p>
            <w:pPr>
              <w:ind w:left="2560"/>
              <w:spacing w:after="0"/>
              <w:rPr>
                <w:sz w:val="20"/>
                <w:szCs w:val="20"/>
                <w:color w:val="auto"/>
              </w:rPr>
            </w:pPr>
            <w:r>
              <w:rPr>
                <w:rFonts w:ascii="Arial" w:cs="Arial" w:eastAsia="Arial" w:hAnsi="Arial"/>
                <w:sz w:val="17"/>
                <w:szCs w:val="17"/>
                <w:b w:val="1"/>
                <w:bCs w:val="1"/>
                <w:color w:val="auto"/>
              </w:rPr>
              <w:t>Engineers Worldwide</w:t>
            </w:r>
          </w:p>
        </w:tc>
        <w:tc>
          <w:tcPr>
            <w:tcW w:w="300" w:type="dxa"/>
            <w:vAlign w:val="bottom"/>
          </w:tcPr>
          <w:p>
            <w:pPr>
              <w:spacing w:after="0"/>
              <w:rPr>
                <w:sz w:val="20"/>
                <w:szCs w:val="20"/>
                <w:color w:val="auto"/>
              </w:rPr>
            </w:pPr>
          </w:p>
        </w:tc>
        <w:tc>
          <w:tcPr>
            <w:tcW w:w="5220" w:type="dxa"/>
            <w:vAlign w:val="bottom"/>
            <w:shd w:val="clear" w:color="auto" w:fill="CCE0F1"/>
          </w:tcPr>
          <w:p>
            <w:pPr>
              <w:ind w:left="2500"/>
              <w:spacing w:after="0"/>
              <w:rPr>
                <w:sz w:val="20"/>
                <w:szCs w:val="20"/>
                <w:color w:val="auto"/>
              </w:rPr>
            </w:pPr>
            <w:r>
              <w:rPr>
                <w:rFonts w:ascii="Arial" w:cs="Arial" w:eastAsia="Arial" w:hAnsi="Arial"/>
                <w:sz w:val="17"/>
                <w:szCs w:val="17"/>
                <w:b w:val="1"/>
                <w:bCs w:val="1"/>
                <w:color w:val="auto"/>
              </w:rPr>
              <w:t>Global Patents</w:t>
            </w:r>
          </w:p>
        </w:tc>
      </w:tr>
      <w:tr>
        <w:trPr>
          <w:trHeight w:val="312"/>
        </w:trPr>
        <w:tc>
          <w:tcPr>
            <w:tcW w:w="5100" w:type="dxa"/>
            <w:vAlign w:val="bottom"/>
            <w:shd w:val="clear" w:color="auto" w:fill="CCE0F1"/>
          </w:tcPr>
          <w:p>
            <w:pPr>
              <w:spacing w:after="0"/>
              <w:rPr>
                <w:sz w:val="24"/>
                <w:szCs w:val="24"/>
                <w:color w:val="auto"/>
              </w:rPr>
            </w:pPr>
          </w:p>
        </w:tc>
        <w:tc>
          <w:tcPr>
            <w:tcW w:w="300" w:type="dxa"/>
            <w:vAlign w:val="bottom"/>
          </w:tcPr>
          <w:p>
            <w:pPr>
              <w:spacing w:after="0"/>
              <w:rPr>
                <w:sz w:val="24"/>
                <w:szCs w:val="24"/>
                <w:color w:val="auto"/>
              </w:rPr>
            </w:pPr>
          </w:p>
        </w:tc>
        <w:tc>
          <w:tcPr>
            <w:tcW w:w="5220" w:type="dxa"/>
            <w:vAlign w:val="bottom"/>
            <w:shd w:val="clear" w:color="auto" w:fill="CCE0F1"/>
          </w:tcPr>
          <w:p>
            <w:pPr>
              <w:spacing w:after="0"/>
              <w:rPr>
                <w:sz w:val="24"/>
                <w:szCs w:val="24"/>
                <w:color w:val="auto"/>
              </w:rPr>
            </w:pPr>
          </w:p>
        </w:tc>
      </w:tr>
      <w:tr>
        <w:trPr>
          <w:trHeight w:val="208"/>
        </w:trPr>
        <w:tc>
          <w:tcPr>
            <w:tcW w:w="5100" w:type="dxa"/>
            <w:vAlign w:val="bottom"/>
          </w:tcPr>
          <w:p>
            <w:pPr>
              <w:spacing w:after="0"/>
              <w:rPr>
                <w:sz w:val="18"/>
                <w:szCs w:val="18"/>
                <w:color w:val="auto"/>
              </w:rPr>
            </w:pPr>
          </w:p>
        </w:tc>
        <w:tc>
          <w:tcPr>
            <w:tcW w:w="5520" w:type="dxa"/>
            <w:vAlign w:val="bottom"/>
            <w:gridSpan w:val="2"/>
          </w:tcPr>
          <w:p>
            <w:pPr>
              <w:spacing w:after="0"/>
              <w:rPr>
                <w:sz w:val="18"/>
                <w:szCs w:val="18"/>
                <w:color w:val="auto"/>
              </w:rPr>
            </w:pPr>
          </w:p>
        </w:tc>
      </w:tr>
      <w:tr>
        <w:trPr>
          <w:trHeight w:val="602"/>
        </w:trPr>
        <w:tc>
          <w:tcPr>
            <w:tcW w:w="5100" w:type="dxa"/>
            <w:vAlign w:val="bottom"/>
            <w:shd w:val="clear" w:color="auto" w:fill="CCE0F1"/>
          </w:tcPr>
          <w:p>
            <w:pPr>
              <w:ind w:left="2560"/>
              <w:spacing w:after="0"/>
              <w:rPr>
                <w:sz w:val="20"/>
                <w:szCs w:val="20"/>
                <w:color w:val="auto"/>
              </w:rPr>
            </w:pPr>
            <w:r>
              <w:rPr>
                <w:rFonts w:ascii="Arial" w:cs="Arial" w:eastAsia="Arial" w:hAnsi="Arial"/>
                <w:sz w:val="33"/>
                <w:szCs w:val="33"/>
                <w:b w:val="1"/>
                <w:bCs w:val="1"/>
                <w:color w:val="0066BA"/>
              </w:rPr>
              <w:t>$1B+</w:t>
            </w:r>
          </w:p>
        </w:tc>
        <w:tc>
          <w:tcPr>
            <w:tcW w:w="300" w:type="dxa"/>
            <w:vAlign w:val="bottom"/>
          </w:tcPr>
          <w:p>
            <w:pPr>
              <w:spacing w:after="0"/>
              <w:rPr>
                <w:sz w:val="24"/>
                <w:szCs w:val="24"/>
                <w:color w:val="auto"/>
              </w:rPr>
            </w:pPr>
          </w:p>
        </w:tc>
        <w:tc>
          <w:tcPr>
            <w:tcW w:w="5220" w:type="dxa"/>
            <w:vAlign w:val="bottom"/>
            <w:shd w:val="clear" w:color="auto" w:fill="CCE0F1"/>
          </w:tcPr>
          <w:p>
            <w:pPr>
              <w:ind w:left="2500"/>
              <w:spacing w:after="0"/>
              <w:rPr>
                <w:sz w:val="20"/>
                <w:szCs w:val="20"/>
                <w:color w:val="auto"/>
              </w:rPr>
            </w:pPr>
            <w:r>
              <w:rPr>
                <w:rFonts w:ascii="Arial" w:cs="Arial" w:eastAsia="Arial" w:hAnsi="Arial"/>
                <w:sz w:val="33"/>
                <w:szCs w:val="33"/>
                <w:b w:val="1"/>
                <w:bCs w:val="1"/>
                <w:color w:val="0066BA"/>
              </w:rPr>
              <w:t>96%</w:t>
            </w:r>
          </w:p>
        </w:tc>
      </w:tr>
      <w:tr>
        <w:trPr>
          <w:trHeight w:val="195"/>
        </w:trPr>
        <w:tc>
          <w:tcPr>
            <w:tcW w:w="5100" w:type="dxa"/>
            <w:vAlign w:val="bottom"/>
            <w:shd w:val="clear" w:color="auto" w:fill="CCE0F1"/>
          </w:tcPr>
          <w:p>
            <w:pPr>
              <w:ind w:left="2560"/>
              <w:spacing w:after="0"/>
              <w:rPr>
                <w:sz w:val="20"/>
                <w:szCs w:val="20"/>
                <w:color w:val="auto"/>
              </w:rPr>
            </w:pPr>
            <w:r>
              <w:rPr>
                <w:rFonts w:ascii="Arial" w:cs="Arial" w:eastAsia="Arial" w:hAnsi="Arial"/>
                <w:sz w:val="17"/>
                <w:szCs w:val="17"/>
                <w:b w:val="1"/>
                <w:bCs w:val="1"/>
                <w:color w:val="auto"/>
              </w:rPr>
              <w:t>R&amp;D Investment</w:t>
            </w:r>
          </w:p>
        </w:tc>
        <w:tc>
          <w:tcPr>
            <w:tcW w:w="300" w:type="dxa"/>
            <w:vAlign w:val="bottom"/>
          </w:tcPr>
          <w:p>
            <w:pPr>
              <w:spacing w:after="0"/>
              <w:rPr>
                <w:sz w:val="16"/>
                <w:szCs w:val="16"/>
                <w:color w:val="auto"/>
              </w:rPr>
            </w:pPr>
          </w:p>
        </w:tc>
        <w:tc>
          <w:tcPr>
            <w:tcW w:w="5220" w:type="dxa"/>
            <w:vAlign w:val="bottom"/>
            <w:shd w:val="clear" w:color="auto" w:fill="CCE0F1"/>
          </w:tcPr>
          <w:p>
            <w:pPr>
              <w:ind w:left="2500"/>
              <w:spacing w:after="0"/>
              <w:rPr>
                <w:sz w:val="20"/>
                <w:szCs w:val="20"/>
                <w:color w:val="auto"/>
              </w:rPr>
            </w:pPr>
            <w:r>
              <w:rPr>
                <w:rFonts w:ascii="Arial" w:cs="Arial" w:eastAsia="Arial" w:hAnsi="Arial"/>
                <w:sz w:val="17"/>
                <w:szCs w:val="17"/>
                <w:b w:val="1"/>
                <w:bCs w:val="1"/>
                <w:color w:val="auto"/>
              </w:rPr>
              <w:t>Employee Retention</w:t>
            </w:r>
          </w:p>
        </w:tc>
      </w:tr>
      <w:tr>
        <w:trPr>
          <w:trHeight w:val="231"/>
        </w:trPr>
        <w:tc>
          <w:tcPr>
            <w:tcW w:w="5100" w:type="dxa"/>
            <w:vAlign w:val="bottom"/>
            <w:shd w:val="clear" w:color="auto" w:fill="CCE0F1"/>
          </w:tcPr>
          <w:p>
            <w:pPr>
              <w:ind w:left="2560"/>
              <w:spacing w:after="0"/>
              <w:rPr>
                <w:sz w:val="20"/>
                <w:szCs w:val="20"/>
                <w:color w:val="auto"/>
              </w:rPr>
            </w:pPr>
            <w:r>
              <w:rPr>
                <w:rFonts w:ascii="Arial" w:cs="Arial" w:eastAsia="Arial" w:hAnsi="Arial"/>
                <w:sz w:val="17"/>
                <w:szCs w:val="17"/>
                <w:b w:val="1"/>
                <w:bCs w:val="1"/>
                <w:color w:val="auto"/>
              </w:rPr>
              <w:t>in FY ’20</w:t>
            </w:r>
          </w:p>
        </w:tc>
        <w:tc>
          <w:tcPr>
            <w:tcW w:w="300" w:type="dxa"/>
            <w:vAlign w:val="bottom"/>
          </w:tcPr>
          <w:p>
            <w:pPr>
              <w:spacing w:after="0"/>
              <w:rPr>
                <w:sz w:val="20"/>
                <w:szCs w:val="20"/>
                <w:color w:val="auto"/>
              </w:rPr>
            </w:pPr>
          </w:p>
        </w:tc>
        <w:tc>
          <w:tcPr>
            <w:tcW w:w="5220" w:type="dxa"/>
            <w:vAlign w:val="bottom"/>
            <w:shd w:val="clear" w:color="auto" w:fill="CCE0F1"/>
          </w:tcPr>
          <w:p>
            <w:pPr>
              <w:ind w:left="2500"/>
              <w:spacing w:after="0"/>
              <w:rPr>
                <w:sz w:val="20"/>
                <w:szCs w:val="20"/>
                <w:color w:val="auto"/>
              </w:rPr>
            </w:pPr>
            <w:r>
              <w:rPr>
                <w:rFonts w:ascii="Arial" w:cs="Arial" w:eastAsia="Arial" w:hAnsi="Arial"/>
                <w:sz w:val="17"/>
                <w:szCs w:val="17"/>
                <w:b w:val="1"/>
                <w:bCs w:val="1"/>
                <w:color w:val="auto"/>
              </w:rPr>
              <w:t>in FY ’20</w:t>
            </w:r>
          </w:p>
        </w:tc>
      </w:tr>
      <w:tr>
        <w:trPr>
          <w:trHeight w:val="221"/>
        </w:trPr>
        <w:tc>
          <w:tcPr>
            <w:tcW w:w="5100" w:type="dxa"/>
            <w:vAlign w:val="bottom"/>
            <w:shd w:val="clear" w:color="auto" w:fill="CCE0F1"/>
          </w:tcPr>
          <w:p>
            <w:pPr>
              <w:spacing w:after="0"/>
              <w:rPr>
                <w:sz w:val="19"/>
                <w:szCs w:val="19"/>
                <w:color w:val="auto"/>
              </w:rPr>
            </w:pPr>
          </w:p>
        </w:tc>
        <w:tc>
          <w:tcPr>
            <w:tcW w:w="300" w:type="dxa"/>
            <w:vAlign w:val="bottom"/>
          </w:tcPr>
          <w:p>
            <w:pPr>
              <w:spacing w:after="0"/>
              <w:rPr>
                <w:sz w:val="19"/>
                <w:szCs w:val="19"/>
                <w:color w:val="auto"/>
              </w:rPr>
            </w:pPr>
          </w:p>
        </w:tc>
        <w:tc>
          <w:tcPr>
            <w:tcW w:w="5220" w:type="dxa"/>
            <w:vAlign w:val="bottom"/>
            <w:shd w:val="clear" w:color="auto" w:fill="CCE0F1"/>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-1709420</wp:posOffset>
            </wp:positionV>
            <wp:extent cx="4667250" cy="17100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67250" cy="17100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-1709420</wp:posOffset>
            </wp:positionV>
            <wp:extent cx="4667250" cy="17100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67250" cy="171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3384C7"/>
        </w:rPr>
        <w:t>SPOTLIGHT: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-109220</wp:posOffset>
            </wp:positionV>
            <wp:extent cx="5931535" cy="1238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31535" cy="123825"/>
                    </a:xfrm>
                    <a:prstGeom prst="rect">
                      <a:avLst/>
                    </a:prstGeom>
                    <a:noFill/>
                  </pic:spPr>
                </pic:pic>
              </a:graphicData>
            </a:graphic>
          </wp:anchor>
        </w:drawing>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Analog Devices Fellows</w:t>
      </w:r>
    </w:p>
    <w:p>
      <w:pPr>
        <w:spacing w:after="0" w:line="228" w:lineRule="exact"/>
        <w:rPr>
          <w:sz w:val="20"/>
          <w:szCs w:val="20"/>
          <w:color w:val="auto"/>
        </w:rPr>
      </w:pPr>
    </w:p>
    <w:p>
      <w:pPr>
        <w:ind w:left="320" w:right="500"/>
        <w:spacing w:after="0" w:line="270" w:lineRule="auto"/>
        <w:rPr>
          <w:sz w:val="20"/>
          <w:szCs w:val="20"/>
          <w:color w:val="auto"/>
        </w:rPr>
      </w:pPr>
      <w:r>
        <w:rPr>
          <w:rFonts w:ascii="Arial" w:cs="Arial" w:eastAsia="Arial" w:hAnsi="Arial"/>
          <w:sz w:val="17"/>
          <w:szCs w:val="17"/>
          <w:color w:val="auto"/>
        </w:rPr>
        <w:t>ADI Fellow is a distinguished technical position given to engineers who contribute significantly to the company’s success through exceptional innovation, leadership and an unparalleled ability to unite and mentor others. In addition to their business and innovation impact, Fellows serve as company ambassadors and are recognized as industry leaders in their fields of expertise.</w:t>
      </w:r>
    </w:p>
    <w:p>
      <w:pPr>
        <w:sectPr>
          <w:pgSz w:w="11900" w:h="16838" w:orient="portrait"/>
          <w:cols w:equalWidth="0" w:num="1">
            <w:col w:w="10940"/>
          </w:cols>
          <w:pgMar w:left="320" w:top="447" w:right="639" w:bottom="1440" w:gutter="0" w:footer="0" w:header="0"/>
        </w:sectPr>
      </w:pPr>
    </w:p>
    <w:p>
      <w:pPr>
        <w:spacing w:after="0" w:line="203" w:lineRule="exact"/>
        <w:rPr>
          <w:sz w:val="20"/>
          <w:szCs w:val="20"/>
          <w:color w:val="auto"/>
        </w:rPr>
      </w:pPr>
    </w:p>
    <w:p>
      <w:pPr>
        <w:ind w:left="320"/>
        <w:spacing w:after="0" w:line="246" w:lineRule="auto"/>
        <w:rPr>
          <w:sz w:val="20"/>
          <w:szCs w:val="20"/>
          <w:color w:val="auto"/>
        </w:rPr>
      </w:pPr>
      <w:r>
        <w:rPr>
          <w:rFonts w:ascii="Arial" w:cs="Arial" w:eastAsia="Arial" w:hAnsi="Arial"/>
          <w:sz w:val="28"/>
          <w:szCs w:val="28"/>
          <w:i w:val="1"/>
          <w:iCs w:val="1"/>
          <w:color w:val="0066BA"/>
        </w:rPr>
        <w:t>“ADI has changed a lot over the last five years, and now the opportunities for exploration and broadening your skillset are just enormous. It’s a very rewarding, dynamic environment and people who are good at self-direction are going to find that there is unlimited opportunity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146050</wp:posOffset>
            </wp:positionV>
            <wp:extent cx="586740" cy="586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6740" cy="58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40"/>
        <w:spacing w:after="0"/>
        <w:rPr>
          <w:sz w:val="20"/>
          <w:szCs w:val="20"/>
          <w:color w:val="auto"/>
        </w:rPr>
      </w:pPr>
      <w:r>
        <w:rPr>
          <w:rFonts w:ascii="Arial" w:cs="Arial" w:eastAsia="Arial" w:hAnsi="Arial"/>
          <w:sz w:val="17"/>
          <w:szCs w:val="17"/>
          <w:color w:val="0066BA"/>
        </w:rPr>
        <w:t>BOB ADAMS</w:t>
      </w:r>
    </w:p>
    <w:p>
      <w:pPr>
        <w:spacing w:after="0" w:line="25"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ADI Fellow</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20"/>
        <w:spacing w:after="0" w:line="246" w:lineRule="auto"/>
        <w:rPr>
          <w:sz w:val="20"/>
          <w:szCs w:val="20"/>
          <w:color w:val="auto"/>
        </w:rPr>
      </w:pPr>
      <w:r>
        <w:rPr>
          <w:rFonts w:ascii="Arial" w:cs="Arial" w:eastAsia="Arial" w:hAnsi="Arial"/>
          <w:sz w:val="28"/>
          <w:szCs w:val="28"/>
          <w:i w:val="1"/>
          <w:iCs w:val="1"/>
          <w:color w:val="0066BA"/>
        </w:rPr>
        <w:t>“New technologies find their way to market and the developers of the old way find new things to do. This culture of constant reinvention has a lot to do with ADI’s success over the last 50+ years. You can’t do one thing for that length of time in the world of technology and expect to be 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586740" cy="586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6740" cy="58674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300"/>
        <w:spacing w:after="0"/>
        <w:rPr>
          <w:sz w:val="20"/>
          <w:szCs w:val="20"/>
          <w:color w:val="auto"/>
        </w:rPr>
      </w:pPr>
      <w:r>
        <w:rPr>
          <w:rFonts w:ascii="Arial" w:cs="Arial" w:eastAsia="Arial" w:hAnsi="Arial"/>
          <w:sz w:val="17"/>
          <w:szCs w:val="17"/>
          <w:color w:val="0066BA"/>
        </w:rPr>
        <w:t>TONY MONTALVO</w:t>
      </w:r>
    </w:p>
    <w:p>
      <w:pPr>
        <w:spacing w:after="0" w:line="25" w:lineRule="exact"/>
        <w:rPr>
          <w:sz w:val="20"/>
          <w:szCs w:val="20"/>
          <w:color w:val="auto"/>
        </w:rPr>
      </w:pPr>
    </w:p>
    <w:p>
      <w:pPr>
        <w:ind w:left="1300" w:right="300"/>
        <w:spacing w:after="0" w:line="271" w:lineRule="auto"/>
        <w:rPr>
          <w:sz w:val="20"/>
          <w:szCs w:val="20"/>
          <w:color w:val="auto"/>
        </w:rPr>
      </w:pPr>
      <w:r>
        <w:rPr>
          <w:rFonts w:ascii="Arial" w:cs="Arial" w:eastAsia="Arial" w:hAnsi="Arial"/>
          <w:sz w:val="17"/>
          <w:szCs w:val="17"/>
          <w:color w:val="auto"/>
        </w:rPr>
        <w:t>ADI Fellow and VP of Technology for Automotive, Communications and Aerospace</w:t>
      </w:r>
    </w:p>
    <w:p>
      <w:pPr>
        <w:spacing w:after="0" w:line="200" w:lineRule="exact"/>
        <w:rPr>
          <w:sz w:val="20"/>
          <w:szCs w:val="20"/>
          <w:color w:val="auto"/>
        </w:rPr>
      </w:pPr>
    </w:p>
    <w:p>
      <w:pPr>
        <w:sectPr>
          <w:pgSz w:w="11900" w:h="16838" w:orient="portrait"/>
          <w:cols w:equalWidth="0" w:num="2">
            <w:col w:w="5240" w:space="500"/>
            <w:col w:w="5200"/>
          </w:cols>
          <w:pgMar w:left="320" w:top="447" w:right="639" w:bottom="1440" w:gutter="0" w:footer="0" w:header="0"/>
          <w:type w:val="continuous"/>
        </w:sectPr>
      </w:pPr>
    </w:p>
    <w:p>
      <w:pPr>
        <w:spacing w:after="0" w:line="76" w:lineRule="exact"/>
        <w:rPr>
          <w:sz w:val="20"/>
          <w:szCs w:val="20"/>
          <w:color w:val="auto"/>
        </w:rPr>
      </w:pPr>
    </w:p>
    <w:p>
      <w:pPr>
        <w:ind w:left="10680"/>
        <w:spacing w:after="0"/>
        <w:rPr>
          <w:sz w:val="20"/>
          <w:szCs w:val="20"/>
          <w:color w:val="auto"/>
        </w:rPr>
      </w:pPr>
      <w:r>
        <w:rPr>
          <w:rFonts w:ascii="Arial" w:cs="Arial" w:eastAsia="Arial" w:hAnsi="Arial"/>
          <w:sz w:val="16"/>
          <w:szCs w:val="16"/>
          <w:color w:val="auto"/>
        </w:rPr>
        <w:t>A-5</w:t>
      </w:r>
    </w:p>
    <w:p>
      <w:pPr>
        <w:sectPr>
          <w:pgSz w:w="11900" w:h="16838" w:orient="portrait"/>
          <w:cols w:equalWidth="0" w:num="1">
            <w:col w:w="10940"/>
          </w:cols>
          <w:pgMar w:left="320" w:top="447" w:right="639" w:bottom="1440" w:gutter="0" w:footer="0" w:header="0"/>
          <w:type w:val="continuous"/>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696595</wp:posOffset>
            </wp:positionV>
            <wp:extent cx="6740525" cy="4959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40525" cy="49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-122555</wp:posOffset>
            </wp:positionV>
            <wp:extent cx="1404620" cy="396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04620" cy="3962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color w:val="auto"/>
        </w:rPr>
        <w:t>One Analog Way</w:t>
      </w:r>
    </w:p>
    <w:p>
      <w:pPr>
        <w:jc w:val="right"/>
        <w:spacing w:after="0"/>
        <w:rPr>
          <w:sz w:val="20"/>
          <w:szCs w:val="20"/>
          <w:color w:val="auto"/>
        </w:rPr>
      </w:pPr>
      <w:r>
        <w:rPr>
          <w:rFonts w:ascii="Arial" w:cs="Arial" w:eastAsia="Arial" w:hAnsi="Arial"/>
          <w:sz w:val="17"/>
          <w:szCs w:val="17"/>
          <w:color w:val="auto"/>
        </w:rPr>
        <w:t>Wilmington, MA 01887</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55"/>
          <w:szCs w:val="55"/>
          <w:color w:val="auto"/>
        </w:rPr>
        <w:t>Notice of 2021</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55"/>
          <w:szCs w:val="55"/>
          <w:color w:val="auto"/>
        </w:rPr>
        <w:t>Annual Meeting of Shareholders</w:t>
      </w:r>
    </w:p>
    <w:p>
      <w:pPr>
        <w:spacing w:after="0" w:line="274" w:lineRule="exact"/>
        <w:rPr>
          <w:sz w:val="20"/>
          <w:szCs w:val="20"/>
          <w:color w:val="auto"/>
        </w:rPr>
      </w:pPr>
    </w:p>
    <w:p>
      <w:pPr>
        <w:ind w:left="320"/>
        <w:spacing w:after="0"/>
        <w:rPr>
          <w:sz w:val="20"/>
          <w:szCs w:val="20"/>
          <w:color w:val="auto"/>
        </w:rPr>
      </w:pPr>
      <w:r>
        <w:rPr>
          <w:rFonts w:ascii="Arial" w:cs="Arial" w:eastAsia="Arial" w:hAnsi="Arial"/>
          <w:sz w:val="28"/>
          <w:szCs w:val="28"/>
          <w:b w:val="1"/>
          <w:bCs w:val="1"/>
          <w:color w:val="0066BA"/>
        </w:rPr>
        <w:t>2021 Annual Meeting of Shareholders</w:t>
      </w:r>
    </w:p>
    <w:p>
      <w:pPr>
        <w:spacing w:after="0" w:line="200" w:lineRule="exact"/>
        <w:rPr>
          <w:sz w:val="20"/>
          <w:szCs w:val="20"/>
          <w:color w:val="auto"/>
        </w:rPr>
      </w:pPr>
    </w:p>
    <w:p>
      <w:pPr>
        <w:spacing w:after="0" w:line="303" w:lineRule="exact"/>
        <w:rPr>
          <w:sz w:val="20"/>
          <w:szCs w:val="20"/>
          <w:color w:val="auto"/>
        </w:rPr>
      </w:pPr>
    </w:p>
    <w:tbl>
      <w:tblPr>
        <w:tblLayout w:type="fixed"/>
        <w:tblInd w:w="320" w:type="dxa"/>
        <w:tblCellMar>
          <w:top w:w="0" w:type="dxa"/>
          <w:left w:w="0" w:type="dxa"/>
          <w:bottom w:w="0" w:type="dxa"/>
          <w:right w:w="0" w:type="dxa"/>
        </w:tblCellMar>
      </w:tblPr>
      <w:tr>
        <w:trPr>
          <w:trHeight w:val="209"/>
        </w:trPr>
        <w:tc>
          <w:tcPr>
            <w:tcW w:w="3020" w:type="dxa"/>
            <w:vAlign w:val="bottom"/>
            <w:tcBorders>
              <w:top w:val="single" w:sz="8" w:color="0066BA"/>
            </w:tcBorders>
          </w:tcPr>
          <w:p>
            <w:pPr>
              <w:ind w:left="60"/>
              <w:spacing w:after="0"/>
              <w:rPr>
                <w:sz w:val="20"/>
                <w:szCs w:val="20"/>
                <w:color w:val="auto"/>
              </w:rPr>
            </w:pPr>
            <w:r>
              <w:rPr>
                <w:rFonts w:ascii="Arial" w:cs="Arial" w:eastAsia="Arial" w:hAnsi="Arial"/>
                <w:sz w:val="17"/>
                <w:szCs w:val="17"/>
                <w:color w:val="0066BA"/>
              </w:rPr>
              <w:t>Date and Time:</w:t>
            </w:r>
          </w:p>
        </w:tc>
        <w:tc>
          <w:tcPr>
            <w:tcW w:w="4400" w:type="dxa"/>
            <w:vAlign w:val="bottom"/>
            <w:tcBorders>
              <w:top w:val="single" w:sz="8" w:color="0066BA"/>
            </w:tcBorders>
          </w:tcPr>
          <w:p>
            <w:pPr>
              <w:ind w:left="1000"/>
              <w:spacing w:after="0"/>
              <w:rPr>
                <w:sz w:val="20"/>
                <w:szCs w:val="20"/>
                <w:color w:val="auto"/>
              </w:rPr>
            </w:pPr>
            <w:r>
              <w:rPr>
                <w:rFonts w:ascii="Arial" w:cs="Arial" w:eastAsia="Arial" w:hAnsi="Arial"/>
                <w:sz w:val="17"/>
                <w:szCs w:val="17"/>
                <w:color w:val="0066BA"/>
              </w:rPr>
              <w:t>Place:</w:t>
            </w:r>
          </w:p>
        </w:tc>
        <w:tc>
          <w:tcPr>
            <w:tcW w:w="3200" w:type="dxa"/>
            <w:vAlign w:val="bottom"/>
            <w:tcBorders>
              <w:top w:val="single" w:sz="8" w:color="0066BA"/>
            </w:tcBorders>
          </w:tcPr>
          <w:p>
            <w:pPr>
              <w:ind w:left="140"/>
              <w:spacing w:after="0"/>
              <w:rPr>
                <w:sz w:val="20"/>
                <w:szCs w:val="20"/>
                <w:color w:val="auto"/>
              </w:rPr>
            </w:pPr>
            <w:r>
              <w:rPr>
                <w:rFonts w:ascii="Arial" w:cs="Arial" w:eastAsia="Arial" w:hAnsi="Arial"/>
                <w:sz w:val="17"/>
                <w:szCs w:val="17"/>
                <w:color w:val="0066BA"/>
              </w:rPr>
              <w:t>Record Date:</w:t>
            </w:r>
          </w:p>
        </w:tc>
      </w:tr>
      <w:tr>
        <w:trPr>
          <w:trHeight w:val="208"/>
        </w:trPr>
        <w:tc>
          <w:tcPr>
            <w:tcW w:w="3020" w:type="dxa"/>
            <w:vAlign w:val="bottom"/>
          </w:tcPr>
          <w:p>
            <w:pPr>
              <w:ind w:left="60"/>
              <w:spacing w:after="0"/>
              <w:rPr>
                <w:sz w:val="20"/>
                <w:szCs w:val="20"/>
                <w:color w:val="auto"/>
              </w:rPr>
            </w:pPr>
            <w:r>
              <w:rPr>
                <w:rFonts w:ascii="Arial" w:cs="Arial" w:eastAsia="Arial" w:hAnsi="Arial"/>
                <w:sz w:val="17"/>
                <w:szCs w:val="17"/>
                <w:color w:val="auto"/>
              </w:rPr>
              <w:t>Wednesday, March 10, 2021</w:t>
            </w:r>
          </w:p>
        </w:tc>
        <w:tc>
          <w:tcPr>
            <w:tcW w:w="4400" w:type="dxa"/>
            <w:vAlign w:val="bottom"/>
          </w:tcPr>
          <w:p>
            <w:pPr>
              <w:ind w:left="1000"/>
              <w:spacing w:after="0"/>
              <w:rPr>
                <w:sz w:val="20"/>
                <w:szCs w:val="20"/>
                <w:color w:val="auto"/>
              </w:rPr>
            </w:pPr>
            <w:r>
              <w:rPr>
                <w:rFonts w:ascii="Arial" w:cs="Arial" w:eastAsia="Arial" w:hAnsi="Arial"/>
                <w:sz w:val="17"/>
                <w:szCs w:val="17"/>
                <w:color w:val="auto"/>
              </w:rPr>
              <w:t>Virtual Meeting</w:t>
            </w:r>
          </w:p>
        </w:tc>
        <w:tc>
          <w:tcPr>
            <w:tcW w:w="3200" w:type="dxa"/>
            <w:vAlign w:val="bottom"/>
          </w:tcPr>
          <w:p>
            <w:pPr>
              <w:ind w:left="140"/>
              <w:spacing w:after="0"/>
              <w:rPr>
                <w:sz w:val="20"/>
                <w:szCs w:val="20"/>
                <w:color w:val="auto"/>
              </w:rPr>
            </w:pPr>
            <w:r>
              <w:rPr>
                <w:rFonts w:ascii="Arial" w:cs="Arial" w:eastAsia="Arial" w:hAnsi="Arial"/>
                <w:sz w:val="17"/>
                <w:szCs w:val="17"/>
                <w:color w:val="auto"/>
              </w:rPr>
              <w:t>Monday, January 4, 2021</w:t>
            </w:r>
          </w:p>
        </w:tc>
      </w:tr>
      <w:tr>
        <w:trPr>
          <w:trHeight w:val="221"/>
        </w:trPr>
        <w:tc>
          <w:tcPr>
            <w:tcW w:w="3020" w:type="dxa"/>
            <w:vAlign w:val="bottom"/>
          </w:tcPr>
          <w:p>
            <w:pPr>
              <w:ind w:left="60"/>
              <w:spacing w:after="0"/>
              <w:rPr>
                <w:sz w:val="20"/>
                <w:szCs w:val="20"/>
                <w:color w:val="auto"/>
              </w:rPr>
            </w:pPr>
            <w:r>
              <w:rPr>
                <w:rFonts w:ascii="Arial" w:cs="Arial" w:eastAsia="Arial" w:hAnsi="Arial"/>
                <w:sz w:val="17"/>
                <w:szCs w:val="17"/>
                <w:color w:val="auto"/>
              </w:rPr>
              <w:t>9:00 am local time</w:t>
            </w:r>
          </w:p>
        </w:tc>
        <w:tc>
          <w:tcPr>
            <w:tcW w:w="4400" w:type="dxa"/>
            <w:vAlign w:val="bottom"/>
          </w:tcPr>
          <w:p>
            <w:pPr>
              <w:ind w:left="1000"/>
              <w:spacing w:after="0"/>
              <w:rPr>
                <w:sz w:val="20"/>
                <w:szCs w:val="20"/>
                <w:color w:val="auto"/>
              </w:rPr>
            </w:pPr>
            <w:r>
              <w:rPr>
                <w:rFonts w:ascii="Arial" w:cs="Arial" w:eastAsia="Arial" w:hAnsi="Arial"/>
                <w:sz w:val="17"/>
                <w:szCs w:val="17"/>
                <w:color w:val="auto"/>
                <w:w w:val="98"/>
              </w:rPr>
              <w:t>www.virtualshareholdermeeting.com/ADI2021</w:t>
            </w:r>
          </w:p>
        </w:tc>
        <w:tc>
          <w:tcPr>
            <w:tcW w:w="3200" w:type="dxa"/>
            <w:vAlign w:val="bottom"/>
          </w:tcPr>
          <w:p>
            <w:pPr>
              <w:spacing w:after="0"/>
              <w:rPr>
                <w:sz w:val="19"/>
                <w:szCs w:val="19"/>
                <w:color w:val="auto"/>
              </w:rPr>
            </w:pPr>
          </w:p>
        </w:tc>
      </w:tr>
    </w:tbl>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Items of Business</w:t>
      </w:r>
    </w:p>
    <w:p>
      <w:pPr>
        <w:spacing w:after="0" w:line="117" w:lineRule="exact"/>
        <w:rPr>
          <w:sz w:val="20"/>
          <w:szCs w:val="20"/>
          <w:color w:val="auto"/>
        </w:rPr>
      </w:pPr>
    </w:p>
    <w:p>
      <w:pPr>
        <w:ind w:left="320" w:right="120"/>
        <w:spacing w:after="0" w:line="286" w:lineRule="auto"/>
        <w:rPr>
          <w:sz w:val="20"/>
          <w:szCs w:val="20"/>
          <w:color w:val="auto"/>
        </w:rPr>
      </w:pPr>
      <w:r>
        <w:rPr>
          <w:rFonts w:ascii="Arial" w:cs="Arial" w:eastAsia="Arial" w:hAnsi="Arial"/>
          <w:sz w:val="17"/>
          <w:szCs w:val="17"/>
          <w:color w:val="auto"/>
        </w:rPr>
        <w:t xml:space="preserve">The 2021 Annual Meeting of Shareholders of Analog Devices, Inc. will be held virtually on </w:t>
      </w:r>
      <w:r>
        <w:rPr>
          <w:rFonts w:ascii="Arial" w:cs="Arial" w:eastAsia="Arial" w:hAnsi="Arial"/>
          <w:sz w:val="17"/>
          <w:szCs w:val="17"/>
          <w:color w:val="0066BA"/>
        </w:rPr>
        <w:t>Wednesday, March 10, 2021 at 9:00 a.m. local time</w:t>
      </w:r>
      <w:r>
        <w:rPr>
          <w:rFonts w:ascii="Arial" w:cs="Arial" w:eastAsia="Arial" w:hAnsi="Arial"/>
          <w:sz w:val="17"/>
          <w:szCs w:val="17"/>
          <w:color w:val="auto"/>
        </w:rPr>
        <w:t>. At the meeting, shareholders will consider and vote on the following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6740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4" w:lineRule="exact"/>
        <w:rPr>
          <w:sz w:val="20"/>
          <w:szCs w:val="20"/>
          <w:color w:val="auto"/>
        </w:rPr>
      </w:pPr>
    </w:p>
    <w:p>
      <w:pPr>
        <w:ind w:left="520" w:right="280" w:hanging="204"/>
        <w:spacing w:after="0" w:line="286"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elect the eleven director nominees named in this proxy statement to our Board of Directors, each to serve for a term expiring at the next annual meeting of shareholders;</w:t>
      </w:r>
    </w:p>
    <w:p>
      <w:pPr>
        <w:spacing w:after="0" w:line="15" w:lineRule="exact"/>
        <w:rPr>
          <w:rFonts w:ascii="Arial" w:cs="Arial" w:eastAsia="Arial" w:hAnsi="Arial"/>
          <w:sz w:val="17"/>
          <w:szCs w:val="17"/>
          <w:color w:val="auto"/>
        </w:rPr>
      </w:pPr>
    </w:p>
    <w:p>
      <w:pPr>
        <w:ind w:left="520" w:right="140" w:hanging="204"/>
        <w:spacing w:after="0" w:line="286"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by non-binding “say on pay” vote, the compensation of our named executive officers, as described in the Compensation Discussion and Analysis, executive compensation tables and accompanying narrative disclosures in this proxy statement; and</w:t>
      </w:r>
    </w:p>
    <w:p>
      <w:pPr>
        <w:spacing w:after="0" w:line="15" w:lineRule="exact"/>
        <w:rPr>
          <w:rFonts w:ascii="Arial" w:cs="Arial" w:eastAsia="Arial" w:hAnsi="Arial"/>
          <w:sz w:val="17"/>
          <w:szCs w:val="17"/>
          <w:color w:val="auto"/>
        </w:rPr>
      </w:pPr>
    </w:p>
    <w:p>
      <w:pPr>
        <w:ind w:left="520" w:hanging="204"/>
        <w:spacing w:after="0"/>
        <w:tabs>
          <w:tab w:leader="none" w:pos="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selection of Ernst &amp; Young LLP as our independent registered public accounting firm for the fiscal year ending October 30, 2021.</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shareholders will also act on any other business that may properly come before the meeting.</w:t>
      </w:r>
    </w:p>
    <w:p>
      <w:pPr>
        <w:spacing w:after="0" w:line="117" w:lineRule="exact"/>
        <w:rPr>
          <w:sz w:val="20"/>
          <w:szCs w:val="20"/>
          <w:color w:val="auto"/>
        </w:rPr>
      </w:pPr>
    </w:p>
    <w:p>
      <w:pPr>
        <w:ind w:left="320" w:right="20"/>
        <w:spacing w:after="0" w:line="270" w:lineRule="auto"/>
        <w:rPr>
          <w:sz w:val="20"/>
          <w:szCs w:val="20"/>
          <w:color w:val="auto"/>
        </w:rPr>
      </w:pPr>
      <w:r>
        <w:rPr>
          <w:rFonts w:ascii="Arial" w:cs="Arial" w:eastAsia="Arial" w:hAnsi="Arial"/>
          <w:sz w:val="17"/>
          <w:szCs w:val="17"/>
          <w:color w:val="auto"/>
        </w:rPr>
        <w:t>The Board recommends that you vote “FOR” each director nominee included in Proposal 1 and “FOR” each of the other proposals. The full text of these proposals is set forth in this proxy statement. Registered shareholders of the Company at the close of business on the record date are eligible to vote at the meeting.</w:t>
      </w:r>
    </w:p>
    <w:p>
      <w:pPr>
        <w:spacing w:after="0" w:line="69" w:lineRule="exact"/>
        <w:rPr>
          <w:sz w:val="20"/>
          <w:szCs w:val="20"/>
          <w:color w:val="auto"/>
        </w:rPr>
      </w:pPr>
    </w:p>
    <w:p>
      <w:pPr>
        <w:ind w:left="320" w:right="460"/>
        <w:spacing w:after="0" w:line="286" w:lineRule="auto"/>
        <w:rPr>
          <w:sz w:val="20"/>
          <w:szCs w:val="20"/>
          <w:color w:val="auto"/>
        </w:rPr>
      </w:pPr>
      <w:r>
        <w:rPr>
          <w:rFonts w:ascii="Arial" w:cs="Arial" w:eastAsia="Arial" w:hAnsi="Arial"/>
          <w:sz w:val="17"/>
          <w:szCs w:val="17"/>
          <w:color w:val="auto"/>
        </w:rPr>
        <w:t>Please note that we are furnishing proxy materials and access to our proxy statement to our shareholders via our website instead of mailing printed copies to each of our shareholders. By doing so, we save costs and reduce our impact on the environment.</w:t>
      </w:r>
    </w:p>
    <w:p>
      <w:pPr>
        <w:spacing w:after="0" w:line="54" w:lineRule="exact"/>
        <w:rPr>
          <w:sz w:val="20"/>
          <w:szCs w:val="20"/>
          <w:color w:val="auto"/>
        </w:rPr>
      </w:pPr>
    </w:p>
    <w:p>
      <w:pPr>
        <w:ind w:left="320" w:right="60"/>
        <w:spacing w:after="0" w:line="281" w:lineRule="auto"/>
        <w:rPr>
          <w:sz w:val="20"/>
          <w:szCs w:val="20"/>
          <w:color w:val="auto"/>
        </w:rPr>
      </w:pPr>
      <w:r>
        <w:rPr>
          <w:rFonts w:ascii="Arial" w:cs="Arial" w:eastAsia="Arial" w:hAnsi="Arial"/>
          <w:sz w:val="16"/>
          <w:szCs w:val="16"/>
          <w:color w:val="auto"/>
        </w:rPr>
        <w:t>Beginning on January 22, 2021, we will mail to our shareholders a Notice of Internet Availability of Proxy Materials, or Notice, which contains instructions on how to access our proxy materials and vote online. If you attend the Annual Meeting virtually, you may withdraw your proxy and vote online during the Annual Meeting if you so choose. The Notice also contains instructions on how each of our shareholders can receive a paper copy of our proxy materials, including this proxy statement, our 2020 Annual Report and a form of proxy card or voting instruction form. All shareholders who do not receive the Notice, including shareholders who have previously requested to receive paper copies of proxy materials, will receive a paper copy of the proxy materials by mail unless they have previously requested delivery of proxy materials electronically.</w:t>
      </w:r>
    </w:p>
    <w:p>
      <w:pPr>
        <w:spacing w:after="0" w:line="60" w:lineRule="exact"/>
        <w:rPr>
          <w:sz w:val="20"/>
          <w:szCs w:val="20"/>
          <w:color w:val="auto"/>
        </w:rPr>
      </w:pPr>
    </w:p>
    <w:p>
      <w:pPr>
        <w:ind w:left="320" w:right="60"/>
        <w:spacing w:after="0" w:line="287" w:lineRule="auto"/>
        <w:rPr>
          <w:sz w:val="20"/>
          <w:szCs w:val="20"/>
          <w:color w:val="auto"/>
        </w:rPr>
      </w:pPr>
      <w:r>
        <w:rPr>
          <w:rFonts w:ascii="Arial" w:cs="Arial" w:eastAsia="Arial" w:hAnsi="Arial"/>
          <w:sz w:val="16"/>
          <w:szCs w:val="16"/>
          <w:color w:val="auto"/>
        </w:rPr>
        <w:t>Further information about how to attend the Annual Meeting online, vote your shares online during the meeting, and submit questions online before and during the meeting is included in this proxy statement. A list of our registered holders as of the close of business on the record date will be made available to shareholders during the meeting at www.virtualshareholdermeeting.com/ADI2021. To access such list of registered holders beginning January 24, 2021 and until the meeting, shareholders should email Analog Devices Investor Relations at investor.relations@analog.com.</w:t>
      </w:r>
    </w:p>
    <w:p>
      <w:pPr>
        <w:spacing w:after="0" w:line="57" w:lineRule="exact"/>
        <w:rPr>
          <w:sz w:val="20"/>
          <w:szCs w:val="20"/>
          <w:color w:val="auto"/>
        </w:rPr>
      </w:pPr>
    </w:p>
    <w:p>
      <w:pPr>
        <w:ind w:left="320" w:right="480"/>
        <w:spacing w:after="0" w:line="286" w:lineRule="auto"/>
        <w:rPr>
          <w:sz w:val="20"/>
          <w:szCs w:val="20"/>
          <w:color w:val="auto"/>
        </w:rPr>
      </w:pPr>
      <w:r>
        <w:rPr>
          <w:rFonts w:ascii="Arial" w:cs="Arial" w:eastAsia="Arial" w:hAnsi="Arial"/>
          <w:sz w:val="17"/>
          <w:szCs w:val="17"/>
          <w:color w:val="auto"/>
        </w:rPr>
        <w:t>Your vote is important no matter how many shares you own, and we encourage you to vote promptly whether or not you plan to attend the Annual Meeting.</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By Order of the Board of Directors,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0066BA"/>
        </w:rPr>
        <w:t>YOON AH OH</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Corporate Secretary</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January 22, 2021</w:t>
      </w:r>
    </w:p>
    <w:p>
      <w:pPr>
        <w:spacing w:after="0" w:line="224" w:lineRule="exact"/>
        <w:rPr>
          <w:sz w:val="20"/>
          <w:szCs w:val="20"/>
          <w:color w:val="auto"/>
        </w:rPr>
      </w:pPr>
    </w:p>
    <w:p>
      <w:pPr>
        <w:ind w:left="560" w:right="20" w:hanging="244"/>
        <w:spacing w:after="0" w:line="261" w:lineRule="auto"/>
        <w:tabs>
          <w:tab w:leader="none" w:pos="560" w:val="left"/>
        </w:tabs>
        <w:numPr>
          <w:ilvl w:val="0"/>
          <w:numId w:val="5"/>
        </w:numPr>
        <w:rPr>
          <w:rFonts w:ascii="Arial" w:cs="Arial" w:eastAsia="Arial" w:hAnsi="Arial"/>
          <w:sz w:val="15"/>
          <w:szCs w:val="15"/>
          <w:b w:val="1"/>
          <w:bCs w:val="1"/>
          <w:color w:val="0066BA"/>
        </w:rPr>
      </w:pPr>
      <w:r>
        <w:rPr>
          <w:rFonts w:ascii="Arial" w:cs="Arial" w:eastAsia="Arial" w:hAnsi="Arial"/>
          <w:sz w:val="17"/>
          <w:szCs w:val="17"/>
          <w:b w:val="1"/>
          <w:bCs w:val="1"/>
          <w:color w:val="auto"/>
        </w:rPr>
        <w:t xml:space="preserve">Important Notice Regarding the Availability of Proxy Materials for the Annual Meeting of Shareholders to be Held on March 10, 2021: This proxy statement and the 2020 Annual Report are available for viewing, printing and downloading at </w:t>
      </w:r>
      <w:r>
        <w:rPr>
          <w:rFonts w:ascii="Arial" w:cs="Arial" w:eastAsia="Arial" w:hAnsi="Arial"/>
          <w:sz w:val="17"/>
          <w:szCs w:val="17"/>
          <w:b w:val="1"/>
          <w:bCs w:val="1"/>
          <w:color w:val="0066BA"/>
        </w:rPr>
        <w:t>www.analog.com/AnnualMeeting</w:t>
      </w:r>
      <w:r>
        <w:rPr>
          <w:rFonts w:ascii="Arial" w:cs="Arial" w:eastAsia="Arial" w:hAnsi="Arial"/>
          <w:sz w:val="17"/>
          <w:szCs w:val="17"/>
          <w:b w:val="1"/>
          <w:bCs w:val="1"/>
          <w:color w:val="000000"/>
        </w:rPr>
        <w: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A-6</w:t>
      </w:r>
    </w:p>
    <w:p>
      <w:pPr>
        <w:sectPr>
          <w:pgSz w:w="11900" w:h="16838" w:orient="portrait"/>
          <w:cols w:equalWidth="0" w:num="1">
            <w:col w:w="10940"/>
          </w:cols>
          <w:pgMar w:left="320" w:top="447" w:right="639" w:bottom="779"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3F3F3F"/>
        </w:rPr>
        <w:t>How to vote: Your vote is important</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3384C7"/>
        </w:rPr>
        <w:t>PLEASE VOTE BY FOLLOWING THE INSTRUCTIONS ON YOUR PROXY CARD OR VOTING INSTRUCTION FORM</w:t>
      </w:r>
    </w:p>
    <w:p>
      <w:pPr>
        <w:sectPr>
          <w:pgSz w:w="11900" w:h="16838" w:orient="portrait"/>
          <w:cols w:equalWidth="0" w:num="1">
            <w:col w:w="10940"/>
          </w:cols>
          <w:pgMar w:left="320" w:top="447" w:right="639" w:bottom="1440" w:gutter="0" w:footer="0" w:header="0"/>
        </w:sectPr>
      </w:pP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0066BA"/>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-62230</wp:posOffset>
            </wp:positionV>
            <wp:extent cx="297180" cy="288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7180" cy="288925"/>
                    </a:xfrm>
                    <a:prstGeom prst="rect">
                      <a:avLst/>
                    </a:prstGeom>
                    <a:noFill/>
                  </pic:spPr>
                </pic:pic>
              </a:graphicData>
            </a:graphic>
          </wp:anchor>
        </w:drawing>
      </w:r>
    </w:p>
    <w:p>
      <w:pPr>
        <w:spacing w:after="0" w:line="11" w:lineRule="exact"/>
        <w:rPr>
          <w:sz w:val="20"/>
          <w:szCs w:val="20"/>
          <w:color w:val="auto"/>
        </w:rPr>
      </w:pPr>
    </w:p>
    <w:p>
      <w:pPr>
        <w:ind w:left="1000" w:right="420"/>
        <w:spacing w:after="0" w:line="306" w:lineRule="auto"/>
        <w:rPr>
          <w:sz w:val="20"/>
          <w:szCs w:val="20"/>
          <w:color w:val="auto"/>
        </w:rPr>
      </w:pPr>
      <w:r>
        <w:rPr>
          <w:rFonts w:ascii="Arial" w:cs="Arial" w:eastAsia="Arial" w:hAnsi="Arial"/>
          <w:sz w:val="15"/>
          <w:szCs w:val="15"/>
          <w:color w:val="auto"/>
        </w:rPr>
        <w:t xml:space="preserve">Go to </w:t>
      </w:r>
      <w:r>
        <w:rPr>
          <w:rFonts w:ascii="Arial" w:cs="Arial" w:eastAsia="Arial" w:hAnsi="Arial"/>
          <w:sz w:val="15"/>
          <w:szCs w:val="15"/>
          <w:color w:val="0066BA"/>
        </w:rPr>
        <w:t>www.proxyvote.com</w:t>
      </w:r>
      <w:r>
        <w:rPr>
          <w:rFonts w:ascii="Arial" w:cs="Arial" w:eastAsia="Arial" w:hAnsi="Arial"/>
          <w:sz w:val="15"/>
          <w:szCs w:val="15"/>
          <w:color w:val="auto"/>
        </w:rPr>
        <w:t xml:space="preserve"> You will need the 16-digit control number that appears on your proxy card or the Notice.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820"/>
        <w:spacing w:after="0" w:line="265" w:lineRule="auto"/>
        <w:rPr>
          <w:sz w:val="20"/>
          <w:szCs w:val="20"/>
          <w:color w:val="auto"/>
        </w:rPr>
      </w:pPr>
      <w:r>
        <w:rPr>
          <w:rFonts w:ascii="Arial" w:cs="Arial" w:eastAsia="Arial" w:hAnsi="Arial"/>
          <w:sz w:val="17"/>
          <w:szCs w:val="17"/>
          <w:b w:val="1"/>
          <w:bCs w:val="1"/>
          <w:color w:val="0066BA"/>
        </w:rPr>
        <w:t xml:space="preserve">Vote by Telephone </w:t>
      </w:r>
      <w:r>
        <w:rPr>
          <w:rFonts w:ascii="Arial" w:cs="Arial" w:eastAsia="Arial" w:hAnsi="Arial"/>
          <w:sz w:val="17"/>
          <w:szCs w:val="17"/>
          <w:color w:val="000000"/>
        </w:rPr>
        <w:t xml:space="preserve">Call </w:t>
      </w:r>
      <w:r>
        <w:rPr>
          <w:rFonts w:ascii="Arial" w:cs="Arial" w:eastAsia="Arial" w:hAnsi="Arial"/>
          <w:sz w:val="17"/>
          <w:szCs w:val="17"/>
          <w:color w:val="0066BA"/>
        </w:rPr>
        <w:t>1-800-690-6903</w:t>
      </w:r>
      <w:r>
        <w:rPr>
          <w:rFonts w:ascii="Arial" w:cs="Arial" w:eastAsia="Arial" w:hAnsi="Arial"/>
          <w:sz w:val="17"/>
          <w:szCs w:val="17"/>
          <w:color w:val="000000"/>
        </w:rPr>
        <w:t xml:space="preserve"> You will need the 16-digit control number that appears on your proxy card or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-623570</wp:posOffset>
            </wp:positionV>
            <wp:extent cx="189865" cy="305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9865" cy="305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-62230</wp:posOffset>
            </wp:positionV>
            <wp:extent cx="239395" cy="2063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9395" cy="206375"/>
                    </a:xfrm>
                    <a:prstGeom prst="rect">
                      <a:avLst/>
                    </a:prstGeom>
                    <a:noFill/>
                  </pic:spPr>
                </pic:pic>
              </a:graphicData>
            </a:graphic>
          </wp:anchor>
        </w:drawing>
      </w:r>
    </w:p>
    <w:p>
      <w:pPr>
        <w:spacing w:after="0" w:line="11"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color w:val="auto"/>
        </w:rPr>
        <w:t>Mark, sign, date, and mail your proxy card or your voting instruction form. No postage is required if mailed in the U.S.</w:t>
      </w:r>
    </w:p>
    <w:p>
      <w:pPr>
        <w:spacing w:after="0" w:line="232" w:lineRule="exact"/>
        <w:rPr>
          <w:sz w:val="20"/>
          <w:szCs w:val="20"/>
          <w:color w:val="auto"/>
        </w:rPr>
      </w:pPr>
    </w:p>
    <w:p>
      <w:pPr>
        <w:sectPr>
          <w:pgSz w:w="11900" w:h="16838" w:orient="portrait"/>
          <w:cols w:equalWidth="0" w:num="3">
            <w:col w:w="3560" w:space="720"/>
            <w:col w:w="2960" w:space="720"/>
            <w:col w:w="2980"/>
          </w:cols>
          <w:pgMar w:left="320" w:top="447" w:right="639" w:bottom="1440" w:gutter="0" w:footer="0" w:header="0"/>
          <w:type w:val="continuous"/>
        </w:sectPr>
      </w:pPr>
    </w:p>
    <w:p>
      <w:pPr>
        <w:spacing w:after="0" w:line="9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3384C7"/>
        </w:rPr>
        <w:t>DURING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-109220</wp:posOffset>
            </wp:positionV>
            <wp:extent cx="4312285" cy="1238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12285" cy="123825"/>
                    </a:xfrm>
                    <a:prstGeom prst="rect">
                      <a:avLst/>
                    </a:prstGeom>
                    <a:noFill/>
                  </pic:spPr>
                </pic:pic>
              </a:graphicData>
            </a:graphic>
          </wp:anchor>
        </w:drawing>
      </w:r>
    </w:p>
    <w:p>
      <w:pPr>
        <w:spacing w:after="0" w:line="10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For details on voting your shares during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-66040</wp:posOffset>
            </wp:positionV>
            <wp:extent cx="280670" cy="3219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0670" cy="321945"/>
                    </a:xfrm>
                    <a:prstGeom prst="rect">
                      <a:avLst/>
                    </a:prstGeom>
                    <a:noFill/>
                  </pic:spPr>
                </pic:pic>
              </a:graphicData>
            </a:graphic>
          </wp:anchor>
        </w:drawing>
      </w:r>
    </w:p>
    <w:p>
      <w:pPr>
        <w:spacing w:after="0" w:line="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see “Q&amp;A About Annual Meeting and Voting” on page 65.</w:t>
      </w:r>
    </w:p>
    <w:p>
      <w:pPr>
        <w:spacing w:after="0" w:line="287" w:lineRule="exact"/>
        <w:rPr>
          <w:sz w:val="20"/>
          <w:szCs w:val="20"/>
          <w:color w:val="auto"/>
        </w:rPr>
      </w:pPr>
    </w:p>
    <w:p>
      <w:pPr>
        <w:ind w:left="320" w:right="400"/>
        <w:spacing w:after="0" w:line="286" w:lineRule="auto"/>
        <w:rPr>
          <w:sz w:val="20"/>
          <w:szCs w:val="20"/>
          <w:color w:val="auto"/>
        </w:rPr>
      </w:pPr>
      <w:r>
        <w:rPr>
          <w:rFonts w:ascii="Arial" w:cs="Arial" w:eastAsia="Arial" w:hAnsi="Arial"/>
          <w:sz w:val="17"/>
          <w:szCs w:val="17"/>
          <w:color w:val="auto"/>
        </w:rPr>
        <w:t>Web links throughout this document are provided for convenience only, and the content on the referenced websites does not constitute a part of this proxy statement.</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sum and/or computation of individual numerical amounts or percentages disclosed in this proxy statement may not equal the total due to rounding.</w:t>
      </w:r>
    </w:p>
    <w:p>
      <w:pPr>
        <w:spacing w:after="0" w:line="327"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3F3F3F"/>
        </w:rPr>
        <w:t>Forward-Looking Statements</w:t>
      </w:r>
    </w:p>
    <w:p>
      <w:pPr>
        <w:spacing w:after="0" w:line="125" w:lineRule="exact"/>
        <w:rPr>
          <w:sz w:val="20"/>
          <w:szCs w:val="20"/>
          <w:color w:val="auto"/>
        </w:rPr>
      </w:pPr>
    </w:p>
    <w:p>
      <w:pPr>
        <w:ind w:left="320" w:right="20"/>
        <w:spacing w:after="0" w:line="294" w:lineRule="auto"/>
        <w:rPr>
          <w:sz w:val="20"/>
          <w:szCs w:val="20"/>
          <w:color w:val="auto"/>
        </w:rPr>
      </w:pPr>
      <w:r>
        <w:rPr>
          <w:rFonts w:ascii="Arial" w:cs="Arial" w:eastAsia="Arial" w:hAnsi="Arial"/>
          <w:sz w:val="15"/>
          <w:szCs w:val="15"/>
          <w:color w:val="auto"/>
        </w:rPr>
        <w:t>This proxy statement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the proposed acquisition of Maxim Integrated Products, Inc.; our anticipated growth and trends in our businesses; our future liquidity, capital needs and capital expenditures; the impact of the COVID-19 pandemic on our business, financial condition and results of operations; our future market position and expected competitive changes in the marketplace for our products; our ability to pay dividends or repurchase stock; our ability to service our outstanding debt; our expected tax rate; the effect of changes in or the application of new or revised tax laws; expected cost savings; the effect of new accounting pronouncements; our ability to successfully integrate acquired businesses and technologies; and other characterizations of future events or circumstances are forward- looking statements. Readers are cautioned that these forward-looking statements are only predictions and are subject to risks, uncertainties, and assumptions that are difficult to predict, including those identified in Part I, Item 1A. “Risk Factors” and elsewhere in our most recent Annual Report on Form 10-K.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A-7</w:t>
      </w:r>
    </w:p>
    <w:p>
      <w:pPr>
        <w:sectPr>
          <w:pgSz w:w="11900" w:h="16838" w:orient="portrait"/>
          <w:cols w:equalWidth="0" w:num="1">
            <w:col w:w="10940"/>
          </w:cols>
          <w:pgMar w:left="320" w:top="447" w:right="639" w:bottom="1440" w:gutter="0" w:footer="0" w:header="0"/>
          <w:type w:val="continuous"/>
        </w:sectPr>
      </w:pPr>
    </w:p>
    <w:bookmarkStart w:id="9" w:name="page10"/>
    <w:bookmarkEnd w:id="9"/>
    <w:p>
      <w:pPr>
        <w:spacing w:after="0"/>
        <w:rPr>
          <w:rFonts w:ascii="Arial" w:cs="Arial" w:eastAsia="Arial" w:hAnsi="Arial"/>
          <w:sz w:val="17"/>
          <w:szCs w:val="17"/>
          <w:b w:val="1"/>
          <w:bCs w:val="1"/>
          <w:u w:val="single" w:color="auto"/>
          <w:color w:val="0000EE"/>
        </w:rPr>
      </w:pPr>
      <w:hyperlink w:anchor="page10">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480"/>
        <w:spacing w:after="0"/>
        <w:rPr>
          <w:sz w:val="20"/>
          <w:szCs w:val="20"/>
          <w:color w:val="auto"/>
        </w:rPr>
      </w:pPr>
      <w:r>
        <w:rPr>
          <w:rFonts w:ascii="Arial" w:cs="Arial" w:eastAsia="Arial" w:hAnsi="Arial"/>
          <w:sz w:val="55"/>
          <w:szCs w:val="55"/>
          <w:color w:val="auto"/>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480" w:type="dxa"/>
        <w:tblCellMar>
          <w:top w:w="0" w:type="dxa"/>
          <w:left w:w="0" w:type="dxa"/>
          <w:bottom w:w="0" w:type="dxa"/>
          <w:right w:w="0" w:type="dxa"/>
        </w:tblCellMar>
      </w:tblPr>
      <w:tr>
        <w:trPr>
          <w:trHeight w:val="221"/>
        </w:trPr>
        <w:tc>
          <w:tcPr>
            <w:tcW w:w="4140" w:type="dxa"/>
            <w:vAlign w:val="bottom"/>
            <w:gridSpan w:val="7"/>
          </w:tcPr>
          <w:p>
            <w:pPr>
              <w:spacing w:after="0"/>
              <w:rPr>
                <w:sz w:val="20"/>
                <w:szCs w:val="20"/>
                <w:color w:val="auto"/>
              </w:rPr>
            </w:pPr>
            <w:r>
              <w:rPr>
                <w:rFonts w:ascii="Arial" w:cs="Arial" w:eastAsia="Arial" w:hAnsi="Arial"/>
                <w:sz w:val="17"/>
                <w:szCs w:val="17"/>
                <w:color w:val="0066BA"/>
              </w:rPr>
              <w:t>Notice of 2021 Annual Meeting of Shareholders</w:t>
            </w:r>
          </w:p>
        </w:tc>
        <w:tc>
          <w:tcPr>
            <w:tcW w:w="740" w:type="dxa"/>
            <w:vAlign w:val="bottom"/>
          </w:tcPr>
          <w:p>
            <w:pPr>
              <w:spacing w:after="0"/>
              <w:rPr>
                <w:sz w:val="19"/>
                <w:szCs w:val="19"/>
                <w:color w:val="auto"/>
              </w:rPr>
            </w:pPr>
          </w:p>
        </w:tc>
      </w:tr>
      <w:tr>
        <w:trPr>
          <w:trHeight w:val="260"/>
        </w:trPr>
        <w:tc>
          <w:tcPr>
            <w:tcW w:w="4140" w:type="dxa"/>
            <w:vAlign w:val="bottom"/>
            <w:gridSpan w:val="7"/>
          </w:tcPr>
          <w:p>
            <w:pPr>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Proxy Summary</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60"/>
        </w:trPr>
        <w:tc>
          <w:tcPr>
            <w:tcW w:w="4140" w:type="dxa"/>
            <w:vAlign w:val="bottom"/>
            <w:gridSpan w:val="7"/>
          </w:tcPr>
          <w:p>
            <w:pPr>
              <w:spacing w:after="0"/>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Proposal 1 — Election of Directors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60"/>
        </w:trPr>
        <w:tc>
          <w:tcPr>
            <w:tcW w:w="4140" w:type="dxa"/>
            <w:vAlign w:val="bottom"/>
            <w:gridSpan w:val="7"/>
          </w:tcPr>
          <w:p>
            <w:pPr>
              <w:spacing w:after="0"/>
              <w:rPr>
                <w:rFonts w:ascii="Arial" w:cs="Arial" w:eastAsia="Arial" w:hAnsi="Arial"/>
                <w:sz w:val="17"/>
                <w:szCs w:val="17"/>
                <w:u w:val="single" w:color="auto"/>
                <w:color w:val="0000EE"/>
              </w:rPr>
            </w:pPr>
            <w:hyperlink w:anchor="page27">
              <w:r>
                <w:rPr>
                  <w:rFonts w:ascii="Arial" w:cs="Arial" w:eastAsia="Arial" w:hAnsi="Arial"/>
                  <w:sz w:val="17"/>
                  <w:szCs w:val="17"/>
                  <w:u w:val="single" w:color="auto"/>
                  <w:color w:val="0000EE"/>
                </w:rPr>
                <w:t>Corporate Governance</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60"/>
        </w:trPr>
        <w:tc>
          <w:tcPr>
            <w:tcW w:w="280" w:type="dxa"/>
            <w:vAlign w:val="bottom"/>
          </w:tcPr>
          <w:p>
            <w:pPr>
              <w:spacing w:after="0"/>
              <w:rPr>
                <w:sz w:val="22"/>
                <w:szCs w:val="22"/>
                <w:color w:val="auto"/>
              </w:rPr>
            </w:pPr>
          </w:p>
        </w:tc>
        <w:tc>
          <w:tcPr>
            <w:tcW w:w="3860" w:type="dxa"/>
            <w:vAlign w:val="bottom"/>
            <w:gridSpan w:val="6"/>
          </w:tcPr>
          <w:p>
            <w:pPr>
              <w:spacing w:after="0"/>
              <w:rPr>
                <w:rFonts w:ascii="Arial" w:cs="Arial" w:eastAsia="Arial" w:hAnsi="Arial"/>
                <w:sz w:val="17"/>
                <w:szCs w:val="17"/>
                <w:u w:val="single" w:color="auto"/>
                <w:color w:val="0000EE"/>
              </w:rPr>
            </w:pPr>
            <w:hyperlink w:anchor="page27">
              <w:r>
                <w:rPr>
                  <w:rFonts w:ascii="Arial" w:cs="Arial" w:eastAsia="Arial" w:hAnsi="Arial"/>
                  <w:sz w:val="17"/>
                  <w:szCs w:val="17"/>
                  <w:u w:val="single" w:color="auto"/>
                  <w:color w:val="0000EE"/>
                </w:rPr>
                <w:t>Board Policies &amp; Practices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60"/>
        </w:trPr>
        <w:tc>
          <w:tcPr>
            <w:tcW w:w="280" w:type="dxa"/>
            <w:vAlign w:val="bottom"/>
          </w:tcPr>
          <w:p>
            <w:pPr>
              <w:spacing w:after="0"/>
              <w:rPr>
                <w:sz w:val="22"/>
                <w:szCs w:val="22"/>
                <w:color w:val="auto"/>
              </w:rPr>
            </w:pPr>
          </w:p>
        </w:tc>
        <w:tc>
          <w:tcPr>
            <w:tcW w:w="3860" w:type="dxa"/>
            <w:vAlign w:val="bottom"/>
            <w:gridSpan w:val="6"/>
          </w:tcPr>
          <w:p>
            <w:pPr>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Board of Directors Leadership Structure</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60"/>
        </w:trPr>
        <w:tc>
          <w:tcPr>
            <w:tcW w:w="280" w:type="dxa"/>
            <w:vAlign w:val="bottom"/>
          </w:tcPr>
          <w:p>
            <w:pPr>
              <w:spacing w:after="0"/>
              <w:rPr>
                <w:sz w:val="22"/>
                <w:szCs w:val="22"/>
                <w:color w:val="auto"/>
              </w:rPr>
            </w:pPr>
          </w:p>
        </w:tc>
        <w:tc>
          <w:tcPr>
            <w:tcW w:w="3860" w:type="dxa"/>
            <w:vAlign w:val="bottom"/>
            <w:gridSpan w:val="6"/>
          </w:tcPr>
          <w:p>
            <w:pPr>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Board of Directors Meetings and Committees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60"/>
        </w:trPr>
        <w:tc>
          <w:tcPr>
            <w:tcW w:w="280" w:type="dxa"/>
            <w:vAlign w:val="bottom"/>
          </w:tcPr>
          <w:p>
            <w:pPr>
              <w:spacing w:after="0"/>
              <w:rPr>
                <w:sz w:val="22"/>
                <w:szCs w:val="22"/>
                <w:color w:val="auto"/>
              </w:rPr>
            </w:pPr>
          </w:p>
        </w:tc>
        <w:tc>
          <w:tcPr>
            <w:tcW w:w="3860" w:type="dxa"/>
            <w:vAlign w:val="bottom"/>
            <w:gridSpan w:val="6"/>
          </w:tcPr>
          <w:p>
            <w:pPr>
              <w:spacing w:after="0"/>
              <w:rPr>
                <w:rFonts w:ascii="Arial" w:cs="Arial" w:eastAsia="Arial" w:hAnsi="Arial"/>
                <w:sz w:val="17"/>
                <w:szCs w:val="17"/>
                <w:u w:val="single" w:color="auto"/>
                <w:color w:val="0000EE"/>
              </w:rPr>
            </w:pPr>
            <w:hyperlink w:anchor="page31">
              <w:r>
                <w:rPr>
                  <w:rFonts w:ascii="Arial" w:cs="Arial" w:eastAsia="Arial" w:hAnsi="Arial"/>
                  <w:sz w:val="17"/>
                  <w:szCs w:val="17"/>
                  <w:u w:val="single" w:color="auto"/>
                  <w:color w:val="0000EE"/>
                </w:rPr>
                <w:t>Determination of Independence</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60"/>
        </w:trPr>
        <w:tc>
          <w:tcPr>
            <w:tcW w:w="280" w:type="dxa"/>
            <w:vAlign w:val="bottom"/>
          </w:tcPr>
          <w:p>
            <w:pPr>
              <w:spacing w:after="0"/>
              <w:rPr>
                <w:sz w:val="22"/>
                <w:szCs w:val="22"/>
                <w:color w:val="auto"/>
              </w:rPr>
            </w:pPr>
          </w:p>
        </w:tc>
        <w:tc>
          <w:tcPr>
            <w:tcW w:w="3860" w:type="dxa"/>
            <w:vAlign w:val="bottom"/>
            <w:gridSpan w:val="6"/>
          </w:tcPr>
          <w:p>
            <w:pPr>
              <w:spacing w:after="0"/>
              <w:rPr>
                <w:rFonts w:ascii="Arial" w:cs="Arial" w:eastAsia="Arial" w:hAnsi="Arial"/>
                <w:sz w:val="17"/>
                <w:szCs w:val="17"/>
                <w:u w:val="single" w:color="auto"/>
                <w:color w:val="0000EE"/>
              </w:rPr>
            </w:pPr>
            <w:hyperlink w:anchor="page31">
              <w:r>
                <w:rPr>
                  <w:rFonts w:ascii="Arial" w:cs="Arial" w:eastAsia="Arial" w:hAnsi="Arial"/>
                  <w:sz w:val="17"/>
                  <w:szCs w:val="17"/>
                  <w:u w:val="single" w:color="auto"/>
                  <w:color w:val="0000EE"/>
                </w:rPr>
                <w:t>Director Candidates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21"/>
        </w:trPr>
        <w:tc>
          <w:tcPr>
            <w:tcW w:w="280" w:type="dxa"/>
            <w:vAlign w:val="bottom"/>
          </w:tcPr>
          <w:p>
            <w:pPr>
              <w:spacing w:after="0"/>
              <w:rPr>
                <w:sz w:val="19"/>
                <w:szCs w:val="19"/>
                <w:color w:val="auto"/>
              </w:rPr>
            </w:pPr>
          </w:p>
        </w:tc>
        <w:tc>
          <w:tcPr>
            <w:tcW w:w="2520" w:type="dxa"/>
            <w:vAlign w:val="bottom"/>
            <w:tcBorders>
              <w:bottom w:val="single" w:sz="8" w:color="0000EE"/>
            </w:tcBorders>
            <w:gridSpan w:val="3"/>
          </w:tcPr>
          <w:p>
            <w:pPr>
              <w:spacing w:after="0"/>
              <w:rPr>
                <w:rFonts w:ascii="Arial" w:cs="Arial" w:eastAsia="Arial" w:hAnsi="Arial"/>
                <w:sz w:val="17"/>
                <w:szCs w:val="17"/>
                <w:color w:val="0000EE"/>
                <w:w w:val="92"/>
              </w:rPr>
            </w:pPr>
            <w:hyperlink w:anchor="page32">
              <w:r>
                <w:rPr>
                  <w:rFonts w:ascii="Arial" w:cs="Arial" w:eastAsia="Arial" w:hAnsi="Arial"/>
                  <w:sz w:val="17"/>
                  <w:szCs w:val="17"/>
                  <w:color w:val="0000EE"/>
                  <w:w w:val="92"/>
                </w:rPr>
                <w:t>Communications from Shareholders</w:t>
              </w:r>
            </w:hyperlink>
          </w:p>
        </w:tc>
        <w:tc>
          <w:tcPr>
            <w:tcW w:w="1340" w:type="dxa"/>
            <w:vAlign w:val="bottom"/>
            <w:gridSpan w:val="3"/>
          </w:tcPr>
          <w:p>
            <w:pPr>
              <w:spacing w:after="0"/>
              <w:rPr>
                <w:sz w:val="19"/>
                <w:szCs w:val="19"/>
                <w:color w:val="auto"/>
              </w:rPr>
            </w:pPr>
          </w:p>
        </w:tc>
        <w:tc>
          <w:tcPr>
            <w:tcW w:w="740" w:type="dxa"/>
            <w:vAlign w:val="bottom"/>
          </w:tcPr>
          <w:p>
            <w:pPr>
              <w:spacing w:after="0"/>
              <w:rPr>
                <w:sz w:val="19"/>
                <w:szCs w:val="19"/>
                <w:color w:val="auto"/>
              </w:rPr>
            </w:pPr>
          </w:p>
        </w:tc>
      </w:tr>
      <w:tr>
        <w:trPr>
          <w:trHeight w:val="227"/>
        </w:trPr>
        <w:tc>
          <w:tcPr>
            <w:tcW w:w="280" w:type="dxa"/>
            <w:vAlign w:val="bottom"/>
          </w:tcPr>
          <w:p>
            <w:pPr>
              <w:spacing w:after="0"/>
              <w:rPr>
                <w:sz w:val="19"/>
                <w:szCs w:val="19"/>
                <w:color w:val="auto"/>
              </w:rPr>
            </w:pPr>
          </w:p>
        </w:tc>
        <w:tc>
          <w:tcPr>
            <w:tcW w:w="3860" w:type="dxa"/>
            <w:vAlign w:val="bottom"/>
            <w:gridSpan w:val="6"/>
          </w:tcPr>
          <w:p>
            <w:pPr>
              <w:spacing w:after="0"/>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and Other Interested Parties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60"/>
        </w:trPr>
        <w:tc>
          <w:tcPr>
            <w:tcW w:w="280" w:type="dxa"/>
            <w:vAlign w:val="bottom"/>
          </w:tcPr>
          <w:p>
            <w:pPr>
              <w:spacing w:after="0"/>
              <w:rPr>
                <w:sz w:val="22"/>
                <w:szCs w:val="22"/>
                <w:color w:val="auto"/>
              </w:rPr>
            </w:pPr>
          </w:p>
        </w:tc>
        <w:tc>
          <w:tcPr>
            <w:tcW w:w="3860" w:type="dxa"/>
            <w:vAlign w:val="bottom"/>
            <w:gridSpan w:val="6"/>
          </w:tcPr>
          <w:p>
            <w:pPr>
              <w:spacing w:after="0"/>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The Board of Directors’ Role in Risk Oversight</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60"/>
        </w:trPr>
        <w:tc>
          <w:tcPr>
            <w:tcW w:w="280" w:type="dxa"/>
            <w:vAlign w:val="bottom"/>
          </w:tcPr>
          <w:p>
            <w:pPr>
              <w:spacing w:after="0"/>
              <w:rPr>
                <w:sz w:val="22"/>
                <w:szCs w:val="22"/>
                <w:color w:val="auto"/>
              </w:rPr>
            </w:pPr>
          </w:p>
        </w:tc>
        <w:tc>
          <w:tcPr>
            <w:tcW w:w="3860" w:type="dxa"/>
            <w:vAlign w:val="bottom"/>
            <w:gridSpan w:val="6"/>
          </w:tcPr>
          <w:p>
            <w:pPr>
              <w:spacing w:after="0"/>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Engagement with our Shareholders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60"/>
        </w:trPr>
        <w:tc>
          <w:tcPr>
            <w:tcW w:w="280" w:type="dxa"/>
            <w:vAlign w:val="bottom"/>
          </w:tcPr>
          <w:p>
            <w:pPr>
              <w:spacing w:after="0"/>
              <w:rPr>
                <w:sz w:val="22"/>
                <w:szCs w:val="22"/>
                <w:color w:val="auto"/>
              </w:rPr>
            </w:pPr>
          </w:p>
        </w:tc>
        <w:tc>
          <w:tcPr>
            <w:tcW w:w="3860" w:type="dxa"/>
            <w:vAlign w:val="bottom"/>
            <w:gridSpan w:val="6"/>
          </w:tcPr>
          <w:p>
            <w:pPr>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Corporate Responsibility Highlights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60"/>
        </w:trPr>
        <w:tc>
          <w:tcPr>
            <w:tcW w:w="280" w:type="dxa"/>
            <w:vAlign w:val="bottom"/>
          </w:tcPr>
          <w:p>
            <w:pPr>
              <w:spacing w:after="0"/>
              <w:rPr>
                <w:sz w:val="22"/>
                <w:szCs w:val="22"/>
                <w:color w:val="auto"/>
              </w:rPr>
            </w:pPr>
          </w:p>
        </w:tc>
        <w:tc>
          <w:tcPr>
            <w:tcW w:w="3860" w:type="dxa"/>
            <w:vAlign w:val="bottom"/>
            <w:gridSpan w:val="6"/>
          </w:tcPr>
          <w:p>
            <w:pPr>
              <w:spacing w:after="0"/>
              <w:rPr>
                <w:rFonts w:ascii="Arial" w:cs="Arial" w:eastAsia="Arial" w:hAnsi="Arial"/>
                <w:sz w:val="17"/>
                <w:szCs w:val="17"/>
                <w:u w:val="single" w:color="auto"/>
                <w:color w:val="0000EE"/>
              </w:rPr>
            </w:pPr>
            <w:hyperlink w:anchor="page36">
              <w:r>
                <w:rPr>
                  <w:rFonts w:ascii="Arial" w:cs="Arial" w:eastAsia="Arial" w:hAnsi="Arial"/>
                  <w:sz w:val="17"/>
                  <w:szCs w:val="17"/>
                  <w:u w:val="single" w:color="auto"/>
                  <w:color w:val="0000EE"/>
                </w:rPr>
                <w:t>Director Compensation</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60"/>
        </w:trPr>
        <w:tc>
          <w:tcPr>
            <w:tcW w:w="280" w:type="dxa"/>
            <w:vAlign w:val="bottom"/>
          </w:tcPr>
          <w:p>
            <w:pPr>
              <w:spacing w:after="0"/>
              <w:rPr>
                <w:sz w:val="22"/>
                <w:szCs w:val="22"/>
                <w:color w:val="auto"/>
              </w:rPr>
            </w:pPr>
          </w:p>
        </w:tc>
        <w:tc>
          <w:tcPr>
            <w:tcW w:w="3860" w:type="dxa"/>
            <w:vAlign w:val="bottom"/>
            <w:gridSpan w:val="6"/>
          </w:tcPr>
          <w:p>
            <w:pPr>
              <w:spacing w:after="0"/>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Certain Relationships and Related Transactions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21"/>
        </w:trPr>
        <w:tc>
          <w:tcPr>
            <w:tcW w:w="2480" w:type="dxa"/>
            <w:vAlign w:val="bottom"/>
            <w:tcBorders>
              <w:bottom w:val="single" w:sz="8" w:color="0000EE"/>
            </w:tcBorders>
            <w:gridSpan w:val="3"/>
          </w:tcPr>
          <w:p>
            <w:pPr>
              <w:spacing w:after="0"/>
              <w:rPr>
                <w:rFonts w:ascii="Arial" w:cs="Arial" w:eastAsia="Arial" w:hAnsi="Arial"/>
                <w:sz w:val="17"/>
                <w:szCs w:val="17"/>
                <w:color w:val="0000EE"/>
                <w:w w:val="92"/>
              </w:rPr>
            </w:pPr>
            <w:hyperlink w:anchor="page40">
              <w:r>
                <w:rPr>
                  <w:rFonts w:ascii="Arial" w:cs="Arial" w:eastAsia="Arial" w:hAnsi="Arial"/>
                  <w:sz w:val="17"/>
                  <w:szCs w:val="17"/>
                  <w:color w:val="0000EE"/>
                  <w:w w:val="92"/>
                </w:rPr>
                <w:t>Proposal 2 — Advisory Vote on the</w:t>
              </w:r>
            </w:hyperlink>
          </w:p>
        </w:tc>
        <w:tc>
          <w:tcPr>
            <w:tcW w:w="1660" w:type="dxa"/>
            <w:vAlign w:val="bottom"/>
            <w:gridSpan w:val="4"/>
          </w:tcPr>
          <w:p>
            <w:pPr>
              <w:spacing w:after="0"/>
              <w:rPr>
                <w:sz w:val="19"/>
                <w:szCs w:val="19"/>
                <w:color w:val="auto"/>
              </w:rPr>
            </w:pPr>
          </w:p>
        </w:tc>
        <w:tc>
          <w:tcPr>
            <w:tcW w:w="740" w:type="dxa"/>
            <w:vAlign w:val="bottom"/>
          </w:tcPr>
          <w:p>
            <w:pPr>
              <w:spacing w:after="0"/>
              <w:rPr>
                <w:sz w:val="19"/>
                <w:szCs w:val="19"/>
                <w:color w:val="auto"/>
              </w:rPr>
            </w:pPr>
          </w:p>
        </w:tc>
      </w:tr>
      <w:tr>
        <w:trPr>
          <w:trHeight w:val="227"/>
        </w:trPr>
        <w:tc>
          <w:tcPr>
            <w:tcW w:w="4140" w:type="dxa"/>
            <w:vAlign w:val="bottom"/>
            <w:gridSpan w:val="7"/>
          </w:tcPr>
          <w:p>
            <w:pPr>
              <w:spacing w:after="0"/>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Compensation of our Named Executive Officers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60"/>
        </w:trPr>
        <w:tc>
          <w:tcPr>
            <w:tcW w:w="4140" w:type="dxa"/>
            <w:vAlign w:val="bottom"/>
            <w:gridSpan w:val="7"/>
          </w:tcPr>
          <w:p>
            <w:pPr>
              <w:spacing w:after="0"/>
              <w:rPr>
                <w:rFonts w:ascii="Arial" w:cs="Arial" w:eastAsia="Arial" w:hAnsi="Arial"/>
                <w:sz w:val="17"/>
                <w:szCs w:val="17"/>
                <w:u w:val="single" w:color="auto"/>
                <w:color w:val="0000EE"/>
              </w:rPr>
            </w:pPr>
            <w:hyperlink w:anchor="page41">
              <w:r>
                <w:rPr>
                  <w:rFonts w:ascii="Arial" w:cs="Arial" w:eastAsia="Arial" w:hAnsi="Arial"/>
                  <w:sz w:val="17"/>
                  <w:szCs w:val="17"/>
                  <w:u w:val="single" w:color="auto"/>
                  <w:color w:val="0000EE"/>
                </w:rPr>
                <w:t>Information about Executive Compensation</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60"/>
        </w:trPr>
        <w:tc>
          <w:tcPr>
            <w:tcW w:w="280" w:type="dxa"/>
            <w:vAlign w:val="bottom"/>
          </w:tcPr>
          <w:p>
            <w:pPr>
              <w:spacing w:after="0"/>
              <w:rPr>
                <w:sz w:val="22"/>
                <w:szCs w:val="22"/>
                <w:color w:val="auto"/>
              </w:rPr>
            </w:pPr>
          </w:p>
        </w:tc>
        <w:tc>
          <w:tcPr>
            <w:tcW w:w="3860" w:type="dxa"/>
            <w:vAlign w:val="bottom"/>
            <w:gridSpan w:val="6"/>
          </w:tcPr>
          <w:p>
            <w:pPr>
              <w:spacing w:after="0"/>
              <w:rPr>
                <w:rFonts w:ascii="Arial" w:cs="Arial" w:eastAsia="Arial" w:hAnsi="Arial"/>
                <w:sz w:val="17"/>
                <w:szCs w:val="17"/>
                <w:u w:val="single" w:color="auto"/>
                <w:color w:val="0000EE"/>
              </w:rPr>
            </w:pPr>
            <w:hyperlink w:anchor="page41">
              <w:r>
                <w:rPr>
                  <w:rFonts w:ascii="Arial" w:cs="Arial" w:eastAsia="Arial" w:hAnsi="Arial"/>
                  <w:sz w:val="17"/>
                  <w:szCs w:val="17"/>
                  <w:u w:val="single" w:color="auto"/>
                  <w:color w:val="0000EE"/>
                </w:rPr>
                <w:t>Compensation Discussion and Analysis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21"/>
        </w:trPr>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Borders>
              <w:bottom w:val="single" w:sz="8" w:color="0000EE"/>
            </w:tcBorders>
            <w:gridSpan w:val="3"/>
          </w:tcPr>
          <w:p>
            <w:pPr>
              <w:spacing w:after="0"/>
              <w:rPr>
                <w:rFonts w:ascii="Arial" w:cs="Arial" w:eastAsia="Arial" w:hAnsi="Arial"/>
                <w:sz w:val="17"/>
                <w:szCs w:val="17"/>
                <w:color w:val="0000EE"/>
                <w:w w:val="91"/>
              </w:rPr>
            </w:pPr>
            <w:hyperlink w:anchor="page41">
              <w:r>
                <w:rPr>
                  <w:rFonts w:ascii="Arial" w:cs="Arial" w:eastAsia="Arial" w:hAnsi="Arial"/>
                  <w:sz w:val="17"/>
                  <w:szCs w:val="17"/>
                  <w:color w:val="0000EE"/>
                  <w:w w:val="91"/>
                </w:rPr>
                <w:t>Fiscal 2020 Financial Results and</w:t>
              </w:r>
            </w:hyperlink>
          </w:p>
        </w:tc>
        <w:tc>
          <w:tcPr>
            <w:tcW w:w="1240" w:type="dxa"/>
            <w:vAlign w:val="bottom"/>
            <w:gridSpan w:val="2"/>
          </w:tcPr>
          <w:p>
            <w:pPr>
              <w:spacing w:after="0"/>
              <w:rPr>
                <w:sz w:val="19"/>
                <w:szCs w:val="19"/>
                <w:color w:val="auto"/>
              </w:rPr>
            </w:pPr>
          </w:p>
        </w:tc>
        <w:tc>
          <w:tcPr>
            <w:tcW w:w="740" w:type="dxa"/>
            <w:vAlign w:val="bottom"/>
          </w:tcPr>
          <w:p>
            <w:pPr>
              <w:spacing w:after="0"/>
              <w:rPr>
                <w:sz w:val="19"/>
                <w:szCs w:val="19"/>
                <w:color w:val="auto"/>
              </w:rPr>
            </w:pPr>
          </w:p>
        </w:tc>
      </w:tr>
      <w:tr>
        <w:trPr>
          <w:trHeight w:val="227"/>
        </w:trPr>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80" w:type="dxa"/>
            <w:vAlign w:val="bottom"/>
            <w:gridSpan w:val="5"/>
          </w:tcPr>
          <w:p>
            <w:pPr>
              <w:spacing w:after="0"/>
              <w:rPr>
                <w:rFonts w:ascii="Arial" w:cs="Arial" w:eastAsia="Arial" w:hAnsi="Arial"/>
                <w:sz w:val="17"/>
                <w:szCs w:val="17"/>
                <w:u w:val="single" w:color="auto"/>
                <w:color w:val="0000EE"/>
              </w:rPr>
            </w:pPr>
            <w:hyperlink w:anchor="page41">
              <w:r>
                <w:rPr>
                  <w:rFonts w:ascii="Arial" w:cs="Arial" w:eastAsia="Arial" w:hAnsi="Arial"/>
                  <w:sz w:val="17"/>
                  <w:szCs w:val="17"/>
                  <w:u w:val="single" w:color="auto"/>
                  <w:color w:val="0000EE"/>
                </w:rPr>
                <w:t>Shareholder Value Creation</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60"/>
        </w:trPr>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80" w:type="dxa"/>
            <w:vAlign w:val="bottom"/>
            <w:gridSpan w:val="5"/>
          </w:tcPr>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Pay and Governance Best Practices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21"/>
        </w:trPr>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Borders>
              <w:bottom w:val="single" w:sz="8" w:color="0000EE"/>
            </w:tcBorders>
            <w:gridSpan w:val="4"/>
          </w:tcPr>
          <w:p>
            <w:pPr>
              <w:spacing w:after="0"/>
              <w:rPr>
                <w:rFonts w:ascii="Arial" w:cs="Arial" w:eastAsia="Arial" w:hAnsi="Arial"/>
                <w:sz w:val="17"/>
                <w:szCs w:val="17"/>
                <w:color w:val="0000EE"/>
                <w:w w:val="92"/>
              </w:rPr>
            </w:pPr>
            <w:hyperlink w:anchor="page44">
              <w:r>
                <w:rPr>
                  <w:rFonts w:ascii="Arial" w:cs="Arial" w:eastAsia="Arial" w:hAnsi="Arial"/>
                  <w:sz w:val="17"/>
                  <w:szCs w:val="17"/>
                  <w:color w:val="0000EE"/>
                  <w:w w:val="92"/>
                </w:rPr>
                <w:t>Factors Considered in Determining</w:t>
              </w:r>
            </w:hyperlink>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7"/>
        </w:trPr>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80" w:type="dxa"/>
            <w:vAlign w:val="bottom"/>
            <w:gridSpan w:val="5"/>
          </w:tcPr>
          <w:p>
            <w:pPr>
              <w:spacing w:after="0"/>
              <w:rPr>
                <w:rFonts w:ascii="Arial" w:cs="Arial" w:eastAsia="Arial" w:hAnsi="Arial"/>
                <w:sz w:val="17"/>
                <w:szCs w:val="17"/>
                <w:u w:val="single" w:color="auto"/>
                <w:color w:val="0000EE"/>
              </w:rPr>
            </w:pPr>
            <w:hyperlink w:anchor="page44">
              <w:r>
                <w:rPr>
                  <w:rFonts w:ascii="Arial" w:cs="Arial" w:eastAsia="Arial" w:hAnsi="Arial"/>
                  <w:sz w:val="17"/>
                  <w:szCs w:val="17"/>
                  <w:u w:val="single" w:color="auto"/>
                  <w:color w:val="0000EE"/>
                </w:rPr>
                <w:t>Fiscal 2020 Target Compensation Levels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60"/>
        </w:trPr>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80" w:type="dxa"/>
            <w:vAlign w:val="bottom"/>
            <w:gridSpan w:val="5"/>
          </w:tcPr>
          <w:p>
            <w:pPr>
              <w:spacing w:after="0"/>
              <w:rPr>
                <w:rFonts w:ascii="Arial" w:cs="Arial" w:eastAsia="Arial" w:hAnsi="Arial"/>
                <w:sz w:val="17"/>
                <w:szCs w:val="17"/>
                <w:u w:val="single" w:color="auto"/>
                <w:color w:val="0000EE"/>
              </w:rPr>
            </w:pPr>
            <w:hyperlink w:anchor="page44">
              <w:r>
                <w:rPr>
                  <w:rFonts w:ascii="Arial" w:cs="Arial" w:eastAsia="Arial" w:hAnsi="Arial"/>
                  <w:sz w:val="17"/>
                  <w:szCs w:val="17"/>
                  <w:u w:val="single" w:color="auto"/>
                  <w:color w:val="0000EE"/>
                </w:rPr>
                <w:t>Components of Executive Compensation</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60"/>
        </w:trPr>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80" w:type="dxa"/>
            <w:vAlign w:val="bottom"/>
            <w:gridSpan w:val="5"/>
          </w:tcPr>
          <w:p>
            <w:pPr>
              <w:spacing w:after="0"/>
              <w:rPr>
                <w:rFonts w:ascii="Arial" w:cs="Arial" w:eastAsia="Arial" w:hAnsi="Arial"/>
                <w:sz w:val="17"/>
                <w:szCs w:val="17"/>
                <w:u w:val="single" w:color="auto"/>
                <w:color w:val="0000EE"/>
              </w:rPr>
            </w:pPr>
            <w:hyperlink w:anchor="page52">
              <w:r>
                <w:rPr>
                  <w:rFonts w:ascii="Arial" w:cs="Arial" w:eastAsia="Arial" w:hAnsi="Arial"/>
                  <w:sz w:val="17"/>
                  <w:szCs w:val="17"/>
                  <w:u w:val="single" w:color="auto"/>
                  <w:color w:val="0000EE"/>
                </w:rPr>
                <w:t>Compensation Processes and Policies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42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260" w:type="dxa"/>
            <w:vAlign w:val="bottom"/>
          </w:tcPr>
          <w:p>
            <w:pPr>
              <w:spacing w:after="0"/>
              <w:rPr>
                <w:sz w:val="19"/>
                <w:szCs w:val="19"/>
                <w:color w:val="auto"/>
              </w:rPr>
            </w:pPr>
          </w:p>
        </w:tc>
        <w:tc>
          <w:tcPr>
            <w:tcW w:w="4220" w:type="dxa"/>
            <w:vAlign w:val="bottom"/>
            <w:gridSpan w:val="6"/>
          </w:tcPr>
          <w:p>
            <w:pPr>
              <w:spacing w:after="0"/>
              <w:rPr>
                <w:rFonts w:ascii="Arial" w:cs="Arial" w:eastAsia="Arial" w:hAnsi="Arial"/>
                <w:sz w:val="17"/>
                <w:szCs w:val="17"/>
                <w:u w:val="single" w:color="auto"/>
                <w:color w:val="0000EE"/>
              </w:rPr>
            </w:pPr>
            <w:hyperlink w:anchor="page56">
              <w:r>
                <w:rPr>
                  <w:rFonts w:ascii="Arial" w:cs="Arial" w:eastAsia="Arial" w:hAnsi="Arial"/>
                  <w:sz w:val="17"/>
                  <w:szCs w:val="17"/>
                  <w:u w:val="single" w:color="auto"/>
                  <w:color w:val="0000EE"/>
                </w:rPr>
                <w:t>Summary Compensation Table</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60"/>
        </w:trPr>
        <w:tc>
          <w:tcPr>
            <w:tcW w:w="260" w:type="dxa"/>
            <w:vAlign w:val="bottom"/>
          </w:tcPr>
          <w:p>
            <w:pPr>
              <w:spacing w:after="0"/>
              <w:rPr>
                <w:sz w:val="22"/>
                <w:szCs w:val="22"/>
                <w:color w:val="auto"/>
              </w:rPr>
            </w:pPr>
          </w:p>
        </w:tc>
        <w:tc>
          <w:tcPr>
            <w:tcW w:w="4220" w:type="dxa"/>
            <w:vAlign w:val="bottom"/>
            <w:gridSpan w:val="6"/>
          </w:tcPr>
          <w:p>
            <w:pPr>
              <w:spacing w:after="0"/>
              <w:rPr>
                <w:rFonts w:ascii="Arial" w:cs="Arial" w:eastAsia="Arial" w:hAnsi="Arial"/>
                <w:sz w:val="17"/>
                <w:szCs w:val="17"/>
                <w:u w:val="single" w:color="auto"/>
                <w:color w:val="0000EE"/>
              </w:rPr>
            </w:pPr>
            <w:hyperlink w:anchor="page60">
              <w:r>
                <w:rPr>
                  <w:rFonts w:ascii="Arial" w:cs="Arial" w:eastAsia="Arial" w:hAnsi="Arial"/>
                  <w:sz w:val="17"/>
                  <w:szCs w:val="17"/>
                  <w:u w:val="single" w:color="auto"/>
                  <w:color w:val="0000EE"/>
                </w:rPr>
                <w:t>Grants of Plan-Based Awards in Fiscal 2020</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60"/>
        </w:trPr>
        <w:tc>
          <w:tcPr>
            <w:tcW w:w="260" w:type="dxa"/>
            <w:vAlign w:val="bottom"/>
          </w:tcPr>
          <w:p>
            <w:pPr>
              <w:spacing w:after="0"/>
              <w:rPr>
                <w:sz w:val="22"/>
                <w:szCs w:val="22"/>
                <w:color w:val="auto"/>
              </w:rPr>
            </w:pPr>
          </w:p>
        </w:tc>
        <w:tc>
          <w:tcPr>
            <w:tcW w:w="4220" w:type="dxa"/>
            <w:vAlign w:val="bottom"/>
            <w:gridSpan w:val="6"/>
          </w:tcPr>
          <w:p>
            <w:pPr>
              <w:spacing w:after="0"/>
              <w:rPr>
                <w:rFonts w:ascii="Arial" w:cs="Arial" w:eastAsia="Arial" w:hAnsi="Arial"/>
                <w:sz w:val="17"/>
                <w:szCs w:val="17"/>
                <w:u w:val="single" w:color="auto"/>
                <w:color w:val="0000EE"/>
              </w:rPr>
            </w:pPr>
            <w:hyperlink w:anchor="page62">
              <w:r>
                <w:rPr>
                  <w:rFonts w:ascii="Arial" w:cs="Arial" w:eastAsia="Arial" w:hAnsi="Arial"/>
                  <w:sz w:val="17"/>
                  <w:szCs w:val="17"/>
                  <w:u w:val="single" w:color="auto"/>
                  <w:color w:val="0000EE"/>
                </w:rPr>
                <w:t>Outstanding Equity Awards at Fiscal Year-End 2020</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60"/>
        </w:trPr>
        <w:tc>
          <w:tcPr>
            <w:tcW w:w="260" w:type="dxa"/>
            <w:vAlign w:val="bottom"/>
          </w:tcPr>
          <w:p>
            <w:pPr>
              <w:spacing w:after="0"/>
              <w:rPr>
                <w:sz w:val="22"/>
                <w:szCs w:val="22"/>
                <w:color w:val="auto"/>
              </w:rPr>
            </w:pPr>
          </w:p>
        </w:tc>
        <w:tc>
          <w:tcPr>
            <w:tcW w:w="4220" w:type="dxa"/>
            <w:vAlign w:val="bottom"/>
            <w:gridSpan w:val="6"/>
          </w:tcPr>
          <w:p>
            <w:pPr>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Option Exercises and Stock Vested During Fiscal 2020</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60"/>
        </w:trPr>
        <w:tc>
          <w:tcPr>
            <w:tcW w:w="260" w:type="dxa"/>
            <w:vAlign w:val="bottom"/>
          </w:tcPr>
          <w:p>
            <w:pPr>
              <w:spacing w:after="0"/>
              <w:rPr>
                <w:sz w:val="22"/>
                <w:szCs w:val="22"/>
                <w:color w:val="auto"/>
              </w:rPr>
            </w:pPr>
          </w:p>
        </w:tc>
        <w:tc>
          <w:tcPr>
            <w:tcW w:w="4220" w:type="dxa"/>
            <w:vAlign w:val="bottom"/>
            <w:gridSpan w:val="6"/>
          </w:tcPr>
          <w:p>
            <w:pPr>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Non-Qualified Deferred Compensation Plan</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60"/>
        </w:trPr>
        <w:tc>
          <w:tcPr>
            <w:tcW w:w="260" w:type="dxa"/>
            <w:vAlign w:val="bottom"/>
          </w:tcPr>
          <w:p>
            <w:pPr>
              <w:spacing w:after="0"/>
              <w:rPr>
                <w:sz w:val="22"/>
                <w:szCs w:val="22"/>
                <w:color w:val="auto"/>
              </w:rPr>
            </w:pPr>
          </w:p>
        </w:tc>
        <w:tc>
          <w:tcPr>
            <w:tcW w:w="4220" w:type="dxa"/>
            <w:vAlign w:val="bottom"/>
            <w:gridSpan w:val="6"/>
          </w:tcPr>
          <w:p>
            <w:pPr>
              <w:spacing w:after="0"/>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Change in Control Benefits</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60"/>
        </w:trPr>
        <w:tc>
          <w:tcPr>
            <w:tcW w:w="260" w:type="dxa"/>
            <w:vAlign w:val="bottom"/>
          </w:tcPr>
          <w:p>
            <w:pPr>
              <w:spacing w:after="0"/>
              <w:rPr>
                <w:sz w:val="22"/>
                <w:szCs w:val="22"/>
                <w:color w:val="auto"/>
              </w:rPr>
            </w:pPr>
          </w:p>
        </w:tc>
        <w:tc>
          <w:tcPr>
            <w:tcW w:w="4220" w:type="dxa"/>
            <w:vAlign w:val="bottom"/>
            <w:gridSpan w:val="6"/>
          </w:tcPr>
          <w:p>
            <w:pPr>
              <w:spacing w:after="0"/>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CEO Pay Ratio</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60"/>
        </w:trPr>
        <w:tc>
          <w:tcPr>
            <w:tcW w:w="260" w:type="dxa"/>
            <w:vAlign w:val="bottom"/>
          </w:tcPr>
          <w:p>
            <w:pPr>
              <w:spacing w:after="0"/>
              <w:rPr>
                <w:sz w:val="22"/>
                <w:szCs w:val="22"/>
                <w:color w:val="auto"/>
              </w:rPr>
            </w:pPr>
          </w:p>
        </w:tc>
        <w:tc>
          <w:tcPr>
            <w:tcW w:w="4220" w:type="dxa"/>
            <w:vAlign w:val="bottom"/>
            <w:gridSpan w:val="6"/>
          </w:tcPr>
          <w:p>
            <w:pPr>
              <w:spacing w:after="0"/>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Equity Award Program Description</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21"/>
        </w:trPr>
        <w:tc>
          <w:tcPr>
            <w:tcW w:w="260" w:type="dxa"/>
            <w:vAlign w:val="bottom"/>
          </w:tcPr>
          <w:p>
            <w:pPr>
              <w:spacing w:after="0"/>
              <w:rPr>
                <w:sz w:val="19"/>
                <w:szCs w:val="19"/>
                <w:color w:val="auto"/>
              </w:rPr>
            </w:pPr>
          </w:p>
        </w:tc>
        <w:tc>
          <w:tcPr>
            <w:tcW w:w="4220" w:type="dxa"/>
            <w:vAlign w:val="bottom"/>
            <w:gridSpan w:val="6"/>
          </w:tcPr>
          <w:p>
            <w:pPr>
              <w:spacing w:after="0"/>
              <w:rPr>
                <w:rFonts w:ascii="Arial" w:cs="Arial" w:eastAsia="Arial" w:hAnsi="Arial"/>
                <w:sz w:val="17"/>
                <w:szCs w:val="17"/>
                <w:color w:val="0000EE"/>
              </w:rPr>
            </w:pPr>
            <w:hyperlink w:anchor="page70">
              <w:r>
                <w:rPr>
                  <w:rFonts w:ascii="Arial" w:cs="Arial" w:eastAsia="Arial" w:hAnsi="Arial"/>
                  <w:sz w:val="17"/>
                  <w:szCs w:val="17"/>
                  <w:color w:val="0000EE"/>
                </w:rPr>
                <w:t>Securities Authorized for Issuance</w:t>
              </w:r>
            </w:hyperlink>
          </w:p>
        </w:tc>
        <w:tc>
          <w:tcPr>
            <w:tcW w:w="50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7"/>
        </w:trPr>
        <w:tc>
          <w:tcPr>
            <w:tcW w:w="260" w:type="dxa"/>
            <w:vAlign w:val="bottom"/>
          </w:tcPr>
          <w:p>
            <w:pPr>
              <w:spacing w:after="0"/>
              <w:rPr>
                <w:sz w:val="19"/>
                <w:szCs w:val="19"/>
                <w:color w:val="auto"/>
              </w:rPr>
            </w:pPr>
          </w:p>
        </w:tc>
        <w:tc>
          <w:tcPr>
            <w:tcW w:w="4220" w:type="dxa"/>
            <w:vAlign w:val="bottom"/>
            <w:gridSpan w:val="6"/>
          </w:tcPr>
          <w:p>
            <w:pPr>
              <w:spacing w:after="0"/>
              <w:rPr>
                <w:rFonts w:ascii="Arial" w:cs="Arial" w:eastAsia="Arial" w:hAnsi="Arial"/>
                <w:sz w:val="17"/>
                <w:szCs w:val="17"/>
                <w:u w:val="single" w:color="auto"/>
                <w:color w:val="0000EE"/>
              </w:rPr>
            </w:pPr>
            <w:hyperlink w:anchor="page70">
              <w:r>
                <w:rPr>
                  <w:rFonts w:ascii="Arial" w:cs="Arial" w:eastAsia="Arial" w:hAnsi="Arial"/>
                  <w:sz w:val="17"/>
                  <w:szCs w:val="17"/>
                  <w:u w:val="single" w:color="auto"/>
                  <w:color w:val="0000EE"/>
                </w:rPr>
                <w:t>Under Equity Compensation Plans</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1"/>
        </w:trPr>
        <w:tc>
          <w:tcPr>
            <w:tcW w:w="260" w:type="dxa"/>
            <w:vAlign w:val="bottom"/>
          </w:tcPr>
          <w:p>
            <w:pPr>
              <w:spacing w:after="0"/>
              <w:rPr>
                <w:sz w:val="19"/>
                <w:szCs w:val="19"/>
                <w:color w:val="auto"/>
              </w:rPr>
            </w:pPr>
          </w:p>
        </w:tc>
        <w:tc>
          <w:tcPr>
            <w:tcW w:w="4220" w:type="dxa"/>
            <w:vAlign w:val="bottom"/>
            <w:gridSpan w:val="6"/>
          </w:tcPr>
          <w:p>
            <w:pPr>
              <w:spacing w:after="0"/>
              <w:rPr>
                <w:rFonts w:ascii="Arial" w:cs="Arial" w:eastAsia="Arial" w:hAnsi="Arial"/>
                <w:sz w:val="17"/>
                <w:szCs w:val="17"/>
                <w:color w:val="0000EE"/>
              </w:rPr>
            </w:pPr>
            <w:hyperlink w:anchor="page70">
              <w:r>
                <w:rPr>
                  <w:rFonts w:ascii="Arial" w:cs="Arial" w:eastAsia="Arial" w:hAnsi="Arial"/>
                  <w:sz w:val="17"/>
                  <w:szCs w:val="17"/>
                  <w:color w:val="0000EE"/>
                </w:rPr>
                <w:t>Compensation Committee</w:t>
              </w:r>
            </w:hyperlink>
          </w:p>
        </w:tc>
        <w:tc>
          <w:tcPr>
            <w:tcW w:w="50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7"/>
        </w:trPr>
        <w:tc>
          <w:tcPr>
            <w:tcW w:w="260" w:type="dxa"/>
            <w:vAlign w:val="bottom"/>
          </w:tcPr>
          <w:p>
            <w:pPr>
              <w:spacing w:after="0"/>
              <w:rPr>
                <w:sz w:val="19"/>
                <w:szCs w:val="19"/>
                <w:color w:val="auto"/>
              </w:rPr>
            </w:pPr>
          </w:p>
        </w:tc>
        <w:tc>
          <w:tcPr>
            <w:tcW w:w="4220" w:type="dxa"/>
            <w:vAlign w:val="bottom"/>
            <w:gridSpan w:val="6"/>
          </w:tcPr>
          <w:p>
            <w:pPr>
              <w:spacing w:after="0"/>
              <w:rPr>
                <w:rFonts w:ascii="Arial" w:cs="Arial" w:eastAsia="Arial" w:hAnsi="Arial"/>
                <w:sz w:val="17"/>
                <w:szCs w:val="17"/>
                <w:u w:val="single" w:color="auto"/>
                <w:color w:val="0000EE"/>
              </w:rPr>
            </w:pPr>
            <w:hyperlink w:anchor="page70">
              <w:r>
                <w:rPr>
                  <w:rFonts w:ascii="Arial" w:cs="Arial" w:eastAsia="Arial" w:hAnsi="Arial"/>
                  <w:sz w:val="17"/>
                  <w:szCs w:val="17"/>
                  <w:u w:val="single" w:color="auto"/>
                  <w:color w:val="0000EE"/>
                </w:rPr>
                <w:t>Interlocks and Insider Participation</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60"/>
        </w:trPr>
        <w:tc>
          <w:tcPr>
            <w:tcW w:w="260" w:type="dxa"/>
            <w:vAlign w:val="bottom"/>
          </w:tcPr>
          <w:p>
            <w:pPr>
              <w:spacing w:after="0"/>
              <w:rPr>
                <w:sz w:val="22"/>
                <w:szCs w:val="22"/>
                <w:color w:val="auto"/>
              </w:rPr>
            </w:pPr>
          </w:p>
        </w:tc>
        <w:tc>
          <w:tcPr>
            <w:tcW w:w="4220" w:type="dxa"/>
            <w:vAlign w:val="bottom"/>
            <w:gridSpan w:val="6"/>
          </w:tcPr>
          <w:p>
            <w:pPr>
              <w:spacing w:after="0"/>
              <w:rPr>
                <w:rFonts w:ascii="Arial" w:cs="Arial" w:eastAsia="Arial" w:hAnsi="Arial"/>
                <w:sz w:val="17"/>
                <w:szCs w:val="17"/>
                <w:u w:val="single" w:color="auto"/>
                <w:color w:val="0000EE"/>
              </w:rPr>
            </w:pPr>
            <w:hyperlink w:anchor="page70">
              <w:r>
                <w:rPr>
                  <w:rFonts w:ascii="Arial" w:cs="Arial" w:eastAsia="Arial" w:hAnsi="Arial"/>
                  <w:sz w:val="17"/>
                  <w:szCs w:val="17"/>
                  <w:u w:val="single" w:color="auto"/>
                  <w:color w:val="0000EE"/>
                </w:rPr>
                <w:t>Compensation Committee Report</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1"/>
        </w:trPr>
        <w:tc>
          <w:tcPr>
            <w:tcW w:w="4480" w:type="dxa"/>
            <w:vAlign w:val="bottom"/>
            <w:gridSpan w:val="7"/>
          </w:tcPr>
          <w:p>
            <w:pPr>
              <w:spacing w:after="0"/>
              <w:rPr>
                <w:rFonts w:ascii="Arial" w:cs="Arial" w:eastAsia="Arial" w:hAnsi="Arial"/>
                <w:sz w:val="17"/>
                <w:szCs w:val="17"/>
                <w:color w:val="0000EE"/>
              </w:rPr>
            </w:pPr>
            <w:hyperlink w:anchor="page71">
              <w:r>
                <w:rPr>
                  <w:rFonts w:ascii="Arial" w:cs="Arial" w:eastAsia="Arial" w:hAnsi="Arial"/>
                  <w:sz w:val="17"/>
                  <w:szCs w:val="17"/>
                  <w:color w:val="0000EE"/>
                </w:rPr>
                <w:t>Proposal 3 — Ratification of Selection</w:t>
              </w:r>
            </w:hyperlink>
          </w:p>
        </w:tc>
        <w:tc>
          <w:tcPr>
            <w:tcW w:w="500" w:type="dxa"/>
            <w:vAlign w:val="bottom"/>
          </w:tcPr>
          <w:p>
            <w:pPr>
              <w:spacing w:after="0"/>
              <w:rPr>
                <w:sz w:val="19"/>
                <w:szCs w:val="19"/>
                <w:color w:val="auto"/>
              </w:rPr>
            </w:pPr>
          </w:p>
        </w:tc>
      </w:tr>
      <w:tr>
        <w:trPr>
          <w:trHeight w:val="20"/>
        </w:trPr>
        <w:tc>
          <w:tcPr>
            <w:tcW w:w="170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7"/>
        </w:trPr>
        <w:tc>
          <w:tcPr>
            <w:tcW w:w="4480" w:type="dxa"/>
            <w:vAlign w:val="bottom"/>
            <w:gridSpan w:val="7"/>
          </w:tcPr>
          <w:p>
            <w:pPr>
              <w:spacing w:after="0"/>
              <w:rPr>
                <w:rFonts w:ascii="Arial" w:cs="Arial" w:eastAsia="Arial" w:hAnsi="Arial"/>
                <w:sz w:val="17"/>
                <w:szCs w:val="17"/>
                <w:u w:val="single" w:color="auto"/>
                <w:color w:val="0000EE"/>
              </w:rPr>
            </w:pPr>
            <w:hyperlink w:anchor="page71">
              <w:r>
                <w:rPr>
                  <w:rFonts w:ascii="Arial" w:cs="Arial" w:eastAsia="Arial" w:hAnsi="Arial"/>
                  <w:sz w:val="17"/>
                  <w:szCs w:val="17"/>
                  <w:u w:val="single" w:color="auto"/>
                  <w:color w:val="0000EE"/>
                </w:rPr>
                <w:t>of Independent Registered Public Accounting Firm</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60"/>
        </w:trPr>
        <w:tc>
          <w:tcPr>
            <w:tcW w:w="260" w:type="dxa"/>
            <w:vAlign w:val="bottom"/>
          </w:tcPr>
          <w:p>
            <w:pPr>
              <w:spacing w:after="0"/>
              <w:rPr>
                <w:sz w:val="22"/>
                <w:szCs w:val="22"/>
                <w:color w:val="auto"/>
              </w:rPr>
            </w:pPr>
          </w:p>
        </w:tc>
        <w:tc>
          <w:tcPr>
            <w:tcW w:w="4220" w:type="dxa"/>
            <w:vAlign w:val="bottom"/>
            <w:gridSpan w:val="6"/>
          </w:tcPr>
          <w:p>
            <w:pPr>
              <w:spacing w:after="0"/>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Independent Registered Public Accounting Firm Fees</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60"/>
        </w:trPr>
        <w:tc>
          <w:tcPr>
            <w:tcW w:w="260" w:type="dxa"/>
            <w:vAlign w:val="bottom"/>
          </w:tcPr>
          <w:p>
            <w:pPr>
              <w:spacing w:after="0"/>
              <w:rPr>
                <w:sz w:val="22"/>
                <w:szCs w:val="22"/>
                <w:color w:val="auto"/>
              </w:rPr>
            </w:pPr>
          </w:p>
        </w:tc>
        <w:tc>
          <w:tcPr>
            <w:tcW w:w="4220" w:type="dxa"/>
            <w:vAlign w:val="bottom"/>
            <w:gridSpan w:val="6"/>
          </w:tcPr>
          <w:p>
            <w:pPr>
              <w:spacing w:after="0"/>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Audit Committee’s Pre-Approval Policy and Procedures</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60"/>
        </w:trPr>
        <w:tc>
          <w:tcPr>
            <w:tcW w:w="260" w:type="dxa"/>
            <w:vAlign w:val="bottom"/>
          </w:tcPr>
          <w:p>
            <w:pPr>
              <w:spacing w:after="0"/>
              <w:rPr>
                <w:sz w:val="22"/>
                <w:szCs w:val="22"/>
                <w:color w:val="auto"/>
              </w:rPr>
            </w:pPr>
          </w:p>
        </w:tc>
        <w:tc>
          <w:tcPr>
            <w:tcW w:w="4220" w:type="dxa"/>
            <w:vAlign w:val="bottom"/>
            <w:gridSpan w:val="6"/>
          </w:tcPr>
          <w:p>
            <w:pPr>
              <w:spacing w:after="0"/>
              <w:rPr>
                <w:rFonts w:ascii="Arial" w:cs="Arial" w:eastAsia="Arial" w:hAnsi="Arial"/>
                <w:sz w:val="17"/>
                <w:szCs w:val="17"/>
                <w:u w:val="single" w:color="auto"/>
                <w:color w:val="0000EE"/>
              </w:rPr>
            </w:pPr>
            <w:hyperlink w:anchor="page73">
              <w:r>
                <w:rPr>
                  <w:rFonts w:ascii="Arial" w:cs="Arial" w:eastAsia="Arial" w:hAnsi="Arial"/>
                  <w:sz w:val="17"/>
                  <w:szCs w:val="17"/>
                  <w:u w:val="single" w:color="auto"/>
                  <w:color w:val="0000EE"/>
                </w:rPr>
                <w:t>Audit Committee Report</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60"/>
        </w:trPr>
        <w:tc>
          <w:tcPr>
            <w:tcW w:w="4480" w:type="dxa"/>
            <w:vAlign w:val="bottom"/>
            <w:gridSpan w:val="7"/>
          </w:tcPr>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Other Matters</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60"/>
        </w:trPr>
        <w:tc>
          <w:tcPr>
            <w:tcW w:w="4480" w:type="dxa"/>
            <w:vAlign w:val="bottom"/>
            <w:gridSpan w:val="7"/>
          </w:tcPr>
          <w:p>
            <w:pPr>
              <w:spacing w:after="0"/>
              <w:rPr>
                <w:rFonts w:ascii="Arial" w:cs="Arial" w:eastAsia="Arial" w:hAnsi="Arial"/>
                <w:sz w:val="17"/>
                <w:szCs w:val="17"/>
                <w:u w:val="single" w:color="auto"/>
                <w:color w:val="0000EE"/>
              </w:rPr>
            </w:pPr>
            <w:hyperlink w:anchor="page75">
              <w:r>
                <w:rPr>
                  <w:rFonts w:ascii="Arial" w:cs="Arial" w:eastAsia="Arial" w:hAnsi="Arial"/>
                  <w:sz w:val="17"/>
                  <w:szCs w:val="17"/>
                  <w:u w:val="single" w:color="auto"/>
                  <w:color w:val="0000EE"/>
                </w:rPr>
                <w:t>Q&amp;A About Annual Meeting and Voting</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60"/>
        </w:trPr>
        <w:tc>
          <w:tcPr>
            <w:tcW w:w="4480" w:type="dxa"/>
            <w:vAlign w:val="bottom"/>
            <w:gridSpan w:val="7"/>
          </w:tcPr>
          <w:p>
            <w:pPr>
              <w:spacing w:after="0"/>
              <w:rPr>
                <w:rFonts w:ascii="Arial" w:cs="Arial" w:eastAsia="Arial" w:hAnsi="Arial"/>
                <w:sz w:val="17"/>
                <w:szCs w:val="17"/>
                <w:u w:val="single" w:color="auto"/>
                <w:color w:val="0000EE"/>
              </w:rPr>
            </w:pPr>
            <w:hyperlink w:anchor="page79">
              <w:r>
                <w:rPr>
                  <w:rFonts w:ascii="Arial" w:cs="Arial" w:eastAsia="Arial" w:hAnsi="Arial"/>
                  <w:sz w:val="17"/>
                  <w:szCs w:val="17"/>
                  <w:u w:val="single" w:color="auto"/>
                  <w:color w:val="0000EE"/>
                </w:rPr>
                <w:t>Additional Information</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60"/>
        </w:trPr>
        <w:tc>
          <w:tcPr>
            <w:tcW w:w="260" w:type="dxa"/>
            <w:vAlign w:val="bottom"/>
          </w:tcPr>
          <w:p>
            <w:pPr>
              <w:spacing w:after="0"/>
              <w:rPr>
                <w:sz w:val="22"/>
                <w:szCs w:val="22"/>
                <w:color w:val="auto"/>
              </w:rPr>
            </w:pPr>
          </w:p>
        </w:tc>
        <w:tc>
          <w:tcPr>
            <w:tcW w:w="4220" w:type="dxa"/>
            <w:vAlign w:val="bottom"/>
            <w:gridSpan w:val="6"/>
          </w:tcPr>
          <w:p>
            <w:pPr>
              <w:spacing w:after="0"/>
              <w:rPr>
                <w:rFonts w:ascii="Arial" w:cs="Arial" w:eastAsia="Arial" w:hAnsi="Arial"/>
                <w:sz w:val="17"/>
                <w:szCs w:val="17"/>
                <w:u w:val="single" w:color="auto"/>
                <w:color w:val="0000EE"/>
              </w:rPr>
            </w:pPr>
            <w:hyperlink w:anchor="page79">
              <w:r>
                <w:rPr>
                  <w:rFonts w:ascii="Arial" w:cs="Arial" w:eastAsia="Arial" w:hAnsi="Arial"/>
                  <w:sz w:val="17"/>
                  <w:szCs w:val="17"/>
                  <w:u w:val="single" w:color="auto"/>
                  <w:color w:val="0000EE"/>
                </w:rPr>
                <w:t>Householding of Annual Meeting Materials</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60"/>
        </w:trPr>
        <w:tc>
          <w:tcPr>
            <w:tcW w:w="260" w:type="dxa"/>
            <w:vAlign w:val="bottom"/>
          </w:tcPr>
          <w:p>
            <w:pPr>
              <w:spacing w:after="0"/>
              <w:rPr>
                <w:sz w:val="22"/>
                <w:szCs w:val="22"/>
                <w:color w:val="auto"/>
              </w:rPr>
            </w:pPr>
          </w:p>
        </w:tc>
        <w:tc>
          <w:tcPr>
            <w:tcW w:w="4220" w:type="dxa"/>
            <w:vAlign w:val="bottom"/>
            <w:gridSpan w:val="6"/>
          </w:tcPr>
          <w:p>
            <w:pPr>
              <w:spacing w:after="0"/>
              <w:rPr>
                <w:rFonts w:ascii="Arial" w:cs="Arial" w:eastAsia="Arial" w:hAnsi="Arial"/>
                <w:sz w:val="17"/>
                <w:szCs w:val="17"/>
                <w:u w:val="single" w:color="auto"/>
                <w:color w:val="0000EE"/>
              </w:rPr>
            </w:pPr>
            <w:hyperlink w:anchor="page79">
              <w:r>
                <w:rPr>
                  <w:rFonts w:ascii="Arial" w:cs="Arial" w:eastAsia="Arial" w:hAnsi="Arial"/>
                  <w:sz w:val="17"/>
                  <w:szCs w:val="17"/>
                  <w:u w:val="single" w:color="auto"/>
                  <w:color w:val="0000EE"/>
                </w:rPr>
                <w:t>Security Ownership of Certain Beneficial Owners</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60"/>
        </w:trPr>
        <w:tc>
          <w:tcPr>
            <w:tcW w:w="260" w:type="dxa"/>
            <w:vAlign w:val="bottom"/>
          </w:tcPr>
          <w:p>
            <w:pPr>
              <w:spacing w:after="0"/>
              <w:rPr>
                <w:sz w:val="22"/>
                <w:szCs w:val="22"/>
                <w:color w:val="auto"/>
              </w:rPr>
            </w:pPr>
          </w:p>
        </w:tc>
        <w:tc>
          <w:tcPr>
            <w:tcW w:w="4220" w:type="dxa"/>
            <w:vAlign w:val="bottom"/>
            <w:gridSpan w:val="6"/>
          </w:tcPr>
          <w:p>
            <w:pPr>
              <w:spacing w:after="0"/>
              <w:rPr>
                <w:rFonts w:ascii="Arial" w:cs="Arial" w:eastAsia="Arial" w:hAnsi="Arial"/>
                <w:sz w:val="17"/>
                <w:szCs w:val="17"/>
                <w:u w:val="single" w:color="auto"/>
                <w:color w:val="0000EE"/>
              </w:rPr>
            </w:pPr>
            <w:hyperlink w:anchor="page80">
              <w:r>
                <w:rPr>
                  <w:rFonts w:ascii="Arial" w:cs="Arial" w:eastAsia="Arial" w:hAnsi="Arial"/>
                  <w:sz w:val="17"/>
                  <w:szCs w:val="17"/>
                  <w:u w:val="single" w:color="auto"/>
                  <w:color w:val="0000EE"/>
                </w:rPr>
                <w:t>Security Ownership of Directors and Executive Officers</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60"/>
        </w:trPr>
        <w:tc>
          <w:tcPr>
            <w:tcW w:w="260" w:type="dxa"/>
            <w:vAlign w:val="bottom"/>
          </w:tcPr>
          <w:p>
            <w:pPr>
              <w:spacing w:after="0"/>
              <w:rPr>
                <w:sz w:val="22"/>
                <w:szCs w:val="22"/>
                <w:color w:val="auto"/>
              </w:rPr>
            </w:pPr>
          </w:p>
        </w:tc>
        <w:tc>
          <w:tcPr>
            <w:tcW w:w="4220" w:type="dxa"/>
            <w:vAlign w:val="bottom"/>
            <w:gridSpan w:val="6"/>
          </w:tcPr>
          <w:p>
            <w:pPr>
              <w:spacing w:after="0"/>
              <w:rPr>
                <w:rFonts w:ascii="Arial" w:cs="Arial" w:eastAsia="Arial" w:hAnsi="Arial"/>
                <w:sz w:val="17"/>
                <w:szCs w:val="17"/>
                <w:u w:val="single" w:color="auto"/>
                <w:color w:val="0000EE"/>
              </w:rPr>
            </w:pPr>
            <w:hyperlink w:anchor="page80">
              <w:r>
                <w:rPr>
                  <w:rFonts w:ascii="Arial" w:cs="Arial" w:eastAsia="Arial" w:hAnsi="Arial"/>
                  <w:sz w:val="17"/>
                  <w:szCs w:val="17"/>
                  <w:u w:val="single" w:color="auto"/>
                  <w:color w:val="0000EE"/>
                </w:rPr>
                <w:t>Delinquent Section 16(a) Reports</w:t>
              </w:r>
            </w:hyperlink>
          </w:p>
        </w:tc>
        <w:tc>
          <w:tcPr>
            <w:tcW w:w="5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21"/>
        </w:trPr>
        <w:tc>
          <w:tcPr>
            <w:tcW w:w="3360" w:type="dxa"/>
            <w:vAlign w:val="bottom"/>
            <w:tcBorders>
              <w:bottom w:val="single" w:sz="8" w:color="0000EE"/>
            </w:tcBorders>
            <w:gridSpan w:val="6"/>
          </w:tcPr>
          <w:p>
            <w:pPr>
              <w:spacing w:after="0"/>
              <w:rPr>
                <w:rFonts w:ascii="Arial" w:cs="Arial" w:eastAsia="Arial" w:hAnsi="Arial"/>
                <w:sz w:val="17"/>
                <w:szCs w:val="17"/>
                <w:color w:val="0000EE"/>
                <w:w w:val="94"/>
              </w:rPr>
            </w:pPr>
            <w:hyperlink w:anchor="page81">
              <w:r>
                <w:rPr>
                  <w:rFonts w:ascii="Arial" w:cs="Arial" w:eastAsia="Arial" w:hAnsi="Arial"/>
                  <w:sz w:val="17"/>
                  <w:szCs w:val="17"/>
                  <w:color w:val="0000EE"/>
                  <w:w w:val="94"/>
                </w:rPr>
                <w:t>Appendix A: Reconciliation of GAAP Measures</w:t>
              </w:r>
            </w:hyperlink>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188"/>
        </w:trPr>
        <w:tc>
          <w:tcPr>
            <w:tcW w:w="4480" w:type="dxa"/>
            <w:vAlign w:val="bottom"/>
            <w:gridSpan w:val="7"/>
          </w:tcPr>
          <w:p>
            <w:pPr>
              <w:spacing w:after="0" w:line="189" w:lineRule="exact"/>
              <w:rPr>
                <w:rFonts w:ascii="Arial" w:cs="Arial" w:eastAsia="Arial" w:hAnsi="Arial"/>
                <w:sz w:val="17"/>
                <w:szCs w:val="17"/>
                <w:color w:val="0000EE"/>
              </w:rPr>
            </w:pPr>
            <w:hyperlink w:anchor="page81">
              <w:r>
                <w:rPr>
                  <w:rFonts w:ascii="Arial" w:cs="Arial" w:eastAsia="Arial" w:hAnsi="Arial"/>
                  <w:sz w:val="17"/>
                  <w:szCs w:val="17"/>
                  <w:color w:val="0000EE"/>
                </w:rPr>
                <w:t>to Non-GAAP Measures</w:t>
              </w:r>
            </w:hyperlink>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71</w:t>
            </w:r>
          </w:p>
        </w:tc>
      </w:tr>
      <w:tr>
        <w:trPr>
          <w:trHeight w:val="20"/>
        </w:trPr>
        <w:tc>
          <w:tcPr>
            <w:tcW w:w="2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-5633085</wp:posOffset>
            </wp:positionV>
            <wp:extent cx="7153910"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380"/>
            <w:col w:w="4980"/>
          </w:cols>
          <w:pgMar w:left="320" w:top="447" w:right="859" w:bottom="1440" w:gutter="0" w:footer="0" w:header="0"/>
        </w:sectPr>
      </w:pPr>
    </w:p>
    <w:p>
      <w:pPr>
        <w:spacing w:after="0" w:line="287"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Helpful Resources</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Annual Meeting</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Proxy Statement &amp; Annual Report:</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investor.analog.com/financial-info/annual-reports</w:t>
      </w:r>
    </w:p>
    <w:p>
      <w:pPr>
        <w:spacing w:after="0" w:line="10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Voting Your Proxy via the Internet Before the Annual Meeting:</w:t>
      </w:r>
    </w:p>
    <w:p>
      <w:pPr>
        <w:spacing w:after="0" w:line="3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www.proxyvote.com</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Board of Directors</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investor.analog.com/governance/board-of-directors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Governance Documents</w:t>
      </w:r>
    </w:p>
    <w:p>
      <w:pPr>
        <w:spacing w:after="0" w:line="11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investor.analog.com/corporate-governance.cfm Corporate governance documents and policies, including:</w:t>
      </w:r>
    </w:p>
    <w:p>
      <w:pPr>
        <w:spacing w:after="0" w:line="15" w:lineRule="exact"/>
        <w:rPr>
          <w:sz w:val="20"/>
          <w:szCs w:val="20"/>
          <w:color w:val="auto"/>
        </w:rPr>
      </w:pPr>
    </w:p>
    <w:p>
      <w:pPr>
        <w:ind w:left="180" w:hanging="173"/>
        <w:spacing w:after="0"/>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Corporate Governance Guidelines</w:t>
      </w:r>
    </w:p>
    <w:p>
      <w:pPr>
        <w:spacing w:after="0" w:line="77" w:lineRule="exact"/>
        <w:rPr>
          <w:rFonts w:ascii="Arial" w:cs="Arial" w:eastAsia="Arial" w:hAnsi="Arial"/>
          <w:sz w:val="17"/>
          <w:szCs w:val="17"/>
          <w:color w:val="auto"/>
        </w:rPr>
      </w:pPr>
    </w:p>
    <w:p>
      <w:pPr>
        <w:ind w:left="180" w:hanging="173"/>
        <w:spacing w:after="0"/>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Committee Charters</w:t>
      </w:r>
    </w:p>
    <w:p>
      <w:pPr>
        <w:spacing w:after="0" w:line="77" w:lineRule="exact"/>
        <w:rPr>
          <w:rFonts w:ascii="Arial" w:cs="Arial" w:eastAsia="Arial" w:hAnsi="Arial"/>
          <w:sz w:val="17"/>
          <w:szCs w:val="17"/>
          <w:color w:val="auto"/>
        </w:rPr>
      </w:pPr>
    </w:p>
    <w:p>
      <w:pPr>
        <w:ind w:left="180" w:hanging="173"/>
        <w:spacing w:after="0"/>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Code of Business Conduct and Ethics</w:t>
      </w:r>
    </w:p>
    <w:p>
      <w:pPr>
        <w:spacing w:after="0" w:line="77" w:lineRule="exact"/>
        <w:rPr>
          <w:rFonts w:ascii="Arial" w:cs="Arial" w:eastAsia="Arial" w:hAnsi="Arial"/>
          <w:sz w:val="17"/>
          <w:szCs w:val="17"/>
          <w:color w:val="auto"/>
        </w:rPr>
      </w:pPr>
    </w:p>
    <w:p>
      <w:pPr>
        <w:ind w:left="180" w:hanging="173"/>
        <w:spacing w:after="0"/>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Related Person Transaction Policy</w:t>
      </w:r>
    </w:p>
    <w:p>
      <w:pPr>
        <w:spacing w:after="0" w:line="77" w:lineRule="exact"/>
        <w:rPr>
          <w:rFonts w:ascii="Arial" w:cs="Arial" w:eastAsia="Arial" w:hAnsi="Arial"/>
          <w:sz w:val="17"/>
          <w:szCs w:val="17"/>
          <w:color w:val="auto"/>
        </w:rPr>
      </w:pPr>
    </w:p>
    <w:p>
      <w:pPr>
        <w:ind w:left="180" w:hanging="173"/>
        <w:spacing w:after="0"/>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Equity Award Grant Date Policy</w:t>
      </w:r>
    </w:p>
    <w:p>
      <w:pPr>
        <w:spacing w:after="0" w:line="77" w:lineRule="exact"/>
        <w:rPr>
          <w:rFonts w:ascii="Arial" w:cs="Arial" w:eastAsia="Arial" w:hAnsi="Arial"/>
          <w:sz w:val="17"/>
          <w:szCs w:val="17"/>
          <w:color w:val="auto"/>
        </w:rPr>
      </w:pPr>
    </w:p>
    <w:p>
      <w:pPr>
        <w:ind w:left="180" w:hanging="173"/>
        <w:spacing w:after="0"/>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Human Rights Statement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Investor Relations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investor.analog.com</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Corporate Social Responsibility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analog.com/csr</w:t>
      </w:r>
    </w:p>
    <w:p>
      <w:pPr>
        <w:spacing w:after="0" w:line="200" w:lineRule="exact"/>
        <w:rPr>
          <w:sz w:val="20"/>
          <w:szCs w:val="20"/>
          <w:color w:val="auto"/>
        </w:rPr>
      </w:pPr>
    </w:p>
    <w:p>
      <w:pPr>
        <w:sectPr>
          <w:pgSz w:w="11900" w:h="16838" w:orient="portrait"/>
          <w:cols w:equalWidth="0" w:num="2">
            <w:col w:w="5000" w:space="720"/>
            <w:col w:w="5000"/>
          </w:cols>
          <w:pgMar w:left="320" w:top="447" w:right="85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A-8</w:t>
      </w:r>
    </w:p>
    <w:p>
      <w:pPr>
        <w:sectPr>
          <w:pgSz w:w="11900" w:h="16838" w:orient="portrait"/>
          <w:cols w:equalWidth="0" w:num="1">
            <w:col w:w="10720"/>
          </w:cols>
          <w:pgMar w:left="320" w:top="447" w:right="859" w:bottom="1440" w:gutter="0" w:footer="0" w:header="0"/>
          <w:type w:val="continuous"/>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left="9600"/>
        <w:spacing w:after="0"/>
        <w:rPr>
          <w:sz w:val="20"/>
          <w:szCs w:val="20"/>
          <w:color w:val="auto"/>
        </w:rPr>
      </w:pPr>
      <w:r>
        <w:rPr>
          <w:rFonts w:ascii="Arial" w:cs="Arial" w:eastAsia="Arial" w:hAnsi="Arial"/>
          <w:sz w:val="47"/>
          <w:szCs w:val="47"/>
          <w:color w:val="FFFFFF"/>
        </w:rPr>
        <w:t>2021</w:t>
      </w:r>
    </w:p>
    <w:p>
      <w:pPr>
        <w:ind w:left="4860"/>
        <w:spacing w:after="0" w:line="180" w:lineRule="auto"/>
        <w:rPr>
          <w:sz w:val="20"/>
          <w:szCs w:val="20"/>
          <w:color w:val="auto"/>
        </w:rPr>
      </w:pPr>
      <w:r>
        <w:rPr>
          <w:rFonts w:ascii="Arial" w:cs="Arial" w:eastAsia="Arial" w:hAnsi="Arial"/>
          <w:sz w:val="53"/>
          <w:szCs w:val="53"/>
          <w:color w:val="0066BA"/>
        </w:rPr>
        <w:t xml:space="preserve">Proxy Summary </w:t>
      </w:r>
      <w:r>
        <w:rPr>
          <w:rFonts w:ascii="Arial" w:cs="Arial" w:eastAsia="Arial" w:hAnsi="Arial"/>
          <w:sz w:val="169"/>
          <w:szCs w:val="169"/>
          <w:color w:val="0066BA"/>
        </w:rPr>
        <w:t>t</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55"/>
          <w:szCs w:val="55"/>
          <w:color w:val="auto"/>
        </w:rPr>
        <w:t>Voting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20" w:right="260"/>
        <w:spacing w:after="0" w:line="286" w:lineRule="auto"/>
        <w:rPr>
          <w:sz w:val="20"/>
          <w:szCs w:val="20"/>
          <w:color w:val="auto"/>
        </w:rPr>
      </w:pPr>
      <w:r>
        <w:rPr>
          <w:rFonts w:ascii="Arial" w:cs="Arial" w:eastAsia="Arial" w:hAnsi="Arial"/>
          <w:sz w:val="17"/>
          <w:szCs w:val="17"/>
          <w:color w:val="auto"/>
        </w:rPr>
        <w:t>This proxy summary provides an overview of select information in this proxy statement. We encourage you to read the entire Proxy Statement before voting. Shareholders will be asked to vote on the following matters at the Annual Meeting:</w:t>
      </w:r>
    </w:p>
    <w:p>
      <w:pPr>
        <w:spacing w:after="0" w:line="19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106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Proposal</w:t>
            </w:r>
          </w:p>
        </w:tc>
        <w:tc>
          <w:tcPr>
            <w:tcW w:w="3940" w:type="dxa"/>
            <w:vAlign w:val="bottom"/>
            <w:shd w:val="clear" w:color="auto" w:fill="0066BA"/>
          </w:tcPr>
          <w:p>
            <w:pPr>
              <w:ind w:left="480"/>
              <w:spacing w:after="0"/>
              <w:rPr>
                <w:sz w:val="20"/>
                <w:szCs w:val="20"/>
                <w:color w:val="auto"/>
              </w:rPr>
            </w:pPr>
            <w:r>
              <w:rPr>
                <w:rFonts w:ascii="Arial" w:cs="Arial" w:eastAsia="Arial" w:hAnsi="Arial"/>
                <w:sz w:val="14"/>
                <w:szCs w:val="14"/>
                <w:b w:val="1"/>
                <w:bCs w:val="1"/>
                <w:color w:val="FFFFFF"/>
              </w:rPr>
              <w:t>Items of Business</w:t>
            </w:r>
          </w:p>
        </w:tc>
        <w:tc>
          <w:tcPr>
            <w:tcW w:w="4160" w:type="dxa"/>
            <w:vAlign w:val="bottom"/>
            <w:shd w:val="clear" w:color="auto" w:fill="0066BA"/>
          </w:tcPr>
          <w:p>
            <w:pPr>
              <w:ind w:left="2260"/>
              <w:spacing w:after="0"/>
              <w:rPr>
                <w:sz w:val="20"/>
                <w:szCs w:val="20"/>
                <w:color w:val="auto"/>
              </w:rPr>
            </w:pPr>
            <w:r>
              <w:rPr>
                <w:rFonts w:ascii="Arial" w:cs="Arial" w:eastAsia="Arial" w:hAnsi="Arial"/>
                <w:sz w:val="14"/>
                <w:szCs w:val="14"/>
                <w:b w:val="1"/>
                <w:bCs w:val="1"/>
                <w:color w:val="FFFFFF"/>
              </w:rPr>
              <w:t>Board Recommendation</w:t>
            </w:r>
          </w:p>
        </w:tc>
        <w:tc>
          <w:tcPr>
            <w:tcW w:w="1460" w:type="dxa"/>
            <w:vAlign w:val="bottom"/>
            <w:shd w:val="clear" w:color="auto" w:fill="0066BA"/>
          </w:tcPr>
          <w:p>
            <w:pPr>
              <w:ind w:left="300"/>
              <w:spacing w:after="0"/>
              <w:rPr>
                <w:sz w:val="20"/>
                <w:szCs w:val="20"/>
                <w:color w:val="auto"/>
              </w:rPr>
            </w:pPr>
            <w:r>
              <w:rPr>
                <w:rFonts w:ascii="Arial" w:cs="Arial" w:eastAsia="Arial" w:hAnsi="Arial"/>
                <w:sz w:val="14"/>
                <w:szCs w:val="14"/>
                <w:b w:val="1"/>
                <w:bCs w:val="1"/>
                <w:color w:val="FFFFFF"/>
              </w:rPr>
              <w:t>Where to</w:t>
            </w:r>
          </w:p>
        </w:tc>
      </w:tr>
      <w:tr>
        <w:trPr>
          <w:trHeight w:val="168"/>
        </w:trPr>
        <w:tc>
          <w:tcPr>
            <w:tcW w:w="1060" w:type="dxa"/>
            <w:vAlign w:val="bottom"/>
            <w:shd w:val="clear" w:color="auto" w:fill="0066BA"/>
          </w:tcPr>
          <w:p>
            <w:pPr>
              <w:spacing w:after="0"/>
              <w:rPr>
                <w:sz w:val="14"/>
                <w:szCs w:val="14"/>
                <w:color w:val="auto"/>
              </w:rPr>
            </w:pPr>
          </w:p>
        </w:tc>
        <w:tc>
          <w:tcPr>
            <w:tcW w:w="3940" w:type="dxa"/>
            <w:vAlign w:val="bottom"/>
            <w:shd w:val="clear" w:color="auto" w:fill="0066BA"/>
          </w:tcPr>
          <w:p>
            <w:pPr>
              <w:spacing w:after="0"/>
              <w:rPr>
                <w:sz w:val="14"/>
                <w:szCs w:val="14"/>
                <w:color w:val="auto"/>
              </w:rPr>
            </w:pPr>
          </w:p>
        </w:tc>
        <w:tc>
          <w:tcPr>
            <w:tcW w:w="4160" w:type="dxa"/>
            <w:vAlign w:val="bottom"/>
            <w:shd w:val="clear" w:color="auto" w:fill="0066BA"/>
          </w:tcPr>
          <w:p>
            <w:pPr>
              <w:spacing w:after="0"/>
              <w:rPr>
                <w:sz w:val="14"/>
                <w:szCs w:val="14"/>
                <w:color w:val="auto"/>
              </w:rPr>
            </w:pPr>
          </w:p>
        </w:tc>
        <w:tc>
          <w:tcPr>
            <w:tcW w:w="1460" w:type="dxa"/>
            <w:vAlign w:val="bottom"/>
            <w:shd w:val="clear" w:color="auto" w:fill="0066BA"/>
          </w:tcPr>
          <w:p>
            <w:pPr>
              <w:ind w:left="300"/>
              <w:spacing w:after="0"/>
              <w:rPr>
                <w:sz w:val="20"/>
                <w:szCs w:val="20"/>
                <w:color w:val="auto"/>
              </w:rPr>
            </w:pPr>
            <w:r>
              <w:rPr>
                <w:rFonts w:ascii="Arial" w:cs="Arial" w:eastAsia="Arial" w:hAnsi="Arial"/>
                <w:sz w:val="14"/>
                <w:szCs w:val="14"/>
                <w:b w:val="1"/>
                <w:bCs w:val="1"/>
                <w:color w:val="FFFFFF"/>
              </w:rPr>
              <w:t>Find Details</w:t>
            </w:r>
          </w:p>
        </w:tc>
      </w:tr>
    </w:tbl>
    <w:p>
      <w:pPr>
        <w:spacing w:after="0" w:line="20" w:lineRule="exact"/>
        <w:rPr>
          <w:sz w:val="20"/>
          <w:szCs w:val="20"/>
          <w:color w:val="auto"/>
        </w:rPr>
      </w:pPr>
    </w:p>
    <w:tbl>
      <w:tblPr>
        <w:tblLayout w:type="fixed"/>
        <w:tblInd w:w="320" w:type="dxa"/>
        <w:tblCellMar>
          <w:top w:w="0" w:type="dxa"/>
          <w:left w:w="0" w:type="dxa"/>
          <w:bottom w:w="0" w:type="dxa"/>
          <w:right w:w="0" w:type="dxa"/>
        </w:tblCellMar>
      </w:tblPr>
      <w:tr>
        <w:trPr>
          <w:trHeight w:val="97"/>
        </w:trPr>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shd w:val="clear" w:color="auto" w:fill="EAEAEA"/>
          </w:tcPr>
          <w:p>
            <w:pPr>
              <w:spacing w:after="0"/>
              <w:rPr>
                <w:sz w:val="8"/>
                <w:szCs w:val="8"/>
                <w:color w:val="auto"/>
              </w:rPr>
            </w:pPr>
          </w:p>
        </w:tc>
        <w:tc>
          <w:tcPr>
            <w:tcW w:w="5620" w:type="dxa"/>
            <w:vAlign w:val="bottom"/>
            <w:shd w:val="clear" w:color="auto" w:fill="EAEAEA"/>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vMerge w:val="restart"/>
          </w:tcPr>
          <w:p>
            <w:pPr>
              <w:spacing w:after="0"/>
              <w:rPr>
                <w:sz w:val="8"/>
                <w:szCs w:val="8"/>
                <w:color w:val="auto"/>
              </w:rPr>
            </w:pPr>
          </w:p>
        </w:tc>
        <w:tc>
          <w:tcPr>
            <w:tcW w:w="120" w:type="dxa"/>
            <w:vAlign w:val="bottom"/>
            <w:shd w:val="clear" w:color="auto" w:fill="EAEAEA"/>
          </w:tcPr>
          <w:p>
            <w:pPr>
              <w:spacing w:after="0"/>
              <w:rPr>
                <w:sz w:val="8"/>
                <w:szCs w:val="8"/>
                <w:color w:val="auto"/>
              </w:rPr>
            </w:pPr>
          </w:p>
        </w:tc>
        <w:tc>
          <w:tcPr>
            <w:tcW w:w="1160" w:type="dxa"/>
            <w:vAlign w:val="bottom"/>
            <w:vMerge w:val="restart"/>
            <w:shd w:val="clear" w:color="auto" w:fill="EAEAEA"/>
          </w:tcPr>
          <w:p>
            <w:pPr>
              <w:jc w:val="right"/>
              <w:ind w:right="376"/>
              <w:spacing w:after="0"/>
              <w:rPr>
                <w:sz w:val="20"/>
                <w:szCs w:val="20"/>
                <w:color w:val="auto"/>
              </w:rPr>
            </w:pPr>
            <w:r>
              <w:rPr>
                <w:rFonts w:ascii="Arial" w:cs="Arial" w:eastAsia="Arial" w:hAnsi="Arial"/>
                <w:sz w:val="21"/>
                <w:szCs w:val="21"/>
                <w:color w:val="auto"/>
              </w:rPr>
              <w:t>10</w:t>
            </w: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360" w:type="dxa"/>
            <w:vAlign w:val="bottom"/>
            <w:tcBorders>
              <w:bottom w:val="single" w:sz="8" w:color="0066BA"/>
            </w:tcBorders>
            <w:shd w:val="clear" w:color="auto" w:fill="0066BA"/>
          </w:tcPr>
          <w:p>
            <w:pPr>
              <w:jc w:val="right"/>
              <w:ind w:right="16"/>
              <w:spacing w:after="0" w:line="221" w:lineRule="exact"/>
              <w:rPr>
                <w:sz w:val="20"/>
                <w:szCs w:val="20"/>
                <w:color w:val="auto"/>
              </w:rPr>
            </w:pPr>
            <w:r>
              <w:rPr>
                <w:rFonts w:ascii="Arial" w:cs="Arial" w:eastAsia="Arial" w:hAnsi="Arial"/>
                <w:sz w:val="21"/>
                <w:szCs w:val="21"/>
                <w:color w:val="FFFFFF"/>
                <w:shd w:val="clear" w:color="auto" w:fill="0066BA"/>
              </w:rPr>
              <w:t>1</w:t>
            </w:r>
          </w:p>
        </w:tc>
        <w:tc>
          <w:tcPr>
            <w:tcW w:w="360" w:type="dxa"/>
            <w:vAlign w:val="bottom"/>
          </w:tcPr>
          <w:p>
            <w:pPr>
              <w:spacing w:after="0"/>
              <w:rPr>
                <w:sz w:val="19"/>
                <w:szCs w:val="19"/>
                <w:color w:val="auto"/>
              </w:rPr>
            </w:pPr>
          </w:p>
        </w:tc>
        <w:tc>
          <w:tcPr>
            <w:tcW w:w="400" w:type="dxa"/>
            <w:vAlign w:val="bottom"/>
            <w:tcBorders>
              <w:bottom w:val="single" w:sz="8" w:color="EAEAEA"/>
            </w:tcBorders>
            <w:shd w:val="clear" w:color="auto" w:fill="EAEAEA"/>
          </w:tcPr>
          <w:p>
            <w:pPr>
              <w:spacing w:after="0"/>
              <w:rPr>
                <w:sz w:val="19"/>
                <w:szCs w:val="19"/>
                <w:color w:val="auto"/>
              </w:rPr>
            </w:pPr>
          </w:p>
        </w:tc>
        <w:tc>
          <w:tcPr>
            <w:tcW w:w="5620" w:type="dxa"/>
            <w:vAlign w:val="bottom"/>
            <w:tcBorders>
              <w:bottom w:val="single" w:sz="8" w:color="EAEAEA"/>
            </w:tcBorders>
            <w:shd w:val="clear" w:color="auto" w:fill="EAEAEA"/>
          </w:tcPr>
          <w:p>
            <w:pPr>
              <w:spacing w:after="0"/>
              <w:rPr>
                <w:sz w:val="20"/>
                <w:szCs w:val="20"/>
                <w:color w:val="auto"/>
              </w:rPr>
            </w:pPr>
            <w:r>
              <w:rPr>
                <w:rFonts w:ascii="Arial" w:cs="Arial" w:eastAsia="Arial" w:hAnsi="Arial"/>
                <w:sz w:val="17"/>
                <w:szCs w:val="17"/>
                <w:color w:val="auto"/>
              </w:rPr>
              <w:t>Election of Eleven Directors</w:t>
            </w:r>
          </w:p>
        </w:tc>
        <w:tc>
          <w:tcPr>
            <w:tcW w:w="700" w:type="dxa"/>
            <w:vAlign w:val="bottom"/>
          </w:tcPr>
          <w:p>
            <w:pPr>
              <w:spacing w:after="0"/>
              <w:rPr>
                <w:sz w:val="19"/>
                <w:szCs w:val="19"/>
                <w:color w:val="auto"/>
              </w:rPr>
            </w:pPr>
          </w:p>
        </w:tc>
        <w:tc>
          <w:tcPr>
            <w:tcW w:w="980" w:type="dxa"/>
            <w:vAlign w:val="bottom"/>
            <w:shd w:val="clear" w:color="auto" w:fill="0066BA"/>
          </w:tcPr>
          <w:p>
            <w:pPr>
              <w:ind w:left="480"/>
              <w:spacing w:after="0" w:line="221" w:lineRule="exact"/>
              <w:rPr>
                <w:sz w:val="20"/>
                <w:szCs w:val="20"/>
                <w:color w:val="auto"/>
              </w:rPr>
            </w:pPr>
            <w:r>
              <w:rPr>
                <w:rFonts w:ascii="Arial" w:cs="Arial" w:eastAsia="Arial" w:hAnsi="Arial"/>
                <w:sz w:val="21"/>
                <w:szCs w:val="21"/>
                <w:color w:val="FFFFFF"/>
                <w:shd w:val="clear" w:color="auto" w:fill="0066BA"/>
              </w:rPr>
              <w:t>FOR</w:t>
            </w:r>
          </w:p>
        </w:tc>
        <w:tc>
          <w:tcPr>
            <w:tcW w:w="580" w:type="dxa"/>
            <w:vAlign w:val="bottom"/>
            <w:vMerge w:val="continue"/>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160" w:type="dxa"/>
            <w:vAlign w:val="bottom"/>
            <w:tcBorders>
              <w:bottom w:val="single" w:sz="8" w:color="EAEAEA"/>
            </w:tcBorders>
            <w:vMerge w:val="continue"/>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40" w:type="dxa"/>
            <w:vAlign w:val="bottom"/>
            <w:tcBorders>
              <w:bottom w:val="single" w:sz="8" w:color="0066BA"/>
            </w:tcBorders>
          </w:tcPr>
          <w:p>
            <w:pPr>
              <w:spacing w:after="0"/>
              <w:rPr>
                <w:sz w:val="13"/>
                <w:szCs w:val="13"/>
                <w:color w:val="auto"/>
              </w:rPr>
            </w:pPr>
          </w:p>
        </w:tc>
        <w:tc>
          <w:tcPr>
            <w:tcW w:w="360" w:type="dxa"/>
            <w:vAlign w:val="bottom"/>
            <w:tcBorders>
              <w:bottom w:val="single" w:sz="8" w:color="0066BA"/>
            </w:tcBorders>
          </w:tcPr>
          <w:p>
            <w:pPr>
              <w:spacing w:after="0"/>
              <w:rPr>
                <w:sz w:val="13"/>
                <w:szCs w:val="13"/>
                <w:color w:val="auto"/>
              </w:rPr>
            </w:pPr>
          </w:p>
        </w:tc>
        <w:tc>
          <w:tcPr>
            <w:tcW w:w="360" w:type="dxa"/>
            <w:vAlign w:val="bottom"/>
            <w:tcBorders>
              <w:bottom w:val="single" w:sz="8" w:color="0066BA"/>
            </w:tcBorders>
          </w:tcPr>
          <w:p>
            <w:pPr>
              <w:spacing w:after="0"/>
              <w:rPr>
                <w:sz w:val="13"/>
                <w:szCs w:val="13"/>
                <w:color w:val="auto"/>
              </w:rPr>
            </w:pPr>
          </w:p>
        </w:tc>
        <w:tc>
          <w:tcPr>
            <w:tcW w:w="400" w:type="dxa"/>
            <w:vAlign w:val="bottom"/>
            <w:tcBorders>
              <w:bottom w:val="single" w:sz="8" w:color="0066BA"/>
            </w:tcBorders>
            <w:shd w:val="clear" w:color="auto" w:fill="EAEAEA"/>
          </w:tcPr>
          <w:p>
            <w:pPr>
              <w:spacing w:after="0"/>
              <w:rPr>
                <w:sz w:val="13"/>
                <w:szCs w:val="13"/>
                <w:color w:val="auto"/>
              </w:rPr>
            </w:pPr>
          </w:p>
        </w:tc>
        <w:tc>
          <w:tcPr>
            <w:tcW w:w="5620" w:type="dxa"/>
            <w:vAlign w:val="bottom"/>
            <w:tcBorders>
              <w:bottom w:val="single" w:sz="8" w:color="0066BA"/>
            </w:tcBorders>
            <w:shd w:val="clear" w:color="auto" w:fill="EAEAEA"/>
          </w:tcPr>
          <w:p>
            <w:pPr>
              <w:spacing w:after="0"/>
              <w:rPr>
                <w:sz w:val="13"/>
                <w:szCs w:val="13"/>
                <w:color w:val="auto"/>
              </w:rPr>
            </w:pPr>
          </w:p>
        </w:tc>
        <w:tc>
          <w:tcPr>
            <w:tcW w:w="2260" w:type="dxa"/>
            <w:vAlign w:val="bottom"/>
            <w:tcBorders>
              <w:bottom w:val="single" w:sz="8" w:color="0066BA"/>
            </w:tcBorders>
            <w:gridSpan w:val="3"/>
          </w:tcPr>
          <w:p>
            <w:pPr>
              <w:ind w:left="580"/>
              <w:spacing w:after="0" w:line="149" w:lineRule="exact"/>
              <w:rPr>
                <w:sz w:val="20"/>
                <w:szCs w:val="20"/>
                <w:color w:val="auto"/>
              </w:rPr>
            </w:pPr>
            <w:r>
              <w:rPr>
                <w:rFonts w:ascii="Arial" w:cs="Arial" w:eastAsia="Arial" w:hAnsi="Arial"/>
                <w:sz w:val="14"/>
                <w:szCs w:val="14"/>
                <w:color w:val="auto"/>
              </w:rPr>
              <w:t>each director nominee</w:t>
            </w:r>
          </w:p>
        </w:tc>
        <w:tc>
          <w:tcPr>
            <w:tcW w:w="120" w:type="dxa"/>
            <w:vAlign w:val="bottom"/>
            <w:tcBorders>
              <w:bottom w:val="single" w:sz="8" w:color="0066BA"/>
            </w:tcBorders>
            <w:shd w:val="clear" w:color="auto" w:fill="EAEAEA"/>
          </w:tcPr>
          <w:p>
            <w:pPr>
              <w:spacing w:after="0"/>
              <w:rPr>
                <w:sz w:val="13"/>
                <w:szCs w:val="13"/>
                <w:color w:val="auto"/>
              </w:rPr>
            </w:pPr>
          </w:p>
        </w:tc>
        <w:tc>
          <w:tcPr>
            <w:tcW w:w="1160" w:type="dxa"/>
            <w:vAlign w:val="bottom"/>
            <w:tcBorders>
              <w:bottom w:val="single" w:sz="8" w:color="0066BA"/>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shd w:val="clear" w:color="auto" w:fill="EAEAEA"/>
          </w:tcPr>
          <w:p>
            <w:pPr>
              <w:spacing w:after="0"/>
              <w:rPr>
                <w:sz w:val="7"/>
                <w:szCs w:val="7"/>
                <w:color w:val="auto"/>
              </w:rPr>
            </w:pPr>
          </w:p>
        </w:tc>
        <w:tc>
          <w:tcPr>
            <w:tcW w:w="5620" w:type="dxa"/>
            <w:vAlign w:val="bottom"/>
            <w:vMerge w:val="restart"/>
            <w:shd w:val="clear" w:color="auto" w:fill="EAEAEA"/>
          </w:tcPr>
          <w:p>
            <w:pPr>
              <w:spacing w:after="0"/>
              <w:rPr>
                <w:sz w:val="20"/>
                <w:szCs w:val="20"/>
                <w:color w:val="auto"/>
              </w:rPr>
            </w:pPr>
            <w:r>
              <w:rPr>
                <w:rFonts w:ascii="Arial" w:cs="Arial" w:eastAsia="Arial" w:hAnsi="Arial"/>
                <w:sz w:val="17"/>
                <w:szCs w:val="17"/>
                <w:color w:val="auto"/>
                <w:w w:val="97"/>
              </w:rPr>
              <w:t>Advisory Approval of the Compensation of the Company’s Named Executive</w:t>
            </w: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shd w:val="clear" w:color="auto" w:fill="EAEAEA"/>
          </w:tcPr>
          <w:p>
            <w:pPr>
              <w:spacing w:after="0"/>
              <w:rPr>
                <w:sz w:val="7"/>
                <w:szCs w:val="7"/>
                <w:color w:val="auto"/>
              </w:rPr>
            </w:pPr>
          </w:p>
        </w:tc>
        <w:tc>
          <w:tcPr>
            <w:tcW w:w="1160" w:type="dxa"/>
            <w:vAlign w:val="bottom"/>
            <w:vMerge w:val="restart"/>
            <w:shd w:val="clear" w:color="auto" w:fill="EAEAEA"/>
          </w:tcPr>
          <w:p>
            <w:pPr>
              <w:jc w:val="right"/>
              <w:ind w:right="376"/>
              <w:spacing w:after="0"/>
              <w:rPr>
                <w:sz w:val="20"/>
                <w:szCs w:val="20"/>
                <w:color w:val="auto"/>
              </w:rPr>
            </w:pPr>
            <w:r>
              <w:rPr>
                <w:rFonts w:ascii="Arial" w:cs="Arial" w:eastAsia="Arial" w:hAnsi="Arial"/>
                <w:sz w:val="21"/>
                <w:szCs w:val="21"/>
                <w:color w:val="auto"/>
              </w:rPr>
              <w:t>30</w:t>
            </w:r>
          </w:p>
        </w:tc>
        <w:tc>
          <w:tcPr>
            <w:tcW w:w="0" w:type="dxa"/>
            <w:vAlign w:val="bottom"/>
          </w:tcPr>
          <w:p>
            <w:pPr>
              <w:spacing w:after="0"/>
              <w:rPr>
                <w:sz w:val="1"/>
                <w:szCs w:val="1"/>
                <w:color w:val="auto"/>
              </w:rPr>
            </w:pPr>
          </w:p>
        </w:tc>
      </w:tr>
      <w:tr>
        <w:trPr>
          <w:trHeight w:val="52"/>
        </w:trPr>
        <w:tc>
          <w:tcPr>
            <w:tcW w:w="340" w:type="dxa"/>
            <w:vAlign w:val="bottom"/>
          </w:tcPr>
          <w:p>
            <w:pPr>
              <w:spacing w:after="0"/>
              <w:rPr>
                <w:sz w:val="4"/>
                <w:szCs w:val="4"/>
                <w:color w:val="auto"/>
              </w:rPr>
            </w:pPr>
          </w:p>
        </w:tc>
        <w:tc>
          <w:tcPr>
            <w:tcW w:w="360" w:type="dxa"/>
            <w:vAlign w:val="bottom"/>
            <w:vMerge w:val="restart"/>
            <w:shd w:val="clear" w:color="auto" w:fill="0066BA"/>
          </w:tcPr>
          <w:p>
            <w:pPr>
              <w:jc w:val="right"/>
              <w:ind w:right="16"/>
              <w:spacing w:after="0" w:line="221" w:lineRule="exact"/>
              <w:rPr>
                <w:sz w:val="20"/>
                <w:szCs w:val="20"/>
                <w:color w:val="auto"/>
              </w:rPr>
            </w:pPr>
            <w:r>
              <w:rPr>
                <w:rFonts w:ascii="Arial" w:cs="Arial" w:eastAsia="Arial" w:hAnsi="Arial"/>
                <w:sz w:val="21"/>
                <w:szCs w:val="21"/>
                <w:color w:val="FFFFFF"/>
                <w:shd w:val="clear" w:color="auto" w:fill="0066BA"/>
              </w:rPr>
              <w:t>2</w:t>
            </w:r>
          </w:p>
        </w:tc>
        <w:tc>
          <w:tcPr>
            <w:tcW w:w="360" w:type="dxa"/>
            <w:vAlign w:val="bottom"/>
          </w:tcPr>
          <w:p>
            <w:pPr>
              <w:spacing w:after="0"/>
              <w:rPr>
                <w:sz w:val="4"/>
                <w:szCs w:val="4"/>
                <w:color w:val="auto"/>
              </w:rPr>
            </w:pPr>
          </w:p>
        </w:tc>
        <w:tc>
          <w:tcPr>
            <w:tcW w:w="400" w:type="dxa"/>
            <w:vAlign w:val="bottom"/>
            <w:shd w:val="clear" w:color="auto" w:fill="EAEAEA"/>
          </w:tcPr>
          <w:p>
            <w:pPr>
              <w:spacing w:after="0"/>
              <w:rPr>
                <w:sz w:val="4"/>
                <w:szCs w:val="4"/>
                <w:color w:val="auto"/>
              </w:rPr>
            </w:pPr>
          </w:p>
        </w:tc>
        <w:tc>
          <w:tcPr>
            <w:tcW w:w="5620" w:type="dxa"/>
            <w:vAlign w:val="bottom"/>
            <w:vMerge w:val="continue"/>
            <w:shd w:val="clear" w:color="auto" w:fill="EAEAEA"/>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shd w:val="clear" w:color="auto" w:fill="EAEAEA"/>
          </w:tcPr>
          <w:p>
            <w:pPr>
              <w:spacing w:after="0"/>
              <w:rPr>
                <w:sz w:val="4"/>
                <w:szCs w:val="4"/>
                <w:color w:val="auto"/>
              </w:rPr>
            </w:pPr>
          </w:p>
        </w:tc>
        <w:tc>
          <w:tcPr>
            <w:tcW w:w="1160" w:type="dxa"/>
            <w:vAlign w:val="bottom"/>
            <w:vMerge w:val="continue"/>
            <w:shd w:val="clear" w:color="auto" w:fill="EAEAEA"/>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360" w:type="dxa"/>
            <w:vAlign w:val="bottom"/>
            <w:vMerge w:val="continue"/>
            <w:shd w:val="clear" w:color="auto" w:fill="0066BA"/>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shd w:val="clear" w:color="auto" w:fill="EAEAEA"/>
          </w:tcPr>
          <w:p>
            <w:pPr>
              <w:spacing w:after="0"/>
              <w:rPr>
                <w:sz w:val="4"/>
                <w:szCs w:val="4"/>
                <w:color w:val="auto"/>
              </w:rPr>
            </w:pPr>
          </w:p>
        </w:tc>
        <w:tc>
          <w:tcPr>
            <w:tcW w:w="5620" w:type="dxa"/>
            <w:vAlign w:val="bottom"/>
            <w:vMerge w:val="continue"/>
            <w:shd w:val="clear" w:color="auto" w:fill="EAEAEA"/>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vMerge w:val="restart"/>
            <w:shd w:val="clear" w:color="auto" w:fill="0066BA"/>
          </w:tcPr>
          <w:p>
            <w:pPr>
              <w:ind w:left="480"/>
              <w:spacing w:after="0" w:line="201" w:lineRule="exact"/>
              <w:rPr>
                <w:sz w:val="20"/>
                <w:szCs w:val="20"/>
                <w:color w:val="auto"/>
              </w:rPr>
            </w:pPr>
            <w:r>
              <w:rPr>
                <w:rFonts w:ascii="Arial" w:cs="Arial" w:eastAsia="Arial" w:hAnsi="Arial"/>
                <w:sz w:val="21"/>
                <w:szCs w:val="21"/>
                <w:color w:val="FFFFFF"/>
                <w:shd w:val="clear" w:color="auto" w:fill="0066BA"/>
              </w:rPr>
              <w:t>FOR</w:t>
            </w:r>
          </w:p>
        </w:tc>
        <w:tc>
          <w:tcPr>
            <w:tcW w:w="580" w:type="dxa"/>
            <w:vAlign w:val="bottom"/>
          </w:tcPr>
          <w:p>
            <w:pPr>
              <w:spacing w:after="0"/>
              <w:rPr>
                <w:sz w:val="4"/>
                <w:szCs w:val="4"/>
                <w:color w:val="auto"/>
              </w:rPr>
            </w:pPr>
          </w:p>
        </w:tc>
        <w:tc>
          <w:tcPr>
            <w:tcW w:w="120" w:type="dxa"/>
            <w:vAlign w:val="bottom"/>
            <w:shd w:val="clear" w:color="auto" w:fill="EAEAEA"/>
          </w:tcPr>
          <w:p>
            <w:pPr>
              <w:spacing w:after="0"/>
              <w:rPr>
                <w:sz w:val="4"/>
                <w:szCs w:val="4"/>
                <w:color w:val="auto"/>
              </w:rPr>
            </w:pPr>
          </w:p>
        </w:tc>
        <w:tc>
          <w:tcPr>
            <w:tcW w:w="1160" w:type="dxa"/>
            <w:vAlign w:val="bottom"/>
            <w:vMerge w:val="continue"/>
            <w:shd w:val="clear" w:color="auto" w:fill="EAEAEA"/>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340" w:type="dxa"/>
            <w:vAlign w:val="bottom"/>
          </w:tcPr>
          <w:p>
            <w:pPr>
              <w:spacing w:after="0"/>
              <w:rPr>
                <w:sz w:val="10"/>
                <w:szCs w:val="10"/>
                <w:color w:val="auto"/>
              </w:rPr>
            </w:pPr>
          </w:p>
        </w:tc>
        <w:tc>
          <w:tcPr>
            <w:tcW w:w="360" w:type="dxa"/>
            <w:vAlign w:val="bottom"/>
            <w:vMerge w:val="continue"/>
            <w:shd w:val="clear" w:color="auto" w:fill="0066BA"/>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shd w:val="clear" w:color="auto" w:fill="EAEAEA"/>
          </w:tcPr>
          <w:p>
            <w:pPr>
              <w:spacing w:after="0"/>
              <w:rPr>
                <w:sz w:val="10"/>
                <w:szCs w:val="10"/>
                <w:color w:val="auto"/>
              </w:rPr>
            </w:pPr>
          </w:p>
        </w:tc>
        <w:tc>
          <w:tcPr>
            <w:tcW w:w="5620" w:type="dxa"/>
            <w:vAlign w:val="bottom"/>
            <w:vMerge w:val="restart"/>
            <w:shd w:val="clear" w:color="auto" w:fill="EAEAEA"/>
          </w:tcPr>
          <w:p>
            <w:pPr>
              <w:spacing w:after="0" w:line="149" w:lineRule="exact"/>
              <w:rPr>
                <w:sz w:val="20"/>
                <w:szCs w:val="20"/>
                <w:color w:val="auto"/>
              </w:rPr>
            </w:pPr>
            <w:r>
              <w:rPr>
                <w:rFonts w:ascii="Arial" w:cs="Arial" w:eastAsia="Arial" w:hAnsi="Arial"/>
                <w:sz w:val="17"/>
                <w:szCs w:val="17"/>
                <w:color w:val="auto"/>
              </w:rPr>
              <w:t>Officers</w:t>
            </w:r>
          </w:p>
        </w:tc>
        <w:tc>
          <w:tcPr>
            <w:tcW w:w="700" w:type="dxa"/>
            <w:vAlign w:val="bottom"/>
          </w:tcPr>
          <w:p>
            <w:pPr>
              <w:spacing w:after="0"/>
              <w:rPr>
                <w:sz w:val="10"/>
                <w:szCs w:val="10"/>
                <w:color w:val="auto"/>
              </w:rPr>
            </w:pPr>
          </w:p>
        </w:tc>
        <w:tc>
          <w:tcPr>
            <w:tcW w:w="980" w:type="dxa"/>
            <w:vAlign w:val="bottom"/>
            <w:vMerge w:val="continue"/>
            <w:shd w:val="clear" w:color="auto" w:fill="0066BA"/>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1160" w:type="dxa"/>
            <w:vAlign w:val="bottom"/>
            <w:vMerge w:val="continue"/>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shd w:val="clear" w:color="auto" w:fill="EAEAEA"/>
          </w:tcPr>
          <w:p>
            <w:pPr>
              <w:spacing w:after="0"/>
              <w:rPr>
                <w:sz w:val="4"/>
                <w:szCs w:val="4"/>
                <w:color w:val="auto"/>
              </w:rPr>
            </w:pPr>
          </w:p>
        </w:tc>
        <w:tc>
          <w:tcPr>
            <w:tcW w:w="5620" w:type="dxa"/>
            <w:vAlign w:val="bottom"/>
            <w:vMerge w:val="continue"/>
            <w:shd w:val="clear" w:color="auto" w:fill="EAEAEA"/>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vMerge w:val="continue"/>
            <w:shd w:val="clear" w:color="auto" w:fill="0066BA"/>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shd w:val="clear" w:color="auto" w:fill="EAEAEA"/>
          </w:tcPr>
          <w:p>
            <w:pPr>
              <w:spacing w:after="0"/>
              <w:rPr>
                <w:sz w:val="4"/>
                <w:szCs w:val="4"/>
                <w:color w:val="auto"/>
              </w:rPr>
            </w:pPr>
          </w:p>
        </w:tc>
        <w:tc>
          <w:tcPr>
            <w:tcW w:w="1160" w:type="dxa"/>
            <w:vAlign w:val="bottom"/>
            <w:shd w:val="clear" w:color="auto" w:fill="EAEAEA"/>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40" w:type="dxa"/>
            <w:vAlign w:val="bottom"/>
            <w:tcBorders>
              <w:bottom w:val="single" w:sz="8" w:color="0066BA"/>
            </w:tcBorders>
          </w:tcPr>
          <w:p>
            <w:pPr>
              <w:spacing w:after="0"/>
              <w:rPr>
                <w:sz w:val="5"/>
                <w:szCs w:val="5"/>
                <w:color w:val="auto"/>
              </w:rPr>
            </w:pPr>
          </w:p>
        </w:tc>
        <w:tc>
          <w:tcPr>
            <w:tcW w:w="360" w:type="dxa"/>
            <w:vAlign w:val="bottom"/>
            <w:tcBorders>
              <w:bottom w:val="single" w:sz="8" w:color="0066BA"/>
            </w:tcBorders>
          </w:tcPr>
          <w:p>
            <w:pPr>
              <w:spacing w:after="0"/>
              <w:rPr>
                <w:sz w:val="5"/>
                <w:szCs w:val="5"/>
                <w:color w:val="auto"/>
              </w:rPr>
            </w:pPr>
          </w:p>
        </w:tc>
        <w:tc>
          <w:tcPr>
            <w:tcW w:w="360" w:type="dxa"/>
            <w:vAlign w:val="bottom"/>
            <w:tcBorders>
              <w:bottom w:val="single" w:sz="8" w:color="0066BA"/>
            </w:tcBorders>
          </w:tcPr>
          <w:p>
            <w:pPr>
              <w:spacing w:after="0"/>
              <w:rPr>
                <w:sz w:val="5"/>
                <w:szCs w:val="5"/>
                <w:color w:val="auto"/>
              </w:rPr>
            </w:pPr>
          </w:p>
        </w:tc>
        <w:tc>
          <w:tcPr>
            <w:tcW w:w="400" w:type="dxa"/>
            <w:vAlign w:val="bottom"/>
            <w:tcBorders>
              <w:bottom w:val="single" w:sz="8" w:color="0066BA"/>
            </w:tcBorders>
            <w:shd w:val="clear" w:color="auto" w:fill="EAEAEA"/>
          </w:tcPr>
          <w:p>
            <w:pPr>
              <w:spacing w:after="0"/>
              <w:rPr>
                <w:sz w:val="5"/>
                <w:szCs w:val="5"/>
                <w:color w:val="auto"/>
              </w:rPr>
            </w:pPr>
          </w:p>
        </w:tc>
        <w:tc>
          <w:tcPr>
            <w:tcW w:w="5620" w:type="dxa"/>
            <w:vAlign w:val="bottom"/>
            <w:tcBorders>
              <w:bottom w:val="single" w:sz="8" w:color="0066BA"/>
            </w:tcBorders>
            <w:shd w:val="clear" w:color="auto" w:fill="EAEAEA"/>
          </w:tcPr>
          <w:p>
            <w:pPr>
              <w:spacing w:after="0"/>
              <w:rPr>
                <w:sz w:val="5"/>
                <w:szCs w:val="5"/>
                <w:color w:val="auto"/>
              </w:rPr>
            </w:pPr>
          </w:p>
        </w:tc>
        <w:tc>
          <w:tcPr>
            <w:tcW w:w="700" w:type="dxa"/>
            <w:vAlign w:val="bottom"/>
            <w:tcBorders>
              <w:bottom w:val="single" w:sz="8" w:color="0066BA"/>
            </w:tcBorders>
          </w:tcPr>
          <w:p>
            <w:pPr>
              <w:spacing w:after="0"/>
              <w:rPr>
                <w:sz w:val="5"/>
                <w:szCs w:val="5"/>
                <w:color w:val="auto"/>
              </w:rPr>
            </w:pPr>
          </w:p>
        </w:tc>
        <w:tc>
          <w:tcPr>
            <w:tcW w:w="980" w:type="dxa"/>
            <w:vAlign w:val="bottom"/>
            <w:tcBorders>
              <w:bottom w:val="single" w:sz="8" w:color="0066BA"/>
            </w:tcBorders>
          </w:tcPr>
          <w:p>
            <w:pPr>
              <w:spacing w:after="0"/>
              <w:rPr>
                <w:sz w:val="5"/>
                <w:szCs w:val="5"/>
                <w:color w:val="auto"/>
              </w:rPr>
            </w:pPr>
          </w:p>
        </w:tc>
        <w:tc>
          <w:tcPr>
            <w:tcW w:w="580" w:type="dxa"/>
            <w:vAlign w:val="bottom"/>
            <w:tcBorders>
              <w:bottom w:val="single" w:sz="8" w:color="0066BA"/>
            </w:tcBorders>
          </w:tcPr>
          <w:p>
            <w:pPr>
              <w:spacing w:after="0"/>
              <w:rPr>
                <w:sz w:val="5"/>
                <w:szCs w:val="5"/>
                <w:color w:val="auto"/>
              </w:rPr>
            </w:pPr>
          </w:p>
        </w:tc>
        <w:tc>
          <w:tcPr>
            <w:tcW w:w="120" w:type="dxa"/>
            <w:vAlign w:val="bottom"/>
            <w:tcBorders>
              <w:bottom w:val="single" w:sz="8" w:color="0066BA"/>
            </w:tcBorders>
            <w:shd w:val="clear" w:color="auto" w:fill="EAEAEA"/>
          </w:tcPr>
          <w:p>
            <w:pPr>
              <w:spacing w:after="0"/>
              <w:rPr>
                <w:sz w:val="5"/>
                <w:szCs w:val="5"/>
                <w:color w:val="auto"/>
              </w:rPr>
            </w:pPr>
          </w:p>
        </w:tc>
        <w:tc>
          <w:tcPr>
            <w:tcW w:w="1160" w:type="dxa"/>
            <w:vAlign w:val="bottom"/>
            <w:tcBorders>
              <w:bottom w:val="single" w:sz="8" w:color="0066BA"/>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shd w:val="clear" w:color="auto" w:fill="EAEAEA"/>
          </w:tcPr>
          <w:p>
            <w:pPr>
              <w:spacing w:after="0"/>
              <w:rPr>
                <w:sz w:val="7"/>
                <w:szCs w:val="7"/>
                <w:color w:val="auto"/>
              </w:rPr>
            </w:pPr>
          </w:p>
        </w:tc>
        <w:tc>
          <w:tcPr>
            <w:tcW w:w="5620" w:type="dxa"/>
            <w:vAlign w:val="bottom"/>
            <w:vMerge w:val="restart"/>
            <w:shd w:val="clear" w:color="auto" w:fill="EAEAEA"/>
          </w:tcPr>
          <w:p>
            <w:pPr>
              <w:spacing w:after="0" w:line="189" w:lineRule="exact"/>
              <w:rPr>
                <w:sz w:val="20"/>
                <w:szCs w:val="20"/>
                <w:color w:val="auto"/>
              </w:rPr>
            </w:pPr>
            <w:r>
              <w:rPr>
                <w:rFonts w:ascii="Arial" w:cs="Arial" w:eastAsia="Arial" w:hAnsi="Arial"/>
                <w:sz w:val="17"/>
                <w:szCs w:val="17"/>
                <w:color w:val="auto"/>
                <w:w w:val="96"/>
              </w:rPr>
              <w:t>Ratification of the Selection of Ernst &amp; Young LLP as Independent Registered</w:t>
            </w: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shd w:val="clear" w:color="auto" w:fill="EAEAEA"/>
          </w:tcPr>
          <w:p>
            <w:pPr>
              <w:spacing w:after="0"/>
              <w:rPr>
                <w:sz w:val="7"/>
                <w:szCs w:val="7"/>
                <w:color w:val="auto"/>
              </w:rPr>
            </w:pPr>
          </w:p>
        </w:tc>
        <w:tc>
          <w:tcPr>
            <w:tcW w:w="1160" w:type="dxa"/>
            <w:vAlign w:val="bottom"/>
            <w:vMerge w:val="restart"/>
            <w:shd w:val="clear" w:color="auto" w:fill="EAEAEA"/>
          </w:tcPr>
          <w:p>
            <w:pPr>
              <w:jc w:val="right"/>
              <w:ind w:right="376"/>
              <w:spacing w:after="0"/>
              <w:rPr>
                <w:sz w:val="20"/>
                <w:szCs w:val="20"/>
                <w:color w:val="auto"/>
              </w:rPr>
            </w:pPr>
            <w:r>
              <w:rPr>
                <w:rFonts w:ascii="Arial" w:cs="Arial" w:eastAsia="Arial" w:hAnsi="Arial"/>
                <w:sz w:val="21"/>
                <w:szCs w:val="21"/>
                <w:color w:val="auto"/>
              </w:rPr>
              <w:t>61</w:t>
            </w:r>
          </w:p>
        </w:tc>
        <w:tc>
          <w:tcPr>
            <w:tcW w:w="0" w:type="dxa"/>
            <w:vAlign w:val="bottom"/>
          </w:tcPr>
          <w:p>
            <w:pPr>
              <w:spacing w:after="0"/>
              <w:rPr>
                <w:sz w:val="1"/>
                <w:szCs w:val="1"/>
                <w:color w:val="auto"/>
              </w:rPr>
            </w:pPr>
          </w:p>
        </w:tc>
      </w:tr>
      <w:tr>
        <w:trPr>
          <w:trHeight w:val="52"/>
        </w:trPr>
        <w:tc>
          <w:tcPr>
            <w:tcW w:w="340" w:type="dxa"/>
            <w:vAlign w:val="bottom"/>
          </w:tcPr>
          <w:p>
            <w:pPr>
              <w:spacing w:after="0"/>
              <w:rPr>
                <w:sz w:val="4"/>
                <w:szCs w:val="4"/>
                <w:color w:val="auto"/>
              </w:rPr>
            </w:pPr>
          </w:p>
        </w:tc>
        <w:tc>
          <w:tcPr>
            <w:tcW w:w="360" w:type="dxa"/>
            <w:vAlign w:val="bottom"/>
            <w:vMerge w:val="restart"/>
            <w:shd w:val="clear" w:color="auto" w:fill="0066BA"/>
          </w:tcPr>
          <w:p>
            <w:pPr>
              <w:jc w:val="right"/>
              <w:ind w:right="16"/>
              <w:spacing w:after="0" w:line="221" w:lineRule="exact"/>
              <w:rPr>
                <w:sz w:val="20"/>
                <w:szCs w:val="20"/>
                <w:color w:val="auto"/>
              </w:rPr>
            </w:pPr>
            <w:r>
              <w:rPr>
                <w:rFonts w:ascii="Arial" w:cs="Arial" w:eastAsia="Arial" w:hAnsi="Arial"/>
                <w:sz w:val="21"/>
                <w:szCs w:val="21"/>
                <w:color w:val="FFFFFF"/>
                <w:shd w:val="clear" w:color="auto" w:fill="0066BA"/>
              </w:rPr>
              <w:t>3</w:t>
            </w:r>
          </w:p>
        </w:tc>
        <w:tc>
          <w:tcPr>
            <w:tcW w:w="360" w:type="dxa"/>
            <w:vAlign w:val="bottom"/>
          </w:tcPr>
          <w:p>
            <w:pPr>
              <w:spacing w:after="0"/>
              <w:rPr>
                <w:sz w:val="4"/>
                <w:szCs w:val="4"/>
                <w:color w:val="auto"/>
              </w:rPr>
            </w:pPr>
          </w:p>
        </w:tc>
        <w:tc>
          <w:tcPr>
            <w:tcW w:w="400" w:type="dxa"/>
            <w:vAlign w:val="bottom"/>
            <w:shd w:val="clear" w:color="auto" w:fill="EAEAEA"/>
          </w:tcPr>
          <w:p>
            <w:pPr>
              <w:spacing w:after="0"/>
              <w:rPr>
                <w:sz w:val="4"/>
                <w:szCs w:val="4"/>
                <w:color w:val="auto"/>
              </w:rPr>
            </w:pPr>
          </w:p>
        </w:tc>
        <w:tc>
          <w:tcPr>
            <w:tcW w:w="5620" w:type="dxa"/>
            <w:vAlign w:val="bottom"/>
            <w:vMerge w:val="continue"/>
            <w:shd w:val="clear" w:color="auto" w:fill="EAEAEA"/>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shd w:val="clear" w:color="auto" w:fill="EAEAEA"/>
          </w:tcPr>
          <w:p>
            <w:pPr>
              <w:spacing w:after="0"/>
              <w:rPr>
                <w:sz w:val="4"/>
                <w:szCs w:val="4"/>
                <w:color w:val="auto"/>
              </w:rPr>
            </w:pPr>
          </w:p>
        </w:tc>
        <w:tc>
          <w:tcPr>
            <w:tcW w:w="1160" w:type="dxa"/>
            <w:vAlign w:val="bottom"/>
            <w:vMerge w:val="continue"/>
            <w:shd w:val="clear" w:color="auto" w:fill="EAEAEA"/>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360" w:type="dxa"/>
            <w:vAlign w:val="bottom"/>
            <w:vMerge w:val="continue"/>
            <w:shd w:val="clear" w:color="auto" w:fill="0066BA"/>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shd w:val="clear" w:color="auto" w:fill="EAEAEA"/>
          </w:tcPr>
          <w:p>
            <w:pPr>
              <w:spacing w:after="0"/>
              <w:rPr>
                <w:sz w:val="4"/>
                <w:szCs w:val="4"/>
                <w:color w:val="auto"/>
              </w:rPr>
            </w:pPr>
          </w:p>
        </w:tc>
        <w:tc>
          <w:tcPr>
            <w:tcW w:w="5620" w:type="dxa"/>
            <w:vAlign w:val="bottom"/>
            <w:vMerge w:val="continue"/>
            <w:shd w:val="clear" w:color="auto" w:fill="EAEAEA"/>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vMerge w:val="restart"/>
            <w:shd w:val="clear" w:color="auto" w:fill="0066BA"/>
          </w:tcPr>
          <w:p>
            <w:pPr>
              <w:ind w:left="480"/>
              <w:spacing w:after="0" w:line="201" w:lineRule="exact"/>
              <w:rPr>
                <w:sz w:val="20"/>
                <w:szCs w:val="20"/>
                <w:color w:val="auto"/>
              </w:rPr>
            </w:pPr>
            <w:r>
              <w:rPr>
                <w:rFonts w:ascii="Arial" w:cs="Arial" w:eastAsia="Arial" w:hAnsi="Arial"/>
                <w:sz w:val="21"/>
                <w:szCs w:val="21"/>
                <w:color w:val="FFFFFF"/>
                <w:shd w:val="clear" w:color="auto" w:fill="0066BA"/>
              </w:rPr>
              <w:t>FOR</w:t>
            </w:r>
          </w:p>
        </w:tc>
        <w:tc>
          <w:tcPr>
            <w:tcW w:w="580" w:type="dxa"/>
            <w:vAlign w:val="bottom"/>
          </w:tcPr>
          <w:p>
            <w:pPr>
              <w:spacing w:after="0"/>
              <w:rPr>
                <w:sz w:val="4"/>
                <w:szCs w:val="4"/>
                <w:color w:val="auto"/>
              </w:rPr>
            </w:pPr>
          </w:p>
        </w:tc>
        <w:tc>
          <w:tcPr>
            <w:tcW w:w="120" w:type="dxa"/>
            <w:vAlign w:val="bottom"/>
            <w:shd w:val="clear" w:color="auto" w:fill="EAEAEA"/>
          </w:tcPr>
          <w:p>
            <w:pPr>
              <w:spacing w:after="0"/>
              <w:rPr>
                <w:sz w:val="4"/>
                <w:szCs w:val="4"/>
                <w:color w:val="auto"/>
              </w:rPr>
            </w:pPr>
          </w:p>
        </w:tc>
        <w:tc>
          <w:tcPr>
            <w:tcW w:w="1160" w:type="dxa"/>
            <w:vAlign w:val="bottom"/>
            <w:vMerge w:val="continue"/>
            <w:shd w:val="clear" w:color="auto" w:fill="EAEAEA"/>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340" w:type="dxa"/>
            <w:vAlign w:val="bottom"/>
          </w:tcPr>
          <w:p>
            <w:pPr>
              <w:spacing w:after="0"/>
              <w:rPr>
                <w:sz w:val="10"/>
                <w:szCs w:val="10"/>
                <w:color w:val="auto"/>
              </w:rPr>
            </w:pPr>
          </w:p>
        </w:tc>
        <w:tc>
          <w:tcPr>
            <w:tcW w:w="360" w:type="dxa"/>
            <w:vAlign w:val="bottom"/>
            <w:vMerge w:val="continue"/>
            <w:shd w:val="clear" w:color="auto" w:fill="0066BA"/>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shd w:val="clear" w:color="auto" w:fill="EAEAEA"/>
          </w:tcPr>
          <w:p>
            <w:pPr>
              <w:spacing w:after="0"/>
              <w:rPr>
                <w:sz w:val="10"/>
                <w:szCs w:val="10"/>
                <w:color w:val="auto"/>
              </w:rPr>
            </w:pPr>
          </w:p>
        </w:tc>
        <w:tc>
          <w:tcPr>
            <w:tcW w:w="5620" w:type="dxa"/>
            <w:vAlign w:val="bottom"/>
            <w:vMerge w:val="restart"/>
            <w:shd w:val="clear" w:color="auto" w:fill="EAEAEA"/>
          </w:tcPr>
          <w:p>
            <w:pPr>
              <w:spacing w:after="0" w:line="149" w:lineRule="exact"/>
              <w:rPr>
                <w:sz w:val="20"/>
                <w:szCs w:val="20"/>
                <w:color w:val="auto"/>
              </w:rPr>
            </w:pPr>
            <w:r>
              <w:rPr>
                <w:rFonts w:ascii="Arial" w:cs="Arial" w:eastAsia="Arial" w:hAnsi="Arial"/>
                <w:sz w:val="17"/>
                <w:szCs w:val="17"/>
                <w:color w:val="auto"/>
                <w:w w:val="93"/>
              </w:rPr>
              <w:t>Public Accounting Firm for the Company’s Fiscal Year ending October 30, 2021</w:t>
            </w:r>
          </w:p>
        </w:tc>
        <w:tc>
          <w:tcPr>
            <w:tcW w:w="700" w:type="dxa"/>
            <w:vAlign w:val="bottom"/>
          </w:tcPr>
          <w:p>
            <w:pPr>
              <w:spacing w:after="0"/>
              <w:rPr>
                <w:sz w:val="10"/>
                <w:szCs w:val="10"/>
                <w:color w:val="auto"/>
              </w:rPr>
            </w:pPr>
          </w:p>
        </w:tc>
        <w:tc>
          <w:tcPr>
            <w:tcW w:w="980" w:type="dxa"/>
            <w:vAlign w:val="bottom"/>
            <w:vMerge w:val="continue"/>
            <w:shd w:val="clear" w:color="auto" w:fill="0066BA"/>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1160" w:type="dxa"/>
            <w:vAlign w:val="bottom"/>
            <w:vMerge w:val="continue"/>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shd w:val="clear" w:color="auto" w:fill="EAEAEA"/>
          </w:tcPr>
          <w:p>
            <w:pPr>
              <w:spacing w:after="0"/>
              <w:rPr>
                <w:sz w:val="4"/>
                <w:szCs w:val="4"/>
                <w:color w:val="auto"/>
              </w:rPr>
            </w:pPr>
          </w:p>
        </w:tc>
        <w:tc>
          <w:tcPr>
            <w:tcW w:w="5620" w:type="dxa"/>
            <w:vAlign w:val="bottom"/>
            <w:vMerge w:val="continue"/>
            <w:shd w:val="clear" w:color="auto" w:fill="EAEAEA"/>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vMerge w:val="continue"/>
            <w:shd w:val="clear" w:color="auto" w:fill="0066BA"/>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shd w:val="clear" w:color="auto" w:fill="EAEAEA"/>
          </w:tcPr>
          <w:p>
            <w:pPr>
              <w:spacing w:after="0"/>
              <w:rPr>
                <w:sz w:val="4"/>
                <w:szCs w:val="4"/>
                <w:color w:val="auto"/>
              </w:rPr>
            </w:pPr>
          </w:p>
        </w:tc>
        <w:tc>
          <w:tcPr>
            <w:tcW w:w="1160" w:type="dxa"/>
            <w:vAlign w:val="bottom"/>
            <w:shd w:val="clear" w:color="auto" w:fill="EAEAEA"/>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40" w:type="dxa"/>
            <w:vAlign w:val="bottom"/>
            <w:tcBorders>
              <w:bottom w:val="single" w:sz="8" w:color="0066BA"/>
            </w:tcBorders>
          </w:tcPr>
          <w:p>
            <w:pPr>
              <w:spacing w:after="0"/>
              <w:rPr>
                <w:sz w:val="5"/>
                <w:szCs w:val="5"/>
                <w:color w:val="auto"/>
              </w:rPr>
            </w:pPr>
          </w:p>
        </w:tc>
        <w:tc>
          <w:tcPr>
            <w:tcW w:w="360" w:type="dxa"/>
            <w:vAlign w:val="bottom"/>
            <w:tcBorders>
              <w:bottom w:val="single" w:sz="8" w:color="0066BA"/>
            </w:tcBorders>
          </w:tcPr>
          <w:p>
            <w:pPr>
              <w:spacing w:after="0"/>
              <w:rPr>
                <w:sz w:val="5"/>
                <w:szCs w:val="5"/>
                <w:color w:val="auto"/>
              </w:rPr>
            </w:pPr>
          </w:p>
        </w:tc>
        <w:tc>
          <w:tcPr>
            <w:tcW w:w="360" w:type="dxa"/>
            <w:vAlign w:val="bottom"/>
            <w:tcBorders>
              <w:bottom w:val="single" w:sz="8" w:color="0066BA"/>
            </w:tcBorders>
          </w:tcPr>
          <w:p>
            <w:pPr>
              <w:spacing w:after="0"/>
              <w:rPr>
                <w:sz w:val="5"/>
                <w:szCs w:val="5"/>
                <w:color w:val="auto"/>
              </w:rPr>
            </w:pPr>
          </w:p>
        </w:tc>
        <w:tc>
          <w:tcPr>
            <w:tcW w:w="400" w:type="dxa"/>
            <w:vAlign w:val="bottom"/>
            <w:tcBorders>
              <w:bottom w:val="single" w:sz="8" w:color="0066BA"/>
            </w:tcBorders>
            <w:shd w:val="clear" w:color="auto" w:fill="EAEAEA"/>
          </w:tcPr>
          <w:p>
            <w:pPr>
              <w:spacing w:after="0"/>
              <w:rPr>
                <w:sz w:val="5"/>
                <w:szCs w:val="5"/>
                <w:color w:val="auto"/>
              </w:rPr>
            </w:pPr>
          </w:p>
        </w:tc>
        <w:tc>
          <w:tcPr>
            <w:tcW w:w="5620" w:type="dxa"/>
            <w:vAlign w:val="bottom"/>
            <w:tcBorders>
              <w:bottom w:val="single" w:sz="8" w:color="0066BA"/>
            </w:tcBorders>
            <w:shd w:val="clear" w:color="auto" w:fill="EAEAEA"/>
          </w:tcPr>
          <w:p>
            <w:pPr>
              <w:spacing w:after="0"/>
              <w:rPr>
                <w:sz w:val="5"/>
                <w:szCs w:val="5"/>
                <w:color w:val="auto"/>
              </w:rPr>
            </w:pPr>
          </w:p>
        </w:tc>
        <w:tc>
          <w:tcPr>
            <w:tcW w:w="700" w:type="dxa"/>
            <w:vAlign w:val="bottom"/>
            <w:tcBorders>
              <w:bottom w:val="single" w:sz="8" w:color="0066BA"/>
            </w:tcBorders>
          </w:tcPr>
          <w:p>
            <w:pPr>
              <w:spacing w:after="0"/>
              <w:rPr>
                <w:sz w:val="5"/>
                <w:szCs w:val="5"/>
                <w:color w:val="auto"/>
              </w:rPr>
            </w:pPr>
          </w:p>
        </w:tc>
        <w:tc>
          <w:tcPr>
            <w:tcW w:w="980" w:type="dxa"/>
            <w:vAlign w:val="bottom"/>
            <w:tcBorders>
              <w:bottom w:val="single" w:sz="8" w:color="0066BA"/>
            </w:tcBorders>
          </w:tcPr>
          <w:p>
            <w:pPr>
              <w:spacing w:after="0"/>
              <w:rPr>
                <w:sz w:val="5"/>
                <w:szCs w:val="5"/>
                <w:color w:val="auto"/>
              </w:rPr>
            </w:pPr>
          </w:p>
        </w:tc>
        <w:tc>
          <w:tcPr>
            <w:tcW w:w="580" w:type="dxa"/>
            <w:vAlign w:val="bottom"/>
            <w:tcBorders>
              <w:bottom w:val="single" w:sz="8" w:color="0066BA"/>
            </w:tcBorders>
          </w:tcPr>
          <w:p>
            <w:pPr>
              <w:spacing w:after="0"/>
              <w:rPr>
                <w:sz w:val="5"/>
                <w:szCs w:val="5"/>
                <w:color w:val="auto"/>
              </w:rPr>
            </w:pPr>
          </w:p>
        </w:tc>
        <w:tc>
          <w:tcPr>
            <w:tcW w:w="120" w:type="dxa"/>
            <w:vAlign w:val="bottom"/>
            <w:tcBorders>
              <w:bottom w:val="single" w:sz="8" w:color="0066BA"/>
            </w:tcBorders>
            <w:shd w:val="clear" w:color="auto" w:fill="EAEAEA"/>
          </w:tcPr>
          <w:p>
            <w:pPr>
              <w:spacing w:after="0"/>
              <w:rPr>
                <w:sz w:val="5"/>
                <w:szCs w:val="5"/>
                <w:color w:val="auto"/>
              </w:rPr>
            </w:pPr>
          </w:p>
        </w:tc>
        <w:tc>
          <w:tcPr>
            <w:tcW w:w="1160" w:type="dxa"/>
            <w:vAlign w:val="bottom"/>
            <w:tcBorders>
              <w:bottom w:val="single" w:sz="8" w:color="0066BA"/>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5215255</wp:posOffset>
            </wp:positionH>
            <wp:positionV relativeFrom="paragraph">
              <wp:posOffset>-850265</wp:posOffset>
            </wp:positionV>
            <wp:extent cx="165100" cy="140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5100" cy="140335"/>
                    </a:xfrm>
                    <a:prstGeom prst="rect">
                      <a:avLst/>
                    </a:prstGeom>
                    <a:noFill/>
                  </pic:spPr>
                </pic:pic>
              </a:graphicData>
            </a:graphic>
          </wp:anchor>
        </w:drawing>
        <w:drawing>
          <wp:anchor simplePos="0" relativeHeight="251657728" behindDoc="1" locked="0" layoutInCell="0" allowOverlap="1">
            <wp:simplePos x="0" y="0"/>
            <wp:positionH relativeFrom="column">
              <wp:posOffset>5215255</wp:posOffset>
            </wp:positionH>
            <wp:positionV relativeFrom="paragraph">
              <wp:posOffset>-495300</wp:posOffset>
            </wp:positionV>
            <wp:extent cx="165100" cy="140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5100" cy="140335"/>
                    </a:xfrm>
                    <a:prstGeom prst="rect">
                      <a:avLst/>
                    </a:prstGeom>
                    <a:noFill/>
                  </pic:spPr>
                </pic:pic>
              </a:graphicData>
            </a:graphic>
          </wp:anchor>
        </w:drawing>
        <w:drawing>
          <wp:anchor simplePos="0" relativeHeight="251657728" behindDoc="1" locked="0" layoutInCell="0" allowOverlap="1">
            <wp:simplePos x="0" y="0"/>
            <wp:positionH relativeFrom="column">
              <wp:posOffset>5215255</wp:posOffset>
            </wp:positionH>
            <wp:positionV relativeFrom="paragraph">
              <wp:posOffset>-213995</wp:posOffset>
            </wp:positionV>
            <wp:extent cx="165100" cy="140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5100" cy="140335"/>
                    </a:xfrm>
                    <a:prstGeom prst="rect">
                      <a:avLst/>
                    </a:prstGeom>
                    <a:noFill/>
                  </pic:spPr>
                </pic:pic>
              </a:graphicData>
            </a:graphic>
          </wp:anchor>
        </w:drawing>
      </w:r>
    </w:p>
    <w:p>
      <w:pPr>
        <w:spacing w:after="0" w:line="30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What’s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-109220</wp:posOffset>
            </wp:positionV>
            <wp:extent cx="5658485" cy="132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8485" cy="132080"/>
                    </a:xfrm>
                    <a:prstGeom prst="rect">
                      <a:avLst/>
                    </a:prstGeom>
                    <a:noFill/>
                  </pic:spPr>
                </pic:pic>
              </a:graphicData>
            </a:graphic>
          </wp:anchor>
        </w:drawing>
      </w:r>
    </w:p>
    <w:p>
      <w:pPr>
        <w:spacing w:after="0" w:line="107" w:lineRule="exact"/>
        <w:rPr>
          <w:sz w:val="20"/>
          <w:szCs w:val="20"/>
          <w:color w:val="auto"/>
        </w:rPr>
      </w:pPr>
    </w:p>
    <w:p>
      <w:pPr>
        <w:jc w:val="both"/>
        <w:ind w:left="320" w:right="180"/>
        <w:spacing w:after="0" w:line="295" w:lineRule="auto"/>
        <w:rPr>
          <w:sz w:val="20"/>
          <w:szCs w:val="20"/>
          <w:color w:val="auto"/>
        </w:rPr>
      </w:pPr>
      <w:r>
        <w:rPr>
          <w:rFonts w:ascii="Arial" w:cs="Arial" w:eastAsia="Arial" w:hAnsi="Arial"/>
          <w:sz w:val="16"/>
          <w:szCs w:val="16"/>
          <w:color w:val="auto"/>
        </w:rPr>
        <w:t>We continually review our corporate governance practices to ensure that ADI is in a position to consistently deliver on its commitment to sustaining a culture of innovation, collaboration, solid performance, and fiduciary responsibility. We believe providing a broader understanding of our perspectives on these items will be beneficial to you as you consider this year’s voting matters. This year’s updated items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55880</wp:posOffset>
            </wp:positionV>
            <wp:extent cx="6740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10940"/>
          </w:cols>
          <w:pgMar w:left="320" w:top="447" w:right="639" w:bottom="337" w:gutter="0" w:footer="0" w:header="0"/>
        </w:sectPr>
      </w:pPr>
    </w:p>
    <w:p>
      <w:pPr>
        <w:spacing w:after="0" w:line="200" w:lineRule="exact"/>
        <w:rPr>
          <w:sz w:val="20"/>
          <w:szCs w:val="20"/>
          <w:color w:val="auto"/>
        </w:rPr>
      </w:pPr>
    </w:p>
    <w:p>
      <w:pPr>
        <w:spacing w:after="0" w:line="214" w:lineRule="exact"/>
        <w:rPr>
          <w:sz w:val="20"/>
          <w:szCs w:val="20"/>
          <w:color w:val="auto"/>
        </w:rPr>
      </w:pPr>
    </w:p>
    <w:p>
      <w:pPr>
        <w:ind w:left="480" w:hanging="164"/>
        <w:spacing w:after="0" w:line="287"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Published our inaugural Corporate Responsibility Report in May 2020, which includes enhanced disclosure of our environmental, social and governance, or ESG, initiatives, which can be found under Corporate Social Responsibility on our website</w:t>
      </w:r>
    </w:p>
    <w:p>
      <w:pPr>
        <w:spacing w:after="0" w:line="17" w:lineRule="exact"/>
        <w:rPr>
          <w:rFonts w:ascii="Arial" w:cs="Arial" w:eastAsia="Arial" w:hAnsi="Arial"/>
          <w:sz w:val="16"/>
          <w:szCs w:val="16"/>
          <w:color w:val="auto"/>
        </w:rPr>
      </w:pPr>
    </w:p>
    <w:p>
      <w:pPr>
        <w:ind w:left="480" w:right="120" w:hanging="164"/>
        <w:spacing w:after="0" w:line="265" w:lineRule="auto"/>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Continued to refine our shareholder engagement process to connect our shareholders with key stakeholders within our company around topics of interest, including sustainability and human capital management reporting</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170" w:right="140" w:hanging="170"/>
        <w:spacing w:after="0" w:line="270" w:lineRule="auto"/>
        <w:tabs>
          <w:tab w:leader="none" w:pos="17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Revised our Board practices for risk oversight to include cybersecurity at the Board level and ESG under the Nominating and Corporate Governance Committee</w:t>
      </w:r>
    </w:p>
    <w:p>
      <w:pPr>
        <w:spacing w:after="0" w:line="29" w:lineRule="exact"/>
        <w:rPr>
          <w:rFonts w:ascii="Arial" w:cs="Arial" w:eastAsia="Arial" w:hAnsi="Arial"/>
          <w:sz w:val="17"/>
          <w:szCs w:val="17"/>
          <w:color w:val="auto"/>
        </w:rPr>
      </w:pPr>
    </w:p>
    <w:p>
      <w:pPr>
        <w:ind w:left="170" w:right="40" w:hanging="170"/>
        <w:spacing w:after="0" w:line="295" w:lineRule="auto"/>
        <w:tabs>
          <w:tab w:leader="none" w:pos="17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Adopted a new clawback policy for all executive officers with respect to cash and equity incentives that is applicable in the event of a material financial restatement due to fraud or willful misconduct</w:t>
      </w:r>
    </w:p>
    <w:p>
      <w:pPr>
        <w:spacing w:after="0" w:line="593" w:lineRule="exact"/>
        <w:rPr>
          <w:sz w:val="20"/>
          <w:szCs w:val="20"/>
          <w:color w:val="auto"/>
        </w:rPr>
      </w:pPr>
    </w:p>
    <w:p>
      <w:pPr>
        <w:sectPr>
          <w:pgSz w:w="11900" w:h="16838" w:orient="portrait"/>
          <w:cols w:equalWidth="0" w:num="2">
            <w:col w:w="5280" w:space="450"/>
            <w:col w:w="5210"/>
          </w:cols>
          <w:pgMar w:left="320" w:top="447" w:right="639" w:bottom="337" w:gutter="0" w:footer="0" w:header="0"/>
          <w:type w:val="continuous"/>
        </w:sect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3F3F3F"/>
        </w:rPr>
        <w:t>Governance Highlights</w:t>
      </w:r>
    </w:p>
    <w:p>
      <w:pPr>
        <w:spacing w:after="0" w:line="151"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320" w:type="dxa"/>
            <w:vAlign w:val="bottom"/>
            <w:shd w:val="clear" w:color="auto" w:fill="0066BA"/>
          </w:tcPr>
          <w:p>
            <w:pPr>
              <w:spacing w:after="0"/>
              <w:rPr>
                <w:sz w:val="20"/>
                <w:szCs w:val="20"/>
                <w:color w:val="auto"/>
              </w:rPr>
            </w:pPr>
            <w:r>
              <w:rPr>
                <w:rFonts w:ascii="Arial" w:cs="Arial" w:eastAsia="Arial" w:hAnsi="Arial"/>
                <w:sz w:val="14"/>
                <w:szCs w:val="14"/>
                <w:b w:val="1"/>
                <w:bCs w:val="1"/>
                <w:color w:val="FFFFFF"/>
              </w:rPr>
              <w:t>Effective Board leadership, independent</w:t>
            </w:r>
          </w:p>
        </w:tc>
        <w:tc>
          <w:tcPr>
            <w:tcW w:w="5300" w:type="dxa"/>
            <w:vAlign w:val="bottom"/>
            <w:gridSpan w:val="2"/>
            <w:shd w:val="clear" w:color="auto" w:fill="0066BA"/>
          </w:tcPr>
          <w:p>
            <w:pPr>
              <w:ind w:left="180"/>
              <w:spacing w:after="0"/>
              <w:rPr>
                <w:sz w:val="20"/>
                <w:szCs w:val="20"/>
                <w:color w:val="auto"/>
              </w:rPr>
            </w:pPr>
            <w:r>
              <w:rPr>
                <w:rFonts w:ascii="Arial" w:cs="Arial" w:eastAsia="Arial" w:hAnsi="Arial"/>
                <w:sz w:val="14"/>
                <w:szCs w:val="14"/>
                <w:b w:val="1"/>
                <w:bCs w:val="1"/>
                <w:color w:val="FFFFFF"/>
              </w:rPr>
              <w:t>Shareholder rights and accountability</w:t>
            </w:r>
          </w:p>
        </w:tc>
        <w:tc>
          <w:tcPr>
            <w:tcW w:w="0" w:type="dxa"/>
            <w:vAlign w:val="bottom"/>
          </w:tcPr>
          <w:p>
            <w:pPr>
              <w:spacing w:after="0"/>
              <w:rPr>
                <w:sz w:val="1"/>
                <w:szCs w:val="1"/>
                <w:color w:val="auto"/>
              </w:rPr>
            </w:pPr>
          </w:p>
        </w:tc>
      </w:tr>
      <w:tr>
        <w:trPr>
          <w:trHeight w:val="168"/>
        </w:trPr>
        <w:tc>
          <w:tcPr>
            <w:tcW w:w="5320" w:type="dxa"/>
            <w:vAlign w:val="bottom"/>
            <w:shd w:val="clear" w:color="auto" w:fill="0066BA"/>
          </w:tcPr>
          <w:p>
            <w:pPr>
              <w:spacing w:after="0"/>
              <w:rPr>
                <w:sz w:val="20"/>
                <w:szCs w:val="20"/>
                <w:color w:val="auto"/>
              </w:rPr>
            </w:pPr>
            <w:r>
              <w:rPr>
                <w:rFonts w:ascii="Arial" w:cs="Arial" w:eastAsia="Arial" w:hAnsi="Arial"/>
                <w:sz w:val="14"/>
                <w:szCs w:val="14"/>
                <w:b w:val="1"/>
                <w:bCs w:val="1"/>
                <w:color w:val="FFFFFF"/>
              </w:rPr>
              <w:t>oversight and strong corporate governance</w:t>
            </w:r>
          </w:p>
        </w:tc>
        <w:tc>
          <w:tcPr>
            <w:tcW w:w="520" w:type="dxa"/>
            <w:vAlign w:val="bottom"/>
            <w:shd w:val="clear" w:color="auto" w:fill="0066BA"/>
          </w:tcPr>
          <w:p>
            <w:pPr>
              <w:spacing w:after="0"/>
              <w:rPr>
                <w:sz w:val="14"/>
                <w:szCs w:val="14"/>
                <w:color w:val="auto"/>
              </w:rPr>
            </w:pPr>
          </w:p>
        </w:tc>
        <w:tc>
          <w:tcPr>
            <w:tcW w:w="4780" w:type="dxa"/>
            <w:vAlign w:val="bottom"/>
            <w:shd w:val="clear" w:color="auto" w:fill="0066BA"/>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5320" w:type="dxa"/>
            <w:vAlign w:val="bottom"/>
            <w:tcBorders>
              <w:bottom w:val="single" w:sz="8" w:color="0066BA"/>
            </w:tcBorders>
          </w:tcPr>
          <w:p>
            <w:pPr>
              <w:ind w:left="540"/>
              <w:spacing w:after="0"/>
              <w:rPr>
                <w:sz w:val="20"/>
                <w:szCs w:val="20"/>
                <w:color w:val="auto"/>
              </w:rPr>
            </w:pPr>
            <w:r>
              <w:rPr>
                <w:rFonts w:ascii="Arial" w:cs="Arial" w:eastAsia="Arial" w:hAnsi="Arial"/>
                <w:sz w:val="17"/>
                <w:szCs w:val="17"/>
                <w:color w:val="auto"/>
              </w:rPr>
              <w:t>Majority of directors are independent</w:t>
            </w:r>
          </w:p>
        </w:tc>
        <w:tc>
          <w:tcPr>
            <w:tcW w:w="520" w:type="dxa"/>
            <w:vAlign w:val="bottom"/>
            <w:tcBorders>
              <w:bottom w:val="single" w:sz="8" w:color="0066BA"/>
            </w:tcBorders>
            <w:shd w:val="clear" w:color="auto" w:fill="EAEAEA"/>
          </w:tcPr>
          <w:p>
            <w:pPr>
              <w:spacing w:after="0"/>
              <w:rPr>
                <w:sz w:val="23"/>
                <w:szCs w:val="23"/>
                <w:color w:val="auto"/>
              </w:rPr>
            </w:pPr>
          </w:p>
        </w:tc>
        <w:tc>
          <w:tcPr>
            <w:tcW w:w="4780" w:type="dxa"/>
            <w:vAlign w:val="bottom"/>
            <w:tcBorders>
              <w:bottom w:val="single" w:sz="8" w:color="0066BA"/>
            </w:tcBorders>
            <w:shd w:val="clear" w:color="auto" w:fill="EAEAEA"/>
          </w:tcPr>
          <w:p>
            <w:pPr>
              <w:ind w:left="100"/>
              <w:spacing w:after="0"/>
              <w:rPr>
                <w:sz w:val="20"/>
                <w:szCs w:val="20"/>
                <w:color w:val="auto"/>
              </w:rPr>
            </w:pPr>
            <w:r>
              <w:rPr>
                <w:rFonts w:ascii="Arial" w:cs="Arial" w:eastAsia="Arial" w:hAnsi="Arial"/>
                <w:sz w:val="17"/>
                <w:szCs w:val="17"/>
                <w:color w:val="auto"/>
              </w:rPr>
              <w:t>Annual election of directors of a declassified Board</w:t>
            </w:r>
          </w:p>
        </w:tc>
        <w:tc>
          <w:tcPr>
            <w:tcW w:w="0" w:type="dxa"/>
            <w:vAlign w:val="bottom"/>
          </w:tcPr>
          <w:p>
            <w:pPr>
              <w:spacing w:after="0"/>
              <w:rPr>
                <w:sz w:val="1"/>
                <w:szCs w:val="1"/>
                <w:color w:val="auto"/>
              </w:rPr>
            </w:pPr>
          </w:p>
        </w:tc>
      </w:tr>
      <w:tr>
        <w:trPr>
          <w:trHeight w:val="241"/>
        </w:trPr>
        <w:tc>
          <w:tcPr>
            <w:tcW w:w="5320" w:type="dxa"/>
            <w:vAlign w:val="bottom"/>
          </w:tcPr>
          <w:p>
            <w:pPr>
              <w:ind w:left="540"/>
              <w:spacing w:after="0"/>
              <w:rPr>
                <w:sz w:val="20"/>
                <w:szCs w:val="20"/>
                <w:color w:val="auto"/>
              </w:rPr>
            </w:pPr>
            <w:r>
              <w:rPr>
                <w:rFonts w:ascii="Arial" w:cs="Arial" w:eastAsia="Arial" w:hAnsi="Arial"/>
                <w:sz w:val="17"/>
                <w:szCs w:val="17"/>
                <w:color w:val="auto"/>
                <w:w w:val="95"/>
              </w:rPr>
              <w:t>Average tenure of independent directors standing for re-election is</w:t>
            </w:r>
          </w:p>
        </w:tc>
        <w:tc>
          <w:tcPr>
            <w:tcW w:w="520" w:type="dxa"/>
            <w:vAlign w:val="bottom"/>
            <w:shd w:val="clear" w:color="auto" w:fill="EAEAEA"/>
          </w:tcPr>
          <w:p>
            <w:pPr>
              <w:spacing w:after="0"/>
              <w:rPr>
                <w:sz w:val="20"/>
                <w:szCs w:val="20"/>
                <w:color w:val="auto"/>
              </w:rPr>
            </w:pPr>
          </w:p>
        </w:tc>
        <w:tc>
          <w:tcPr>
            <w:tcW w:w="4780" w:type="dxa"/>
            <w:vAlign w:val="bottom"/>
            <w:vMerge w:val="restart"/>
            <w:shd w:val="clear" w:color="auto" w:fill="EAEAEA"/>
          </w:tcPr>
          <w:p>
            <w:pPr>
              <w:ind w:left="100"/>
              <w:spacing w:after="0"/>
              <w:rPr>
                <w:sz w:val="20"/>
                <w:szCs w:val="20"/>
                <w:color w:val="auto"/>
              </w:rPr>
            </w:pPr>
            <w:r>
              <w:rPr>
                <w:rFonts w:ascii="Arial" w:cs="Arial" w:eastAsia="Arial" w:hAnsi="Arial"/>
                <w:sz w:val="17"/>
                <w:szCs w:val="17"/>
                <w:color w:val="auto"/>
              </w:rPr>
              <w:t>Majority voting for directors in uncontested director election</w:t>
            </w:r>
          </w:p>
        </w:tc>
        <w:tc>
          <w:tcPr>
            <w:tcW w:w="0" w:type="dxa"/>
            <w:vAlign w:val="bottom"/>
          </w:tcPr>
          <w:p>
            <w:pPr>
              <w:spacing w:after="0"/>
              <w:rPr>
                <w:sz w:val="1"/>
                <w:szCs w:val="1"/>
                <w:color w:val="auto"/>
              </w:rPr>
            </w:pPr>
          </w:p>
        </w:tc>
      </w:tr>
      <w:tr>
        <w:trPr>
          <w:trHeight w:val="116"/>
        </w:trPr>
        <w:tc>
          <w:tcPr>
            <w:tcW w:w="5320" w:type="dxa"/>
            <w:vAlign w:val="bottom"/>
            <w:vMerge w:val="restart"/>
          </w:tcPr>
          <w:p>
            <w:pPr>
              <w:ind w:left="540"/>
              <w:spacing w:after="0"/>
              <w:rPr>
                <w:sz w:val="20"/>
                <w:szCs w:val="20"/>
                <w:color w:val="auto"/>
              </w:rPr>
            </w:pPr>
            <w:r>
              <w:rPr>
                <w:rFonts w:ascii="Arial" w:cs="Arial" w:eastAsia="Arial" w:hAnsi="Arial"/>
                <w:sz w:val="17"/>
                <w:szCs w:val="17"/>
                <w:color w:val="auto"/>
              </w:rPr>
              <w:t>approximately 6.7 years</w:t>
            </w:r>
          </w:p>
        </w:tc>
        <w:tc>
          <w:tcPr>
            <w:tcW w:w="520" w:type="dxa"/>
            <w:vAlign w:val="bottom"/>
            <w:shd w:val="clear" w:color="auto" w:fill="EAEAEA"/>
          </w:tcPr>
          <w:p>
            <w:pPr>
              <w:spacing w:after="0"/>
              <w:rPr>
                <w:sz w:val="10"/>
                <w:szCs w:val="10"/>
                <w:color w:val="auto"/>
              </w:rPr>
            </w:pPr>
          </w:p>
        </w:tc>
        <w:tc>
          <w:tcPr>
            <w:tcW w:w="4780" w:type="dxa"/>
            <w:vAlign w:val="bottom"/>
            <w:vMerge w:val="continue"/>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320" w:type="dxa"/>
            <w:vAlign w:val="bottom"/>
            <w:tcBorders>
              <w:bottom w:val="single" w:sz="8" w:color="0066BA"/>
            </w:tcBorders>
            <w:vMerge w:val="continue"/>
          </w:tcPr>
          <w:p>
            <w:pPr>
              <w:spacing w:after="0"/>
              <w:rPr>
                <w:sz w:val="9"/>
                <w:szCs w:val="9"/>
                <w:color w:val="auto"/>
              </w:rPr>
            </w:pPr>
          </w:p>
        </w:tc>
        <w:tc>
          <w:tcPr>
            <w:tcW w:w="520" w:type="dxa"/>
            <w:vAlign w:val="bottom"/>
            <w:tcBorders>
              <w:bottom w:val="single" w:sz="8" w:color="0066BA"/>
            </w:tcBorders>
            <w:shd w:val="clear" w:color="auto" w:fill="EAEAEA"/>
          </w:tcPr>
          <w:p>
            <w:pPr>
              <w:spacing w:after="0"/>
              <w:rPr>
                <w:sz w:val="9"/>
                <w:szCs w:val="9"/>
                <w:color w:val="auto"/>
              </w:rPr>
            </w:pPr>
          </w:p>
        </w:tc>
        <w:tc>
          <w:tcPr>
            <w:tcW w:w="4780" w:type="dxa"/>
            <w:vAlign w:val="bottom"/>
            <w:tcBorders>
              <w:bottom w:val="single" w:sz="8" w:color="0066BA"/>
            </w:tcBorders>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5320" w:type="dxa"/>
            <w:vAlign w:val="bottom"/>
            <w:tcBorders>
              <w:bottom w:val="single" w:sz="8" w:color="0066BA"/>
            </w:tcBorders>
          </w:tcPr>
          <w:p>
            <w:pPr>
              <w:ind w:left="540"/>
              <w:spacing w:after="0"/>
              <w:rPr>
                <w:sz w:val="20"/>
                <w:szCs w:val="20"/>
                <w:color w:val="auto"/>
              </w:rPr>
            </w:pPr>
            <w:r>
              <w:rPr>
                <w:rFonts w:ascii="Arial" w:cs="Arial" w:eastAsia="Arial" w:hAnsi="Arial"/>
                <w:sz w:val="17"/>
                <w:szCs w:val="17"/>
                <w:color w:val="auto"/>
              </w:rPr>
              <w:t>Regular executive sessions of independent directors</w:t>
            </w:r>
          </w:p>
        </w:tc>
        <w:tc>
          <w:tcPr>
            <w:tcW w:w="520" w:type="dxa"/>
            <w:vAlign w:val="bottom"/>
            <w:tcBorders>
              <w:bottom w:val="single" w:sz="8" w:color="0066BA"/>
            </w:tcBorders>
            <w:shd w:val="clear" w:color="auto" w:fill="EAEAEA"/>
          </w:tcPr>
          <w:p>
            <w:pPr>
              <w:spacing w:after="0"/>
              <w:rPr>
                <w:sz w:val="22"/>
                <w:szCs w:val="22"/>
                <w:color w:val="auto"/>
              </w:rPr>
            </w:pPr>
          </w:p>
        </w:tc>
        <w:tc>
          <w:tcPr>
            <w:tcW w:w="4780" w:type="dxa"/>
            <w:vAlign w:val="bottom"/>
            <w:tcBorders>
              <w:bottom w:val="single" w:sz="8" w:color="0066BA"/>
            </w:tcBorders>
            <w:shd w:val="clear" w:color="auto" w:fill="EAEAEA"/>
          </w:tcPr>
          <w:p>
            <w:pPr>
              <w:ind w:left="100"/>
              <w:spacing w:after="0"/>
              <w:rPr>
                <w:sz w:val="20"/>
                <w:szCs w:val="20"/>
                <w:color w:val="auto"/>
              </w:rPr>
            </w:pPr>
            <w:r>
              <w:rPr>
                <w:rFonts w:ascii="Arial" w:cs="Arial" w:eastAsia="Arial" w:hAnsi="Arial"/>
                <w:sz w:val="17"/>
                <w:szCs w:val="17"/>
                <w:color w:val="auto"/>
              </w:rPr>
              <w:t>Implemented proxy access bylaw</w:t>
            </w:r>
          </w:p>
        </w:tc>
        <w:tc>
          <w:tcPr>
            <w:tcW w:w="0" w:type="dxa"/>
            <w:vAlign w:val="bottom"/>
          </w:tcPr>
          <w:p>
            <w:pPr>
              <w:spacing w:after="0"/>
              <w:rPr>
                <w:sz w:val="1"/>
                <w:szCs w:val="1"/>
                <w:color w:val="auto"/>
              </w:rPr>
            </w:pPr>
          </w:p>
        </w:tc>
      </w:tr>
      <w:tr>
        <w:trPr>
          <w:trHeight w:val="253"/>
        </w:trPr>
        <w:tc>
          <w:tcPr>
            <w:tcW w:w="5320" w:type="dxa"/>
            <w:vAlign w:val="bottom"/>
            <w:tcBorders>
              <w:bottom w:val="single" w:sz="8" w:color="0066BA"/>
            </w:tcBorders>
          </w:tcPr>
          <w:p>
            <w:pPr>
              <w:ind w:left="540"/>
              <w:spacing w:after="0"/>
              <w:rPr>
                <w:sz w:val="20"/>
                <w:szCs w:val="20"/>
                <w:color w:val="auto"/>
              </w:rPr>
            </w:pPr>
            <w:r>
              <w:rPr>
                <w:rFonts w:ascii="Arial" w:cs="Arial" w:eastAsia="Arial" w:hAnsi="Arial"/>
                <w:sz w:val="17"/>
                <w:szCs w:val="17"/>
                <w:color w:val="auto"/>
              </w:rPr>
              <w:t>Adopted clawback policy for CEO and executive officers</w:t>
            </w:r>
          </w:p>
        </w:tc>
        <w:tc>
          <w:tcPr>
            <w:tcW w:w="520" w:type="dxa"/>
            <w:vAlign w:val="bottom"/>
            <w:tcBorders>
              <w:bottom w:val="single" w:sz="8" w:color="0066BA"/>
            </w:tcBorders>
            <w:shd w:val="clear" w:color="auto" w:fill="EAEAEA"/>
          </w:tcPr>
          <w:p>
            <w:pPr>
              <w:spacing w:after="0"/>
              <w:rPr>
                <w:sz w:val="22"/>
                <w:szCs w:val="22"/>
                <w:color w:val="auto"/>
              </w:rPr>
            </w:pPr>
          </w:p>
        </w:tc>
        <w:tc>
          <w:tcPr>
            <w:tcW w:w="4780" w:type="dxa"/>
            <w:vAlign w:val="bottom"/>
            <w:tcBorders>
              <w:bottom w:val="single" w:sz="8" w:color="0066BA"/>
            </w:tcBorders>
            <w:shd w:val="clear" w:color="auto" w:fill="EAEAEA"/>
          </w:tcPr>
          <w:p>
            <w:pPr>
              <w:ind w:left="100"/>
              <w:spacing w:after="0"/>
              <w:rPr>
                <w:sz w:val="20"/>
                <w:szCs w:val="20"/>
                <w:color w:val="auto"/>
              </w:rPr>
            </w:pPr>
            <w:r>
              <w:rPr>
                <w:rFonts w:ascii="Arial" w:cs="Arial" w:eastAsia="Arial" w:hAnsi="Arial"/>
                <w:sz w:val="17"/>
                <w:szCs w:val="17"/>
                <w:color w:val="auto"/>
              </w:rPr>
              <w:t>Annual Board and Committee self-evaluations</w:t>
            </w:r>
          </w:p>
        </w:tc>
        <w:tc>
          <w:tcPr>
            <w:tcW w:w="0" w:type="dxa"/>
            <w:vAlign w:val="bottom"/>
          </w:tcPr>
          <w:p>
            <w:pPr>
              <w:spacing w:after="0"/>
              <w:rPr>
                <w:sz w:val="1"/>
                <w:szCs w:val="1"/>
                <w:color w:val="auto"/>
              </w:rPr>
            </w:pPr>
          </w:p>
        </w:tc>
      </w:tr>
      <w:tr>
        <w:trPr>
          <w:trHeight w:val="241"/>
        </w:trPr>
        <w:tc>
          <w:tcPr>
            <w:tcW w:w="5320" w:type="dxa"/>
            <w:vAlign w:val="bottom"/>
          </w:tcPr>
          <w:p>
            <w:pPr>
              <w:ind w:left="540"/>
              <w:spacing w:after="0"/>
              <w:rPr>
                <w:sz w:val="20"/>
                <w:szCs w:val="20"/>
                <w:color w:val="auto"/>
              </w:rPr>
            </w:pPr>
            <w:r>
              <w:rPr>
                <w:rFonts w:ascii="Arial" w:cs="Arial" w:eastAsia="Arial" w:hAnsi="Arial"/>
                <w:sz w:val="17"/>
                <w:szCs w:val="17"/>
                <w:color w:val="auto"/>
              </w:rPr>
              <w:t>Active Board engagement in managing talent and long-term</w:t>
            </w:r>
          </w:p>
        </w:tc>
        <w:tc>
          <w:tcPr>
            <w:tcW w:w="520" w:type="dxa"/>
            <w:vAlign w:val="bottom"/>
            <w:shd w:val="clear" w:color="auto" w:fill="EAEAEA"/>
          </w:tcPr>
          <w:p>
            <w:pPr>
              <w:spacing w:after="0"/>
              <w:rPr>
                <w:sz w:val="20"/>
                <w:szCs w:val="20"/>
                <w:color w:val="auto"/>
              </w:rPr>
            </w:pPr>
          </w:p>
        </w:tc>
        <w:tc>
          <w:tcPr>
            <w:tcW w:w="4780" w:type="dxa"/>
            <w:vAlign w:val="bottom"/>
            <w:vMerge w:val="restart"/>
            <w:shd w:val="clear" w:color="auto" w:fill="EAEAEA"/>
          </w:tcPr>
          <w:p>
            <w:pPr>
              <w:ind w:left="100"/>
              <w:spacing w:after="0"/>
              <w:rPr>
                <w:sz w:val="20"/>
                <w:szCs w:val="20"/>
                <w:color w:val="auto"/>
              </w:rPr>
            </w:pPr>
            <w:r>
              <w:rPr>
                <w:rFonts w:ascii="Arial" w:cs="Arial" w:eastAsia="Arial" w:hAnsi="Arial"/>
                <w:sz w:val="17"/>
                <w:szCs w:val="17"/>
                <w:color w:val="auto"/>
              </w:rPr>
              <w:t>No dual class of stock or controlling shareholder</w:t>
            </w:r>
          </w:p>
        </w:tc>
        <w:tc>
          <w:tcPr>
            <w:tcW w:w="0" w:type="dxa"/>
            <w:vAlign w:val="bottom"/>
          </w:tcPr>
          <w:p>
            <w:pPr>
              <w:spacing w:after="0"/>
              <w:rPr>
                <w:sz w:val="1"/>
                <w:szCs w:val="1"/>
                <w:color w:val="auto"/>
              </w:rPr>
            </w:pPr>
          </w:p>
        </w:tc>
      </w:tr>
      <w:tr>
        <w:trPr>
          <w:trHeight w:val="116"/>
        </w:trPr>
        <w:tc>
          <w:tcPr>
            <w:tcW w:w="5320" w:type="dxa"/>
            <w:vAlign w:val="bottom"/>
            <w:vMerge w:val="restart"/>
          </w:tcPr>
          <w:p>
            <w:pPr>
              <w:ind w:left="540"/>
              <w:spacing w:after="0"/>
              <w:rPr>
                <w:sz w:val="20"/>
                <w:szCs w:val="20"/>
                <w:color w:val="auto"/>
              </w:rPr>
            </w:pPr>
            <w:r>
              <w:rPr>
                <w:rFonts w:ascii="Arial" w:cs="Arial" w:eastAsia="Arial" w:hAnsi="Arial"/>
                <w:sz w:val="17"/>
                <w:szCs w:val="17"/>
                <w:color w:val="auto"/>
              </w:rPr>
              <w:t>succession planning for executives</w:t>
            </w:r>
          </w:p>
        </w:tc>
        <w:tc>
          <w:tcPr>
            <w:tcW w:w="520" w:type="dxa"/>
            <w:vAlign w:val="bottom"/>
            <w:shd w:val="clear" w:color="auto" w:fill="EAEAEA"/>
          </w:tcPr>
          <w:p>
            <w:pPr>
              <w:spacing w:after="0"/>
              <w:rPr>
                <w:sz w:val="10"/>
                <w:szCs w:val="10"/>
                <w:color w:val="auto"/>
              </w:rPr>
            </w:pPr>
          </w:p>
        </w:tc>
        <w:tc>
          <w:tcPr>
            <w:tcW w:w="4780" w:type="dxa"/>
            <w:vAlign w:val="bottom"/>
            <w:vMerge w:val="continue"/>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320" w:type="dxa"/>
            <w:vAlign w:val="bottom"/>
            <w:tcBorders>
              <w:bottom w:val="single" w:sz="8" w:color="0066BA"/>
            </w:tcBorders>
            <w:vMerge w:val="continue"/>
          </w:tcPr>
          <w:p>
            <w:pPr>
              <w:spacing w:after="0"/>
              <w:rPr>
                <w:sz w:val="9"/>
                <w:szCs w:val="9"/>
                <w:color w:val="auto"/>
              </w:rPr>
            </w:pPr>
          </w:p>
        </w:tc>
        <w:tc>
          <w:tcPr>
            <w:tcW w:w="520" w:type="dxa"/>
            <w:vAlign w:val="bottom"/>
            <w:tcBorders>
              <w:bottom w:val="single" w:sz="8" w:color="0066BA"/>
            </w:tcBorders>
            <w:shd w:val="clear" w:color="auto" w:fill="EAEAEA"/>
          </w:tcPr>
          <w:p>
            <w:pPr>
              <w:spacing w:after="0"/>
              <w:rPr>
                <w:sz w:val="9"/>
                <w:szCs w:val="9"/>
                <w:color w:val="auto"/>
              </w:rPr>
            </w:pPr>
          </w:p>
        </w:tc>
        <w:tc>
          <w:tcPr>
            <w:tcW w:w="4780" w:type="dxa"/>
            <w:vAlign w:val="bottom"/>
            <w:tcBorders>
              <w:bottom w:val="single" w:sz="8" w:color="0066BA"/>
            </w:tcBorders>
            <w:shd w:val="clear" w:color="auto" w:fill="EAEAEA"/>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-1064895</wp:posOffset>
            </wp:positionV>
            <wp:extent cx="66040" cy="577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-1064895</wp:posOffset>
            </wp:positionV>
            <wp:extent cx="66040" cy="577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-825500</wp:posOffset>
            </wp:positionV>
            <wp:extent cx="66040" cy="577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-825500</wp:posOffset>
            </wp:positionV>
            <wp:extent cx="66040" cy="577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-586105</wp:posOffset>
            </wp:positionV>
            <wp:extent cx="66040" cy="577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-586105</wp:posOffset>
            </wp:positionV>
            <wp:extent cx="66040" cy="577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-412115</wp:posOffset>
            </wp:positionV>
            <wp:extent cx="66040" cy="577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-412115</wp:posOffset>
            </wp:positionV>
            <wp:extent cx="66040" cy="577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-172720</wp:posOffset>
            </wp:positionV>
            <wp:extent cx="66040" cy="577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-172720</wp:posOffset>
            </wp:positionV>
            <wp:extent cx="66040" cy="577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6801485</wp:posOffset>
            </wp:positionH>
            <wp:positionV relativeFrom="paragraph">
              <wp:posOffset>90805</wp:posOffset>
            </wp:positionV>
            <wp:extent cx="140335" cy="900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0335" cy="900430"/>
                    </a:xfrm>
                    <a:prstGeom prst="rect">
                      <a:avLst/>
                    </a:prstGeom>
                    <a:noFill/>
                  </pic:spPr>
                </pic:pic>
              </a:graphicData>
            </a:graphic>
          </wp:anchor>
        </w:drawing>
      </w:r>
    </w:p>
    <w:p>
      <w:pPr>
        <w:sectPr>
          <w:pgSz w:w="11900" w:h="16838" w:orient="portrait"/>
          <w:cols w:equalWidth="0" w:num="1">
            <w:col w:w="10940"/>
          </w:cols>
          <w:pgMar w:left="320" w:top="447" w:right="639" w:bottom="33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8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40"/>
          </w:cols>
          <w:pgMar w:left="320" w:top="447" w:right="639" w:bottom="337" w:gutter="0" w:footer="0" w:header="0"/>
          <w:type w:val="continuous"/>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20"/>
        <w:spacing w:after="0"/>
        <w:rPr>
          <w:sz w:val="20"/>
          <w:szCs w:val="20"/>
          <w:color w:val="auto"/>
        </w:rPr>
      </w:pPr>
      <w:r>
        <w:rPr>
          <w:rFonts w:ascii="Arial" w:cs="Arial" w:eastAsia="Arial" w:hAnsi="Arial"/>
          <w:sz w:val="55"/>
          <w:szCs w:val="55"/>
          <w:color w:val="auto"/>
        </w:rPr>
        <w:t>About ADI</w:t>
      </w: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At ADI, we are committed to solving our customers’ and the world’s toughest challenges.</w:t>
      </w:r>
    </w:p>
    <w:p>
      <w:pPr>
        <w:spacing w:after="0" w:line="117" w:lineRule="exact"/>
        <w:rPr>
          <w:sz w:val="20"/>
          <w:szCs w:val="20"/>
          <w:color w:val="auto"/>
        </w:rPr>
      </w:pPr>
    </w:p>
    <w:p>
      <w:pPr>
        <w:ind w:left="320"/>
        <w:spacing w:after="0" w:line="265" w:lineRule="auto"/>
        <w:rPr>
          <w:sz w:val="20"/>
          <w:szCs w:val="20"/>
          <w:color w:val="auto"/>
        </w:rPr>
      </w:pPr>
      <w:r>
        <w:rPr>
          <w:rFonts w:ascii="Arial" w:cs="Arial" w:eastAsia="Arial" w:hAnsi="Arial"/>
          <w:sz w:val="17"/>
          <w:szCs w:val="17"/>
          <w:color w:val="auto"/>
        </w:rPr>
        <w:t>Our hardware technologies are uniquely positioned at the edge – where data is born. They sense, measure and interpret phenomena, such as temperature, pressure, sound, light, speed, and motion, and transform these signals into intelligent actions – bridging the physical and cyber worlds and igniting human breakthroughs. We create leading edge technologies and solutions to solve our customers’ problems in instrumentation, automation, communications, healthcare, automotive and numerous other industries.</w:t>
      </w:r>
    </w:p>
    <w:p>
      <w:pPr>
        <w:sectPr>
          <w:pgSz w:w="11900" w:h="16838" w:orient="portrait"/>
          <w:cols w:equalWidth="0" w:num="1">
            <w:col w:w="10900"/>
          </w:cols>
          <w:pgMar w:left="320" w:top="447" w:right="679" w:bottom="1440" w:gutter="0" w:footer="0" w:header="0"/>
        </w:sectPr>
      </w:pP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ADI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3230245" cy="1981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0245" cy="198120"/>
                    </a:xfrm>
                    <a:prstGeom prst="rect">
                      <a:avLst/>
                    </a:prstGeom>
                    <a:noFill/>
                  </pic:spPr>
                </pic:pic>
              </a:graphicData>
            </a:graphic>
          </wp:anchor>
        </w:drawing>
      </w:r>
    </w:p>
    <w:p>
      <w:pPr>
        <w:spacing w:after="0" w:line="31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FFFFFF"/>
        </w:rPr>
        <w:t>Background</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Founded: 1965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114935</wp:posOffset>
            </wp:positionV>
            <wp:extent cx="32302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3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Headquarters: Wilmington,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114935</wp:posOffset>
            </wp:positionV>
            <wp:extent cx="32302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3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Employees: 15,900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114935</wp:posOffset>
            </wp:positionV>
            <wp:extent cx="32302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3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Countries: 30+</w:t>
      </w:r>
    </w:p>
    <w:p>
      <w:pPr>
        <w:spacing w:after="0" w:line="25" w:lineRule="exact"/>
        <w:rPr>
          <w:sz w:val="20"/>
          <w:szCs w:val="20"/>
          <w:color w:val="auto"/>
        </w:rPr>
      </w:pPr>
    </w:p>
    <w:p>
      <w:pPr>
        <w:ind w:left="380" w:right="2520"/>
        <w:spacing w:after="0" w:line="339" w:lineRule="auto"/>
        <w:rPr>
          <w:sz w:val="20"/>
          <w:szCs w:val="20"/>
          <w:color w:val="auto"/>
        </w:rPr>
      </w:pPr>
      <w:r>
        <w:rPr>
          <w:rFonts w:ascii="Arial" w:cs="Arial" w:eastAsia="Arial" w:hAnsi="Arial"/>
          <w:sz w:val="15"/>
          <w:szCs w:val="15"/>
          <w:color w:val="auto"/>
        </w:rPr>
        <w:t>Worldwide sales, field applications, engineers, distribution, design and technical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53975</wp:posOffset>
            </wp:positionV>
            <wp:extent cx="32302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Products: ~45,000 SKUs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114935</wp:posOffset>
            </wp:positionV>
            <wp:extent cx="32302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3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Customers: 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114935</wp:posOffset>
            </wp:positionV>
            <wp:extent cx="32302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3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Publicly Listed – NASDAQ: 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114935</wp:posOffset>
            </wp:positionV>
            <wp:extent cx="32302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3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Design Centers: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114935</wp:posOffset>
            </wp:positionV>
            <wp:extent cx="32302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3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Global Manufacturing:</w:t>
      </w:r>
    </w:p>
    <w:p>
      <w:pPr>
        <w:spacing w:after="0" w:line="25" w:lineRule="exact"/>
        <w:rPr>
          <w:sz w:val="20"/>
          <w:szCs w:val="20"/>
          <w:color w:val="auto"/>
        </w:rPr>
      </w:pPr>
    </w:p>
    <w:p>
      <w:pPr>
        <w:ind w:left="380" w:right="2520"/>
        <w:spacing w:after="0" w:line="303" w:lineRule="auto"/>
        <w:rPr>
          <w:sz w:val="20"/>
          <w:szCs w:val="20"/>
          <w:color w:val="auto"/>
        </w:rPr>
      </w:pPr>
      <w:r>
        <w:rPr>
          <w:rFonts w:ascii="Arial" w:cs="Arial" w:eastAsia="Arial" w:hAnsi="Arial"/>
          <w:sz w:val="16"/>
          <w:szCs w:val="16"/>
          <w:color w:val="auto"/>
        </w:rPr>
        <w:t>U.S. (Massachusetts, California, Washington) Ireland | Philippines | Malaysia |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291465</wp:posOffset>
            </wp:positionV>
            <wp:extent cx="140335" cy="908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0335" cy="90868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68580</wp:posOffset>
            </wp:positionV>
            <wp:extent cx="32302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0066BA"/>
        </w:rPr>
        <w:t>Fiscal 2020 Revenue: $5.6B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-474980</wp:posOffset>
            </wp:positionV>
            <wp:extent cx="5658485" cy="1320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8485" cy="132080"/>
                    </a:xfrm>
                    <a:prstGeom prst="rect">
                      <a:avLst/>
                    </a:prstGeom>
                    <a:noFill/>
                  </pic:spPr>
                </pic:pic>
              </a:graphicData>
            </a:graphic>
          </wp:anchor>
        </w:drawing>
      </w:r>
    </w:p>
    <w:p>
      <w:pPr>
        <w:spacing w:after="0" w:line="26" w:lineRule="exact"/>
        <w:rPr>
          <w:sz w:val="20"/>
          <w:szCs w:val="20"/>
          <w:color w:val="auto"/>
        </w:rPr>
      </w:pPr>
    </w:p>
    <w:p>
      <w:pPr>
        <w:ind w:left="1120"/>
        <w:spacing w:after="0"/>
        <w:rPr>
          <w:sz w:val="20"/>
          <w:szCs w:val="20"/>
          <w:color w:val="auto"/>
        </w:rPr>
      </w:pPr>
      <w:r>
        <w:rPr>
          <w:rFonts w:ascii="Arial" w:cs="Arial" w:eastAsia="Arial" w:hAnsi="Arial"/>
          <w:sz w:val="17"/>
          <w:szCs w:val="17"/>
          <w:b w:val="1"/>
          <w:bCs w:val="1"/>
          <w:color w:val="0066BA"/>
        </w:rPr>
        <w:t>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-83185</wp:posOffset>
            </wp:positionV>
            <wp:extent cx="784860" cy="7848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84860" cy="784860"/>
                    </a:xfrm>
                    <a:prstGeom prst="rect">
                      <a:avLst/>
                    </a:prstGeom>
                    <a:noFill/>
                  </pic:spPr>
                </pic:pic>
              </a:graphicData>
            </a:graphic>
          </wp:anchor>
        </w:drawing>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Aerospace and Defense</w:t>
      </w:r>
    </w:p>
    <w:p>
      <w:pPr>
        <w:spacing w:after="0" w:line="25"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Energy</w:t>
      </w:r>
    </w:p>
    <w:p>
      <w:pPr>
        <w:spacing w:after="0" w:line="13"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Factory Automation</w:t>
      </w:r>
    </w:p>
    <w:p>
      <w:pPr>
        <w:spacing w:after="0" w:line="13"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Healthcare</w:t>
      </w:r>
    </w:p>
    <w:p>
      <w:pPr>
        <w:spacing w:after="0" w:line="13"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Instrumentation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132080</wp:posOffset>
            </wp:positionV>
            <wp:extent cx="784860" cy="7848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84860" cy="784860"/>
                    </a:xfrm>
                    <a:prstGeom prst="rect">
                      <a:avLst/>
                    </a:prstGeom>
                    <a:noFill/>
                  </pic:spPr>
                </pic:pic>
              </a:graphicData>
            </a:graphic>
          </wp:anchor>
        </w:drawing>
      </w:r>
    </w:p>
    <w:p>
      <w:pPr>
        <w:spacing w:after="0" w:line="391" w:lineRule="exact"/>
        <w:rPr>
          <w:sz w:val="20"/>
          <w:szCs w:val="20"/>
          <w:color w:val="auto"/>
        </w:rPr>
      </w:pPr>
    </w:p>
    <w:p>
      <w:pPr>
        <w:ind w:left="1120"/>
        <w:spacing w:after="0"/>
        <w:rPr>
          <w:sz w:val="20"/>
          <w:szCs w:val="20"/>
          <w:color w:val="auto"/>
        </w:rPr>
      </w:pPr>
      <w:r>
        <w:rPr>
          <w:rFonts w:ascii="Arial" w:cs="Arial" w:eastAsia="Arial" w:hAnsi="Arial"/>
          <w:sz w:val="17"/>
          <w:szCs w:val="17"/>
          <w:b w:val="1"/>
          <w:bCs w:val="1"/>
          <w:color w:val="0066BA"/>
        </w:rPr>
        <w:t>Communications</w:t>
      </w:r>
    </w:p>
    <w:p>
      <w:pPr>
        <w:spacing w:after="0" w:line="58" w:lineRule="exact"/>
        <w:rPr>
          <w:sz w:val="20"/>
          <w:szCs w:val="20"/>
          <w:color w:val="auto"/>
        </w:rPr>
      </w:pPr>
    </w:p>
    <w:p>
      <w:pPr>
        <w:ind w:left="1120" w:right="1060"/>
        <w:spacing w:after="0" w:line="286" w:lineRule="auto"/>
        <w:rPr>
          <w:sz w:val="20"/>
          <w:szCs w:val="20"/>
          <w:color w:val="auto"/>
        </w:rPr>
      </w:pPr>
      <w:r>
        <w:rPr>
          <w:rFonts w:ascii="Arial" w:cs="Arial" w:eastAsia="Arial" w:hAnsi="Arial"/>
          <w:sz w:val="17"/>
          <w:szCs w:val="17"/>
          <w:color w:val="auto"/>
        </w:rPr>
        <w:t>Wired/Optical Networking Wireless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323215</wp:posOffset>
            </wp:positionV>
            <wp:extent cx="784860" cy="7848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84860" cy="78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20"/>
        <w:spacing w:after="0"/>
        <w:rPr>
          <w:sz w:val="20"/>
          <w:szCs w:val="20"/>
          <w:color w:val="auto"/>
        </w:rPr>
      </w:pPr>
      <w:r>
        <w:rPr>
          <w:rFonts w:ascii="Arial" w:cs="Arial" w:eastAsia="Arial" w:hAnsi="Arial"/>
          <w:sz w:val="17"/>
          <w:szCs w:val="17"/>
          <w:b w:val="1"/>
          <w:bCs w:val="1"/>
          <w:color w:val="0066BA"/>
        </w:rPr>
        <w:t>Automotive</w:t>
      </w:r>
    </w:p>
    <w:p>
      <w:pPr>
        <w:spacing w:after="0" w:line="58"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Electrification</w:t>
      </w:r>
    </w:p>
    <w:p>
      <w:pPr>
        <w:spacing w:after="0" w:line="25"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Infotainment</w:t>
      </w:r>
    </w:p>
    <w:p>
      <w:pPr>
        <w:spacing w:after="0" w:line="13"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Autonomous Mobility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247650</wp:posOffset>
            </wp:positionV>
            <wp:extent cx="784860" cy="7848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84860" cy="78486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120"/>
        <w:spacing w:after="0"/>
        <w:rPr>
          <w:sz w:val="20"/>
          <w:szCs w:val="20"/>
          <w:color w:val="auto"/>
        </w:rPr>
      </w:pPr>
      <w:r>
        <w:rPr>
          <w:rFonts w:ascii="Arial" w:cs="Arial" w:eastAsia="Arial" w:hAnsi="Arial"/>
          <w:sz w:val="17"/>
          <w:szCs w:val="17"/>
          <w:b w:val="1"/>
          <w:bCs w:val="1"/>
          <w:color w:val="0066BA"/>
        </w:rPr>
        <w:t>Consumer</w:t>
      </w:r>
    </w:p>
    <w:p>
      <w:pPr>
        <w:spacing w:after="0" w:line="58" w:lineRule="exact"/>
        <w:rPr>
          <w:sz w:val="20"/>
          <w:szCs w:val="20"/>
          <w:color w:val="auto"/>
        </w:rPr>
      </w:pPr>
    </w:p>
    <w:p>
      <w:pPr>
        <w:ind w:left="1120" w:right="820"/>
        <w:spacing w:after="0" w:line="270" w:lineRule="auto"/>
        <w:rPr>
          <w:sz w:val="20"/>
          <w:szCs w:val="20"/>
          <w:color w:val="auto"/>
        </w:rPr>
      </w:pPr>
      <w:r>
        <w:rPr>
          <w:rFonts w:ascii="Arial" w:cs="Arial" w:eastAsia="Arial" w:hAnsi="Arial"/>
          <w:sz w:val="17"/>
          <w:szCs w:val="17"/>
          <w:color w:val="auto"/>
        </w:rPr>
        <w:t>Hearable &amp; Wearable Devices High-End Audio &amp; Video Portables</w:t>
      </w:r>
    </w:p>
    <w:p>
      <w:pPr>
        <w:spacing w:after="0" w:line="200" w:lineRule="exact"/>
        <w:rPr>
          <w:sz w:val="20"/>
          <w:szCs w:val="20"/>
          <w:color w:val="auto"/>
        </w:rPr>
      </w:pPr>
    </w:p>
    <w:p>
      <w:pPr>
        <w:sectPr>
          <w:pgSz w:w="11900" w:h="16838" w:orient="portrait"/>
          <w:cols w:equalWidth="0" w:num="2">
            <w:col w:w="6140" w:space="720"/>
            <w:col w:w="4040"/>
          </w:cols>
          <w:pgMar w:left="320" w:top="447"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900"/>
          </w:cols>
          <w:pgMar w:left="320" w:top="447" w:right="679" w:bottom="1440" w:gutter="0" w:footer="0" w:header="0"/>
          <w:type w:val="continuous"/>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Our Strategy</w:t>
      </w:r>
    </w:p>
    <w:p>
      <w:pPr>
        <w:spacing w:after="0" w:line="124" w:lineRule="exact"/>
        <w:rPr>
          <w:sz w:val="20"/>
          <w:szCs w:val="20"/>
          <w:color w:val="auto"/>
        </w:rPr>
      </w:pPr>
    </w:p>
    <w:p>
      <w:pPr>
        <w:ind w:left="320" w:right="180"/>
        <w:spacing w:after="0" w:line="270" w:lineRule="auto"/>
        <w:rPr>
          <w:sz w:val="20"/>
          <w:szCs w:val="20"/>
          <w:color w:val="auto"/>
        </w:rPr>
      </w:pPr>
      <w:r>
        <w:rPr>
          <w:rFonts w:ascii="Arial" w:cs="Arial" w:eastAsia="Arial" w:hAnsi="Arial"/>
          <w:sz w:val="17"/>
          <w:szCs w:val="17"/>
          <w:color w:val="auto"/>
        </w:rPr>
        <w:t>Central to our strategy is our focus on challenges that our customers have across the most impactful application areas. By bringing together domain expertise with some of the world’s best technologies across hardware, software and AI, we make our customers’ solutions more accurate, efficient and intelligent — driving profitable growth.</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Despite the highly uncertain environment and unprecedented challenges of the COVID-19 pandemic, fiscal</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2020 represented a year of strategic progress for ADI as we continued to deliver strong results and progress against our three key priorities:</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338"/>
        </w:trPr>
        <w:tc>
          <w:tcPr>
            <w:tcW w:w="1920" w:type="dxa"/>
            <w:vAlign w:val="bottom"/>
            <w:tcBorders>
              <w:top w:val="single" w:sz="8" w:color="0066BA"/>
            </w:tcBorders>
          </w:tcPr>
          <w:p>
            <w:pPr>
              <w:spacing w:after="0"/>
              <w:rPr>
                <w:sz w:val="24"/>
                <w:szCs w:val="24"/>
                <w:color w:val="auto"/>
              </w:rPr>
            </w:pPr>
          </w:p>
        </w:tc>
        <w:tc>
          <w:tcPr>
            <w:tcW w:w="840" w:type="dxa"/>
            <w:vAlign w:val="bottom"/>
            <w:tcBorders>
              <w:top w:val="single" w:sz="8" w:color="0066BA"/>
            </w:tcBorders>
          </w:tcPr>
          <w:p>
            <w:pPr>
              <w:spacing w:after="0"/>
              <w:rPr>
                <w:sz w:val="24"/>
                <w:szCs w:val="24"/>
                <w:color w:val="auto"/>
              </w:rPr>
            </w:pPr>
          </w:p>
        </w:tc>
        <w:tc>
          <w:tcPr>
            <w:tcW w:w="120" w:type="dxa"/>
            <w:vAlign w:val="bottom"/>
            <w:tcBorders>
              <w:top w:val="single" w:sz="8" w:color="0066BA"/>
            </w:tcBorders>
            <w:shd w:val="clear" w:color="auto" w:fill="EAEAEA"/>
          </w:tcPr>
          <w:p>
            <w:pPr>
              <w:spacing w:after="0"/>
              <w:rPr>
                <w:sz w:val="24"/>
                <w:szCs w:val="24"/>
                <w:color w:val="auto"/>
              </w:rPr>
            </w:pPr>
          </w:p>
        </w:tc>
        <w:tc>
          <w:tcPr>
            <w:tcW w:w="5900" w:type="dxa"/>
            <w:vAlign w:val="bottom"/>
            <w:tcBorders>
              <w:top w:val="single" w:sz="8" w:color="0066BA"/>
            </w:tcBorders>
            <w:gridSpan w:val="4"/>
            <w:shd w:val="clear" w:color="auto" w:fill="EAEAEA"/>
          </w:tcPr>
          <w:p>
            <w:pPr>
              <w:spacing w:after="0"/>
              <w:rPr>
                <w:sz w:val="20"/>
                <w:szCs w:val="20"/>
                <w:color w:val="auto"/>
              </w:rPr>
            </w:pPr>
            <w:r>
              <w:rPr>
                <w:rFonts w:ascii="Arial" w:cs="Arial" w:eastAsia="Arial" w:hAnsi="Arial"/>
                <w:sz w:val="17"/>
                <w:szCs w:val="17"/>
                <w:color w:val="auto"/>
                <w:w w:val="95"/>
              </w:rPr>
              <w:t>• R&amp;D investment of $1B+ with 95% targeted on most attractive B2B opportunities</w:t>
            </w:r>
          </w:p>
        </w:tc>
        <w:tc>
          <w:tcPr>
            <w:tcW w:w="1840" w:type="dxa"/>
            <w:vAlign w:val="bottom"/>
            <w:tcBorders>
              <w:top w:val="single" w:sz="8" w:color="0066BA"/>
            </w:tcBorders>
            <w:shd w:val="clear" w:color="auto" w:fill="EAEAEA"/>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920" w:type="dxa"/>
            <w:vAlign w:val="bottom"/>
            <w:vMerge w:val="restart"/>
          </w:tcPr>
          <w:p>
            <w:pPr>
              <w:ind w:left="60"/>
              <w:spacing w:after="0"/>
              <w:rPr>
                <w:sz w:val="20"/>
                <w:szCs w:val="20"/>
                <w:color w:val="auto"/>
              </w:rPr>
            </w:pPr>
            <w:r>
              <w:rPr>
                <w:rFonts w:ascii="Arial" w:cs="Arial" w:eastAsia="Arial" w:hAnsi="Arial"/>
                <w:sz w:val="16"/>
                <w:szCs w:val="16"/>
                <w:color w:val="auto"/>
              </w:rPr>
              <w:t>Efficient Use</w:t>
            </w:r>
          </w:p>
        </w:tc>
        <w:tc>
          <w:tcPr>
            <w:tcW w:w="840" w:type="dxa"/>
            <w:vAlign w:val="bottom"/>
          </w:tcPr>
          <w:p>
            <w:pPr>
              <w:spacing w:after="0"/>
              <w:rPr>
                <w:sz w:val="22"/>
                <w:szCs w:val="22"/>
                <w:color w:val="auto"/>
              </w:rPr>
            </w:pPr>
          </w:p>
        </w:tc>
        <w:tc>
          <w:tcPr>
            <w:tcW w:w="120" w:type="dxa"/>
            <w:vAlign w:val="bottom"/>
            <w:shd w:val="clear" w:color="auto" w:fill="EAEAEA"/>
          </w:tcPr>
          <w:p>
            <w:pPr>
              <w:spacing w:after="0"/>
              <w:rPr>
                <w:sz w:val="22"/>
                <w:szCs w:val="22"/>
                <w:color w:val="auto"/>
              </w:rPr>
            </w:pPr>
          </w:p>
        </w:tc>
        <w:tc>
          <w:tcPr>
            <w:tcW w:w="120" w:type="dxa"/>
            <w:vAlign w:val="bottom"/>
            <w:shd w:val="clear" w:color="auto" w:fill="EAEAEA"/>
          </w:tcPr>
          <w:p>
            <w:pPr>
              <w:spacing w:after="0"/>
              <w:rPr>
                <w:sz w:val="20"/>
                <w:szCs w:val="20"/>
                <w:color w:val="auto"/>
              </w:rPr>
            </w:pPr>
            <w:r>
              <w:rPr>
                <w:rFonts w:ascii="Arial" w:cs="Arial" w:eastAsia="Arial" w:hAnsi="Arial"/>
                <w:sz w:val="17"/>
                <w:szCs w:val="17"/>
                <w:color w:val="auto"/>
              </w:rPr>
              <w:t>•</w:t>
            </w:r>
          </w:p>
        </w:tc>
        <w:tc>
          <w:tcPr>
            <w:tcW w:w="7620" w:type="dxa"/>
            <w:vAlign w:val="bottom"/>
            <w:gridSpan w:val="4"/>
            <w:shd w:val="clear" w:color="auto" w:fill="EAEAEA"/>
          </w:tcPr>
          <w:p>
            <w:pPr>
              <w:ind w:left="40"/>
              <w:spacing w:after="0"/>
              <w:rPr>
                <w:sz w:val="20"/>
                <w:szCs w:val="20"/>
                <w:color w:val="auto"/>
              </w:rPr>
            </w:pPr>
            <w:r>
              <w:rPr>
                <w:rFonts w:ascii="Arial" w:cs="Arial" w:eastAsia="Arial" w:hAnsi="Arial"/>
                <w:sz w:val="17"/>
                <w:szCs w:val="17"/>
                <w:color w:val="auto"/>
              </w:rPr>
              <w:t>Extracting value from M&amp;A to drive long-term value creation, including pending acquisition of Maxim</w:t>
            </w:r>
          </w:p>
        </w:tc>
        <w:tc>
          <w:tcPr>
            <w:tcW w:w="0" w:type="dxa"/>
            <w:vAlign w:val="bottom"/>
          </w:tcPr>
          <w:p>
            <w:pPr>
              <w:spacing w:after="0"/>
              <w:rPr>
                <w:sz w:val="1"/>
                <w:szCs w:val="1"/>
                <w:color w:val="auto"/>
              </w:rPr>
            </w:pPr>
          </w:p>
        </w:tc>
      </w:tr>
      <w:tr>
        <w:trPr>
          <w:trHeight w:val="106"/>
        </w:trPr>
        <w:tc>
          <w:tcPr>
            <w:tcW w:w="1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shd w:val="clear" w:color="auto" w:fill="EAEAEA"/>
          </w:tcPr>
          <w:p>
            <w:pPr>
              <w:spacing w:after="0"/>
              <w:rPr>
                <w:sz w:val="9"/>
                <w:szCs w:val="9"/>
                <w:color w:val="auto"/>
              </w:rPr>
            </w:pPr>
          </w:p>
        </w:tc>
        <w:tc>
          <w:tcPr>
            <w:tcW w:w="120" w:type="dxa"/>
            <w:vAlign w:val="bottom"/>
            <w:shd w:val="clear" w:color="auto" w:fill="EAEAEA"/>
          </w:tcPr>
          <w:p>
            <w:pPr>
              <w:spacing w:after="0"/>
              <w:rPr>
                <w:sz w:val="9"/>
                <w:szCs w:val="9"/>
                <w:color w:val="auto"/>
              </w:rPr>
            </w:pPr>
          </w:p>
        </w:tc>
        <w:tc>
          <w:tcPr>
            <w:tcW w:w="1280" w:type="dxa"/>
            <w:vAlign w:val="bottom"/>
            <w:vMerge w:val="restart"/>
            <w:shd w:val="clear" w:color="auto" w:fill="EAEAEA"/>
          </w:tcPr>
          <w:p>
            <w:pPr>
              <w:ind w:left="20"/>
              <w:spacing w:after="0"/>
              <w:rPr>
                <w:sz w:val="20"/>
                <w:szCs w:val="20"/>
                <w:color w:val="auto"/>
              </w:rPr>
            </w:pPr>
            <w:r>
              <w:rPr>
                <w:rFonts w:ascii="Arial" w:cs="Arial" w:eastAsia="Arial" w:hAnsi="Arial"/>
                <w:sz w:val="17"/>
                <w:szCs w:val="17"/>
                <w:color w:val="auto"/>
              </w:rPr>
              <w:t>Integrated</w:t>
            </w:r>
          </w:p>
        </w:tc>
        <w:tc>
          <w:tcPr>
            <w:tcW w:w="2360" w:type="dxa"/>
            <w:vAlign w:val="bottom"/>
            <w:shd w:val="clear" w:color="auto" w:fill="EAEAEA"/>
          </w:tcPr>
          <w:p>
            <w:pPr>
              <w:spacing w:after="0"/>
              <w:rPr>
                <w:sz w:val="9"/>
                <w:szCs w:val="9"/>
                <w:color w:val="auto"/>
              </w:rPr>
            </w:pPr>
          </w:p>
        </w:tc>
        <w:tc>
          <w:tcPr>
            <w:tcW w:w="2140" w:type="dxa"/>
            <w:vAlign w:val="bottom"/>
            <w:shd w:val="clear" w:color="auto" w:fill="EAEAEA"/>
          </w:tcPr>
          <w:p>
            <w:pPr>
              <w:spacing w:after="0"/>
              <w:rPr>
                <w:sz w:val="9"/>
                <w:szCs w:val="9"/>
                <w:color w:val="auto"/>
              </w:rPr>
            </w:pPr>
          </w:p>
        </w:tc>
        <w:tc>
          <w:tcPr>
            <w:tcW w:w="1840" w:type="dxa"/>
            <w:vAlign w:val="bottom"/>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920" w:type="dxa"/>
            <w:vAlign w:val="bottom"/>
            <w:vMerge w:val="restart"/>
          </w:tcPr>
          <w:p>
            <w:pPr>
              <w:ind w:left="60"/>
              <w:spacing w:after="0"/>
              <w:rPr>
                <w:sz w:val="20"/>
                <w:szCs w:val="20"/>
                <w:color w:val="auto"/>
              </w:rPr>
            </w:pPr>
            <w:r>
              <w:rPr>
                <w:rFonts w:ascii="Arial" w:cs="Arial" w:eastAsia="Arial" w:hAnsi="Arial"/>
                <w:sz w:val="16"/>
                <w:szCs w:val="16"/>
                <w:color w:val="auto"/>
              </w:rPr>
              <w:t>of Capital</w:t>
            </w:r>
          </w:p>
        </w:tc>
        <w:tc>
          <w:tcPr>
            <w:tcW w:w="840" w:type="dxa"/>
            <w:vAlign w:val="bottom"/>
          </w:tcPr>
          <w:p>
            <w:pPr>
              <w:spacing w:after="0"/>
              <w:rPr>
                <w:sz w:val="9"/>
                <w:szCs w:val="9"/>
                <w:color w:val="auto"/>
              </w:rPr>
            </w:pPr>
          </w:p>
        </w:tc>
        <w:tc>
          <w:tcPr>
            <w:tcW w:w="120" w:type="dxa"/>
            <w:vAlign w:val="bottom"/>
            <w:shd w:val="clear" w:color="auto" w:fill="EAEAEA"/>
          </w:tcPr>
          <w:p>
            <w:pPr>
              <w:spacing w:after="0"/>
              <w:rPr>
                <w:sz w:val="9"/>
                <w:szCs w:val="9"/>
                <w:color w:val="auto"/>
              </w:rPr>
            </w:pPr>
          </w:p>
        </w:tc>
        <w:tc>
          <w:tcPr>
            <w:tcW w:w="120" w:type="dxa"/>
            <w:vAlign w:val="bottom"/>
            <w:shd w:val="clear" w:color="auto" w:fill="EAEAEA"/>
          </w:tcPr>
          <w:p>
            <w:pPr>
              <w:spacing w:after="0"/>
              <w:rPr>
                <w:sz w:val="9"/>
                <w:szCs w:val="9"/>
                <w:color w:val="auto"/>
              </w:rPr>
            </w:pPr>
          </w:p>
        </w:tc>
        <w:tc>
          <w:tcPr>
            <w:tcW w:w="1280" w:type="dxa"/>
            <w:vAlign w:val="bottom"/>
            <w:vMerge w:val="continue"/>
            <w:shd w:val="clear" w:color="auto" w:fill="EAEAEA"/>
          </w:tcPr>
          <w:p>
            <w:pPr>
              <w:spacing w:after="0"/>
              <w:rPr>
                <w:sz w:val="9"/>
                <w:szCs w:val="9"/>
                <w:color w:val="auto"/>
              </w:rPr>
            </w:pPr>
          </w:p>
        </w:tc>
        <w:tc>
          <w:tcPr>
            <w:tcW w:w="2360" w:type="dxa"/>
            <w:vAlign w:val="bottom"/>
            <w:shd w:val="clear" w:color="auto" w:fill="EAEAEA"/>
          </w:tcPr>
          <w:p>
            <w:pPr>
              <w:spacing w:after="0"/>
              <w:rPr>
                <w:sz w:val="9"/>
                <w:szCs w:val="9"/>
                <w:color w:val="auto"/>
              </w:rPr>
            </w:pPr>
          </w:p>
        </w:tc>
        <w:tc>
          <w:tcPr>
            <w:tcW w:w="2140" w:type="dxa"/>
            <w:vAlign w:val="bottom"/>
            <w:shd w:val="clear" w:color="auto" w:fill="EAEAEA"/>
          </w:tcPr>
          <w:p>
            <w:pPr>
              <w:spacing w:after="0"/>
              <w:rPr>
                <w:sz w:val="9"/>
                <w:szCs w:val="9"/>
                <w:color w:val="auto"/>
              </w:rPr>
            </w:pPr>
          </w:p>
        </w:tc>
        <w:tc>
          <w:tcPr>
            <w:tcW w:w="1840" w:type="dxa"/>
            <w:vAlign w:val="bottom"/>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9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shd w:val="clear" w:color="auto" w:fill="EAEAEA"/>
          </w:tcPr>
          <w:p>
            <w:pPr>
              <w:spacing w:after="0"/>
              <w:rPr>
                <w:sz w:val="7"/>
                <w:szCs w:val="7"/>
                <w:color w:val="auto"/>
              </w:rPr>
            </w:pPr>
          </w:p>
        </w:tc>
        <w:tc>
          <w:tcPr>
            <w:tcW w:w="120" w:type="dxa"/>
            <w:vAlign w:val="bottom"/>
            <w:vMerge w:val="restart"/>
            <w:shd w:val="clear" w:color="auto" w:fill="EAEAEA"/>
          </w:tcPr>
          <w:p>
            <w:pPr>
              <w:spacing w:after="0"/>
              <w:rPr>
                <w:sz w:val="20"/>
                <w:szCs w:val="20"/>
                <w:color w:val="auto"/>
              </w:rPr>
            </w:pPr>
            <w:r>
              <w:rPr>
                <w:rFonts w:ascii="Arial" w:cs="Arial" w:eastAsia="Arial" w:hAnsi="Arial"/>
                <w:sz w:val="17"/>
                <w:szCs w:val="17"/>
                <w:color w:val="auto"/>
              </w:rPr>
              <w:t>•</w:t>
            </w:r>
          </w:p>
        </w:tc>
        <w:tc>
          <w:tcPr>
            <w:tcW w:w="7620" w:type="dxa"/>
            <w:vAlign w:val="bottom"/>
            <w:gridSpan w:val="4"/>
            <w:vMerge w:val="restart"/>
            <w:shd w:val="clear" w:color="auto" w:fill="EAEAEA"/>
          </w:tcPr>
          <w:p>
            <w:pPr>
              <w:ind w:left="20"/>
              <w:spacing w:after="0"/>
              <w:rPr>
                <w:sz w:val="20"/>
                <w:szCs w:val="20"/>
                <w:color w:val="auto"/>
              </w:rPr>
            </w:pPr>
            <w:r>
              <w:rPr>
                <w:rFonts w:ascii="Arial" w:cs="Arial" w:eastAsia="Arial" w:hAnsi="Arial"/>
                <w:sz w:val="17"/>
                <w:szCs w:val="17"/>
                <w:color w:val="auto"/>
                <w:w w:val="96"/>
              </w:rPr>
              <w:t>Targeting to return 100% of free cash flow after debt repayments to shareholders in the form of dividends</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shd w:val="clear" w:color="auto" w:fill="EAEAEA"/>
          </w:tcPr>
          <w:p>
            <w:pPr>
              <w:spacing w:after="0"/>
              <w:rPr>
                <w:sz w:val="15"/>
                <w:szCs w:val="15"/>
                <w:color w:val="auto"/>
              </w:rPr>
            </w:pPr>
          </w:p>
        </w:tc>
        <w:tc>
          <w:tcPr>
            <w:tcW w:w="120" w:type="dxa"/>
            <w:vAlign w:val="bottom"/>
            <w:vMerge w:val="continue"/>
            <w:shd w:val="clear" w:color="auto" w:fill="EAEAEA"/>
          </w:tcPr>
          <w:p>
            <w:pPr>
              <w:spacing w:after="0"/>
              <w:rPr>
                <w:sz w:val="15"/>
                <w:szCs w:val="15"/>
                <w:color w:val="auto"/>
              </w:rPr>
            </w:pPr>
          </w:p>
        </w:tc>
        <w:tc>
          <w:tcPr>
            <w:tcW w:w="7620" w:type="dxa"/>
            <w:vAlign w:val="bottom"/>
            <w:gridSpan w:val="4"/>
            <w:vMerge w:val="continue"/>
            <w:shd w:val="clear" w:color="auto" w:fill="EAEAEA"/>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280" w:type="dxa"/>
            <w:vAlign w:val="bottom"/>
            <w:shd w:val="clear" w:color="auto" w:fill="EAEAEA"/>
          </w:tcPr>
          <w:p>
            <w:pPr>
              <w:ind w:left="20"/>
              <w:spacing w:after="0"/>
              <w:rPr>
                <w:sz w:val="20"/>
                <w:szCs w:val="20"/>
                <w:color w:val="auto"/>
              </w:rPr>
            </w:pPr>
            <w:r>
              <w:rPr>
                <w:rFonts w:ascii="Arial" w:cs="Arial" w:eastAsia="Arial" w:hAnsi="Arial"/>
                <w:sz w:val="17"/>
                <w:szCs w:val="17"/>
                <w:color w:val="auto"/>
              </w:rPr>
              <w:t>and buybacks</w:t>
            </w:r>
          </w:p>
        </w:tc>
        <w:tc>
          <w:tcPr>
            <w:tcW w:w="2360" w:type="dxa"/>
            <w:vAlign w:val="bottom"/>
            <w:shd w:val="clear" w:color="auto" w:fill="EAEAEA"/>
          </w:tcPr>
          <w:p>
            <w:pPr>
              <w:spacing w:after="0"/>
              <w:rPr>
                <w:sz w:val="19"/>
                <w:szCs w:val="19"/>
                <w:color w:val="auto"/>
              </w:rPr>
            </w:pPr>
          </w:p>
        </w:tc>
        <w:tc>
          <w:tcPr>
            <w:tcW w:w="2140" w:type="dxa"/>
            <w:vAlign w:val="bottom"/>
            <w:shd w:val="clear" w:color="auto" w:fill="EAEAEA"/>
          </w:tcPr>
          <w:p>
            <w:pPr>
              <w:spacing w:after="0"/>
              <w:rPr>
                <w:sz w:val="19"/>
                <w:szCs w:val="19"/>
                <w:color w:val="auto"/>
              </w:rPr>
            </w:pPr>
          </w:p>
        </w:tc>
        <w:tc>
          <w:tcPr>
            <w:tcW w:w="184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1920" w:type="dxa"/>
            <w:vAlign w:val="bottom"/>
            <w:tcBorders>
              <w:bottom w:val="single" w:sz="8" w:color="0066BA"/>
            </w:tcBorders>
          </w:tcPr>
          <w:p>
            <w:pPr>
              <w:spacing w:after="0"/>
              <w:rPr>
                <w:sz w:val="11"/>
                <w:szCs w:val="11"/>
                <w:color w:val="auto"/>
              </w:rPr>
            </w:pPr>
          </w:p>
        </w:tc>
        <w:tc>
          <w:tcPr>
            <w:tcW w:w="840" w:type="dxa"/>
            <w:vAlign w:val="bottom"/>
            <w:tcBorders>
              <w:bottom w:val="single" w:sz="8" w:color="0066BA"/>
            </w:tcBorders>
          </w:tcPr>
          <w:p>
            <w:pPr>
              <w:spacing w:after="0"/>
              <w:rPr>
                <w:sz w:val="11"/>
                <w:szCs w:val="11"/>
                <w:color w:val="auto"/>
              </w:rPr>
            </w:pPr>
          </w:p>
        </w:tc>
        <w:tc>
          <w:tcPr>
            <w:tcW w:w="120" w:type="dxa"/>
            <w:vAlign w:val="bottom"/>
            <w:tcBorders>
              <w:bottom w:val="single" w:sz="8" w:color="0066BA"/>
            </w:tcBorders>
            <w:shd w:val="clear" w:color="auto" w:fill="EAEAEA"/>
          </w:tcPr>
          <w:p>
            <w:pPr>
              <w:spacing w:after="0"/>
              <w:rPr>
                <w:sz w:val="11"/>
                <w:szCs w:val="11"/>
                <w:color w:val="auto"/>
              </w:rPr>
            </w:pPr>
          </w:p>
        </w:tc>
        <w:tc>
          <w:tcPr>
            <w:tcW w:w="120" w:type="dxa"/>
            <w:vAlign w:val="bottom"/>
            <w:tcBorders>
              <w:bottom w:val="single" w:sz="8" w:color="0066BA"/>
            </w:tcBorders>
            <w:shd w:val="clear" w:color="auto" w:fill="EAEAEA"/>
          </w:tcPr>
          <w:p>
            <w:pPr>
              <w:spacing w:after="0"/>
              <w:rPr>
                <w:sz w:val="11"/>
                <w:szCs w:val="11"/>
                <w:color w:val="auto"/>
              </w:rPr>
            </w:pPr>
          </w:p>
        </w:tc>
        <w:tc>
          <w:tcPr>
            <w:tcW w:w="5780" w:type="dxa"/>
            <w:vAlign w:val="bottom"/>
            <w:tcBorders>
              <w:bottom w:val="single" w:sz="8" w:color="0066BA"/>
            </w:tcBorders>
            <w:gridSpan w:val="3"/>
            <w:shd w:val="clear" w:color="auto" w:fill="EAEAEA"/>
          </w:tcPr>
          <w:p>
            <w:pPr>
              <w:spacing w:after="0"/>
              <w:rPr>
                <w:sz w:val="11"/>
                <w:szCs w:val="11"/>
                <w:color w:val="auto"/>
              </w:rPr>
            </w:pPr>
          </w:p>
        </w:tc>
        <w:tc>
          <w:tcPr>
            <w:tcW w:w="1840" w:type="dxa"/>
            <w:vAlign w:val="bottom"/>
            <w:tcBorders>
              <w:bottom w:val="single" w:sz="8" w:color="0066BA"/>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1920" w:type="dxa"/>
            <w:vAlign w:val="bottom"/>
            <w:vMerge w:val="restart"/>
          </w:tcPr>
          <w:p>
            <w:pPr>
              <w:ind w:left="60"/>
              <w:spacing w:after="0"/>
              <w:rPr>
                <w:sz w:val="20"/>
                <w:szCs w:val="20"/>
                <w:color w:val="auto"/>
              </w:rPr>
            </w:pPr>
            <w:r>
              <w:rPr>
                <w:rFonts w:ascii="Arial" w:cs="Arial" w:eastAsia="Arial" w:hAnsi="Arial"/>
                <w:sz w:val="16"/>
                <w:szCs w:val="16"/>
                <w:color w:val="auto"/>
              </w:rPr>
              <w:t>Deepening Customer</w:t>
            </w:r>
          </w:p>
        </w:tc>
        <w:tc>
          <w:tcPr>
            <w:tcW w:w="840" w:type="dxa"/>
            <w:vAlign w:val="bottom"/>
          </w:tcPr>
          <w:p>
            <w:pPr>
              <w:spacing w:after="0"/>
              <w:rPr>
                <w:sz w:val="24"/>
                <w:szCs w:val="24"/>
                <w:color w:val="auto"/>
              </w:rPr>
            </w:pPr>
          </w:p>
        </w:tc>
        <w:tc>
          <w:tcPr>
            <w:tcW w:w="120" w:type="dxa"/>
            <w:vAlign w:val="bottom"/>
            <w:shd w:val="clear" w:color="auto" w:fill="EAEAEA"/>
          </w:tcPr>
          <w:p>
            <w:pPr>
              <w:spacing w:after="0"/>
              <w:rPr>
                <w:sz w:val="24"/>
                <w:szCs w:val="24"/>
                <w:color w:val="auto"/>
              </w:rPr>
            </w:pPr>
          </w:p>
        </w:tc>
        <w:tc>
          <w:tcPr>
            <w:tcW w:w="120" w:type="dxa"/>
            <w:vAlign w:val="bottom"/>
            <w:shd w:val="clear" w:color="auto" w:fill="EAEAEA"/>
          </w:tcPr>
          <w:p>
            <w:pPr>
              <w:spacing w:after="0"/>
              <w:rPr>
                <w:sz w:val="20"/>
                <w:szCs w:val="20"/>
                <w:color w:val="auto"/>
              </w:rPr>
            </w:pPr>
            <w:r>
              <w:rPr>
                <w:rFonts w:ascii="Arial" w:cs="Arial" w:eastAsia="Arial" w:hAnsi="Arial"/>
                <w:sz w:val="17"/>
                <w:szCs w:val="17"/>
                <w:color w:val="auto"/>
              </w:rPr>
              <w:t>•</w:t>
            </w:r>
          </w:p>
        </w:tc>
        <w:tc>
          <w:tcPr>
            <w:tcW w:w="5780" w:type="dxa"/>
            <w:vAlign w:val="bottom"/>
            <w:gridSpan w:val="3"/>
            <w:shd w:val="clear" w:color="auto" w:fill="EAEAEA"/>
          </w:tcPr>
          <w:p>
            <w:pPr>
              <w:ind w:left="40"/>
              <w:spacing w:after="0"/>
              <w:rPr>
                <w:sz w:val="20"/>
                <w:szCs w:val="20"/>
                <w:color w:val="auto"/>
              </w:rPr>
            </w:pPr>
            <w:r>
              <w:rPr>
                <w:rFonts w:ascii="Arial" w:cs="Arial" w:eastAsia="Arial" w:hAnsi="Arial"/>
                <w:sz w:val="17"/>
                <w:szCs w:val="17"/>
                <w:color w:val="auto"/>
              </w:rPr>
              <w:t>Partnering more deeply with customers to deliver complete solutions</w:t>
            </w:r>
          </w:p>
        </w:tc>
        <w:tc>
          <w:tcPr>
            <w:tcW w:w="1840" w:type="dxa"/>
            <w:vAlign w:val="bottom"/>
            <w:shd w:val="clear" w:color="auto" w:fill="EAEAEA"/>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92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shd w:val="clear" w:color="auto" w:fill="EAEAEA"/>
          </w:tcPr>
          <w:p>
            <w:pPr>
              <w:spacing w:after="0"/>
              <w:rPr>
                <w:sz w:val="13"/>
                <w:szCs w:val="13"/>
                <w:color w:val="auto"/>
              </w:rPr>
            </w:pPr>
          </w:p>
        </w:tc>
        <w:tc>
          <w:tcPr>
            <w:tcW w:w="120" w:type="dxa"/>
            <w:vAlign w:val="bottom"/>
            <w:vMerge w:val="restart"/>
            <w:shd w:val="clear" w:color="auto" w:fill="EAEAEA"/>
          </w:tcPr>
          <w:p>
            <w:pPr>
              <w:spacing w:after="0"/>
              <w:rPr>
                <w:sz w:val="20"/>
                <w:szCs w:val="20"/>
                <w:color w:val="auto"/>
              </w:rPr>
            </w:pPr>
            <w:r>
              <w:rPr>
                <w:rFonts w:ascii="Arial" w:cs="Arial" w:eastAsia="Arial" w:hAnsi="Arial"/>
                <w:sz w:val="17"/>
                <w:szCs w:val="17"/>
                <w:color w:val="auto"/>
              </w:rPr>
              <w:t>•</w:t>
            </w:r>
          </w:p>
        </w:tc>
        <w:tc>
          <w:tcPr>
            <w:tcW w:w="5780" w:type="dxa"/>
            <w:vAlign w:val="bottom"/>
            <w:gridSpan w:val="3"/>
            <w:vMerge w:val="restart"/>
            <w:shd w:val="clear" w:color="auto" w:fill="EAEAEA"/>
          </w:tcPr>
          <w:p>
            <w:pPr>
              <w:ind w:left="40"/>
              <w:spacing w:after="0"/>
              <w:rPr>
                <w:sz w:val="20"/>
                <w:szCs w:val="20"/>
                <w:color w:val="auto"/>
              </w:rPr>
            </w:pPr>
            <w:r>
              <w:rPr>
                <w:rFonts w:ascii="Arial" w:cs="Arial" w:eastAsia="Arial" w:hAnsi="Arial"/>
                <w:sz w:val="17"/>
                <w:szCs w:val="17"/>
                <w:color w:val="auto"/>
              </w:rPr>
              <w:t>Extensive breadth of engineering capabilities and depth of domain expertise</w:t>
            </w:r>
          </w:p>
        </w:tc>
        <w:tc>
          <w:tcPr>
            <w:tcW w:w="184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920" w:type="dxa"/>
            <w:vAlign w:val="bottom"/>
            <w:vMerge w:val="restart"/>
          </w:tcPr>
          <w:p>
            <w:pPr>
              <w:ind w:left="60"/>
              <w:spacing w:after="0"/>
              <w:rPr>
                <w:sz w:val="20"/>
                <w:szCs w:val="20"/>
                <w:color w:val="auto"/>
              </w:rPr>
            </w:pPr>
            <w:r>
              <w:rPr>
                <w:rFonts w:ascii="Arial" w:cs="Arial" w:eastAsia="Arial" w:hAnsi="Arial"/>
                <w:sz w:val="16"/>
                <w:szCs w:val="16"/>
                <w:color w:val="auto"/>
              </w:rPr>
              <w:t>Centricity</w:t>
            </w:r>
          </w:p>
        </w:tc>
        <w:tc>
          <w:tcPr>
            <w:tcW w:w="840" w:type="dxa"/>
            <w:vAlign w:val="bottom"/>
          </w:tcPr>
          <w:p>
            <w:pPr>
              <w:spacing w:after="0"/>
              <w:rPr>
                <w:sz w:val="9"/>
                <w:szCs w:val="9"/>
                <w:color w:val="auto"/>
              </w:rPr>
            </w:pPr>
          </w:p>
        </w:tc>
        <w:tc>
          <w:tcPr>
            <w:tcW w:w="120" w:type="dxa"/>
            <w:vAlign w:val="bottom"/>
            <w:shd w:val="clear" w:color="auto" w:fill="EAEAEA"/>
          </w:tcPr>
          <w:p>
            <w:pPr>
              <w:spacing w:after="0"/>
              <w:rPr>
                <w:sz w:val="9"/>
                <w:szCs w:val="9"/>
                <w:color w:val="auto"/>
              </w:rPr>
            </w:pPr>
          </w:p>
        </w:tc>
        <w:tc>
          <w:tcPr>
            <w:tcW w:w="120" w:type="dxa"/>
            <w:vAlign w:val="bottom"/>
            <w:vMerge w:val="continue"/>
            <w:shd w:val="clear" w:color="auto" w:fill="EAEAEA"/>
          </w:tcPr>
          <w:p>
            <w:pPr>
              <w:spacing w:after="0"/>
              <w:rPr>
                <w:sz w:val="9"/>
                <w:szCs w:val="9"/>
                <w:color w:val="auto"/>
              </w:rPr>
            </w:pPr>
          </w:p>
        </w:tc>
        <w:tc>
          <w:tcPr>
            <w:tcW w:w="5780" w:type="dxa"/>
            <w:vAlign w:val="bottom"/>
            <w:gridSpan w:val="3"/>
            <w:vMerge w:val="continue"/>
            <w:shd w:val="clear" w:color="auto" w:fill="EAEAEA"/>
          </w:tcPr>
          <w:p>
            <w:pPr>
              <w:spacing w:after="0"/>
              <w:rPr>
                <w:sz w:val="9"/>
                <w:szCs w:val="9"/>
                <w:color w:val="auto"/>
              </w:rPr>
            </w:pPr>
          </w:p>
        </w:tc>
        <w:tc>
          <w:tcPr>
            <w:tcW w:w="1840" w:type="dxa"/>
            <w:vAlign w:val="bottom"/>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9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shd w:val="clear" w:color="auto" w:fill="EAEAEA"/>
          </w:tcPr>
          <w:p>
            <w:pPr>
              <w:spacing w:after="0"/>
              <w:rPr>
                <w:sz w:val="7"/>
                <w:szCs w:val="7"/>
                <w:color w:val="auto"/>
              </w:rPr>
            </w:pPr>
          </w:p>
        </w:tc>
        <w:tc>
          <w:tcPr>
            <w:tcW w:w="120" w:type="dxa"/>
            <w:vAlign w:val="bottom"/>
            <w:vMerge w:val="restart"/>
            <w:shd w:val="clear" w:color="auto" w:fill="EAEAEA"/>
          </w:tcPr>
          <w:p>
            <w:pPr>
              <w:spacing w:after="0"/>
              <w:rPr>
                <w:sz w:val="20"/>
                <w:szCs w:val="20"/>
                <w:color w:val="auto"/>
              </w:rPr>
            </w:pPr>
            <w:r>
              <w:rPr>
                <w:rFonts w:ascii="Arial" w:cs="Arial" w:eastAsia="Arial" w:hAnsi="Arial"/>
                <w:sz w:val="17"/>
                <w:szCs w:val="17"/>
                <w:color w:val="auto"/>
              </w:rPr>
              <w:t>•</w:t>
            </w:r>
          </w:p>
        </w:tc>
        <w:tc>
          <w:tcPr>
            <w:tcW w:w="5780" w:type="dxa"/>
            <w:vAlign w:val="bottom"/>
            <w:gridSpan w:val="3"/>
            <w:vMerge w:val="restart"/>
            <w:shd w:val="clear" w:color="auto" w:fill="EAEAEA"/>
          </w:tcPr>
          <w:p>
            <w:pPr>
              <w:ind w:left="40"/>
              <w:spacing w:after="0"/>
              <w:rPr>
                <w:sz w:val="20"/>
                <w:szCs w:val="20"/>
                <w:color w:val="auto"/>
              </w:rPr>
            </w:pPr>
            <w:r>
              <w:rPr>
                <w:rFonts w:ascii="Arial" w:cs="Arial" w:eastAsia="Arial" w:hAnsi="Arial"/>
                <w:sz w:val="17"/>
                <w:szCs w:val="17"/>
                <w:color w:val="auto"/>
              </w:rPr>
              <w:t>Executing on opportunity pipeline conversion and achieving record value</w:t>
            </w:r>
          </w:p>
        </w:tc>
        <w:tc>
          <w:tcPr>
            <w:tcW w:w="1840" w:type="dxa"/>
            <w:vAlign w:val="bottom"/>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20" w:type="dxa"/>
            <w:vAlign w:val="bottom"/>
            <w:vMerge w:val="continue"/>
            <w:shd w:val="clear" w:color="auto" w:fill="EAEAEA"/>
          </w:tcPr>
          <w:p>
            <w:pPr>
              <w:spacing w:after="0"/>
              <w:rPr>
                <w:sz w:val="16"/>
                <w:szCs w:val="16"/>
                <w:color w:val="auto"/>
              </w:rPr>
            </w:pPr>
          </w:p>
        </w:tc>
        <w:tc>
          <w:tcPr>
            <w:tcW w:w="5780" w:type="dxa"/>
            <w:vAlign w:val="bottom"/>
            <w:gridSpan w:val="3"/>
            <w:vMerge w:val="continue"/>
            <w:shd w:val="clear" w:color="auto" w:fill="EAEAEA"/>
          </w:tcPr>
          <w:p>
            <w:pPr>
              <w:spacing w:after="0"/>
              <w:rPr>
                <w:sz w:val="16"/>
                <w:szCs w:val="16"/>
                <w:color w:val="auto"/>
              </w:rPr>
            </w:pPr>
          </w:p>
        </w:tc>
        <w:tc>
          <w:tcPr>
            <w:tcW w:w="184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920" w:type="dxa"/>
            <w:vAlign w:val="bottom"/>
            <w:tcBorders>
              <w:bottom w:val="single" w:sz="8" w:color="0066BA"/>
            </w:tcBorders>
          </w:tcPr>
          <w:p>
            <w:pPr>
              <w:spacing w:after="0"/>
              <w:rPr>
                <w:sz w:val="11"/>
                <w:szCs w:val="11"/>
                <w:color w:val="auto"/>
              </w:rPr>
            </w:pPr>
          </w:p>
        </w:tc>
        <w:tc>
          <w:tcPr>
            <w:tcW w:w="840" w:type="dxa"/>
            <w:vAlign w:val="bottom"/>
            <w:tcBorders>
              <w:bottom w:val="single" w:sz="8" w:color="0066BA"/>
            </w:tcBorders>
          </w:tcPr>
          <w:p>
            <w:pPr>
              <w:spacing w:after="0"/>
              <w:rPr>
                <w:sz w:val="11"/>
                <w:szCs w:val="11"/>
                <w:color w:val="auto"/>
              </w:rPr>
            </w:pPr>
          </w:p>
        </w:tc>
        <w:tc>
          <w:tcPr>
            <w:tcW w:w="120" w:type="dxa"/>
            <w:vAlign w:val="bottom"/>
            <w:tcBorders>
              <w:bottom w:val="single" w:sz="8" w:color="0066BA"/>
            </w:tcBorders>
            <w:shd w:val="clear" w:color="auto" w:fill="EAEAEA"/>
          </w:tcPr>
          <w:p>
            <w:pPr>
              <w:spacing w:after="0"/>
              <w:rPr>
                <w:sz w:val="11"/>
                <w:szCs w:val="11"/>
                <w:color w:val="auto"/>
              </w:rPr>
            </w:pPr>
          </w:p>
        </w:tc>
        <w:tc>
          <w:tcPr>
            <w:tcW w:w="5900" w:type="dxa"/>
            <w:vAlign w:val="bottom"/>
            <w:tcBorders>
              <w:bottom w:val="single" w:sz="8" w:color="0066BA"/>
            </w:tcBorders>
            <w:gridSpan w:val="4"/>
            <w:shd w:val="clear" w:color="auto" w:fill="EAEAEA"/>
          </w:tcPr>
          <w:p>
            <w:pPr>
              <w:spacing w:after="0"/>
              <w:rPr>
                <w:sz w:val="11"/>
                <w:szCs w:val="11"/>
                <w:color w:val="auto"/>
              </w:rPr>
            </w:pPr>
          </w:p>
        </w:tc>
        <w:tc>
          <w:tcPr>
            <w:tcW w:w="1840" w:type="dxa"/>
            <w:vAlign w:val="bottom"/>
            <w:tcBorders>
              <w:bottom w:val="single" w:sz="8" w:color="0066BA"/>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1920" w:type="dxa"/>
            <w:vAlign w:val="bottom"/>
            <w:vMerge w:val="restart"/>
          </w:tcPr>
          <w:p>
            <w:pPr>
              <w:ind w:left="60"/>
              <w:spacing w:after="0"/>
              <w:rPr>
                <w:sz w:val="20"/>
                <w:szCs w:val="20"/>
                <w:color w:val="auto"/>
              </w:rPr>
            </w:pPr>
            <w:r>
              <w:rPr>
                <w:rFonts w:ascii="Arial" w:cs="Arial" w:eastAsia="Arial" w:hAnsi="Arial"/>
                <w:sz w:val="16"/>
                <w:szCs w:val="16"/>
                <w:color w:val="auto"/>
              </w:rPr>
              <w:t>Capitalizing on</w:t>
            </w:r>
          </w:p>
        </w:tc>
        <w:tc>
          <w:tcPr>
            <w:tcW w:w="840" w:type="dxa"/>
            <w:vAlign w:val="bottom"/>
          </w:tcPr>
          <w:p>
            <w:pPr>
              <w:spacing w:after="0"/>
              <w:rPr>
                <w:sz w:val="24"/>
                <w:szCs w:val="24"/>
                <w:color w:val="auto"/>
              </w:rPr>
            </w:pPr>
          </w:p>
        </w:tc>
        <w:tc>
          <w:tcPr>
            <w:tcW w:w="120" w:type="dxa"/>
            <w:vAlign w:val="bottom"/>
            <w:shd w:val="clear" w:color="auto" w:fill="EAEAEA"/>
          </w:tcPr>
          <w:p>
            <w:pPr>
              <w:spacing w:after="0"/>
              <w:rPr>
                <w:sz w:val="24"/>
                <w:szCs w:val="24"/>
                <w:color w:val="auto"/>
              </w:rPr>
            </w:pPr>
          </w:p>
        </w:tc>
        <w:tc>
          <w:tcPr>
            <w:tcW w:w="5900" w:type="dxa"/>
            <w:vAlign w:val="bottom"/>
            <w:gridSpan w:val="4"/>
            <w:shd w:val="clear" w:color="auto" w:fill="EAEAEA"/>
          </w:tcPr>
          <w:p>
            <w:pPr>
              <w:spacing w:after="0"/>
              <w:rPr>
                <w:sz w:val="20"/>
                <w:szCs w:val="20"/>
                <w:color w:val="auto"/>
              </w:rPr>
            </w:pPr>
            <w:r>
              <w:rPr>
                <w:rFonts w:ascii="Arial" w:cs="Arial" w:eastAsia="Arial" w:hAnsi="Arial"/>
                <w:sz w:val="17"/>
                <w:szCs w:val="17"/>
                <w:color w:val="auto"/>
              </w:rPr>
              <w:t>• Automotive: Electrification, Autonomous Driving, Cabin Digitalization</w:t>
            </w:r>
          </w:p>
        </w:tc>
        <w:tc>
          <w:tcPr>
            <w:tcW w:w="1840" w:type="dxa"/>
            <w:vAlign w:val="bottom"/>
            <w:shd w:val="clear" w:color="auto" w:fill="EAEAEA"/>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92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shd w:val="clear" w:color="auto" w:fill="EAEAEA"/>
          </w:tcPr>
          <w:p>
            <w:pPr>
              <w:spacing w:after="0"/>
              <w:rPr>
                <w:sz w:val="13"/>
                <w:szCs w:val="13"/>
                <w:color w:val="auto"/>
              </w:rPr>
            </w:pPr>
          </w:p>
        </w:tc>
        <w:tc>
          <w:tcPr>
            <w:tcW w:w="120" w:type="dxa"/>
            <w:vAlign w:val="bottom"/>
            <w:vMerge w:val="restart"/>
            <w:shd w:val="clear" w:color="auto" w:fill="EAEAEA"/>
          </w:tcPr>
          <w:p>
            <w:pPr>
              <w:spacing w:after="0"/>
              <w:rPr>
                <w:sz w:val="20"/>
                <w:szCs w:val="20"/>
                <w:color w:val="auto"/>
              </w:rPr>
            </w:pPr>
            <w:r>
              <w:rPr>
                <w:rFonts w:ascii="Arial" w:cs="Arial" w:eastAsia="Arial" w:hAnsi="Arial"/>
                <w:sz w:val="17"/>
                <w:szCs w:val="17"/>
                <w:color w:val="auto"/>
              </w:rPr>
              <w:t>•</w:t>
            </w:r>
          </w:p>
        </w:tc>
        <w:tc>
          <w:tcPr>
            <w:tcW w:w="3640" w:type="dxa"/>
            <w:vAlign w:val="bottom"/>
            <w:gridSpan w:val="2"/>
            <w:vMerge w:val="restart"/>
            <w:shd w:val="clear" w:color="auto" w:fill="EAEAEA"/>
          </w:tcPr>
          <w:p>
            <w:pPr>
              <w:ind w:left="40"/>
              <w:spacing w:after="0"/>
              <w:rPr>
                <w:sz w:val="20"/>
                <w:szCs w:val="20"/>
                <w:color w:val="auto"/>
              </w:rPr>
            </w:pPr>
            <w:r>
              <w:rPr>
                <w:rFonts w:ascii="Arial" w:cs="Arial" w:eastAsia="Arial" w:hAnsi="Arial"/>
                <w:sz w:val="17"/>
                <w:szCs w:val="17"/>
                <w:color w:val="auto"/>
                <w:w w:val="95"/>
              </w:rPr>
              <w:t>Industrial: Industrial 4.0 IoT, Digital Health, Space</w:t>
            </w:r>
          </w:p>
        </w:tc>
        <w:tc>
          <w:tcPr>
            <w:tcW w:w="2140" w:type="dxa"/>
            <w:vAlign w:val="bottom"/>
            <w:shd w:val="clear" w:color="auto" w:fill="EAEAEA"/>
          </w:tcPr>
          <w:p>
            <w:pPr>
              <w:spacing w:after="0"/>
              <w:rPr>
                <w:sz w:val="13"/>
                <w:szCs w:val="13"/>
                <w:color w:val="auto"/>
              </w:rPr>
            </w:pPr>
          </w:p>
        </w:tc>
        <w:tc>
          <w:tcPr>
            <w:tcW w:w="184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920" w:type="dxa"/>
            <w:vAlign w:val="bottom"/>
            <w:vMerge w:val="restart"/>
          </w:tcPr>
          <w:p>
            <w:pPr>
              <w:ind w:left="60"/>
              <w:spacing w:after="0"/>
              <w:rPr>
                <w:sz w:val="20"/>
                <w:szCs w:val="20"/>
                <w:color w:val="auto"/>
              </w:rPr>
            </w:pPr>
            <w:r>
              <w:rPr>
                <w:rFonts w:ascii="Arial" w:cs="Arial" w:eastAsia="Arial" w:hAnsi="Arial"/>
                <w:sz w:val="16"/>
                <w:szCs w:val="16"/>
                <w:color w:val="auto"/>
              </w:rPr>
              <w:t>Secular Trends</w:t>
            </w:r>
          </w:p>
        </w:tc>
        <w:tc>
          <w:tcPr>
            <w:tcW w:w="840" w:type="dxa"/>
            <w:vAlign w:val="bottom"/>
          </w:tcPr>
          <w:p>
            <w:pPr>
              <w:spacing w:after="0"/>
              <w:rPr>
                <w:sz w:val="9"/>
                <w:szCs w:val="9"/>
                <w:color w:val="auto"/>
              </w:rPr>
            </w:pPr>
          </w:p>
        </w:tc>
        <w:tc>
          <w:tcPr>
            <w:tcW w:w="120" w:type="dxa"/>
            <w:vAlign w:val="bottom"/>
            <w:shd w:val="clear" w:color="auto" w:fill="EAEAEA"/>
          </w:tcPr>
          <w:p>
            <w:pPr>
              <w:spacing w:after="0"/>
              <w:rPr>
                <w:sz w:val="9"/>
                <w:szCs w:val="9"/>
                <w:color w:val="auto"/>
              </w:rPr>
            </w:pPr>
          </w:p>
        </w:tc>
        <w:tc>
          <w:tcPr>
            <w:tcW w:w="120" w:type="dxa"/>
            <w:vAlign w:val="bottom"/>
            <w:vMerge w:val="continue"/>
            <w:shd w:val="clear" w:color="auto" w:fill="EAEAEA"/>
          </w:tcPr>
          <w:p>
            <w:pPr>
              <w:spacing w:after="0"/>
              <w:rPr>
                <w:sz w:val="9"/>
                <w:szCs w:val="9"/>
                <w:color w:val="auto"/>
              </w:rPr>
            </w:pPr>
          </w:p>
        </w:tc>
        <w:tc>
          <w:tcPr>
            <w:tcW w:w="3640" w:type="dxa"/>
            <w:vAlign w:val="bottom"/>
            <w:gridSpan w:val="2"/>
            <w:vMerge w:val="continue"/>
            <w:shd w:val="clear" w:color="auto" w:fill="EAEAEA"/>
          </w:tcPr>
          <w:p>
            <w:pPr>
              <w:spacing w:after="0"/>
              <w:rPr>
                <w:sz w:val="9"/>
                <w:szCs w:val="9"/>
                <w:color w:val="auto"/>
              </w:rPr>
            </w:pPr>
          </w:p>
        </w:tc>
        <w:tc>
          <w:tcPr>
            <w:tcW w:w="2140" w:type="dxa"/>
            <w:vAlign w:val="bottom"/>
            <w:shd w:val="clear" w:color="auto" w:fill="EAEAEA"/>
          </w:tcPr>
          <w:p>
            <w:pPr>
              <w:spacing w:after="0"/>
              <w:rPr>
                <w:sz w:val="9"/>
                <w:szCs w:val="9"/>
                <w:color w:val="auto"/>
              </w:rPr>
            </w:pPr>
          </w:p>
        </w:tc>
        <w:tc>
          <w:tcPr>
            <w:tcW w:w="1840" w:type="dxa"/>
            <w:vAlign w:val="bottom"/>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9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shd w:val="clear" w:color="auto" w:fill="EAEAEA"/>
          </w:tcPr>
          <w:p>
            <w:pPr>
              <w:spacing w:after="0"/>
              <w:rPr>
                <w:sz w:val="7"/>
                <w:szCs w:val="7"/>
                <w:color w:val="auto"/>
              </w:rPr>
            </w:pPr>
          </w:p>
        </w:tc>
        <w:tc>
          <w:tcPr>
            <w:tcW w:w="5900" w:type="dxa"/>
            <w:vAlign w:val="bottom"/>
            <w:gridSpan w:val="4"/>
            <w:vMerge w:val="restart"/>
            <w:shd w:val="clear" w:color="auto" w:fill="EAEAEA"/>
          </w:tcPr>
          <w:p>
            <w:pPr>
              <w:spacing w:after="0"/>
              <w:rPr>
                <w:sz w:val="20"/>
                <w:szCs w:val="20"/>
                <w:color w:val="auto"/>
              </w:rPr>
            </w:pPr>
            <w:r>
              <w:rPr>
                <w:rFonts w:ascii="Arial" w:cs="Arial" w:eastAsia="Arial" w:hAnsi="Arial"/>
                <w:sz w:val="17"/>
                <w:szCs w:val="17"/>
                <w:color w:val="auto"/>
              </w:rPr>
              <w:t>• Communications: Next-Gen Wireless (5G), Data Center</w:t>
            </w:r>
          </w:p>
        </w:tc>
        <w:tc>
          <w:tcPr>
            <w:tcW w:w="1840" w:type="dxa"/>
            <w:vAlign w:val="bottom"/>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5900" w:type="dxa"/>
            <w:vAlign w:val="bottom"/>
            <w:gridSpan w:val="4"/>
            <w:vMerge w:val="continue"/>
            <w:shd w:val="clear" w:color="auto" w:fill="EAEAEA"/>
          </w:tcPr>
          <w:p>
            <w:pPr>
              <w:spacing w:after="0"/>
              <w:rPr>
                <w:sz w:val="16"/>
                <w:szCs w:val="16"/>
                <w:color w:val="auto"/>
              </w:rPr>
            </w:pPr>
          </w:p>
        </w:tc>
        <w:tc>
          <w:tcPr>
            <w:tcW w:w="184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760" w:type="dxa"/>
            <w:vAlign w:val="bottom"/>
            <w:tcBorders>
              <w:bottom w:val="single" w:sz="8" w:color="0066BA"/>
            </w:tcBorders>
            <w:gridSpan w:val="2"/>
          </w:tcPr>
          <w:p>
            <w:pPr>
              <w:spacing w:after="0"/>
              <w:rPr>
                <w:sz w:val="11"/>
                <w:szCs w:val="11"/>
                <w:color w:val="auto"/>
              </w:rPr>
            </w:pPr>
          </w:p>
        </w:tc>
        <w:tc>
          <w:tcPr>
            <w:tcW w:w="120" w:type="dxa"/>
            <w:vAlign w:val="bottom"/>
            <w:tcBorders>
              <w:bottom w:val="single" w:sz="8" w:color="0066BA"/>
            </w:tcBorders>
            <w:shd w:val="clear" w:color="auto" w:fill="EAEAEA"/>
          </w:tcPr>
          <w:p>
            <w:pPr>
              <w:spacing w:after="0"/>
              <w:rPr>
                <w:sz w:val="11"/>
                <w:szCs w:val="11"/>
                <w:color w:val="auto"/>
              </w:rPr>
            </w:pPr>
          </w:p>
        </w:tc>
        <w:tc>
          <w:tcPr>
            <w:tcW w:w="120" w:type="dxa"/>
            <w:vAlign w:val="bottom"/>
            <w:tcBorders>
              <w:bottom w:val="single" w:sz="8" w:color="0066BA"/>
            </w:tcBorders>
            <w:shd w:val="clear" w:color="auto" w:fill="EAEAEA"/>
          </w:tcPr>
          <w:p>
            <w:pPr>
              <w:spacing w:after="0"/>
              <w:rPr>
                <w:sz w:val="11"/>
                <w:szCs w:val="11"/>
                <w:color w:val="auto"/>
              </w:rPr>
            </w:pPr>
          </w:p>
        </w:tc>
        <w:tc>
          <w:tcPr>
            <w:tcW w:w="1280" w:type="dxa"/>
            <w:vAlign w:val="bottom"/>
            <w:tcBorders>
              <w:bottom w:val="single" w:sz="8" w:color="0066BA"/>
            </w:tcBorders>
            <w:shd w:val="clear" w:color="auto" w:fill="EAEAEA"/>
          </w:tcPr>
          <w:p>
            <w:pPr>
              <w:spacing w:after="0"/>
              <w:rPr>
                <w:sz w:val="11"/>
                <w:szCs w:val="11"/>
                <w:color w:val="auto"/>
              </w:rPr>
            </w:pPr>
          </w:p>
        </w:tc>
        <w:tc>
          <w:tcPr>
            <w:tcW w:w="2360" w:type="dxa"/>
            <w:vAlign w:val="bottom"/>
            <w:tcBorders>
              <w:bottom w:val="single" w:sz="8" w:color="0066BA"/>
            </w:tcBorders>
            <w:shd w:val="clear" w:color="auto" w:fill="EAEAEA"/>
          </w:tcPr>
          <w:p>
            <w:pPr>
              <w:spacing w:after="0"/>
              <w:rPr>
                <w:sz w:val="11"/>
                <w:szCs w:val="11"/>
                <w:color w:val="auto"/>
              </w:rPr>
            </w:pPr>
          </w:p>
        </w:tc>
        <w:tc>
          <w:tcPr>
            <w:tcW w:w="2140" w:type="dxa"/>
            <w:vAlign w:val="bottom"/>
            <w:tcBorders>
              <w:bottom w:val="single" w:sz="8" w:color="0066BA"/>
            </w:tcBorders>
            <w:shd w:val="clear" w:color="auto" w:fill="EAEAEA"/>
          </w:tcPr>
          <w:p>
            <w:pPr>
              <w:spacing w:after="0"/>
              <w:rPr>
                <w:sz w:val="11"/>
                <w:szCs w:val="11"/>
                <w:color w:val="auto"/>
              </w:rPr>
            </w:pPr>
          </w:p>
        </w:tc>
        <w:tc>
          <w:tcPr>
            <w:tcW w:w="1840" w:type="dxa"/>
            <w:vAlign w:val="bottom"/>
            <w:tcBorders>
              <w:bottom w:val="single" w:sz="8" w:color="0066BA"/>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682"/>
        </w:trPr>
        <w:tc>
          <w:tcPr>
            <w:tcW w:w="3000" w:type="dxa"/>
            <w:vAlign w:val="bottom"/>
            <w:gridSpan w:val="4"/>
          </w:tcPr>
          <w:p>
            <w:pPr>
              <w:spacing w:after="0"/>
              <w:rPr>
                <w:sz w:val="20"/>
                <w:szCs w:val="20"/>
                <w:color w:val="auto"/>
              </w:rPr>
            </w:pPr>
            <w:r>
              <w:rPr>
                <w:rFonts w:ascii="Arial" w:cs="Arial" w:eastAsia="Arial" w:hAnsi="Arial"/>
                <w:sz w:val="17"/>
                <w:szCs w:val="17"/>
                <w:b w:val="1"/>
                <w:bCs w:val="1"/>
                <w:color w:val="auto"/>
              </w:rPr>
              <w:t>Fiscal 2020 Performance Highlights</w:t>
            </w:r>
          </w:p>
        </w:tc>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920" w:type="dxa"/>
            <w:vAlign w:val="bottom"/>
          </w:tcPr>
          <w:p>
            <w:pPr>
              <w:spacing w:after="0"/>
              <w:rPr>
                <w:sz w:val="20"/>
                <w:szCs w:val="20"/>
                <w:color w:val="auto"/>
              </w:rPr>
            </w:pPr>
            <w:r>
              <w:rPr>
                <w:rFonts w:ascii="Arial" w:cs="Arial" w:eastAsia="Arial" w:hAnsi="Arial"/>
                <w:sz w:val="33"/>
                <w:szCs w:val="33"/>
                <w:color w:val="0066BA"/>
              </w:rPr>
              <w:t>$5.6B</w:t>
            </w:r>
          </w:p>
        </w:tc>
        <w:tc>
          <w:tcPr>
            <w:tcW w:w="2360" w:type="dxa"/>
            <w:vAlign w:val="bottom"/>
            <w:gridSpan w:val="4"/>
          </w:tcPr>
          <w:p>
            <w:pPr>
              <w:ind w:left="540"/>
              <w:spacing w:after="0"/>
              <w:rPr>
                <w:sz w:val="20"/>
                <w:szCs w:val="20"/>
                <w:color w:val="auto"/>
              </w:rPr>
            </w:pPr>
            <w:r>
              <w:rPr>
                <w:rFonts w:ascii="Arial" w:cs="Arial" w:eastAsia="Arial" w:hAnsi="Arial"/>
                <w:sz w:val="33"/>
                <w:szCs w:val="33"/>
                <w:color w:val="0066BA"/>
              </w:rPr>
              <w:t>65.9%</w:t>
            </w:r>
          </w:p>
        </w:tc>
        <w:tc>
          <w:tcPr>
            <w:tcW w:w="2360" w:type="dxa"/>
            <w:vAlign w:val="bottom"/>
          </w:tcPr>
          <w:p>
            <w:pPr>
              <w:ind w:left="300"/>
              <w:spacing w:after="0"/>
              <w:rPr>
                <w:sz w:val="20"/>
                <w:szCs w:val="20"/>
                <w:color w:val="auto"/>
              </w:rPr>
            </w:pPr>
            <w:r>
              <w:rPr>
                <w:rFonts w:ascii="Arial" w:cs="Arial" w:eastAsia="Arial" w:hAnsi="Arial"/>
                <w:sz w:val="33"/>
                <w:szCs w:val="33"/>
                <w:color w:val="0066BA"/>
              </w:rPr>
              <w:t>26.7%</w:t>
            </w:r>
          </w:p>
        </w:tc>
        <w:tc>
          <w:tcPr>
            <w:tcW w:w="2140" w:type="dxa"/>
            <w:vAlign w:val="bottom"/>
          </w:tcPr>
          <w:p>
            <w:pPr>
              <w:ind w:left="60"/>
              <w:spacing w:after="0"/>
              <w:rPr>
                <w:sz w:val="20"/>
                <w:szCs w:val="20"/>
                <w:color w:val="auto"/>
              </w:rPr>
            </w:pPr>
            <w:r>
              <w:rPr>
                <w:rFonts w:ascii="Arial" w:cs="Arial" w:eastAsia="Arial" w:hAnsi="Arial"/>
                <w:sz w:val="33"/>
                <w:szCs w:val="33"/>
                <w:color w:val="0066BA"/>
              </w:rPr>
              <w:t>$3.28</w:t>
            </w:r>
          </w:p>
        </w:tc>
        <w:tc>
          <w:tcPr>
            <w:tcW w:w="1840" w:type="dxa"/>
            <w:vAlign w:val="bottom"/>
          </w:tcPr>
          <w:p>
            <w:pPr>
              <w:ind w:left="40"/>
              <w:spacing w:after="0"/>
              <w:rPr>
                <w:sz w:val="20"/>
                <w:szCs w:val="20"/>
                <w:color w:val="auto"/>
              </w:rPr>
            </w:pPr>
            <w:r>
              <w:rPr>
                <w:rFonts w:ascii="Arial" w:cs="Arial" w:eastAsia="Arial" w:hAnsi="Arial"/>
                <w:sz w:val="33"/>
                <w:szCs w:val="33"/>
                <w:color w:val="0066BA"/>
              </w:rPr>
              <w:t>$2.0B</w:t>
            </w:r>
          </w:p>
        </w:tc>
        <w:tc>
          <w:tcPr>
            <w:tcW w:w="0" w:type="dxa"/>
            <w:vAlign w:val="bottom"/>
          </w:tcPr>
          <w:p>
            <w:pPr>
              <w:spacing w:after="0"/>
              <w:rPr>
                <w:sz w:val="1"/>
                <w:szCs w:val="1"/>
                <w:color w:val="auto"/>
              </w:rPr>
            </w:pPr>
          </w:p>
        </w:tc>
      </w:tr>
      <w:tr>
        <w:trPr>
          <w:trHeight w:val="263"/>
        </w:trPr>
        <w:tc>
          <w:tcPr>
            <w:tcW w:w="1920" w:type="dxa"/>
            <w:vAlign w:val="bottom"/>
          </w:tcPr>
          <w:p>
            <w:pPr>
              <w:spacing w:after="0"/>
              <w:rPr>
                <w:sz w:val="20"/>
                <w:szCs w:val="20"/>
                <w:color w:val="auto"/>
              </w:rPr>
            </w:pPr>
            <w:r>
              <w:rPr>
                <w:rFonts w:ascii="Arial" w:cs="Arial" w:eastAsia="Arial" w:hAnsi="Arial"/>
                <w:sz w:val="19"/>
                <w:szCs w:val="19"/>
                <w:color w:val="auto"/>
              </w:rPr>
              <w:t>Revenue</w:t>
            </w:r>
          </w:p>
        </w:tc>
        <w:tc>
          <w:tcPr>
            <w:tcW w:w="1080" w:type="dxa"/>
            <w:vAlign w:val="bottom"/>
            <w:gridSpan w:val="3"/>
          </w:tcPr>
          <w:p>
            <w:pPr>
              <w:ind w:left="540"/>
              <w:spacing w:after="0"/>
              <w:rPr>
                <w:sz w:val="20"/>
                <w:szCs w:val="20"/>
                <w:color w:val="auto"/>
              </w:rPr>
            </w:pPr>
            <w:r>
              <w:rPr>
                <w:rFonts w:ascii="Arial" w:cs="Arial" w:eastAsia="Arial" w:hAnsi="Arial"/>
                <w:sz w:val="19"/>
                <w:szCs w:val="19"/>
                <w:color w:val="auto"/>
              </w:rPr>
              <w:t>Gross</w:t>
            </w:r>
          </w:p>
        </w:tc>
        <w:tc>
          <w:tcPr>
            <w:tcW w:w="1280" w:type="dxa"/>
            <w:vAlign w:val="bottom"/>
          </w:tcPr>
          <w:p>
            <w:pPr>
              <w:spacing w:after="0"/>
              <w:rPr>
                <w:sz w:val="22"/>
                <w:szCs w:val="22"/>
                <w:color w:val="auto"/>
              </w:rPr>
            </w:pPr>
          </w:p>
        </w:tc>
        <w:tc>
          <w:tcPr>
            <w:tcW w:w="2360" w:type="dxa"/>
            <w:vAlign w:val="bottom"/>
          </w:tcPr>
          <w:p>
            <w:pPr>
              <w:ind w:left="300"/>
              <w:spacing w:after="0"/>
              <w:rPr>
                <w:sz w:val="20"/>
                <w:szCs w:val="20"/>
                <w:color w:val="auto"/>
              </w:rPr>
            </w:pPr>
            <w:r>
              <w:rPr>
                <w:rFonts w:ascii="Arial" w:cs="Arial" w:eastAsia="Arial" w:hAnsi="Arial"/>
                <w:sz w:val="19"/>
                <w:szCs w:val="19"/>
                <w:color w:val="auto"/>
              </w:rPr>
              <w:t>Operating</w:t>
            </w:r>
          </w:p>
        </w:tc>
        <w:tc>
          <w:tcPr>
            <w:tcW w:w="2140" w:type="dxa"/>
            <w:vAlign w:val="bottom"/>
          </w:tcPr>
          <w:p>
            <w:pPr>
              <w:ind w:left="60"/>
              <w:spacing w:after="0"/>
              <w:rPr>
                <w:sz w:val="20"/>
                <w:szCs w:val="20"/>
                <w:color w:val="auto"/>
              </w:rPr>
            </w:pPr>
            <w:r>
              <w:rPr>
                <w:rFonts w:ascii="Arial" w:cs="Arial" w:eastAsia="Arial" w:hAnsi="Arial"/>
                <w:sz w:val="19"/>
                <w:szCs w:val="19"/>
                <w:color w:val="auto"/>
              </w:rPr>
              <w:t>Diluted</w:t>
            </w:r>
          </w:p>
        </w:tc>
        <w:tc>
          <w:tcPr>
            <w:tcW w:w="1840" w:type="dxa"/>
            <w:vAlign w:val="bottom"/>
          </w:tcPr>
          <w:p>
            <w:pPr>
              <w:ind w:left="40"/>
              <w:spacing w:after="0"/>
              <w:rPr>
                <w:sz w:val="20"/>
                <w:szCs w:val="20"/>
                <w:color w:val="auto"/>
              </w:rPr>
            </w:pPr>
            <w:r>
              <w:rPr>
                <w:rFonts w:ascii="Arial" w:cs="Arial" w:eastAsia="Arial" w:hAnsi="Arial"/>
                <w:sz w:val="19"/>
                <w:szCs w:val="19"/>
                <w:color w:val="auto"/>
              </w:rPr>
              <w:t>Operating</w:t>
            </w:r>
          </w:p>
        </w:tc>
        <w:tc>
          <w:tcPr>
            <w:tcW w:w="0" w:type="dxa"/>
            <w:vAlign w:val="bottom"/>
          </w:tcPr>
          <w:p>
            <w:pPr>
              <w:spacing w:after="0"/>
              <w:rPr>
                <w:sz w:val="1"/>
                <w:szCs w:val="1"/>
                <w:color w:val="auto"/>
              </w:rPr>
            </w:pPr>
          </w:p>
        </w:tc>
      </w:tr>
      <w:tr>
        <w:trPr>
          <w:trHeight w:val="208"/>
        </w:trPr>
        <w:tc>
          <w:tcPr>
            <w:tcW w:w="1920" w:type="dxa"/>
            <w:vAlign w:val="bottom"/>
          </w:tcPr>
          <w:p>
            <w:pPr>
              <w:spacing w:after="0"/>
              <w:rPr>
                <w:sz w:val="18"/>
                <w:szCs w:val="18"/>
                <w:color w:val="auto"/>
              </w:rPr>
            </w:pPr>
          </w:p>
        </w:tc>
        <w:tc>
          <w:tcPr>
            <w:tcW w:w="2360" w:type="dxa"/>
            <w:vAlign w:val="bottom"/>
            <w:gridSpan w:val="4"/>
          </w:tcPr>
          <w:p>
            <w:pPr>
              <w:ind w:left="540"/>
              <w:spacing w:after="0" w:line="208" w:lineRule="exact"/>
              <w:rPr>
                <w:sz w:val="20"/>
                <w:szCs w:val="20"/>
                <w:color w:val="auto"/>
              </w:rPr>
            </w:pPr>
            <w:r>
              <w:rPr>
                <w:rFonts w:ascii="Arial" w:cs="Arial" w:eastAsia="Arial" w:hAnsi="Arial"/>
                <w:sz w:val="19"/>
                <w:szCs w:val="19"/>
                <w:color w:val="auto"/>
              </w:rPr>
              <w:t>Margins</w:t>
            </w:r>
          </w:p>
        </w:tc>
        <w:tc>
          <w:tcPr>
            <w:tcW w:w="2360" w:type="dxa"/>
            <w:vAlign w:val="bottom"/>
          </w:tcPr>
          <w:p>
            <w:pPr>
              <w:ind w:left="300"/>
              <w:spacing w:after="0" w:line="208" w:lineRule="exact"/>
              <w:rPr>
                <w:sz w:val="20"/>
                <w:szCs w:val="20"/>
                <w:color w:val="auto"/>
              </w:rPr>
            </w:pPr>
            <w:r>
              <w:rPr>
                <w:rFonts w:ascii="Arial" w:cs="Arial" w:eastAsia="Arial" w:hAnsi="Arial"/>
                <w:sz w:val="19"/>
                <w:szCs w:val="19"/>
                <w:color w:val="auto"/>
              </w:rPr>
              <w:t>Margins</w:t>
            </w:r>
          </w:p>
        </w:tc>
        <w:tc>
          <w:tcPr>
            <w:tcW w:w="2140" w:type="dxa"/>
            <w:vAlign w:val="bottom"/>
          </w:tcPr>
          <w:p>
            <w:pPr>
              <w:ind w:left="60"/>
              <w:spacing w:after="0" w:line="208" w:lineRule="exact"/>
              <w:rPr>
                <w:sz w:val="20"/>
                <w:szCs w:val="20"/>
                <w:color w:val="auto"/>
              </w:rPr>
            </w:pPr>
            <w:r>
              <w:rPr>
                <w:rFonts w:ascii="Arial" w:cs="Arial" w:eastAsia="Arial" w:hAnsi="Arial"/>
                <w:sz w:val="19"/>
                <w:szCs w:val="19"/>
                <w:color w:val="auto"/>
              </w:rPr>
              <w:t>Earnings</w:t>
            </w:r>
          </w:p>
        </w:tc>
        <w:tc>
          <w:tcPr>
            <w:tcW w:w="1840" w:type="dxa"/>
            <w:vAlign w:val="bottom"/>
          </w:tcPr>
          <w:p>
            <w:pPr>
              <w:ind w:left="40"/>
              <w:spacing w:after="0" w:line="208" w:lineRule="exact"/>
              <w:rPr>
                <w:sz w:val="20"/>
                <w:szCs w:val="20"/>
                <w:color w:val="auto"/>
              </w:rPr>
            </w:pPr>
            <w:r>
              <w:rPr>
                <w:rFonts w:ascii="Arial" w:cs="Arial" w:eastAsia="Arial" w:hAnsi="Arial"/>
                <w:sz w:val="19"/>
                <w:szCs w:val="19"/>
                <w:color w:val="auto"/>
              </w:rPr>
              <w:t>Cash Flow</w:t>
            </w:r>
          </w:p>
        </w:tc>
        <w:tc>
          <w:tcPr>
            <w:tcW w:w="0" w:type="dxa"/>
            <w:vAlign w:val="bottom"/>
          </w:tcPr>
          <w:p>
            <w:pPr>
              <w:spacing w:after="0"/>
              <w:rPr>
                <w:sz w:val="1"/>
                <w:szCs w:val="1"/>
                <w:color w:val="auto"/>
              </w:rPr>
            </w:pPr>
          </w:p>
        </w:tc>
      </w:tr>
      <w:tr>
        <w:trPr>
          <w:trHeight w:val="226"/>
        </w:trPr>
        <w:tc>
          <w:tcPr>
            <w:tcW w:w="1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Arial" w:cs="Arial" w:eastAsia="Arial" w:hAnsi="Arial"/>
                <w:sz w:val="19"/>
                <w:szCs w:val="19"/>
                <w:color w:val="auto"/>
              </w:rPr>
              <w:t>per Share</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1920" w:type="dxa"/>
            <w:vAlign w:val="bottom"/>
          </w:tcPr>
          <w:p>
            <w:pPr>
              <w:spacing w:after="0"/>
              <w:rPr>
                <w:sz w:val="20"/>
                <w:szCs w:val="20"/>
                <w:color w:val="auto"/>
              </w:rPr>
            </w:pPr>
            <w:r>
              <w:rPr>
                <w:rFonts w:ascii="Arial" w:cs="Arial" w:eastAsia="Arial" w:hAnsi="Arial"/>
                <w:sz w:val="33"/>
                <w:szCs w:val="33"/>
                <w:color w:val="0066BA"/>
              </w:rPr>
              <w:t>~90%</w:t>
            </w:r>
          </w:p>
        </w:tc>
        <w:tc>
          <w:tcPr>
            <w:tcW w:w="2360" w:type="dxa"/>
            <w:vAlign w:val="bottom"/>
            <w:gridSpan w:val="4"/>
          </w:tcPr>
          <w:p>
            <w:pPr>
              <w:ind w:left="540"/>
              <w:spacing w:after="0"/>
              <w:rPr>
                <w:sz w:val="20"/>
                <w:szCs w:val="20"/>
                <w:color w:val="auto"/>
              </w:rPr>
            </w:pPr>
            <w:r>
              <w:rPr>
                <w:rFonts w:ascii="Arial" w:cs="Arial" w:eastAsia="Arial" w:hAnsi="Arial"/>
                <w:sz w:val="33"/>
                <w:szCs w:val="33"/>
                <w:color w:val="0066BA"/>
              </w:rPr>
              <w:t>69.1%</w:t>
            </w:r>
          </w:p>
        </w:tc>
        <w:tc>
          <w:tcPr>
            <w:tcW w:w="2360" w:type="dxa"/>
            <w:vAlign w:val="bottom"/>
          </w:tcPr>
          <w:p>
            <w:pPr>
              <w:ind w:left="300"/>
              <w:spacing w:after="0"/>
              <w:rPr>
                <w:sz w:val="20"/>
                <w:szCs w:val="20"/>
                <w:color w:val="auto"/>
              </w:rPr>
            </w:pPr>
            <w:r>
              <w:rPr>
                <w:rFonts w:ascii="Arial" w:cs="Arial" w:eastAsia="Arial" w:hAnsi="Arial"/>
                <w:sz w:val="33"/>
                <w:szCs w:val="33"/>
                <w:color w:val="0066BA"/>
              </w:rPr>
              <w:t>39.9%</w:t>
            </w:r>
          </w:p>
        </w:tc>
        <w:tc>
          <w:tcPr>
            <w:tcW w:w="2140" w:type="dxa"/>
            <w:vAlign w:val="bottom"/>
          </w:tcPr>
          <w:p>
            <w:pPr>
              <w:ind w:left="60"/>
              <w:spacing w:after="0"/>
              <w:rPr>
                <w:sz w:val="20"/>
                <w:szCs w:val="20"/>
                <w:color w:val="auto"/>
              </w:rPr>
            </w:pPr>
            <w:r>
              <w:rPr>
                <w:rFonts w:ascii="Arial" w:cs="Arial" w:eastAsia="Arial" w:hAnsi="Arial"/>
                <w:sz w:val="33"/>
                <w:szCs w:val="33"/>
                <w:color w:val="0066BA"/>
              </w:rPr>
              <w:t>$4.91</w:t>
            </w:r>
          </w:p>
        </w:tc>
        <w:tc>
          <w:tcPr>
            <w:tcW w:w="1840" w:type="dxa"/>
            <w:vAlign w:val="bottom"/>
          </w:tcPr>
          <w:p>
            <w:pPr>
              <w:ind w:left="40"/>
              <w:spacing w:after="0"/>
              <w:rPr>
                <w:sz w:val="20"/>
                <w:szCs w:val="20"/>
                <w:color w:val="auto"/>
              </w:rPr>
            </w:pPr>
            <w:r>
              <w:rPr>
                <w:rFonts w:ascii="Arial" w:cs="Arial" w:eastAsia="Arial" w:hAnsi="Arial"/>
                <w:sz w:val="33"/>
                <w:szCs w:val="33"/>
                <w:color w:val="0066BA"/>
              </w:rPr>
              <w:t>$1.8B</w:t>
            </w:r>
          </w:p>
        </w:tc>
        <w:tc>
          <w:tcPr>
            <w:tcW w:w="0" w:type="dxa"/>
            <w:vAlign w:val="bottom"/>
          </w:tcPr>
          <w:p>
            <w:pPr>
              <w:spacing w:after="0"/>
              <w:rPr>
                <w:sz w:val="1"/>
                <w:szCs w:val="1"/>
                <w:color w:val="auto"/>
              </w:rPr>
            </w:pPr>
          </w:p>
        </w:tc>
      </w:tr>
      <w:tr>
        <w:trPr>
          <w:trHeight w:val="263"/>
        </w:trPr>
        <w:tc>
          <w:tcPr>
            <w:tcW w:w="1920" w:type="dxa"/>
            <w:vAlign w:val="bottom"/>
          </w:tcPr>
          <w:p>
            <w:pPr>
              <w:spacing w:after="0"/>
              <w:rPr>
                <w:sz w:val="20"/>
                <w:szCs w:val="20"/>
                <w:color w:val="auto"/>
              </w:rPr>
            </w:pPr>
            <w:r>
              <w:rPr>
                <w:rFonts w:ascii="Arial" w:cs="Arial" w:eastAsia="Arial" w:hAnsi="Arial"/>
                <w:sz w:val="19"/>
                <w:szCs w:val="19"/>
                <w:color w:val="auto"/>
              </w:rPr>
              <w:t>Business-</w:t>
            </w:r>
          </w:p>
        </w:tc>
        <w:tc>
          <w:tcPr>
            <w:tcW w:w="2360" w:type="dxa"/>
            <w:vAlign w:val="bottom"/>
            <w:gridSpan w:val="4"/>
          </w:tcPr>
          <w:p>
            <w:pPr>
              <w:ind w:left="540"/>
              <w:spacing w:after="0"/>
              <w:rPr>
                <w:sz w:val="20"/>
                <w:szCs w:val="20"/>
                <w:color w:val="auto"/>
              </w:rPr>
            </w:pPr>
            <w:r>
              <w:rPr>
                <w:rFonts w:ascii="Arial" w:cs="Arial" w:eastAsia="Arial" w:hAnsi="Arial"/>
                <w:sz w:val="19"/>
                <w:szCs w:val="19"/>
                <w:color w:val="auto"/>
              </w:rPr>
              <w:t>Adjusted</w:t>
            </w:r>
          </w:p>
        </w:tc>
        <w:tc>
          <w:tcPr>
            <w:tcW w:w="2360" w:type="dxa"/>
            <w:vAlign w:val="bottom"/>
          </w:tcPr>
          <w:p>
            <w:pPr>
              <w:ind w:left="300"/>
              <w:spacing w:after="0"/>
              <w:rPr>
                <w:sz w:val="20"/>
                <w:szCs w:val="20"/>
                <w:color w:val="auto"/>
              </w:rPr>
            </w:pPr>
            <w:r>
              <w:rPr>
                <w:rFonts w:ascii="Arial" w:cs="Arial" w:eastAsia="Arial" w:hAnsi="Arial"/>
                <w:sz w:val="19"/>
                <w:szCs w:val="19"/>
                <w:color w:val="auto"/>
              </w:rPr>
              <w:t>Adjusted</w:t>
            </w:r>
          </w:p>
        </w:tc>
        <w:tc>
          <w:tcPr>
            <w:tcW w:w="2140" w:type="dxa"/>
            <w:vAlign w:val="bottom"/>
          </w:tcPr>
          <w:p>
            <w:pPr>
              <w:ind w:left="60"/>
              <w:spacing w:after="0"/>
              <w:rPr>
                <w:sz w:val="20"/>
                <w:szCs w:val="20"/>
                <w:color w:val="auto"/>
              </w:rPr>
            </w:pPr>
            <w:r>
              <w:rPr>
                <w:rFonts w:ascii="Arial" w:cs="Arial" w:eastAsia="Arial" w:hAnsi="Arial"/>
                <w:sz w:val="19"/>
                <w:szCs w:val="19"/>
                <w:color w:val="auto"/>
              </w:rPr>
              <w:t>Adjusted</w:t>
            </w:r>
          </w:p>
        </w:tc>
        <w:tc>
          <w:tcPr>
            <w:tcW w:w="1840" w:type="dxa"/>
            <w:vAlign w:val="bottom"/>
          </w:tcPr>
          <w:p>
            <w:pPr>
              <w:ind w:left="40"/>
              <w:spacing w:after="0"/>
              <w:rPr>
                <w:sz w:val="20"/>
                <w:szCs w:val="20"/>
                <w:color w:val="auto"/>
              </w:rPr>
            </w:pPr>
            <w:r>
              <w:rPr>
                <w:rFonts w:ascii="Arial" w:cs="Arial" w:eastAsia="Arial" w:hAnsi="Arial"/>
                <w:sz w:val="19"/>
                <w:szCs w:val="19"/>
                <w:color w:val="auto"/>
              </w:rPr>
              <w:t>Free</w:t>
            </w:r>
          </w:p>
        </w:tc>
        <w:tc>
          <w:tcPr>
            <w:tcW w:w="0" w:type="dxa"/>
            <w:vAlign w:val="bottom"/>
          </w:tcPr>
          <w:p>
            <w:pPr>
              <w:spacing w:after="0"/>
              <w:rPr>
                <w:sz w:val="1"/>
                <w:szCs w:val="1"/>
                <w:color w:val="auto"/>
              </w:rPr>
            </w:pPr>
          </w:p>
        </w:tc>
      </w:tr>
      <w:tr>
        <w:trPr>
          <w:trHeight w:val="208"/>
        </w:trPr>
        <w:tc>
          <w:tcPr>
            <w:tcW w:w="1920" w:type="dxa"/>
            <w:vAlign w:val="bottom"/>
          </w:tcPr>
          <w:p>
            <w:pPr>
              <w:spacing w:after="0" w:line="208" w:lineRule="exact"/>
              <w:rPr>
                <w:sz w:val="20"/>
                <w:szCs w:val="20"/>
                <w:color w:val="auto"/>
              </w:rPr>
            </w:pPr>
            <w:r>
              <w:rPr>
                <w:rFonts w:ascii="Arial" w:cs="Arial" w:eastAsia="Arial" w:hAnsi="Arial"/>
                <w:sz w:val="19"/>
                <w:szCs w:val="19"/>
                <w:color w:val="auto"/>
              </w:rPr>
              <w:t>to-Business</w:t>
            </w:r>
          </w:p>
        </w:tc>
        <w:tc>
          <w:tcPr>
            <w:tcW w:w="1080" w:type="dxa"/>
            <w:vAlign w:val="bottom"/>
            <w:gridSpan w:val="3"/>
          </w:tcPr>
          <w:p>
            <w:pPr>
              <w:ind w:left="540"/>
              <w:spacing w:after="0" w:line="208" w:lineRule="exact"/>
              <w:rPr>
                <w:sz w:val="20"/>
                <w:szCs w:val="20"/>
                <w:color w:val="auto"/>
              </w:rPr>
            </w:pPr>
            <w:r>
              <w:rPr>
                <w:rFonts w:ascii="Arial" w:cs="Arial" w:eastAsia="Arial" w:hAnsi="Arial"/>
                <w:sz w:val="19"/>
                <w:szCs w:val="19"/>
                <w:color w:val="auto"/>
              </w:rPr>
              <w:t>Gross</w:t>
            </w:r>
          </w:p>
        </w:tc>
        <w:tc>
          <w:tcPr>
            <w:tcW w:w="1280" w:type="dxa"/>
            <w:vAlign w:val="bottom"/>
          </w:tcPr>
          <w:p>
            <w:pPr>
              <w:spacing w:after="0"/>
              <w:rPr>
                <w:sz w:val="18"/>
                <w:szCs w:val="18"/>
                <w:color w:val="auto"/>
              </w:rPr>
            </w:pPr>
          </w:p>
        </w:tc>
        <w:tc>
          <w:tcPr>
            <w:tcW w:w="2360" w:type="dxa"/>
            <w:vAlign w:val="bottom"/>
          </w:tcPr>
          <w:p>
            <w:pPr>
              <w:ind w:left="300"/>
              <w:spacing w:after="0" w:line="208" w:lineRule="exact"/>
              <w:rPr>
                <w:sz w:val="20"/>
                <w:szCs w:val="20"/>
                <w:color w:val="auto"/>
              </w:rPr>
            </w:pPr>
            <w:r>
              <w:rPr>
                <w:rFonts w:ascii="Arial" w:cs="Arial" w:eastAsia="Arial" w:hAnsi="Arial"/>
                <w:sz w:val="19"/>
                <w:szCs w:val="19"/>
                <w:color w:val="auto"/>
              </w:rPr>
              <w:t>Operating</w:t>
            </w:r>
          </w:p>
        </w:tc>
        <w:tc>
          <w:tcPr>
            <w:tcW w:w="2140" w:type="dxa"/>
            <w:vAlign w:val="bottom"/>
          </w:tcPr>
          <w:p>
            <w:pPr>
              <w:ind w:left="60"/>
              <w:spacing w:after="0" w:line="208" w:lineRule="exact"/>
              <w:rPr>
                <w:sz w:val="20"/>
                <w:szCs w:val="20"/>
                <w:color w:val="auto"/>
              </w:rPr>
            </w:pPr>
            <w:r>
              <w:rPr>
                <w:rFonts w:ascii="Arial" w:cs="Arial" w:eastAsia="Arial" w:hAnsi="Arial"/>
                <w:sz w:val="19"/>
                <w:szCs w:val="19"/>
                <w:color w:val="auto"/>
              </w:rPr>
              <w:t>Diluted</w:t>
            </w:r>
          </w:p>
        </w:tc>
        <w:tc>
          <w:tcPr>
            <w:tcW w:w="1840" w:type="dxa"/>
            <w:vAlign w:val="bottom"/>
          </w:tcPr>
          <w:p>
            <w:pPr>
              <w:ind w:left="40"/>
              <w:spacing w:after="0" w:line="208" w:lineRule="exact"/>
              <w:rPr>
                <w:sz w:val="20"/>
                <w:szCs w:val="20"/>
                <w:color w:val="auto"/>
              </w:rPr>
            </w:pPr>
            <w:r>
              <w:rPr>
                <w:rFonts w:ascii="Arial" w:cs="Arial" w:eastAsia="Arial" w:hAnsi="Arial"/>
                <w:sz w:val="19"/>
                <w:szCs w:val="19"/>
                <w:color w:val="auto"/>
              </w:rPr>
              <w:t>Cash Flow*</w:t>
            </w:r>
          </w:p>
        </w:tc>
        <w:tc>
          <w:tcPr>
            <w:tcW w:w="0" w:type="dxa"/>
            <w:vAlign w:val="bottom"/>
          </w:tcPr>
          <w:p>
            <w:pPr>
              <w:spacing w:after="0"/>
              <w:rPr>
                <w:sz w:val="1"/>
                <w:szCs w:val="1"/>
                <w:color w:val="auto"/>
              </w:rPr>
            </w:pPr>
          </w:p>
        </w:tc>
      </w:tr>
      <w:tr>
        <w:trPr>
          <w:trHeight w:val="208"/>
        </w:trPr>
        <w:tc>
          <w:tcPr>
            <w:tcW w:w="1920" w:type="dxa"/>
            <w:vAlign w:val="bottom"/>
          </w:tcPr>
          <w:p>
            <w:pPr>
              <w:spacing w:after="0" w:line="208" w:lineRule="exact"/>
              <w:rPr>
                <w:sz w:val="20"/>
                <w:szCs w:val="20"/>
                <w:color w:val="auto"/>
              </w:rPr>
            </w:pPr>
            <w:r>
              <w:rPr>
                <w:rFonts w:ascii="Arial" w:cs="Arial" w:eastAsia="Arial" w:hAnsi="Arial"/>
                <w:sz w:val="19"/>
                <w:szCs w:val="19"/>
                <w:color w:val="auto"/>
              </w:rPr>
              <w:t>Revenue</w:t>
            </w:r>
          </w:p>
        </w:tc>
        <w:tc>
          <w:tcPr>
            <w:tcW w:w="2360" w:type="dxa"/>
            <w:vAlign w:val="bottom"/>
            <w:gridSpan w:val="4"/>
          </w:tcPr>
          <w:p>
            <w:pPr>
              <w:ind w:left="540"/>
              <w:spacing w:after="0" w:line="208" w:lineRule="exact"/>
              <w:rPr>
                <w:sz w:val="20"/>
                <w:szCs w:val="20"/>
                <w:color w:val="auto"/>
              </w:rPr>
            </w:pPr>
            <w:r>
              <w:rPr>
                <w:rFonts w:ascii="Arial" w:cs="Arial" w:eastAsia="Arial" w:hAnsi="Arial"/>
                <w:sz w:val="19"/>
                <w:szCs w:val="19"/>
                <w:color w:val="auto"/>
              </w:rPr>
              <w:t>Margins*</w:t>
            </w:r>
          </w:p>
        </w:tc>
        <w:tc>
          <w:tcPr>
            <w:tcW w:w="2360" w:type="dxa"/>
            <w:vAlign w:val="bottom"/>
          </w:tcPr>
          <w:p>
            <w:pPr>
              <w:ind w:left="300"/>
              <w:spacing w:after="0" w:line="208" w:lineRule="exact"/>
              <w:rPr>
                <w:sz w:val="20"/>
                <w:szCs w:val="20"/>
                <w:color w:val="auto"/>
              </w:rPr>
            </w:pPr>
            <w:r>
              <w:rPr>
                <w:rFonts w:ascii="Arial" w:cs="Arial" w:eastAsia="Arial" w:hAnsi="Arial"/>
                <w:sz w:val="19"/>
                <w:szCs w:val="19"/>
                <w:color w:val="auto"/>
              </w:rPr>
              <w:t>Margins*</w:t>
            </w:r>
          </w:p>
        </w:tc>
        <w:tc>
          <w:tcPr>
            <w:tcW w:w="2140" w:type="dxa"/>
            <w:vAlign w:val="bottom"/>
          </w:tcPr>
          <w:p>
            <w:pPr>
              <w:ind w:left="60"/>
              <w:spacing w:after="0" w:line="208" w:lineRule="exact"/>
              <w:rPr>
                <w:sz w:val="20"/>
                <w:szCs w:val="20"/>
                <w:color w:val="auto"/>
              </w:rPr>
            </w:pPr>
            <w:r>
              <w:rPr>
                <w:rFonts w:ascii="Arial" w:cs="Arial" w:eastAsia="Arial" w:hAnsi="Arial"/>
                <w:sz w:val="19"/>
                <w:szCs w:val="19"/>
                <w:color w:val="auto"/>
              </w:rPr>
              <w:t>Earnings</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Arial" w:cs="Arial" w:eastAsia="Arial" w:hAnsi="Arial"/>
                <w:sz w:val="19"/>
                <w:szCs w:val="19"/>
                <w:color w:val="auto"/>
              </w:rPr>
              <w:t>per Share*</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-1518920</wp:posOffset>
            </wp:positionV>
            <wp:extent cx="6740525" cy="15201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40525" cy="1520190"/>
                    </a:xfrm>
                    <a:prstGeom prst="rect">
                      <a:avLst/>
                    </a:prstGeom>
                    <a:noFill/>
                  </pic:spPr>
                </pic:pic>
              </a:graphicData>
            </a:graphic>
          </wp:anchor>
        </w:drawing>
      </w:r>
    </w:p>
    <w:p>
      <w:pPr>
        <w:ind w:left="520" w:right="120" w:hanging="204"/>
        <w:spacing w:after="0" w:line="239" w:lineRule="auto"/>
        <w:tabs>
          <w:tab w:leader="none" w:pos="5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See Additional Information for additional information regarding non-GAAP financial measures and reconciliations of non-GAAP financial measures to their most directly comparable GAAP financial measures</w:t>
      </w:r>
    </w:p>
    <w:p>
      <w:pPr>
        <w:spacing w:after="0" w:line="31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Fiscal 2020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-109220</wp:posOffset>
            </wp:positionV>
            <wp:extent cx="3634740" cy="1320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34740" cy="13208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171450</wp:posOffset>
            </wp:positionV>
            <wp:extent cx="454660" cy="2806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54660" cy="28067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97155</wp:posOffset>
            </wp:positionV>
            <wp:extent cx="371475" cy="3549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71475" cy="35496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97155</wp:posOffset>
            </wp:positionV>
            <wp:extent cx="363220" cy="3549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3220" cy="354965"/>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right="700"/>
        <w:spacing w:after="0" w:line="323" w:lineRule="auto"/>
        <w:rPr>
          <w:sz w:val="20"/>
          <w:szCs w:val="20"/>
          <w:color w:val="auto"/>
        </w:rPr>
      </w:pPr>
      <w:r>
        <w:rPr>
          <w:rFonts w:ascii="Arial" w:cs="Arial" w:eastAsia="Arial" w:hAnsi="Arial"/>
          <w:sz w:val="15"/>
          <w:szCs w:val="15"/>
          <w:color w:val="auto"/>
        </w:rPr>
        <w:t>Returned $1.1B to shareholders in the form of dividends and share repurchases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Increased our dividends per</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share paid to shareholders by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15% on an annualized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right="80"/>
        <w:spacing w:after="0" w:line="271" w:lineRule="auto"/>
        <w:rPr>
          <w:sz w:val="20"/>
          <w:szCs w:val="20"/>
          <w:color w:val="auto"/>
        </w:rPr>
      </w:pPr>
      <w:r>
        <w:rPr>
          <w:rFonts w:ascii="Arial" w:cs="Arial" w:eastAsia="Arial" w:hAnsi="Arial"/>
          <w:sz w:val="17"/>
          <w:szCs w:val="17"/>
          <w:color w:val="auto"/>
        </w:rPr>
        <w:t>1-, 3- and 5-year TSR</w:t>
      </w:r>
      <w:r>
        <w:rPr>
          <w:rFonts w:ascii="Arial" w:cs="Arial" w:eastAsia="Arial" w:hAnsi="Arial"/>
          <w:sz w:val="14"/>
          <w:szCs w:val="14"/>
          <w:color w:val="auto"/>
        </w:rPr>
        <w:t>1</w:t>
      </w:r>
      <w:r>
        <w:rPr>
          <w:rFonts w:ascii="Arial" w:cs="Arial" w:eastAsia="Arial" w:hAnsi="Arial"/>
          <w:sz w:val="17"/>
          <w:szCs w:val="17"/>
          <w:color w:val="auto"/>
        </w:rPr>
        <w:t xml:space="preserve"> of 12%, 38% and 121%, respectively, which outperformed the S&amp;P 500 over the same periods</w:t>
      </w:r>
    </w:p>
    <w:p>
      <w:pPr>
        <w:spacing w:after="0" w:line="208" w:lineRule="exact"/>
        <w:rPr>
          <w:sz w:val="20"/>
          <w:szCs w:val="20"/>
          <w:color w:val="auto"/>
        </w:rPr>
      </w:pPr>
    </w:p>
    <w:p>
      <w:pPr>
        <w:sectPr>
          <w:pgSz w:w="11900" w:h="16838" w:orient="portrait"/>
          <w:cols w:equalWidth="0" w:num="3">
            <w:col w:w="3220" w:space="720"/>
            <w:col w:w="2880" w:space="720"/>
            <w:col w:w="3400"/>
          </w:cols>
          <w:pgMar w:left="320" w:top="447" w:right="639" w:bottom="1440" w:gutter="0" w:footer="0" w:header="0"/>
          <w:type w:val="continuous"/>
        </w:sectPr>
      </w:pPr>
    </w:p>
    <w:p>
      <w:pPr>
        <w:ind w:left="520" w:right="80" w:hanging="204"/>
        <w:spacing w:after="0" w:line="262" w:lineRule="auto"/>
        <w:tabs>
          <w:tab w:leader="none" w:pos="5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Total Shareholder Return calculation is share price appreciation plus cumulative cash dividend payments, and the effect of reinvesting those dividends into the security, for the one-, three- and five-year periods ended October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6801485</wp:posOffset>
            </wp:positionH>
            <wp:positionV relativeFrom="paragraph">
              <wp:posOffset>74930</wp:posOffset>
            </wp:positionV>
            <wp:extent cx="140335" cy="900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0335" cy="900430"/>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08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40"/>
          </w:cols>
          <w:pgMar w:left="320" w:top="447" w:right="639" w:bottom="1440" w:gutter="0" w:footer="0" w:header="0"/>
          <w:type w:val="continuous"/>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20"/>
        <w:spacing w:after="0"/>
        <w:rPr>
          <w:sz w:val="20"/>
          <w:szCs w:val="20"/>
          <w:color w:val="auto"/>
        </w:rPr>
      </w:pPr>
      <w:r>
        <w:rPr>
          <w:rFonts w:ascii="Arial" w:cs="Arial" w:eastAsia="Arial" w:hAnsi="Arial"/>
          <w:sz w:val="55"/>
          <w:szCs w:val="55"/>
          <w:color w:val="auto"/>
        </w:rPr>
        <w:t>Governance Highlights</w:t>
      </w:r>
    </w:p>
    <w:p>
      <w:pPr>
        <w:spacing w:after="0" w:line="3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ADI’s Board is composed of a diverse, experienced group of global thought, business, and academic leaders.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Director Nominees</w:t>
      </w:r>
    </w:p>
    <w:p>
      <w:pPr>
        <w:spacing w:after="0" w:line="150"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3100" w:type="dxa"/>
            <w:vAlign w:val="bottom"/>
            <w:shd w:val="clear" w:color="auto" w:fill="0066BA"/>
          </w:tcPr>
          <w:p>
            <w:pPr>
              <w:ind w:left="80"/>
              <w:spacing w:after="0"/>
              <w:rPr>
                <w:sz w:val="20"/>
                <w:szCs w:val="20"/>
                <w:color w:val="auto"/>
              </w:rPr>
            </w:pPr>
            <w:r>
              <w:rPr>
                <w:rFonts w:ascii="Arial" w:cs="Arial" w:eastAsia="Arial" w:hAnsi="Arial"/>
                <w:sz w:val="14"/>
                <w:szCs w:val="14"/>
                <w:b w:val="1"/>
                <w:bCs w:val="1"/>
                <w:color w:val="FFFFFF"/>
              </w:rPr>
              <w:t>Name</w:t>
            </w:r>
          </w:p>
        </w:tc>
        <w:tc>
          <w:tcPr>
            <w:tcW w:w="360" w:type="dxa"/>
            <w:vAlign w:val="bottom"/>
            <w:shd w:val="clear" w:color="auto" w:fill="0066BA"/>
          </w:tcPr>
          <w:p>
            <w:pPr>
              <w:jc w:val="right"/>
              <w:spacing w:after="0"/>
              <w:rPr>
                <w:sz w:val="20"/>
                <w:szCs w:val="20"/>
                <w:color w:val="auto"/>
              </w:rPr>
            </w:pPr>
            <w:r>
              <w:rPr>
                <w:rFonts w:ascii="Arial" w:cs="Arial" w:eastAsia="Arial" w:hAnsi="Arial"/>
                <w:sz w:val="14"/>
                <w:szCs w:val="14"/>
                <w:b w:val="1"/>
                <w:bCs w:val="1"/>
                <w:color w:val="FFFFFF"/>
              </w:rPr>
              <w:t>Age</w:t>
            </w:r>
          </w:p>
        </w:tc>
        <w:tc>
          <w:tcPr>
            <w:tcW w:w="620" w:type="dxa"/>
            <w:vAlign w:val="bottom"/>
            <w:shd w:val="clear" w:color="auto" w:fill="0066BA"/>
          </w:tcPr>
          <w:p>
            <w:pPr>
              <w:ind w:left="80"/>
              <w:spacing w:after="0"/>
              <w:rPr>
                <w:sz w:val="20"/>
                <w:szCs w:val="20"/>
                <w:color w:val="auto"/>
              </w:rPr>
            </w:pPr>
            <w:r>
              <w:rPr>
                <w:rFonts w:ascii="Arial" w:cs="Arial" w:eastAsia="Arial" w:hAnsi="Arial"/>
                <w:sz w:val="14"/>
                <w:szCs w:val="14"/>
                <w:b w:val="1"/>
                <w:bCs w:val="1"/>
                <w:color w:val="FFFFFF"/>
                <w:w w:val="96"/>
              </w:rPr>
              <w:t>Director</w:t>
            </w:r>
          </w:p>
        </w:tc>
        <w:tc>
          <w:tcPr>
            <w:tcW w:w="3780" w:type="dxa"/>
            <w:vAlign w:val="bottom"/>
            <w:shd w:val="clear" w:color="auto" w:fill="0066BA"/>
          </w:tcPr>
          <w:p>
            <w:pPr>
              <w:ind w:left="80"/>
              <w:spacing w:after="0"/>
              <w:rPr>
                <w:sz w:val="20"/>
                <w:szCs w:val="20"/>
                <w:color w:val="auto"/>
              </w:rPr>
            </w:pPr>
            <w:r>
              <w:rPr>
                <w:rFonts w:ascii="Arial" w:cs="Arial" w:eastAsia="Arial" w:hAnsi="Arial"/>
                <w:sz w:val="14"/>
                <w:szCs w:val="14"/>
                <w:b w:val="1"/>
                <w:bCs w:val="1"/>
                <w:color w:val="FFFFFF"/>
              </w:rPr>
              <w:t>Principal</w:t>
            </w:r>
          </w:p>
        </w:tc>
        <w:tc>
          <w:tcPr>
            <w:tcW w:w="940" w:type="dxa"/>
            <w:vAlign w:val="bottom"/>
            <w:shd w:val="clear" w:color="auto" w:fill="0066BA"/>
          </w:tcPr>
          <w:p>
            <w:pPr>
              <w:ind w:left="80"/>
              <w:spacing w:after="0"/>
              <w:rPr>
                <w:sz w:val="20"/>
                <w:szCs w:val="20"/>
                <w:color w:val="auto"/>
              </w:rPr>
            </w:pPr>
            <w:r>
              <w:rPr>
                <w:rFonts w:ascii="Arial" w:cs="Arial" w:eastAsia="Arial" w:hAnsi="Arial"/>
                <w:sz w:val="14"/>
                <w:szCs w:val="14"/>
                <w:b w:val="1"/>
                <w:bCs w:val="1"/>
                <w:color w:val="FFFFFF"/>
              </w:rPr>
              <w:t>Independent</w:t>
            </w:r>
          </w:p>
        </w:tc>
        <w:tc>
          <w:tcPr>
            <w:tcW w:w="70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Other</w:t>
            </w:r>
          </w:p>
        </w:tc>
        <w:tc>
          <w:tcPr>
            <w:tcW w:w="1120" w:type="dxa"/>
            <w:vAlign w:val="bottom"/>
            <w:shd w:val="clear" w:color="auto" w:fill="0066BA"/>
          </w:tcPr>
          <w:p>
            <w:pPr>
              <w:ind w:left="80"/>
              <w:spacing w:after="0"/>
              <w:rPr>
                <w:sz w:val="20"/>
                <w:szCs w:val="20"/>
                <w:color w:val="auto"/>
              </w:rPr>
            </w:pPr>
            <w:r>
              <w:rPr>
                <w:rFonts w:ascii="Arial" w:cs="Arial" w:eastAsia="Arial" w:hAnsi="Arial"/>
                <w:sz w:val="14"/>
                <w:szCs w:val="14"/>
                <w:b w:val="1"/>
                <w:bCs w:val="1"/>
                <w:color w:val="FFFFFF"/>
              </w:rPr>
              <w:t>Committee</w:t>
            </w:r>
          </w:p>
        </w:tc>
        <w:tc>
          <w:tcPr>
            <w:tcW w:w="0" w:type="dxa"/>
            <w:vAlign w:val="bottom"/>
          </w:tcPr>
          <w:p>
            <w:pPr>
              <w:spacing w:after="0"/>
              <w:rPr>
                <w:sz w:val="1"/>
                <w:szCs w:val="1"/>
                <w:color w:val="auto"/>
              </w:rPr>
            </w:pPr>
          </w:p>
        </w:tc>
      </w:tr>
      <w:tr>
        <w:trPr>
          <w:trHeight w:val="156"/>
        </w:trPr>
        <w:tc>
          <w:tcPr>
            <w:tcW w:w="3100" w:type="dxa"/>
            <w:vAlign w:val="bottom"/>
            <w:shd w:val="clear" w:color="auto" w:fill="0066BA"/>
          </w:tcPr>
          <w:p>
            <w:pPr>
              <w:spacing w:after="0"/>
              <w:rPr>
                <w:sz w:val="13"/>
                <w:szCs w:val="13"/>
                <w:color w:val="auto"/>
              </w:rPr>
            </w:pPr>
          </w:p>
        </w:tc>
        <w:tc>
          <w:tcPr>
            <w:tcW w:w="360" w:type="dxa"/>
            <w:vAlign w:val="bottom"/>
            <w:shd w:val="clear" w:color="auto" w:fill="0066BA"/>
          </w:tcPr>
          <w:p>
            <w:pPr>
              <w:spacing w:after="0"/>
              <w:rPr>
                <w:sz w:val="13"/>
                <w:szCs w:val="13"/>
                <w:color w:val="auto"/>
              </w:rPr>
            </w:pPr>
          </w:p>
        </w:tc>
        <w:tc>
          <w:tcPr>
            <w:tcW w:w="620" w:type="dxa"/>
            <w:vAlign w:val="bottom"/>
            <w:shd w:val="clear" w:color="auto" w:fill="0066BA"/>
          </w:tcPr>
          <w:p>
            <w:pPr>
              <w:ind w:left="80"/>
              <w:spacing w:after="0" w:line="156" w:lineRule="exact"/>
              <w:rPr>
                <w:sz w:val="20"/>
                <w:szCs w:val="20"/>
                <w:color w:val="auto"/>
              </w:rPr>
            </w:pPr>
            <w:r>
              <w:rPr>
                <w:rFonts w:ascii="Arial" w:cs="Arial" w:eastAsia="Arial" w:hAnsi="Arial"/>
                <w:sz w:val="14"/>
                <w:szCs w:val="14"/>
                <w:b w:val="1"/>
                <w:bCs w:val="1"/>
                <w:color w:val="FFFFFF"/>
              </w:rPr>
              <w:t>Since</w:t>
            </w:r>
          </w:p>
        </w:tc>
        <w:tc>
          <w:tcPr>
            <w:tcW w:w="3780" w:type="dxa"/>
            <w:vAlign w:val="bottom"/>
            <w:shd w:val="clear" w:color="auto" w:fill="0066BA"/>
          </w:tcPr>
          <w:p>
            <w:pPr>
              <w:ind w:left="80"/>
              <w:spacing w:after="0" w:line="156" w:lineRule="exact"/>
              <w:rPr>
                <w:sz w:val="20"/>
                <w:szCs w:val="20"/>
                <w:color w:val="auto"/>
              </w:rPr>
            </w:pPr>
            <w:r>
              <w:rPr>
                <w:rFonts w:ascii="Arial" w:cs="Arial" w:eastAsia="Arial" w:hAnsi="Arial"/>
                <w:sz w:val="14"/>
                <w:szCs w:val="14"/>
                <w:b w:val="1"/>
                <w:bCs w:val="1"/>
                <w:color w:val="FFFFFF"/>
              </w:rPr>
              <w:t>Occupation</w:t>
            </w:r>
          </w:p>
        </w:tc>
        <w:tc>
          <w:tcPr>
            <w:tcW w:w="940" w:type="dxa"/>
            <w:vAlign w:val="bottom"/>
            <w:shd w:val="clear" w:color="auto" w:fill="0066BA"/>
          </w:tcPr>
          <w:p>
            <w:pPr>
              <w:ind w:left="80"/>
              <w:spacing w:after="0" w:line="156" w:lineRule="exact"/>
              <w:rPr>
                <w:sz w:val="20"/>
                <w:szCs w:val="20"/>
                <w:color w:val="auto"/>
              </w:rPr>
            </w:pPr>
            <w:r>
              <w:rPr>
                <w:rFonts w:ascii="Arial" w:cs="Arial" w:eastAsia="Arial" w:hAnsi="Arial"/>
                <w:sz w:val="14"/>
                <w:szCs w:val="14"/>
                <w:b w:val="1"/>
                <w:bCs w:val="1"/>
                <w:color w:val="FFFFFF"/>
              </w:rPr>
              <w:t>Director</w:t>
            </w:r>
          </w:p>
        </w:tc>
        <w:tc>
          <w:tcPr>
            <w:tcW w:w="700" w:type="dxa"/>
            <w:vAlign w:val="bottom"/>
            <w:shd w:val="clear" w:color="auto" w:fill="0066BA"/>
          </w:tcPr>
          <w:p>
            <w:pPr>
              <w:ind w:left="60"/>
              <w:spacing w:after="0" w:line="156" w:lineRule="exact"/>
              <w:rPr>
                <w:sz w:val="20"/>
                <w:szCs w:val="20"/>
                <w:color w:val="auto"/>
              </w:rPr>
            </w:pPr>
            <w:r>
              <w:rPr>
                <w:rFonts w:ascii="Arial" w:cs="Arial" w:eastAsia="Arial" w:hAnsi="Arial"/>
                <w:sz w:val="14"/>
                <w:szCs w:val="14"/>
                <w:b w:val="1"/>
                <w:bCs w:val="1"/>
                <w:color w:val="FFFFFF"/>
                <w:w w:val="97"/>
              </w:rPr>
              <w:t>Company</w:t>
            </w:r>
          </w:p>
        </w:tc>
        <w:tc>
          <w:tcPr>
            <w:tcW w:w="1120" w:type="dxa"/>
            <w:vAlign w:val="bottom"/>
            <w:shd w:val="clear" w:color="auto" w:fill="0066BA"/>
          </w:tcPr>
          <w:p>
            <w:pPr>
              <w:ind w:left="80"/>
              <w:spacing w:after="0" w:line="156" w:lineRule="exact"/>
              <w:rPr>
                <w:sz w:val="20"/>
                <w:szCs w:val="20"/>
                <w:color w:val="auto"/>
              </w:rPr>
            </w:pPr>
            <w:r>
              <w:rPr>
                <w:rFonts w:ascii="Arial" w:cs="Arial" w:eastAsia="Arial" w:hAnsi="Arial"/>
                <w:sz w:val="14"/>
                <w:szCs w:val="14"/>
                <w:b w:val="1"/>
                <w:bCs w:val="1"/>
                <w:color w:val="FFFFFF"/>
              </w:rPr>
              <w:t>Member-</w:t>
            </w:r>
          </w:p>
        </w:tc>
        <w:tc>
          <w:tcPr>
            <w:tcW w:w="0" w:type="dxa"/>
            <w:vAlign w:val="bottom"/>
          </w:tcPr>
          <w:p>
            <w:pPr>
              <w:spacing w:after="0"/>
              <w:rPr>
                <w:sz w:val="1"/>
                <w:szCs w:val="1"/>
                <w:color w:val="auto"/>
              </w:rPr>
            </w:pPr>
          </w:p>
        </w:tc>
      </w:tr>
      <w:tr>
        <w:trPr>
          <w:trHeight w:val="195"/>
        </w:trPr>
        <w:tc>
          <w:tcPr>
            <w:tcW w:w="3100" w:type="dxa"/>
            <w:vAlign w:val="bottom"/>
            <w:shd w:val="clear" w:color="auto" w:fill="0066BA"/>
          </w:tcPr>
          <w:p>
            <w:pPr>
              <w:spacing w:after="0"/>
              <w:rPr>
                <w:sz w:val="16"/>
                <w:szCs w:val="16"/>
                <w:color w:val="auto"/>
              </w:rPr>
            </w:pPr>
          </w:p>
        </w:tc>
        <w:tc>
          <w:tcPr>
            <w:tcW w:w="360" w:type="dxa"/>
            <w:vAlign w:val="bottom"/>
            <w:shd w:val="clear" w:color="auto" w:fill="0066BA"/>
          </w:tcPr>
          <w:p>
            <w:pPr>
              <w:spacing w:after="0"/>
              <w:rPr>
                <w:sz w:val="16"/>
                <w:szCs w:val="16"/>
                <w:color w:val="auto"/>
              </w:rPr>
            </w:pPr>
          </w:p>
        </w:tc>
        <w:tc>
          <w:tcPr>
            <w:tcW w:w="620" w:type="dxa"/>
            <w:vAlign w:val="bottom"/>
            <w:shd w:val="clear" w:color="auto" w:fill="0066BA"/>
          </w:tcPr>
          <w:p>
            <w:pPr>
              <w:spacing w:after="0"/>
              <w:rPr>
                <w:sz w:val="16"/>
                <w:szCs w:val="16"/>
                <w:color w:val="auto"/>
              </w:rPr>
            </w:pPr>
          </w:p>
        </w:tc>
        <w:tc>
          <w:tcPr>
            <w:tcW w:w="3780" w:type="dxa"/>
            <w:vAlign w:val="bottom"/>
            <w:shd w:val="clear" w:color="auto" w:fill="0066BA"/>
          </w:tcPr>
          <w:p>
            <w:pPr>
              <w:spacing w:after="0"/>
              <w:rPr>
                <w:sz w:val="16"/>
                <w:szCs w:val="16"/>
                <w:color w:val="auto"/>
              </w:rPr>
            </w:pPr>
          </w:p>
        </w:tc>
        <w:tc>
          <w:tcPr>
            <w:tcW w:w="940" w:type="dxa"/>
            <w:vAlign w:val="bottom"/>
            <w:shd w:val="clear" w:color="auto" w:fill="0066BA"/>
          </w:tcPr>
          <w:p>
            <w:pPr>
              <w:spacing w:after="0"/>
              <w:rPr>
                <w:sz w:val="16"/>
                <w:szCs w:val="16"/>
                <w:color w:val="auto"/>
              </w:rPr>
            </w:pPr>
          </w:p>
        </w:tc>
        <w:tc>
          <w:tcPr>
            <w:tcW w:w="70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Board(s)</w:t>
            </w:r>
          </w:p>
        </w:tc>
        <w:tc>
          <w:tcPr>
            <w:tcW w:w="1120" w:type="dxa"/>
            <w:vAlign w:val="bottom"/>
            <w:shd w:val="clear" w:color="auto" w:fill="0066BA"/>
          </w:tcPr>
          <w:p>
            <w:pPr>
              <w:ind w:left="80"/>
              <w:spacing w:after="0"/>
              <w:rPr>
                <w:sz w:val="20"/>
                <w:szCs w:val="20"/>
                <w:color w:val="auto"/>
              </w:rPr>
            </w:pPr>
            <w:r>
              <w:rPr>
                <w:rFonts w:ascii="Arial" w:cs="Arial" w:eastAsia="Arial" w:hAnsi="Arial"/>
                <w:sz w:val="14"/>
                <w:szCs w:val="14"/>
                <w:b w:val="1"/>
                <w:bCs w:val="1"/>
                <w:color w:val="FFFFFF"/>
              </w:rPr>
              <w:t>ship(s)</w:t>
            </w:r>
          </w:p>
        </w:tc>
        <w:tc>
          <w:tcPr>
            <w:tcW w:w="0" w:type="dxa"/>
            <w:vAlign w:val="bottom"/>
          </w:tcPr>
          <w:p>
            <w:pPr>
              <w:spacing w:after="0"/>
              <w:rPr>
                <w:sz w:val="1"/>
                <w:szCs w:val="1"/>
                <w:color w:val="auto"/>
              </w:rPr>
            </w:pPr>
          </w:p>
        </w:tc>
      </w:tr>
      <w:tr>
        <w:trPr>
          <w:trHeight w:val="90"/>
        </w:trPr>
        <w:tc>
          <w:tcPr>
            <w:tcW w:w="3100" w:type="dxa"/>
            <w:vAlign w:val="bottom"/>
            <w:shd w:val="clear" w:color="auto" w:fill="0066BA"/>
          </w:tcPr>
          <w:p>
            <w:pPr>
              <w:spacing w:after="0"/>
              <w:rPr>
                <w:sz w:val="7"/>
                <w:szCs w:val="7"/>
                <w:color w:val="auto"/>
              </w:rPr>
            </w:pPr>
          </w:p>
        </w:tc>
        <w:tc>
          <w:tcPr>
            <w:tcW w:w="360" w:type="dxa"/>
            <w:vAlign w:val="bottom"/>
            <w:shd w:val="clear" w:color="auto" w:fill="0066BA"/>
          </w:tcPr>
          <w:p>
            <w:pPr>
              <w:spacing w:after="0"/>
              <w:rPr>
                <w:sz w:val="7"/>
                <w:szCs w:val="7"/>
                <w:color w:val="auto"/>
              </w:rPr>
            </w:pPr>
          </w:p>
        </w:tc>
        <w:tc>
          <w:tcPr>
            <w:tcW w:w="620" w:type="dxa"/>
            <w:vAlign w:val="bottom"/>
            <w:shd w:val="clear" w:color="auto" w:fill="0066BA"/>
          </w:tcPr>
          <w:p>
            <w:pPr>
              <w:spacing w:after="0"/>
              <w:rPr>
                <w:sz w:val="7"/>
                <w:szCs w:val="7"/>
                <w:color w:val="auto"/>
              </w:rPr>
            </w:pPr>
          </w:p>
        </w:tc>
        <w:tc>
          <w:tcPr>
            <w:tcW w:w="3780" w:type="dxa"/>
            <w:vAlign w:val="bottom"/>
            <w:shd w:val="clear" w:color="auto" w:fill="0066BA"/>
          </w:tcPr>
          <w:p>
            <w:pPr>
              <w:spacing w:after="0"/>
              <w:rPr>
                <w:sz w:val="7"/>
                <w:szCs w:val="7"/>
                <w:color w:val="auto"/>
              </w:rPr>
            </w:pPr>
          </w:p>
        </w:tc>
        <w:tc>
          <w:tcPr>
            <w:tcW w:w="940" w:type="dxa"/>
            <w:vAlign w:val="bottom"/>
            <w:shd w:val="clear" w:color="auto" w:fill="0066BA"/>
          </w:tcPr>
          <w:p>
            <w:pPr>
              <w:spacing w:after="0"/>
              <w:rPr>
                <w:sz w:val="7"/>
                <w:szCs w:val="7"/>
                <w:color w:val="auto"/>
              </w:rPr>
            </w:pPr>
          </w:p>
        </w:tc>
        <w:tc>
          <w:tcPr>
            <w:tcW w:w="700" w:type="dxa"/>
            <w:vAlign w:val="bottom"/>
            <w:shd w:val="clear" w:color="auto" w:fill="0066BA"/>
          </w:tcPr>
          <w:p>
            <w:pPr>
              <w:spacing w:after="0"/>
              <w:rPr>
                <w:sz w:val="7"/>
                <w:szCs w:val="7"/>
                <w:color w:val="auto"/>
              </w:rPr>
            </w:pPr>
          </w:p>
        </w:tc>
        <w:tc>
          <w:tcPr>
            <w:tcW w:w="1120" w:type="dxa"/>
            <w:vAlign w:val="bottom"/>
            <w:shd w:val="clear" w:color="auto" w:fill="0066BA"/>
          </w:tcPr>
          <w:p>
            <w:pPr>
              <w:spacing w:after="0"/>
              <w:rPr>
                <w:sz w:val="7"/>
                <w:szCs w:val="7"/>
                <w:color w:val="auto"/>
              </w:rPr>
            </w:pPr>
          </w:p>
        </w:tc>
        <w:tc>
          <w:tcPr>
            <w:tcW w:w="0" w:type="dxa"/>
            <w:vAlign w:val="bottom"/>
          </w:tcPr>
          <w:p>
            <w:pPr>
              <w:spacing w:after="0"/>
              <w:rPr>
                <w:sz w:val="1"/>
                <w:szCs w:val="1"/>
                <w:color w:val="auto"/>
              </w:rPr>
            </w:pPr>
          </w:p>
        </w:tc>
      </w:tr>
      <w:tr>
        <w:trPr>
          <w:trHeight w:val="430"/>
        </w:trPr>
        <w:tc>
          <w:tcPr>
            <w:tcW w:w="3100" w:type="dxa"/>
            <w:vAlign w:val="bottom"/>
            <w:vMerge w:val="restart"/>
          </w:tcPr>
          <w:p>
            <w:pPr>
              <w:ind w:left="940"/>
              <w:spacing w:after="0"/>
              <w:rPr>
                <w:sz w:val="20"/>
                <w:szCs w:val="20"/>
                <w:color w:val="auto"/>
              </w:rPr>
            </w:pPr>
            <w:r>
              <w:rPr>
                <w:rFonts w:ascii="Arial" w:cs="Arial" w:eastAsia="Arial" w:hAnsi="Arial"/>
                <w:sz w:val="17"/>
                <w:szCs w:val="17"/>
                <w:b w:val="1"/>
                <w:bCs w:val="1"/>
                <w:color w:val="0066BA"/>
              </w:rPr>
              <w:t>Ray Stata</w:t>
            </w:r>
          </w:p>
        </w:tc>
        <w:tc>
          <w:tcPr>
            <w:tcW w:w="360" w:type="dxa"/>
            <w:vAlign w:val="bottom"/>
            <w:vMerge w:val="restart"/>
            <w:shd w:val="clear" w:color="auto" w:fill="EAEAEA"/>
          </w:tcPr>
          <w:p>
            <w:pPr>
              <w:jc w:val="right"/>
              <w:ind w:right="35"/>
              <w:spacing w:after="0"/>
              <w:rPr>
                <w:sz w:val="20"/>
                <w:szCs w:val="20"/>
                <w:color w:val="auto"/>
              </w:rPr>
            </w:pPr>
            <w:r>
              <w:rPr>
                <w:rFonts w:ascii="Arial" w:cs="Arial" w:eastAsia="Arial" w:hAnsi="Arial"/>
                <w:sz w:val="17"/>
                <w:szCs w:val="17"/>
                <w:color w:val="auto"/>
              </w:rPr>
              <w:t>86</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1965</w:t>
            </w:r>
          </w:p>
        </w:tc>
        <w:tc>
          <w:tcPr>
            <w:tcW w:w="3780" w:type="dxa"/>
            <w:vAlign w:val="bottom"/>
            <w:shd w:val="clear" w:color="auto" w:fill="EAEAEA"/>
          </w:tcPr>
          <w:p>
            <w:pPr>
              <w:ind w:left="80"/>
              <w:spacing w:after="0"/>
              <w:rPr>
                <w:sz w:val="20"/>
                <w:szCs w:val="20"/>
                <w:color w:val="auto"/>
              </w:rPr>
            </w:pPr>
            <w:r>
              <w:rPr>
                <w:rFonts w:ascii="Arial" w:cs="Arial" w:eastAsia="Arial" w:hAnsi="Arial"/>
                <w:sz w:val="17"/>
                <w:szCs w:val="17"/>
                <w:color w:val="auto"/>
              </w:rPr>
              <w:t>Chairman of the Board</w:t>
            </w: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rPr>
              <w:t>—</w:t>
            </w:r>
          </w:p>
        </w:tc>
        <w:tc>
          <w:tcPr>
            <w:tcW w:w="700" w:type="dxa"/>
            <w:vAlign w:val="bottom"/>
            <w:vMerge w:val="restart"/>
            <w:shd w:val="clear" w:color="auto" w:fill="EAEAEA"/>
          </w:tcPr>
          <w:p>
            <w:pPr>
              <w:ind w:left="60"/>
              <w:spacing w:after="0"/>
              <w:rPr>
                <w:sz w:val="20"/>
                <w:szCs w:val="20"/>
                <w:color w:val="auto"/>
              </w:rPr>
            </w:pPr>
            <w:r>
              <w:rPr>
                <w:rFonts w:ascii="Arial" w:cs="Arial" w:eastAsia="Arial" w:hAnsi="Arial"/>
                <w:sz w:val="17"/>
                <w:szCs w:val="17"/>
                <w:color w:val="auto"/>
              </w:rPr>
              <w:t>—</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6"/>
        </w:trPr>
        <w:tc>
          <w:tcPr>
            <w:tcW w:w="3100" w:type="dxa"/>
            <w:vAlign w:val="bottom"/>
            <w:vMerge w:val="continue"/>
          </w:tcPr>
          <w:p>
            <w:pPr>
              <w:spacing w:after="0"/>
              <w:rPr>
                <w:sz w:val="10"/>
                <w:szCs w:val="10"/>
                <w:color w:val="auto"/>
              </w:rPr>
            </w:pPr>
          </w:p>
        </w:tc>
        <w:tc>
          <w:tcPr>
            <w:tcW w:w="360" w:type="dxa"/>
            <w:vAlign w:val="bottom"/>
            <w:vMerge w:val="continue"/>
            <w:shd w:val="clear" w:color="auto" w:fill="EAEAEA"/>
          </w:tcPr>
          <w:p>
            <w:pPr>
              <w:spacing w:after="0"/>
              <w:rPr>
                <w:sz w:val="10"/>
                <w:szCs w:val="10"/>
                <w:color w:val="auto"/>
              </w:rPr>
            </w:pPr>
          </w:p>
        </w:tc>
        <w:tc>
          <w:tcPr>
            <w:tcW w:w="620" w:type="dxa"/>
            <w:vAlign w:val="bottom"/>
            <w:vMerge w:val="continue"/>
          </w:tcPr>
          <w:p>
            <w:pPr>
              <w:spacing w:after="0"/>
              <w:rPr>
                <w:sz w:val="10"/>
                <w:szCs w:val="10"/>
                <w:color w:val="auto"/>
              </w:rPr>
            </w:pPr>
          </w:p>
        </w:tc>
        <w:tc>
          <w:tcPr>
            <w:tcW w:w="3780" w:type="dxa"/>
            <w:vAlign w:val="bottom"/>
            <w:vMerge w:val="restart"/>
            <w:shd w:val="clear" w:color="auto" w:fill="EAEAEA"/>
          </w:tcPr>
          <w:p>
            <w:pPr>
              <w:ind w:left="80"/>
              <w:spacing w:after="0"/>
              <w:rPr>
                <w:sz w:val="20"/>
                <w:szCs w:val="20"/>
                <w:color w:val="auto"/>
              </w:rPr>
            </w:pPr>
            <w:r>
              <w:rPr>
                <w:rFonts w:ascii="Arial" w:cs="Arial" w:eastAsia="Arial" w:hAnsi="Arial"/>
                <w:sz w:val="17"/>
                <w:szCs w:val="17"/>
                <w:color w:val="auto"/>
              </w:rPr>
              <w:t>of Analog Devices, Inc.</w:t>
            </w:r>
          </w:p>
        </w:tc>
        <w:tc>
          <w:tcPr>
            <w:tcW w:w="940" w:type="dxa"/>
            <w:vAlign w:val="bottom"/>
            <w:vMerge w:val="continue"/>
          </w:tcPr>
          <w:p>
            <w:pPr>
              <w:spacing w:after="0"/>
              <w:rPr>
                <w:sz w:val="10"/>
                <w:szCs w:val="10"/>
                <w:color w:val="auto"/>
              </w:rPr>
            </w:pPr>
          </w:p>
        </w:tc>
        <w:tc>
          <w:tcPr>
            <w:tcW w:w="700" w:type="dxa"/>
            <w:vAlign w:val="bottom"/>
            <w:vMerge w:val="continue"/>
            <w:shd w:val="clear" w:color="auto" w:fill="EAEAEA"/>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360" w:type="dxa"/>
            <w:vAlign w:val="bottom"/>
            <w:shd w:val="clear" w:color="auto" w:fill="EAEAEA"/>
          </w:tcPr>
          <w:p>
            <w:pPr>
              <w:spacing w:after="0"/>
              <w:rPr>
                <w:sz w:val="9"/>
                <w:szCs w:val="9"/>
                <w:color w:val="auto"/>
              </w:rPr>
            </w:pPr>
          </w:p>
        </w:tc>
        <w:tc>
          <w:tcPr>
            <w:tcW w:w="620" w:type="dxa"/>
            <w:vAlign w:val="bottom"/>
          </w:tcPr>
          <w:p>
            <w:pPr>
              <w:spacing w:after="0"/>
              <w:rPr>
                <w:sz w:val="9"/>
                <w:szCs w:val="9"/>
                <w:color w:val="auto"/>
              </w:rPr>
            </w:pPr>
          </w:p>
        </w:tc>
        <w:tc>
          <w:tcPr>
            <w:tcW w:w="3780" w:type="dxa"/>
            <w:vAlign w:val="bottom"/>
            <w:vMerge w:val="continue"/>
            <w:shd w:val="clear" w:color="auto" w:fill="EAEAEA"/>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shd w:val="clear" w:color="auto" w:fill="EAEAEA"/>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3100" w:type="dxa"/>
            <w:vAlign w:val="bottom"/>
            <w:tcBorders>
              <w:bottom w:val="single" w:sz="8" w:color="0066BA"/>
            </w:tcBorders>
          </w:tcPr>
          <w:p>
            <w:pPr>
              <w:spacing w:after="0"/>
              <w:rPr>
                <w:sz w:val="21"/>
                <w:szCs w:val="21"/>
                <w:color w:val="auto"/>
              </w:rPr>
            </w:pPr>
          </w:p>
        </w:tc>
        <w:tc>
          <w:tcPr>
            <w:tcW w:w="360" w:type="dxa"/>
            <w:vAlign w:val="bottom"/>
            <w:tcBorders>
              <w:bottom w:val="single" w:sz="8" w:color="0066BA"/>
            </w:tcBorders>
            <w:shd w:val="clear" w:color="auto" w:fill="EAEAEA"/>
          </w:tcPr>
          <w:p>
            <w:pPr>
              <w:spacing w:after="0"/>
              <w:rPr>
                <w:sz w:val="21"/>
                <w:szCs w:val="21"/>
                <w:color w:val="auto"/>
              </w:rPr>
            </w:pPr>
          </w:p>
        </w:tc>
        <w:tc>
          <w:tcPr>
            <w:tcW w:w="620" w:type="dxa"/>
            <w:vAlign w:val="bottom"/>
            <w:tcBorders>
              <w:bottom w:val="single" w:sz="8" w:color="0066BA"/>
            </w:tcBorders>
          </w:tcPr>
          <w:p>
            <w:pPr>
              <w:spacing w:after="0"/>
              <w:rPr>
                <w:sz w:val="21"/>
                <w:szCs w:val="21"/>
                <w:color w:val="auto"/>
              </w:rPr>
            </w:pPr>
          </w:p>
        </w:tc>
        <w:tc>
          <w:tcPr>
            <w:tcW w:w="3780" w:type="dxa"/>
            <w:vAlign w:val="bottom"/>
            <w:tcBorders>
              <w:bottom w:val="single" w:sz="8" w:color="0066BA"/>
            </w:tcBorders>
            <w:shd w:val="clear" w:color="auto" w:fill="EAEAEA"/>
          </w:tcPr>
          <w:p>
            <w:pPr>
              <w:spacing w:after="0"/>
              <w:rPr>
                <w:sz w:val="21"/>
                <w:szCs w:val="21"/>
                <w:color w:val="auto"/>
              </w:rPr>
            </w:pPr>
          </w:p>
        </w:tc>
        <w:tc>
          <w:tcPr>
            <w:tcW w:w="940" w:type="dxa"/>
            <w:vAlign w:val="bottom"/>
            <w:tcBorders>
              <w:bottom w:val="single" w:sz="8" w:color="0066BA"/>
            </w:tcBorders>
          </w:tcPr>
          <w:p>
            <w:pPr>
              <w:spacing w:after="0"/>
              <w:rPr>
                <w:sz w:val="21"/>
                <w:szCs w:val="21"/>
                <w:color w:val="auto"/>
              </w:rPr>
            </w:pPr>
          </w:p>
        </w:tc>
        <w:tc>
          <w:tcPr>
            <w:tcW w:w="700" w:type="dxa"/>
            <w:vAlign w:val="bottom"/>
            <w:tcBorders>
              <w:bottom w:val="single" w:sz="8" w:color="0066BA"/>
            </w:tcBorders>
            <w:shd w:val="clear" w:color="auto" w:fill="EAEAEA"/>
          </w:tcPr>
          <w:p>
            <w:pPr>
              <w:spacing w:after="0"/>
              <w:rPr>
                <w:sz w:val="21"/>
                <w:szCs w:val="21"/>
                <w:color w:val="auto"/>
              </w:rPr>
            </w:pPr>
          </w:p>
        </w:tc>
        <w:tc>
          <w:tcPr>
            <w:tcW w:w="1120" w:type="dxa"/>
            <w:vAlign w:val="bottom"/>
            <w:tcBorders>
              <w:bottom w:val="single" w:sz="8" w:color="0066BA"/>
            </w:tcBorders>
          </w:tcPr>
          <w:p>
            <w:pPr>
              <w:spacing w:after="0"/>
              <w:rPr>
                <w:sz w:val="21"/>
                <w:szCs w:val="21"/>
                <w:color w:val="auto"/>
              </w:rPr>
            </w:pPr>
          </w:p>
        </w:tc>
        <w:tc>
          <w:tcPr>
            <w:tcW w:w="0" w:type="dxa"/>
            <w:vAlign w:val="bottom"/>
          </w:tcPr>
          <w:p>
            <w:pPr>
              <w:spacing w:after="0"/>
              <w:rPr>
                <w:sz w:val="1"/>
                <w:szCs w:val="1"/>
                <w:color w:val="auto"/>
              </w:rPr>
            </w:pPr>
          </w:p>
        </w:tc>
      </w:tr>
      <w:tr>
        <w:trPr>
          <w:trHeight w:val="410"/>
        </w:trPr>
        <w:tc>
          <w:tcPr>
            <w:tcW w:w="3100" w:type="dxa"/>
            <w:vAlign w:val="bottom"/>
            <w:vMerge w:val="restart"/>
          </w:tcPr>
          <w:p>
            <w:pPr>
              <w:ind w:left="940"/>
              <w:spacing w:after="0"/>
              <w:rPr>
                <w:sz w:val="20"/>
                <w:szCs w:val="20"/>
                <w:color w:val="auto"/>
              </w:rPr>
            </w:pPr>
            <w:r>
              <w:rPr>
                <w:rFonts w:ascii="Arial" w:cs="Arial" w:eastAsia="Arial" w:hAnsi="Arial"/>
                <w:sz w:val="17"/>
                <w:szCs w:val="17"/>
                <w:b w:val="1"/>
                <w:bCs w:val="1"/>
                <w:color w:val="0066BA"/>
              </w:rPr>
              <w:t>Vincent Roche</w:t>
            </w:r>
          </w:p>
        </w:tc>
        <w:tc>
          <w:tcPr>
            <w:tcW w:w="360" w:type="dxa"/>
            <w:vAlign w:val="bottom"/>
            <w:vMerge w:val="restart"/>
            <w:shd w:val="clear" w:color="auto" w:fill="EAEAEA"/>
          </w:tcPr>
          <w:p>
            <w:pPr>
              <w:jc w:val="right"/>
              <w:ind w:right="35"/>
              <w:spacing w:after="0"/>
              <w:rPr>
                <w:sz w:val="20"/>
                <w:szCs w:val="20"/>
                <w:color w:val="auto"/>
              </w:rPr>
            </w:pPr>
            <w:r>
              <w:rPr>
                <w:rFonts w:ascii="Arial" w:cs="Arial" w:eastAsia="Arial" w:hAnsi="Arial"/>
                <w:sz w:val="17"/>
                <w:szCs w:val="17"/>
                <w:color w:val="auto"/>
              </w:rPr>
              <w:t>60</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2013</w:t>
            </w:r>
          </w:p>
        </w:tc>
        <w:tc>
          <w:tcPr>
            <w:tcW w:w="3780" w:type="dxa"/>
            <w:vAlign w:val="bottom"/>
            <w:shd w:val="clear" w:color="auto" w:fill="EAEAEA"/>
          </w:tcPr>
          <w:p>
            <w:pPr>
              <w:ind w:left="80"/>
              <w:spacing w:after="0"/>
              <w:rPr>
                <w:sz w:val="20"/>
                <w:szCs w:val="20"/>
                <w:color w:val="auto"/>
              </w:rPr>
            </w:pPr>
            <w:r>
              <w:rPr>
                <w:rFonts w:ascii="Arial" w:cs="Arial" w:eastAsia="Arial" w:hAnsi="Arial"/>
                <w:sz w:val="17"/>
                <w:szCs w:val="17"/>
                <w:color w:val="auto"/>
              </w:rPr>
              <w:t>President and Chief Executive</w:t>
            </w: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rPr>
              <w:t>—</w:t>
            </w:r>
          </w:p>
        </w:tc>
        <w:tc>
          <w:tcPr>
            <w:tcW w:w="700" w:type="dxa"/>
            <w:vAlign w:val="bottom"/>
            <w:vMerge w:val="restart"/>
            <w:shd w:val="clear" w:color="auto" w:fill="EAEAEA"/>
          </w:tcPr>
          <w:p>
            <w:pPr>
              <w:ind w:left="60"/>
              <w:spacing w:after="0"/>
              <w:rPr>
                <w:sz w:val="20"/>
                <w:szCs w:val="20"/>
                <w:color w:val="auto"/>
              </w:rPr>
            </w:pPr>
            <w:r>
              <w:rPr>
                <w:rFonts w:ascii="Arial" w:cs="Arial" w:eastAsia="Arial" w:hAnsi="Arial"/>
                <w:sz w:val="17"/>
                <w:szCs w:val="17"/>
                <w:color w:val="auto"/>
              </w:rPr>
              <w:t>1</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6"/>
        </w:trPr>
        <w:tc>
          <w:tcPr>
            <w:tcW w:w="3100" w:type="dxa"/>
            <w:vAlign w:val="bottom"/>
            <w:vMerge w:val="continue"/>
          </w:tcPr>
          <w:p>
            <w:pPr>
              <w:spacing w:after="0"/>
              <w:rPr>
                <w:sz w:val="10"/>
                <w:szCs w:val="10"/>
                <w:color w:val="auto"/>
              </w:rPr>
            </w:pPr>
          </w:p>
        </w:tc>
        <w:tc>
          <w:tcPr>
            <w:tcW w:w="360" w:type="dxa"/>
            <w:vAlign w:val="bottom"/>
            <w:vMerge w:val="continue"/>
            <w:shd w:val="clear" w:color="auto" w:fill="EAEAEA"/>
          </w:tcPr>
          <w:p>
            <w:pPr>
              <w:spacing w:after="0"/>
              <w:rPr>
                <w:sz w:val="10"/>
                <w:szCs w:val="10"/>
                <w:color w:val="auto"/>
              </w:rPr>
            </w:pPr>
          </w:p>
        </w:tc>
        <w:tc>
          <w:tcPr>
            <w:tcW w:w="620" w:type="dxa"/>
            <w:vAlign w:val="bottom"/>
            <w:vMerge w:val="continue"/>
          </w:tcPr>
          <w:p>
            <w:pPr>
              <w:spacing w:after="0"/>
              <w:rPr>
                <w:sz w:val="10"/>
                <w:szCs w:val="10"/>
                <w:color w:val="auto"/>
              </w:rPr>
            </w:pPr>
          </w:p>
        </w:tc>
        <w:tc>
          <w:tcPr>
            <w:tcW w:w="3780" w:type="dxa"/>
            <w:vAlign w:val="bottom"/>
            <w:vMerge w:val="restart"/>
            <w:shd w:val="clear" w:color="auto" w:fill="EAEAEA"/>
          </w:tcPr>
          <w:p>
            <w:pPr>
              <w:ind w:left="80"/>
              <w:spacing w:after="0"/>
              <w:rPr>
                <w:sz w:val="20"/>
                <w:szCs w:val="20"/>
                <w:color w:val="auto"/>
              </w:rPr>
            </w:pPr>
            <w:r>
              <w:rPr>
                <w:rFonts w:ascii="Arial" w:cs="Arial" w:eastAsia="Arial" w:hAnsi="Arial"/>
                <w:sz w:val="17"/>
                <w:szCs w:val="17"/>
                <w:color w:val="auto"/>
              </w:rPr>
              <w:t>Officer of Analog Devices, Inc.</w:t>
            </w:r>
          </w:p>
        </w:tc>
        <w:tc>
          <w:tcPr>
            <w:tcW w:w="940" w:type="dxa"/>
            <w:vAlign w:val="bottom"/>
            <w:vMerge w:val="continue"/>
          </w:tcPr>
          <w:p>
            <w:pPr>
              <w:spacing w:after="0"/>
              <w:rPr>
                <w:sz w:val="10"/>
                <w:szCs w:val="10"/>
                <w:color w:val="auto"/>
              </w:rPr>
            </w:pPr>
          </w:p>
        </w:tc>
        <w:tc>
          <w:tcPr>
            <w:tcW w:w="700" w:type="dxa"/>
            <w:vAlign w:val="bottom"/>
            <w:vMerge w:val="continue"/>
            <w:shd w:val="clear" w:color="auto" w:fill="EAEAEA"/>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360" w:type="dxa"/>
            <w:vAlign w:val="bottom"/>
            <w:shd w:val="clear" w:color="auto" w:fill="EAEAEA"/>
          </w:tcPr>
          <w:p>
            <w:pPr>
              <w:spacing w:after="0"/>
              <w:rPr>
                <w:sz w:val="9"/>
                <w:szCs w:val="9"/>
                <w:color w:val="auto"/>
              </w:rPr>
            </w:pPr>
          </w:p>
        </w:tc>
        <w:tc>
          <w:tcPr>
            <w:tcW w:w="620" w:type="dxa"/>
            <w:vAlign w:val="bottom"/>
          </w:tcPr>
          <w:p>
            <w:pPr>
              <w:spacing w:after="0"/>
              <w:rPr>
                <w:sz w:val="9"/>
                <w:szCs w:val="9"/>
                <w:color w:val="auto"/>
              </w:rPr>
            </w:pPr>
          </w:p>
        </w:tc>
        <w:tc>
          <w:tcPr>
            <w:tcW w:w="3780" w:type="dxa"/>
            <w:vAlign w:val="bottom"/>
            <w:vMerge w:val="continue"/>
            <w:shd w:val="clear" w:color="auto" w:fill="EAEAEA"/>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shd w:val="clear" w:color="auto" w:fill="EAEAEA"/>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3100" w:type="dxa"/>
            <w:vAlign w:val="bottom"/>
            <w:tcBorders>
              <w:bottom w:val="single" w:sz="8" w:color="0066BA"/>
            </w:tcBorders>
          </w:tcPr>
          <w:p>
            <w:pPr>
              <w:spacing w:after="0"/>
              <w:rPr>
                <w:sz w:val="21"/>
                <w:szCs w:val="21"/>
                <w:color w:val="auto"/>
              </w:rPr>
            </w:pPr>
          </w:p>
        </w:tc>
        <w:tc>
          <w:tcPr>
            <w:tcW w:w="360" w:type="dxa"/>
            <w:vAlign w:val="bottom"/>
            <w:tcBorders>
              <w:bottom w:val="single" w:sz="8" w:color="0066BA"/>
            </w:tcBorders>
            <w:shd w:val="clear" w:color="auto" w:fill="EAEAEA"/>
          </w:tcPr>
          <w:p>
            <w:pPr>
              <w:spacing w:after="0"/>
              <w:rPr>
                <w:sz w:val="21"/>
                <w:szCs w:val="21"/>
                <w:color w:val="auto"/>
              </w:rPr>
            </w:pPr>
          </w:p>
        </w:tc>
        <w:tc>
          <w:tcPr>
            <w:tcW w:w="620" w:type="dxa"/>
            <w:vAlign w:val="bottom"/>
            <w:tcBorders>
              <w:bottom w:val="single" w:sz="8" w:color="0066BA"/>
            </w:tcBorders>
          </w:tcPr>
          <w:p>
            <w:pPr>
              <w:spacing w:after="0"/>
              <w:rPr>
                <w:sz w:val="21"/>
                <w:szCs w:val="21"/>
                <w:color w:val="auto"/>
              </w:rPr>
            </w:pPr>
          </w:p>
        </w:tc>
        <w:tc>
          <w:tcPr>
            <w:tcW w:w="3780" w:type="dxa"/>
            <w:vAlign w:val="bottom"/>
            <w:tcBorders>
              <w:bottom w:val="single" w:sz="8" w:color="0066BA"/>
            </w:tcBorders>
            <w:shd w:val="clear" w:color="auto" w:fill="EAEAEA"/>
          </w:tcPr>
          <w:p>
            <w:pPr>
              <w:spacing w:after="0"/>
              <w:rPr>
                <w:sz w:val="21"/>
                <w:szCs w:val="21"/>
                <w:color w:val="auto"/>
              </w:rPr>
            </w:pPr>
          </w:p>
        </w:tc>
        <w:tc>
          <w:tcPr>
            <w:tcW w:w="940" w:type="dxa"/>
            <w:vAlign w:val="bottom"/>
            <w:tcBorders>
              <w:bottom w:val="single" w:sz="8" w:color="0066BA"/>
            </w:tcBorders>
          </w:tcPr>
          <w:p>
            <w:pPr>
              <w:spacing w:after="0"/>
              <w:rPr>
                <w:sz w:val="21"/>
                <w:szCs w:val="21"/>
                <w:color w:val="auto"/>
              </w:rPr>
            </w:pPr>
          </w:p>
        </w:tc>
        <w:tc>
          <w:tcPr>
            <w:tcW w:w="700" w:type="dxa"/>
            <w:vAlign w:val="bottom"/>
            <w:tcBorders>
              <w:bottom w:val="single" w:sz="8" w:color="0066BA"/>
            </w:tcBorders>
            <w:shd w:val="clear" w:color="auto" w:fill="EAEAEA"/>
          </w:tcPr>
          <w:p>
            <w:pPr>
              <w:spacing w:after="0"/>
              <w:rPr>
                <w:sz w:val="21"/>
                <w:szCs w:val="21"/>
                <w:color w:val="auto"/>
              </w:rPr>
            </w:pPr>
          </w:p>
        </w:tc>
        <w:tc>
          <w:tcPr>
            <w:tcW w:w="1120" w:type="dxa"/>
            <w:vAlign w:val="bottom"/>
            <w:tcBorders>
              <w:bottom w:val="single" w:sz="8" w:color="0066BA"/>
            </w:tcBorders>
          </w:tcPr>
          <w:p>
            <w:pPr>
              <w:spacing w:after="0"/>
              <w:rPr>
                <w:sz w:val="21"/>
                <w:szCs w:val="21"/>
                <w:color w:val="auto"/>
              </w:rPr>
            </w:pPr>
          </w:p>
        </w:tc>
        <w:tc>
          <w:tcPr>
            <w:tcW w:w="0" w:type="dxa"/>
            <w:vAlign w:val="bottom"/>
          </w:tcPr>
          <w:p>
            <w:pPr>
              <w:spacing w:after="0"/>
              <w:rPr>
                <w:sz w:val="1"/>
                <w:szCs w:val="1"/>
                <w:color w:val="auto"/>
              </w:rPr>
            </w:pPr>
          </w:p>
        </w:tc>
      </w:tr>
      <w:tr>
        <w:trPr>
          <w:trHeight w:val="410"/>
        </w:trPr>
        <w:tc>
          <w:tcPr>
            <w:tcW w:w="3100" w:type="dxa"/>
            <w:vAlign w:val="bottom"/>
            <w:vMerge w:val="restart"/>
          </w:tcPr>
          <w:p>
            <w:pPr>
              <w:ind w:left="940"/>
              <w:spacing w:after="0"/>
              <w:rPr>
                <w:sz w:val="20"/>
                <w:szCs w:val="20"/>
                <w:color w:val="auto"/>
              </w:rPr>
            </w:pPr>
            <w:r>
              <w:rPr>
                <w:rFonts w:ascii="Arial" w:cs="Arial" w:eastAsia="Arial" w:hAnsi="Arial"/>
                <w:sz w:val="17"/>
                <w:szCs w:val="17"/>
                <w:b w:val="1"/>
                <w:bCs w:val="1"/>
                <w:color w:val="0066BA"/>
              </w:rPr>
              <w:t>James A. Champy</w:t>
            </w:r>
          </w:p>
        </w:tc>
        <w:tc>
          <w:tcPr>
            <w:tcW w:w="360" w:type="dxa"/>
            <w:vAlign w:val="bottom"/>
            <w:vMerge w:val="restart"/>
            <w:shd w:val="clear" w:color="auto" w:fill="EAEAEA"/>
          </w:tcPr>
          <w:p>
            <w:pPr>
              <w:jc w:val="right"/>
              <w:ind w:right="35"/>
              <w:spacing w:after="0"/>
              <w:rPr>
                <w:sz w:val="20"/>
                <w:szCs w:val="20"/>
                <w:color w:val="auto"/>
              </w:rPr>
            </w:pPr>
            <w:r>
              <w:rPr>
                <w:rFonts w:ascii="Arial" w:cs="Arial" w:eastAsia="Arial" w:hAnsi="Arial"/>
                <w:sz w:val="17"/>
                <w:szCs w:val="17"/>
                <w:color w:val="auto"/>
              </w:rPr>
              <w:t>78</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2003</w:t>
            </w:r>
          </w:p>
        </w:tc>
        <w:tc>
          <w:tcPr>
            <w:tcW w:w="3780" w:type="dxa"/>
            <w:vAlign w:val="bottom"/>
            <w:shd w:val="clear" w:color="auto" w:fill="EAEAEA"/>
          </w:tcPr>
          <w:p>
            <w:pPr>
              <w:ind w:left="80"/>
              <w:spacing w:after="0"/>
              <w:rPr>
                <w:sz w:val="20"/>
                <w:szCs w:val="20"/>
                <w:color w:val="auto"/>
              </w:rPr>
            </w:pPr>
            <w:r>
              <w:rPr>
                <w:rFonts w:ascii="Arial" w:cs="Arial" w:eastAsia="Arial" w:hAnsi="Arial"/>
                <w:sz w:val="17"/>
                <w:szCs w:val="17"/>
                <w:color w:val="auto"/>
              </w:rPr>
              <w:t>Former Vice President of the Dell/Perot</w:t>
            </w:r>
          </w:p>
        </w:tc>
        <w:tc>
          <w:tcPr>
            <w:tcW w:w="940" w:type="dxa"/>
            <w:vAlign w:val="bottom"/>
          </w:tcPr>
          <w:p>
            <w:pPr>
              <w:spacing w:after="0"/>
              <w:rPr>
                <w:sz w:val="24"/>
                <w:szCs w:val="24"/>
                <w:color w:val="auto"/>
              </w:rPr>
            </w:pPr>
          </w:p>
        </w:tc>
        <w:tc>
          <w:tcPr>
            <w:tcW w:w="700" w:type="dxa"/>
            <w:vAlign w:val="bottom"/>
            <w:vMerge w:val="restart"/>
            <w:shd w:val="clear" w:color="auto" w:fill="EAEAEA"/>
          </w:tcPr>
          <w:p>
            <w:pPr>
              <w:ind w:left="60"/>
              <w:spacing w:after="0"/>
              <w:rPr>
                <w:sz w:val="20"/>
                <w:szCs w:val="20"/>
                <w:color w:val="auto"/>
              </w:rPr>
            </w:pPr>
            <w:r>
              <w:rPr>
                <w:rFonts w:ascii="Arial" w:cs="Arial" w:eastAsia="Arial" w:hAnsi="Arial"/>
                <w:sz w:val="17"/>
                <w:szCs w:val="17"/>
                <w:color w:val="auto"/>
              </w:rPr>
              <w:t>—</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auto"/>
                <w:w w:val="95"/>
              </w:rPr>
              <w:t>NCGC (Chair)</w:t>
            </w:r>
          </w:p>
        </w:tc>
        <w:tc>
          <w:tcPr>
            <w:tcW w:w="0" w:type="dxa"/>
            <w:vAlign w:val="bottom"/>
          </w:tcPr>
          <w:p>
            <w:pPr>
              <w:spacing w:after="0"/>
              <w:rPr>
                <w:sz w:val="1"/>
                <w:szCs w:val="1"/>
                <w:color w:val="auto"/>
              </w:rPr>
            </w:pPr>
          </w:p>
        </w:tc>
      </w:tr>
      <w:tr>
        <w:trPr>
          <w:trHeight w:val="129"/>
        </w:trPr>
        <w:tc>
          <w:tcPr>
            <w:tcW w:w="3100" w:type="dxa"/>
            <w:vAlign w:val="bottom"/>
            <w:vMerge w:val="continue"/>
          </w:tcPr>
          <w:p>
            <w:pPr>
              <w:spacing w:after="0"/>
              <w:rPr>
                <w:sz w:val="11"/>
                <w:szCs w:val="11"/>
                <w:color w:val="auto"/>
              </w:rPr>
            </w:pPr>
          </w:p>
        </w:tc>
        <w:tc>
          <w:tcPr>
            <w:tcW w:w="360" w:type="dxa"/>
            <w:vAlign w:val="bottom"/>
            <w:vMerge w:val="continue"/>
            <w:shd w:val="clear" w:color="auto" w:fill="EAEAEA"/>
          </w:tcPr>
          <w:p>
            <w:pPr>
              <w:spacing w:after="0"/>
              <w:rPr>
                <w:sz w:val="11"/>
                <w:szCs w:val="11"/>
                <w:color w:val="auto"/>
              </w:rPr>
            </w:pPr>
          </w:p>
        </w:tc>
        <w:tc>
          <w:tcPr>
            <w:tcW w:w="620" w:type="dxa"/>
            <w:vAlign w:val="bottom"/>
            <w:vMerge w:val="continue"/>
          </w:tcPr>
          <w:p>
            <w:pPr>
              <w:spacing w:after="0"/>
              <w:rPr>
                <w:sz w:val="11"/>
                <w:szCs w:val="11"/>
                <w:color w:val="auto"/>
              </w:rPr>
            </w:pPr>
          </w:p>
        </w:tc>
        <w:tc>
          <w:tcPr>
            <w:tcW w:w="3780" w:type="dxa"/>
            <w:vAlign w:val="bottom"/>
            <w:vMerge w:val="restart"/>
            <w:shd w:val="clear" w:color="auto" w:fill="EAEAEA"/>
          </w:tcPr>
          <w:p>
            <w:pPr>
              <w:ind w:left="80"/>
              <w:spacing w:after="0"/>
              <w:rPr>
                <w:sz w:val="20"/>
                <w:szCs w:val="20"/>
                <w:color w:val="auto"/>
              </w:rPr>
            </w:pPr>
            <w:r>
              <w:rPr>
                <w:rFonts w:ascii="Arial" w:cs="Arial" w:eastAsia="Arial" w:hAnsi="Arial"/>
                <w:sz w:val="17"/>
                <w:szCs w:val="17"/>
                <w:color w:val="auto"/>
              </w:rPr>
              <w:t>Systems business unit of Dell, Inc.</w:t>
            </w:r>
          </w:p>
        </w:tc>
        <w:tc>
          <w:tcPr>
            <w:tcW w:w="940" w:type="dxa"/>
            <w:vAlign w:val="bottom"/>
          </w:tcPr>
          <w:p>
            <w:pPr>
              <w:spacing w:after="0"/>
              <w:rPr>
                <w:sz w:val="11"/>
                <w:szCs w:val="11"/>
                <w:color w:val="auto"/>
              </w:rPr>
            </w:pPr>
          </w:p>
        </w:tc>
        <w:tc>
          <w:tcPr>
            <w:tcW w:w="700" w:type="dxa"/>
            <w:vAlign w:val="bottom"/>
            <w:vMerge w:val="continue"/>
            <w:shd w:val="clear" w:color="auto" w:fill="EAEAEA"/>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3100" w:type="dxa"/>
            <w:vAlign w:val="bottom"/>
          </w:tcPr>
          <w:p>
            <w:pPr>
              <w:spacing w:after="0"/>
              <w:rPr>
                <w:sz w:val="7"/>
                <w:szCs w:val="7"/>
                <w:color w:val="auto"/>
              </w:rPr>
            </w:pPr>
          </w:p>
        </w:tc>
        <w:tc>
          <w:tcPr>
            <w:tcW w:w="360" w:type="dxa"/>
            <w:vAlign w:val="bottom"/>
            <w:shd w:val="clear" w:color="auto" w:fill="EAEAEA"/>
          </w:tcPr>
          <w:p>
            <w:pPr>
              <w:spacing w:after="0"/>
              <w:rPr>
                <w:sz w:val="7"/>
                <w:szCs w:val="7"/>
                <w:color w:val="auto"/>
              </w:rPr>
            </w:pPr>
          </w:p>
        </w:tc>
        <w:tc>
          <w:tcPr>
            <w:tcW w:w="620" w:type="dxa"/>
            <w:vAlign w:val="bottom"/>
          </w:tcPr>
          <w:p>
            <w:pPr>
              <w:spacing w:after="0"/>
              <w:rPr>
                <w:sz w:val="7"/>
                <w:szCs w:val="7"/>
                <w:color w:val="auto"/>
              </w:rPr>
            </w:pPr>
          </w:p>
        </w:tc>
        <w:tc>
          <w:tcPr>
            <w:tcW w:w="3780" w:type="dxa"/>
            <w:vAlign w:val="bottom"/>
            <w:vMerge w:val="continue"/>
            <w:shd w:val="clear" w:color="auto" w:fill="EAEAEA"/>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shd w:val="clear" w:color="auto" w:fill="EAEAEA"/>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3100" w:type="dxa"/>
            <w:vAlign w:val="bottom"/>
            <w:tcBorders>
              <w:bottom w:val="single" w:sz="8" w:color="0066BA"/>
            </w:tcBorders>
          </w:tcPr>
          <w:p>
            <w:pPr>
              <w:spacing w:after="0"/>
              <w:rPr>
                <w:sz w:val="22"/>
                <w:szCs w:val="22"/>
                <w:color w:val="auto"/>
              </w:rPr>
            </w:pPr>
          </w:p>
        </w:tc>
        <w:tc>
          <w:tcPr>
            <w:tcW w:w="360" w:type="dxa"/>
            <w:vAlign w:val="bottom"/>
            <w:tcBorders>
              <w:bottom w:val="single" w:sz="8" w:color="0066BA"/>
            </w:tcBorders>
            <w:shd w:val="clear" w:color="auto" w:fill="EAEAEA"/>
          </w:tcPr>
          <w:p>
            <w:pPr>
              <w:spacing w:after="0"/>
              <w:rPr>
                <w:sz w:val="22"/>
                <w:szCs w:val="22"/>
                <w:color w:val="auto"/>
              </w:rPr>
            </w:pPr>
          </w:p>
        </w:tc>
        <w:tc>
          <w:tcPr>
            <w:tcW w:w="620" w:type="dxa"/>
            <w:vAlign w:val="bottom"/>
            <w:tcBorders>
              <w:bottom w:val="single" w:sz="8" w:color="0066BA"/>
            </w:tcBorders>
          </w:tcPr>
          <w:p>
            <w:pPr>
              <w:spacing w:after="0"/>
              <w:rPr>
                <w:sz w:val="22"/>
                <w:szCs w:val="22"/>
                <w:color w:val="auto"/>
              </w:rPr>
            </w:pPr>
          </w:p>
        </w:tc>
        <w:tc>
          <w:tcPr>
            <w:tcW w:w="3780" w:type="dxa"/>
            <w:vAlign w:val="bottom"/>
            <w:tcBorders>
              <w:bottom w:val="single" w:sz="8" w:color="0066BA"/>
            </w:tcBorders>
            <w:shd w:val="clear" w:color="auto" w:fill="EAEAEA"/>
          </w:tcPr>
          <w:p>
            <w:pPr>
              <w:spacing w:after="0"/>
              <w:rPr>
                <w:sz w:val="22"/>
                <w:szCs w:val="22"/>
                <w:color w:val="auto"/>
              </w:rPr>
            </w:pPr>
          </w:p>
        </w:tc>
        <w:tc>
          <w:tcPr>
            <w:tcW w:w="940" w:type="dxa"/>
            <w:vAlign w:val="bottom"/>
            <w:tcBorders>
              <w:bottom w:val="single" w:sz="8" w:color="0066BA"/>
            </w:tcBorders>
          </w:tcPr>
          <w:p>
            <w:pPr>
              <w:spacing w:after="0"/>
              <w:rPr>
                <w:sz w:val="22"/>
                <w:szCs w:val="22"/>
                <w:color w:val="auto"/>
              </w:rPr>
            </w:pPr>
          </w:p>
        </w:tc>
        <w:tc>
          <w:tcPr>
            <w:tcW w:w="700" w:type="dxa"/>
            <w:vAlign w:val="bottom"/>
            <w:tcBorders>
              <w:bottom w:val="single" w:sz="8" w:color="0066BA"/>
            </w:tcBorders>
            <w:shd w:val="clear" w:color="auto" w:fill="EAEAEA"/>
          </w:tcPr>
          <w:p>
            <w:pPr>
              <w:spacing w:after="0"/>
              <w:rPr>
                <w:sz w:val="22"/>
                <w:szCs w:val="22"/>
                <w:color w:val="auto"/>
              </w:rPr>
            </w:pPr>
          </w:p>
        </w:tc>
        <w:tc>
          <w:tcPr>
            <w:tcW w:w="1120" w:type="dxa"/>
            <w:vAlign w:val="bottom"/>
            <w:tcBorders>
              <w:bottom w:val="single" w:sz="8" w:color="0066BA"/>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10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620" w:type="dxa"/>
            <w:vAlign w:val="bottom"/>
          </w:tcPr>
          <w:p>
            <w:pPr>
              <w:spacing w:after="0"/>
              <w:rPr>
                <w:sz w:val="24"/>
                <w:szCs w:val="24"/>
                <w:color w:val="auto"/>
              </w:rPr>
            </w:pPr>
          </w:p>
        </w:tc>
        <w:tc>
          <w:tcPr>
            <w:tcW w:w="3780" w:type="dxa"/>
            <w:vAlign w:val="bottom"/>
            <w:shd w:val="clear" w:color="auto" w:fill="EAEAEA"/>
          </w:tcPr>
          <w:p>
            <w:pPr>
              <w:ind w:left="80"/>
              <w:spacing w:after="0"/>
              <w:rPr>
                <w:sz w:val="20"/>
                <w:szCs w:val="20"/>
                <w:color w:val="auto"/>
              </w:rPr>
            </w:pPr>
            <w:r>
              <w:rPr>
                <w:rFonts w:ascii="Arial" w:cs="Arial" w:eastAsia="Arial" w:hAnsi="Arial"/>
                <w:sz w:val="17"/>
                <w:szCs w:val="17"/>
                <w:color w:val="auto"/>
              </w:rPr>
              <w:t>Dean of MIT’s School of Engineering</w:t>
            </w:r>
          </w:p>
        </w:tc>
        <w:tc>
          <w:tcPr>
            <w:tcW w:w="940" w:type="dxa"/>
            <w:vAlign w:val="bottom"/>
          </w:tcPr>
          <w:p>
            <w:pPr>
              <w:spacing w:after="0"/>
              <w:rPr>
                <w:sz w:val="24"/>
                <w:szCs w:val="24"/>
                <w:color w:val="auto"/>
              </w:rPr>
            </w:pPr>
          </w:p>
        </w:tc>
        <w:tc>
          <w:tcPr>
            <w:tcW w:w="700" w:type="dxa"/>
            <w:vAlign w:val="bottom"/>
            <w:shd w:val="clear" w:color="auto" w:fill="EAEAEA"/>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100" w:type="dxa"/>
            <w:vAlign w:val="bottom"/>
          </w:tcPr>
          <w:p>
            <w:pPr>
              <w:ind w:left="940"/>
              <w:spacing w:after="0"/>
              <w:rPr>
                <w:sz w:val="20"/>
                <w:szCs w:val="20"/>
                <w:color w:val="auto"/>
              </w:rPr>
            </w:pPr>
            <w:r>
              <w:rPr>
                <w:rFonts w:ascii="Arial" w:cs="Arial" w:eastAsia="Arial" w:hAnsi="Arial"/>
                <w:sz w:val="17"/>
                <w:szCs w:val="17"/>
                <w:b w:val="1"/>
                <w:bCs w:val="1"/>
                <w:color w:val="0066BA"/>
              </w:rPr>
              <w:t>Anantha P. Chandrakasan</w:t>
            </w:r>
          </w:p>
        </w:tc>
        <w:tc>
          <w:tcPr>
            <w:tcW w:w="360" w:type="dxa"/>
            <w:vAlign w:val="bottom"/>
            <w:shd w:val="clear" w:color="auto" w:fill="EAEAEA"/>
          </w:tcPr>
          <w:p>
            <w:pPr>
              <w:jc w:val="right"/>
              <w:ind w:right="35"/>
              <w:spacing w:after="0"/>
              <w:rPr>
                <w:sz w:val="20"/>
                <w:szCs w:val="20"/>
                <w:color w:val="auto"/>
              </w:rPr>
            </w:pPr>
            <w:r>
              <w:rPr>
                <w:rFonts w:ascii="Arial" w:cs="Arial" w:eastAsia="Arial" w:hAnsi="Arial"/>
                <w:sz w:val="17"/>
                <w:szCs w:val="17"/>
                <w:color w:val="auto"/>
              </w:rPr>
              <w:t>52</w:t>
            </w:r>
          </w:p>
        </w:tc>
        <w:tc>
          <w:tcPr>
            <w:tcW w:w="620" w:type="dxa"/>
            <w:vAlign w:val="bottom"/>
          </w:tcPr>
          <w:p>
            <w:pPr>
              <w:ind w:left="80"/>
              <w:spacing w:after="0"/>
              <w:rPr>
                <w:sz w:val="20"/>
                <w:szCs w:val="20"/>
                <w:color w:val="auto"/>
              </w:rPr>
            </w:pPr>
            <w:r>
              <w:rPr>
                <w:rFonts w:ascii="Arial" w:cs="Arial" w:eastAsia="Arial" w:hAnsi="Arial"/>
                <w:sz w:val="17"/>
                <w:szCs w:val="17"/>
                <w:color w:val="auto"/>
              </w:rPr>
              <w:t>2019</w:t>
            </w:r>
          </w:p>
        </w:tc>
        <w:tc>
          <w:tcPr>
            <w:tcW w:w="3780" w:type="dxa"/>
            <w:vAlign w:val="bottom"/>
            <w:shd w:val="clear" w:color="auto" w:fill="EAEAEA"/>
          </w:tcPr>
          <w:p>
            <w:pPr>
              <w:ind w:left="80"/>
              <w:spacing w:after="0"/>
              <w:rPr>
                <w:sz w:val="20"/>
                <w:szCs w:val="20"/>
                <w:color w:val="auto"/>
              </w:rPr>
            </w:pPr>
            <w:r>
              <w:rPr>
                <w:rFonts w:ascii="Arial" w:cs="Arial" w:eastAsia="Arial" w:hAnsi="Arial"/>
                <w:sz w:val="17"/>
                <w:szCs w:val="17"/>
                <w:color w:val="auto"/>
              </w:rPr>
              <w:t>and Vannevar Bush Professor of Electrical</w:t>
            </w:r>
          </w:p>
        </w:tc>
        <w:tc>
          <w:tcPr>
            <w:tcW w:w="940" w:type="dxa"/>
            <w:vAlign w:val="bottom"/>
          </w:tcPr>
          <w:p>
            <w:pPr>
              <w:spacing w:after="0"/>
              <w:rPr>
                <w:sz w:val="18"/>
                <w:szCs w:val="18"/>
                <w:color w:val="auto"/>
              </w:rPr>
            </w:pPr>
          </w:p>
        </w:tc>
        <w:tc>
          <w:tcPr>
            <w:tcW w:w="700" w:type="dxa"/>
            <w:vAlign w:val="bottom"/>
            <w:shd w:val="clear" w:color="auto" w:fill="EAEAEA"/>
          </w:tcPr>
          <w:p>
            <w:pPr>
              <w:ind w:left="60"/>
              <w:spacing w:after="0"/>
              <w:rPr>
                <w:sz w:val="20"/>
                <w:szCs w:val="20"/>
                <w:color w:val="auto"/>
              </w:rPr>
            </w:pPr>
            <w:r>
              <w:rPr>
                <w:rFonts w:ascii="Arial" w:cs="Arial" w:eastAsia="Arial" w:hAnsi="Arial"/>
                <w:sz w:val="17"/>
                <w:szCs w:val="17"/>
                <w:color w:val="auto"/>
              </w:rPr>
              <w:t>—</w:t>
            </w:r>
          </w:p>
        </w:tc>
        <w:tc>
          <w:tcPr>
            <w:tcW w:w="1120" w:type="dxa"/>
            <w:vAlign w:val="bottom"/>
          </w:tcPr>
          <w:p>
            <w:pPr>
              <w:ind w:left="80"/>
              <w:spacing w:after="0"/>
              <w:rPr>
                <w:sz w:val="20"/>
                <w:szCs w:val="20"/>
                <w:color w:val="auto"/>
              </w:rPr>
            </w:pPr>
            <w:r>
              <w:rPr>
                <w:rFonts w:ascii="Arial" w:cs="Arial" w:eastAsia="Arial" w:hAnsi="Arial"/>
                <w:sz w:val="17"/>
                <w:szCs w:val="17"/>
                <w:color w:val="auto"/>
              </w:rPr>
              <w:t>NCGC</w:t>
            </w:r>
          </w:p>
        </w:tc>
        <w:tc>
          <w:tcPr>
            <w:tcW w:w="0" w:type="dxa"/>
            <w:vAlign w:val="bottom"/>
          </w:tcPr>
          <w:p>
            <w:pPr>
              <w:spacing w:after="0"/>
              <w:rPr>
                <w:sz w:val="1"/>
                <w:szCs w:val="1"/>
                <w:color w:val="auto"/>
              </w:rPr>
            </w:pPr>
          </w:p>
        </w:tc>
      </w:tr>
      <w:tr>
        <w:trPr>
          <w:trHeight w:val="221"/>
        </w:trPr>
        <w:tc>
          <w:tcPr>
            <w:tcW w:w="3100" w:type="dxa"/>
            <w:vAlign w:val="bottom"/>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620" w:type="dxa"/>
            <w:vAlign w:val="bottom"/>
          </w:tcPr>
          <w:p>
            <w:pPr>
              <w:spacing w:after="0"/>
              <w:rPr>
                <w:sz w:val="19"/>
                <w:szCs w:val="19"/>
                <w:color w:val="auto"/>
              </w:rPr>
            </w:pPr>
          </w:p>
        </w:tc>
        <w:tc>
          <w:tcPr>
            <w:tcW w:w="3780" w:type="dxa"/>
            <w:vAlign w:val="bottom"/>
            <w:shd w:val="clear" w:color="auto" w:fill="EAEAEA"/>
          </w:tcPr>
          <w:p>
            <w:pPr>
              <w:ind w:left="80"/>
              <w:spacing w:after="0"/>
              <w:rPr>
                <w:sz w:val="20"/>
                <w:szCs w:val="20"/>
                <w:color w:val="auto"/>
              </w:rPr>
            </w:pPr>
            <w:r>
              <w:rPr>
                <w:rFonts w:ascii="Arial" w:cs="Arial" w:eastAsia="Arial" w:hAnsi="Arial"/>
                <w:sz w:val="17"/>
                <w:szCs w:val="17"/>
                <w:color w:val="auto"/>
              </w:rPr>
              <w:t>Engineering and Computer Science</w:t>
            </w:r>
          </w:p>
        </w:tc>
        <w:tc>
          <w:tcPr>
            <w:tcW w:w="940" w:type="dxa"/>
            <w:vAlign w:val="bottom"/>
          </w:tcPr>
          <w:p>
            <w:pPr>
              <w:spacing w:after="0"/>
              <w:rPr>
                <w:sz w:val="19"/>
                <w:szCs w:val="19"/>
                <w:color w:val="auto"/>
              </w:rPr>
            </w:pPr>
          </w:p>
        </w:tc>
        <w:tc>
          <w:tcPr>
            <w:tcW w:w="700" w:type="dxa"/>
            <w:vAlign w:val="bottom"/>
            <w:shd w:val="clear" w:color="auto" w:fill="EAEAEA"/>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100" w:type="dxa"/>
            <w:vAlign w:val="bottom"/>
            <w:tcBorders>
              <w:bottom w:val="single" w:sz="8" w:color="0066BA"/>
            </w:tcBorders>
          </w:tcPr>
          <w:p>
            <w:pPr>
              <w:spacing w:after="0"/>
              <w:rPr>
                <w:sz w:val="16"/>
                <w:szCs w:val="16"/>
                <w:color w:val="auto"/>
              </w:rPr>
            </w:pPr>
          </w:p>
        </w:tc>
        <w:tc>
          <w:tcPr>
            <w:tcW w:w="360" w:type="dxa"/>
            <w:vAlign w:val="bottom"/>
            <w:tcBorders>
              <w:bottom w:val="single" w:sz="8" w:color="0066BA"/>
            </w:tcBorders>
            <w:shd w:val="clear" w:color="auto" w:fill="EAEAEA"/>
          </w:tcPr>
          <w:p>
            <w:pPr>
              <w:spacing w:after="0"/>
              <w:rPr>
                <w:sz w:val="16"/>
                <w:szCs w:val="16"/>
                <w:color w:val="auto"/>
              </w:rPr>
            </w:pPr>
          </w:p>
        </w:tc>
        <w:tc>
          <w:tcPr>
            <w:tcW w:w="620" w:type="dxa"/>
            <w:vAlign w:val="bottom"/>
            <w:tcBorders>
              <w:bottom w:val="single" w:sz="8" w:color="0066BA"/>
            </w:tcBorders>
          </w:tcPr>
          <w:p>
            <w:pPr>
              <w:spacing w:after="0"/>
              <w:rPr>
                <w:sz w:val="16"/>
                <w:szCs w:val="16"/>
                <w:color w:val="auto"/>
              </w:rPr>
            </w:pPr>
          </w:p>
        </w:tc>
        <w:tc>
          <w:tcPr>
            <w:tcW w:w="3780" w:type="dxa"/>
            <w:vAlign w:val="bottom"/>
            <w:tcBorders>
              <w:bottom w:val="single" w:sz="8" w:color="0066BA"/>
            </w:tcBorders>
            <w:shd w:val="clear" w:color="auto" w:fill="EAEAEA"/>
          </w:tcPr>
          <w:p>
            <w:pPr>
              <w:spacing w:after="0"/>
              <w:rPr>
                <w:sz w:val="16"/>
                <w:szCs w:val="16"/>
                <w:color w:val="auto"/>
              </w:rPr>
            </w:pPr>
          </w:p>
        </w:tc>
        <w:tc>
          <w:tcPr>
            <w:tcW w:w="940" w:type="dxa"/>
            <w:vAlign w:val="bottom"/>
            <w:tcBorders>
              <w:bottom w:val="single" w:sz="8" w:color="0066BA"/>
            </w:tcBorders>
          </w:tcPr>
          <w:p>
            <w:pPr>
              <w:spacing w:after="0"/>
              <w:rPr>
                <w:sz w:val="16"/>
                <w:szCs w:val="16"/>
                <w:color w:val="auto"/>
              </w:rPr>
            </w:pPr>
          </w:p>
        </w:tc>
        <w:tc>
          <w:tcPr>
            <w:tcW w:w="700" w:type="dxa"/>
            <w:vAlign w:val="bottom"/>
            <w:tcBorders>
              <w:bottom w:val="single" w:sz="8" w:color="0066BA"/>
            </w:tcBorders>
            <w:shd w:val="clear" w:color="auto" w:fill="EAEAEA"/>
          </w:tcPr>
          <w:p>
            <w:pPr>
              <w:spacing w:after="0"/>
              <w:rPr>
                <w:sz w:val="16"/>
                <w:szCs w:val="16"/>
                <w:color w:val="auto"/>
              </w:rPr>
            </w:pPr>
          </w:p>
        </w:tc>
        <w:tc>
          <w:tcPr>
            <w:tcW w:w="1120" w:type="dxa"/>
            <w:vAlign w:val="bottom"/>
            <w:tcBorders>
              <w:bottom w:val="single" w:sz="8" w:color="0066BA"/>
            </w:tcBorders>
          </w:tcPr>
          <w:p>
            <w:pPr>
              <w:spacing w:after="0"/>
              <w:rPr>
                <w:sz w:val="16"/>
                <w:szCs w:val="16"/>
                <w:color w:val="auto"/>
              </w:rPr>
            </w:pPr>
          </w:p>
        </w:tc>
        <w:tc>
          <w:tcPr>
            <w:tcW w:w="0" w:type="dxa"/>
            <w:vAlign w:val="bottom"/>
          </w:tcPr>
          <w:p>
            <w:pPr>
              <w:spacing w:after="0"/>
              <w:rPr>
                <w:sz w:val="1"/>
                <w:szCs w:val="1"/>
                <w:color w:val="auto"/>
              </w:rPr>
            </w:pPr>
          </w:p>
        </w:tc>
      </w:tr>
      <w:tr>
        <w:trPr>
          <w:trHeight w:val="410"/>
        </w:trPr>
        <w:tc>
          <w:tcPr>
            <w:tcW w:w="3100" w:type="dxa"/>
            <w:vAlign w:val="bottom"/>
            <w:vMerge w:val="restart"/>
          </w:tcPr>
          <w:p>
            <w:pPr>
              <w:ind w:left="940"/>
              <w:spacing w:after="0"/>
              <w:rPr>
                <w:sz w:val="20"/>
                <w:szCs w:val="20"/>
                <w:color w:val="auto"/>
              </w:rPr>
            </w:pPr>
            <w:r>
              <w:rPr>
                <w:rFonts w:ascii="Arial" w:cs="Arial" w:eastAsia="Arial" w:hAnsi="Arial"/>
                <w:sz w:val="17"/>
                <w:szCs w:val="17"/>
                <w:b w:val="1"/>
                <w:bCs w:val="1"/>
                <w:color w:val="0066BA"/>
              </w:rPr>
              <w:t>Bruce R. Evans</w:t>
            </w:r>
          </w:p>
        </w:tc>
        <w:tc>
          <w:tcPr>
            <w:tcW w:w="360" w:type="dxa"/>
            <w:vAlign w:val="bottom"/>
            <w:vMerge w:val="restart"/>
            <w:shd w:val="clear" w:color="auto" w:fill="EAEAEA"/>
          </w:tcPr>
          <w:p>
            <w:pPr>
              <w:jc w:val="right"/>
              <w:ind w:right="35"/>
              <w:spacing w:after="0"/>
              <w:rPr>
                <w:sz w:val="20"/>
                <w:szCs w:val="20"/>
                <w:color w:val="auto"/>
              </w:rPr>
            </w:pPr>
            <w:r>
              <w:rPr>
                <w:rFonts w:ascii="Arial" w:cs="Arial" w:eastAsia="Arial" w:hAnsi="Arial"/>
                <w:sz w:val="17"/>
                <w:szCs w:val="17"/>
                <w:color w:val="auto"/>
              </w:rPr>
              <w:t>61</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2015</w:t>
            </w:r>
          </w:p>
        </w:tc>
        <w:tc>
          <w:tcPr>
            <w:tcW w:w="3780" w:type="dxa"/>
            <w:vAlign w:val="bottom"/>
            <w:shd w:val="clear" w:color="auto" w:fill="EAEAEA"/>
          </w:tcPr>
          <w:p>
            <w:pPr>
              <w:ind w:left="80"/>
              <w:spacing w:after="0"/>
              <w:rPr>
                <w:sz w:val="20"/>
                <w:szCs w:val="20"/>
                <w:color w:val="auto"/>
              </w:rPr>
            </w:pPr>
            <w:r>
              <w:rPr>
                <w:rFonts w:ascii="Arial" w:cs="Arial" w:eastAsia="Arial" w:hAnsi="Arial"/>
                <w:sz w:val="17"/>
                <w:szCs w:val="17"/>
                <w:color w:val="auto"/>
                <w:w w:val="96"/>
              </w:rPr>
              <w:t>Senior Advisor &amp; Former Chairman of the Board of</w:t>
            </w:r>
          </w:p>
        </w:tc>
        <w:tc>
          <w:tcPr>
            <w:tcW w:w="940" w:type="dxa"/>
            <w:vAlign w:val="bottom"/>
          </w:tcPr>
          <w:p>
            <w:pPr>
              <w:spacing w:after="0"/>
              <w:rPr>
                <w:sz w:val="24"/>
                <w:szCs w:val="24"/>
                <w:color w:val="auto"/>
              </w:rPr>
            </w:pPr>
          </w:p>
        </w:tc>
        <w:tc>
          <w:tcPr>
            <w:tcW w:w="700" w:type="dxa"/>
            <w:vAlign w:val="bottom"/>
            <w:vMerge w:val="restart"/>
            <w:shd w:val="clear" w:color="auto" w:fill="EAEAEA"/>
          </w:tcPr>
          <w:p>
            <w:pPr>
              <w:ind w:left="60"/>
              <w:spacing w:after="0"/>
              <w:rPr>
                <w:sz w:val="20"/>
                <w:szCs w:val="20"/>
                <w:color w:val="auto"/>
              </w:rPr>
            </w:pPr>
            <w:r>
              <w:rPr>
                <w:rFonts w:ascii="Arial" w:cs="Arial" w:eastAsia="Arial" w:hAnsi="Arial"/>
                <w:sz w:val="17"/>
                <w:szCs w:val="17"/>
                <w:color w:val="auto"/>
              </w:rPr>
              <w:t>1</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auto"/>
              </w:rPr>
              <w:t>AC</w:t>
            </w:r>
          </w:p>
        </w:tc>
        <w:tc>
          <w:tcPr>
            <w:tcW w:w="0" w:type="dxa"/>
            <w:vAlign w:val="bottom"/>
          </w:tcPr>
          <w:p>
            <w:pPr>
              <w:spacing w:after="0"/>
              <w:rPr>
                <w:sz w:val="1"/>
                <w:szCs w:val="1"/>
                <w:color w:val="auto"/>
              </w:rPr>
            </w:pPr>
          </w:p>
        </w:tc>
      </w:tr>
      <w:tr>
        <w:trPr>
          <w:trHeight w:val="116"/>
        </w:trPr>
        <w:tc>
          <w:tcPr>
            <w:tcW w:w="3100" w:type="dxa"/>
            <w:vAlign w:val="bottom"/>
            <w:vMerge w:val="continue"/>
          </w:tcPr>
          <w:p>
            <w:pPr>
              <w:spacing w:after="0"/>
              <w:rPr>
                <w:sz w:val="10"/>
                <w:szCs w:val="10"/>
                <w:color w:val="auto"/>
              </w:rPr>
            </w:pPr>
          </w:p>
        </w:tc>
        <w:tc>
          <w:tcPr>
            <w:tcW w:w="360" w:type="dxa"/>
            <w:vAlign w:val="bottom"/>
            <w:vMerge w:val="continue"/>
            <w:shd w:val="clear" w:color="auto" w:fill="EAEAEA"/>
          </w:tcPr>
          <w:p>
            <w:pPr>
              <w:spacing w:after="0"/>
              <w:rPr>
                <w:sz w:val="10"/>
                <w:szCs w:val="10"/>
                <w:color w:val="auto"/>
              </w:rPr>
            </w:pPr>
          </w:p>
        </w:tc>
        <w:tc>
          <w:tcPr>
            <w:tcW w:w="620" w:type="dxa"/>
            <w:vAlign w:val="bottom"/>
            <w:vMerge w:val="continue"/>
          </w:tcPr>
          <w:p>
            <w:pPr>
              <w:spacing w:after="0"/>
              <w:rPr>
                <w:sz w:val="10"/>
                <w:szCs w:val="10"/>
                <w:color w:val="auto"/>
              </w:rPr>
            </w:pPr>
          </w:p>
        </w:tc>
        <w:tc>
          <w:tcPr>
            <w:tcW w:w="3780" w:type="dxa"/>
            <w:vAlign w:val="bottom"/>
            <w:vMerge w:val="restart"/>
            <w:shd w:val="clear" w:color="auto" w:fill="EAEAEA"/>
          </w:tcPr>
          <w:p>
            <w:pPr>
              <w:ind w:left="80"/>
              <w:spacing w:after="0"/>
              <w:rPr>
                <w:sz w:val="20"/>
                <w:szCs w:val="20"/>
                <w:color w:val="auto"/>
              </w:rPr>
            </w:pPr>
            <w:r>
              <w:rPr>
                <w:rFonts w:ascii="Arial" w:cs="Arial" w:eastAsia="Arial" w:hAnsi="Arial"/>
                <w:sz w:val="17"/>
                <w:szCs w:val="17"/>
                <w:color w:val="auto"/>
              </w:rPr>
              <w:t>Summit Partners</w:t>
            </w:r>
          </w:p>
        </w:tc>
        <w:tc>
          <w:tcPr>
            <w:tcW w:w="940" w:type="dxa"/>
            <w:vAlign w:val="bottom"/>
          </w:tcPr>
          <w:p>
            <w:pPr>
              <w:spacing w:after="0"/>
              <w:rPr>
                <w:sz w:val="10"/>
                <w:szCs w:val="10"/>
                <w:color w:val="auto"/>
              </w:rPr>
            </w:pPr>
          </w:p>
        </w:tc>
        <w:tc>
          <w:tcPr>
            <w:tcW w:w="700" w:type="dxa"/>
            <w:vAlign w:val="bottom"/>
            <w:vMerge w:val="continue"/>
            <w:shd w:val="clear" w:color="auto" w:fill="EAEAEA"/>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360" w:type="dxa"/>
            <w:vAlign w:val="bottom"/>
            <w:shd w:val="clear" w:color="auto" w:fill="EAEAEA"/>
          </w:tcPr>
          <w:p>
            <w:pPr>
              <w:spacing w:after="0"/>
              <w:rPr>
                <w:sz w:val="9"/>
                <w:szCs w:val="9"/>
                <w:color w:val="auto"/>
              </w:rPr>
            </w:pPr>
          </w:p>
        </w:tc>
        <w:tc>
          <w:tcPr>
            <w:tcW w:w="620" w:type="dxa"/>
            <w:vAlign w:val="bottom"/>
          </w:tcPr>
          <w:p>
            <w:pPr>
              <w:spacing w:after="0"/>
              <w:rPr>
                <w:sz w:val="9"/>
                <w:szCs w:val="9"/>
                <w:color w:val="auto"/>
              </w:rPr>
            </w:pPr>
          </w:p>
        </w:tc>
        <w:tc>
          <w:tcPr>
            <w:tcW w:w="3780" w:type="dxa"/>
            <w:vAlign w:val="bottom"/>
            <w:vMerge w:val="continue"/>
            <w:shd w:val="clear" w:color="auto" w:fill="EAEAEA"/>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shd w:val="clear" w:color="auto" w:fill="EAEAEA"/>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3100" w:type="dxa"/>
            <w:vAlign w:val="bottom"/>
            <w:tcBorders>
              <w:bottom w:val="single" w:sz="8" w:color="0066BA"/>
            </w:tcBorders>
          </w:tcPr>
          <w:p>
            <w:pPr>
              <w:spacing w:after="0"/>
              <w:rPr>
                <w:sz w:val="21"/>
                <w:szCs w:val="21"/>
                <w:color w:val="auto"/>
              </w:rPr>
            </w:pPr>
          </w:p>
        </w:tc>
        <w:tc>
          <w:tcPr>
            <w:tcW w:w="360" w:type="dxa"/>
            <w:vAlign w:val="bottom"/>
            <w:tcBorders>
              <w:bottom w:val="single" w:sz="8" w:color="0066BA"/>
            </w:tcBorders>
            <w:shd w:val="clear" w:color="auto" w:fill="EAEAEA"/>
          </w:tcPr>
          <w:p>
            <w:pPr>
              <w:spacing w:after="0"/>
              <w:rPr>
                <w:sz w:val="21"/>
                <w:szCs w:val="21"/>
                <w:color w:val="auto"/>
              </w:rPr>
            </w:pPr>
          </w:p>
        </w:tc>
        <w:tc>
          <w:tcPr>
            <w:tcW w:w="620" w:type="dxa"/>
            <w:vAlign w:val="bottom"/>
            <w:tcBorders>
              <w:bottom w:val="single" w:sz="8" w:color="0066BA"/>
            </w:tcBorders>
          </w:tcPr>
          <w:p>
            <w:pPr>
              <w:spacing w:after="0"/>
              <w:rPr>
                <w:sz w:val="21"/>
                <w:szCs w:val="21"/>
                <w:color w:val="auto"/>
              </w:rPr>
            </w:pPr>
          </w:p>
        </w:tc>
        <w:tc>
          <w:tcPr>
            <w:tcW w:w="3780" w:type="dxa"/>
            <w:vAlign w:val="bottom"/>
            <w:tcBorders>
              <w:bottom w:val="single" w:sz="8" w:color="0066BA"/>
            </w:tcBorders>
            <w:shd w:val="clear" w:color="auto" w:fill="EAEAEA"/>
          </w:tcPr>
          <w:p>
            <w:pPr>
              <w:spacing w:after="0"/>
              <w:rPr>
                <w:sz w:val="21"/>
                <w:szCs w:val="21"/>
                <w:color w:val="auto"/>
              </w:rPr>
            </w:pPr>
          </w:p>
        </w:tc>
        <w:tc>
          <w:tcPr>
            <w:tcW w:w="940" w:type="dxa"/>
            <w:vAlign w:val="bottom"/>
            <w:tcBorders>
              <w:bottom w:val="single" w:sz="8" w:color="0066BA"/>
            </w:tcBorders>
          </w:tcPr>
          <w:p>
            <w:pPr>
              <w:spacing w:after="0"/>
              <w:rPr>
                <w:sz w:val="21"/>
                <w:szCs w:val="21"/>
                <w:color w:val="auto"/>
              </w:rPr>
            </w:pPr>
          </w:p>
        </w:tc>
        <w:tc>
          <w:tcPr>
            <w:tcW w:w="700" w:type="dxa"/>
            <w:vAlign w:val="bottom"/>
            <w:tcBorders>
              <w:bottom w:val="single" w:sz="8" w:color="0066BA"/>
            </w:tcBorders>
            <w:shd w:val="clear" w:color="auto" w:fill="EAEAEA"/>
          </w:tcPr>
          <w:p>
            <w:pPr>
              <w:spacing w:after="0"/>
              <w:rPr>
                <w:sz w:val="21"/>
                <w:szCs w:val="21"/>
                <w:color w:val="auto"/>
              </w:rPr>
            </w:pPr>
          </w:p>
        </w:tc>
        <w:tc>
          <w:tcPr>
            <w:tcW w:w="1120" w:type="dxa"/>
            <w:vAlign w:val="bottom"/>
            <w:tcBorders>
              <w:bottom w:val="single" w:sz="8" w:color="0066BA"/>
            </w:tcBorders>
          </w:tcPr>
          <w:p>
            <w:pPr>
              <w:spacing w:after="0"/>
              <w:rPr>
                <w:sz w:val="21"/>
                <w:szCs w:val="21"/>
                <w:color w:val="auto"/>
              </w:rPr>
            </w:pPr>
          </w:p>
        </w:tc>
        <w:tc>
          <w:tcPr>
            <w:tcW w:w="0" w:type="dxa"/>
            <w:vAlign w:val="bottom"/>
          </w:tcPr>
          <w:p>
            <w:pPr>
              <w:spacing w:after="0"/>
              <w:rPr>
                <w:sz w:val="1"/>
                <w:szCs w:val="1"/>
                <w:color w:val="auto"/>
              </w:rPr>
            </w:pPr>
          </w:p>
        </w:tc>
      </w:tr>
      <w:tr>
        <w:trPr>
          <w:trHeight w:val="410"/>
        </w:trPr>
        <w:tc>
          <w:tcPr>
            <w:tcW w:w="3100" w:type="dxa"/>
            <w:vAlign w:val="bottom"/>
            <w:vMerge w:val="restart"/>
          </w:tcPr>
          <w:p>
            <w:pPr>
              <w:ind w:left="940"/>
              <w:spacing w:after="0"/>
              <w:rPr>
                <w:sz w:val="20"/>
                <w:szCs w:val="20"/>
                <w:color w:val="auto"/>
              </w:rPr>
            </w:pPr>
            <w:r>
              <w:rPr>
                <w:rFonts w:ascii="Arial" w:cs="Arial" w:eastAsia="Arial" w:hAnsi="Arial"/>
                <w:sz w:val="17"/>
                <w:szCs w:val="17"/>
                <w:b w:val="1"/>
                <w:bCs w:val="1"/>
                <w:color w:val="0066BA"/>
              </w:rPr>
              <w:t>Edward H. Frank</w:t>
            </w:r>
          </w:p>
        </w:tc>
        <w:tc>
          <w:tcPr>
            <w:tcW w:w="360" w:type="dxa"/>
            <w:vAlign w:val="bottom"/>
            <w:vMerge w:val="restart"/>
            <w:shd w:val="clear" w:color="auto" w:fill="EAEAEA"/>
          </w:tcPr>
          <w:p>
            <w:pPr>
              <w:jc w:val="right"/>
              <w:ind w:right="35"/>
              <w:spacing w:after="0"/>
              <w:rPr>
                <w:sz w:val="20"/>
                <w:szCs w:val="20"/>
                <w:color w:val="auto"/>
              </w:rPr>
            </w:pPr>
            <w:r>
              <w:rPr>
                <w:rFonts w:ascii="Arial" w:cs="Arial" w:eastAsia="Arial" w:hAnsi="Arial"/>
                <w:sz w:val="17"/>
                <w:szCs w:val="17"/>
                <w:color w:val="auto"/>
              </w:rPr>
              <w:t>64</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2014</w:t>
            </w:r>
          </w:p>
        </w:tc>
        <w:tc>
          <w:tcPr>
            <w:tcW w:w="3780" w:type="dxa"/>
            <w:vAlign w:val="bottom"/>
            <w:shd w:val="clear" w:color="auto" w:fill="EAEAEA"/>
          </w:tcPr>
          <w:p>
            <w:pPr>
              <w:ind w:left="80"/>
              <w:spacing w:after="0"/>
              <w:rPr>
                <w:sz w:val="20"/>
                <w:szCs w:val="20"/>
                <w:color w:val="auto"/>
              </w:rPr>
            </w:pPr>
            <w:r>
              <w:rPr>
                <w:rFonts w:ascii="Arial" w:cs="Arial" w:eastAsia="Arial" w:hAnsi="Arial"/>
                <w:sz w:val="17"/>
                <w:szCs w:val="17"/>
                <w:color w:val="auto"/>
              </w:rPr>
              <w:t>Co-Founder and Former</w:t>
            </w:r>
          </w:p>
        </w:tc>
        <w:tc>
          <w:tcPr>
            <w:tcW w:w="940" w:type="dxa"/>
            <w:vAlign w:val="bottom"/>
          </w:tcPr>
          <w:p>
            <w:pPr>
              <w:spacing w:after="0"/>
              <w:rPr>
                <w:sz w:val="24"/>
                <w:szCs w:val="24"/>
                <w:color w:val="auto"/>
              </w:rPr>
            </w:pPr>
          </w:p>
        </w:tc>
        <w:tc>
          <w:tcPr>
            <w:tcW w:w="700" w:type="dxa"/>
            <w:vAlign w:val="bottom"/>
            <w:vMerge w:val="restart"/>
            <w:shd w:val="clear" w:color="auto" w:fill="EAEAEA"/>
          </w:tcPr>
          <w:p>
            <w:pPr>
              <w:ind w:left="60"/>
              <w:spacing w:after="0"/>
              <w:rPr>
                <w:sz w:val="20"/>
                <w:szCs w:val="20"/>
                <w:color w:val="auto"/>
              </w:rPr>
            </w:pPr>
            <w:r>
              <w:rPr>
                <w:rFonts w:ascii="Arial" w:cs="Arial" w:eastAsia="Arial" w:hAnsi="Arial"/>
                <w:sz w:val="17"/>
                <w:szCs w:val="17"/>
                <w:color w:val="auto"/>
              </w:rPr>
              <w:t>2</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auto"/>
              </w:rPr>
              <w:t>CC (Chair)</w:t>
            </w:r>
          </w:p>
        </w:tc>
        <w:tc>
          <w:tcPr>
            <w:tcW w:w="0" w:type="dxa"/>
            <w:vAlign w:val="bottom"/>
          </w:tcPr>
          <w:p>
            <w:pPr>
              <w:spacing w:after="0"/>
              <w:rPr>
                <w:sz w:val="1"/>
                <w:szCs w:val="1"/>
                <w:color w:val="auto"/>
              </w:rPr>
            </w:pPr>
          </w:p>
        </w:tc>
      </w:tr>
      <w:tr>
        <w:trPr>
          <w:trHeight w:val="116"/>
        </w:trPr>
        <w:tc>
          <w:tcPr>
            <w:tcW w:w="3100" w:type="dxa"/>
            <w:vAlign w:val="bottom"/>
            <w:vMerge w:val="continue"/>
          </w:tcPr>
          <w:p>
            <w:pPr>
              <w:spacing w:after="0"/>
              <w:rPr>
                <w:sz w:val="10"/>
                <w:szCs w:val="10"/>
                <w:color w:val="auto"/>
              </w:rPr>
            </w:pPr>
          </w:p>
        </w:tc>
        <w:tc>
          <w:tcPr>
            <w:tcW w:w="360" w:type="dxa"/>
            <w:vAlign w:val="bottom"/>
            <w:vMerge w:val="continue"/>
            <w:shd w:val="clear" w:color="auto" w:fill="EAEAEA"/>
          </w:tcPr>
          <w:p>
            <w:pPr>
              <w:spacing w:after="0"/>
              <w:rPr>
                <w:sz w:val="10"/>
                <w:szCs w:val="10"/>
                <w:color w:val="auto"/>
              </w:rPr>
            </w:pPr>
          </w:p>
        </w:tc>
        <w:tc>
          <w:tcPr>
            <w:tcW w:w="620" w:type="dxa"/>
            <w:vAlign w:val="bottom"/>
            <w:vMerge w:val="continue"/>
          </w:tcPr>
          <w:p>
            <w:pPr>
              <w:spacing w:after="0"/>
              <w:rPr>
                <w:sz w:val="10"/>
                <w:szCs w:val="10"/>
                <w:color w:val="auto"/>
              </w:rPr>
            </w:pPr>
          </w:p>
        </w:tc>
        <w:tc>
          <w:tcPr>
            <w:tcW w:w="3780" w:type="dxa"/>
            <w:vAlign w:val="bottom"/>
            <w:vMerge w:val="restart"/>
            <w:shd w:val="clear" w:color="auto" w:fill="EAEAEA"/>
          </w:tcPr>
          <w:p>
            <w:pPr>
              <w:ind w:left="80"/>
              <w:spacing w:after="0"/>
              <w:rPr>
                <w:sz w:val="20"/>
                <w:szCs w:val="20"/>
                <w:color w:val="auto"/>
              </w:rPr>
            </w:pPr>
            <w:r>
              <w:rPr>
                <w:rFonts w:ascii="Arial" w:cs="Arial" w:eastAsia="Arial" w:hAnsi="Arial"/>
                <w:sz w:val="17"/>
                <w:szCs w:val="17"/>
                <w:color w:val="auto"/>
              </w:rPr>
              <w:t>CEO of Cloud Parity</w:t>
            </w:r>
          </w:p>
        </w:tc>
        <w:tc>
          <w:tcPr>
            <w:tcW w:w="940" w:type="dxa"/>
            <w:vAlign w:val="bottom"/>
          </w:tcPr>
          <w:p>
            <w:pPr>
              <w:spacing w:after="0"/>
              <w:rPr>
                <w:sz w:val="10"/>
                <w:szCs w:val="10"/>
                <w:color w:val="auto"/>
              </w:rPr>
            </w:pPr>
          </w:p>
        </w:tc>
        <w:tc>
          <w:tcPr>
            <w:tcW w:w="700" w:type="dxa"/>
            <w:vAlign w:val="bottom"/>
            <w:vMerge w:val="continue"/>
            <w:shd w:val="clear" w:color="auto" w:fill="EAEAEA"/>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360" w:type="dxa"/>
            <w:vAlign w:val="bottom"/>
            <w:shd w:val="clear" w:color="auto" w:fill="EAEAEA"/>
          </w:tcPr>
          <w:p>
            <w:pPr>
              <w:spacing w:after="0"/>
              <w:rPr>
                <w:sz w:val="9"/>
                <w:szCs w:val="9"/>
                <w:color w:val="auto"/>
              </w:rPr>
            </w:pPr>
          </w:p>
        </w:tc>
        <w:tc>
          <w:tcPr>
            <w:tcW w:w="620" w:type="dxa"/>
            <w:vAlign w:val="bottom"/>
          </w:tcPr>
          <w:p>
            <w:pPr>
              <w:spacing w:after="0"/>
              <w:rPr>
                <w:sz w:val="9"/>
                <w:szCs w:val="9"/>
                <w:color w:val="auto"/>
              </w:rPr>
            </w:pPr>
          </w:p>
        </w:tc>
        <w:tc>
          <w:tcPr>
            <w:tcW w:w="3780" w:type="dxa"/>
            <w:vAlign w:val="bottom"/>
            <w:vMerge w:val="continue"/>
            <w:shd w:val="clear" w:color="auto" w:fill="EAEAEA"/>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shd w:val="clear" w:color="auto" w:fill="EAEAEA"/>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3100" w:type="dxa"/>
            <w:vAlign w:val="bottom"/>
            <w:tcBorders>
              <w:bottom w:val="single" w:sz="8" w:color="0066BA"/>
            </w:tcBorders>
          </w:tcPr>
          <w:p>
            <w:pPr>
              <w:spacing w:after="0"/>
              <w:rPr>
                <w:sz w:val="21"/>
                <w:szCs w:val="21"/>
                <w:color w:val="auto"/>
              </w:rPr>
            </w:pPr>
          </w:p>
        </w:tc>
        <w:tc>
          <w:tcPr>
            <w:tcW w:w="360" w:type="dxa"/>
            <w:vAlign w:val="bottom"/>
            <w:tcBorders>
              <w:bottom w:val="single" w:sz="8" w:color="0066BA"/>
            </w:tcBorders>
            <w:shd w:val="clear" w:color="auto" w:fill="EAEAEA"/>
          </w:tcPr>
          <w:p>
            <w:pPr>
              <w:spacing w:after="0"/>
              <w:rPr>
                <w:sz w:val="21"/>
                <w:szCs w:val="21"/>
                <w:color w:val="auto"/>
              </w:rPr>
            </w:pPr>
          </w:p>
        </w:tc>
        <w:tc>
          <w:tcPr>
            <w:tcW w:w="620" w:type="dxa"/>
            <w:vAlign w:val="bottom"/>
            <w:tcBorders>
              <w:bottom w:val="single" w:sz="8" w:color="0066BA"/>
            </w:tcBorders>
          </w:tcPr>
          <w:p>
            <w:pPr>
              <w:spacing w:after="0"/>
              <w:rPr>
                <w:sz w:val="21"/>
                <w:szCs w:val="21"/>
                <w:color w:val="auto"/>
              </w:rPr>
            </w:pPr>
          </w:p>
        </w:tc>
        <w:tc>
          <w:tcPr>
            <w:tcW w:w="3780" w:type="dxa"/>
            <w:vAlign w:val="bottom"/>
            <w:tcBorders>
              <w:bottom w:val="single" w:sz="8" w:color="0066BA"/>
            </w:tcBorders>
            <w:shd w:val="clear" w:color="auto" w:fill="EAEAEA"/>
          </w:tcPr>
          <w:p>
            <w:pPr>
              <w:spacing w:after="0"/>
              <w:rPr>
                <w:sz w:val="21"/>
                <w:szCs w:val="21"/>
                <w:color w:val="auto"/>
              </w:rPr>
            </w:pPr>
          </w:p>
        </w:tc>
        <w:tc>
          <w:tcPr>
            <w:tcW w:w="940" w:type="dxa"/>
            <w:vAlign w:val="bottom"/>
            <w:tcBorders>
              <w:bottom w:val="single" w:sz="8" w:color="0066BA"/>
            </w:tcBorders>
          </w:tcPr>
          <w:p>
            <w:pPr>
              <w:spacing w:after="0"/>
              <w:rPr>
                <w:sz w:val="21"/>
                <w:szCs w:val="21"/>
                <w:color w:val="auto"/>
              </w:rPr>
            </w:pPr>
          </w:p>
        </w:tc>
        <w:tc>
          <w:tcPr>
            <w:tcW w:w="700" w:type="dxa"/>
            <w:vAlign w:val="bottom"/>
            <w:tcBorders>
              <w:bottom w:val="single" w:sz="8" w:color="0066BA"/>
            </w:tcBorders>
            <w:shd w:val="clear" w:color="auto" w:fill="EAEAEA"/>
          </w:tcPr>
          <w:p>
            <w:pPr>
              <w:spacing w:after="0"/>
              <w:rPr>
                <w:sz w:val="21"/>
                <w:szCs w:val="21"/>
                <w:color w:val="auto"/>
              </w:rPr>
            </w:pPr>
          </w:p>
        </w:tc>
        <w:tc>
          <w:tcPr>
            <w:tcW w:w="1120" w:type="dxa"/>
            <w:vAlign w:val="bottom"/>
            <w:tcBorders>
              <w:bottom w:val="single" w:sz="8" w:color="0066BA"/>
            </w:tcBorders>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3100" w:type="dxa"/>
            <w:vAlign w:val="bottom"/>
            <w:vMerge w:val="restart"/>
          </w:tcPr>
          <w:p>
            <w:pPr>
              <w:ind w:left="940"/>
              <w:spacing w:after="0"/>
              <w:rPr>
                <w:sz w:val="20"/>
                <w:szCs w:val="20"/>
                <w:color w:val="auto"/>
              </w:rPr>
            </w:pPr>
            <w:r>
              <w:rPr>
                <w:rFonts w:ascii="Arial" w:cs="Arial" w:eastAsia="Arial" w:hAnsi="Arial"/>
                <w:sz w:val="17"/>
                <w:szCs w:val="17"/>
                <w:b w:val="1"/>
                <w:bCs w:val="1"/>
                <w:color w:val="0066BA"/>
              </w:rPr>
              <w:t>Laurie H. Glimcher</w:t>
            </w:r>
          </w:p>
        </w:tc>
        <w:tc>
          <w:tcPr>
            <w:tcW w:w="360" w:type="dxa"/>
            <w:vAlign w:val="bottom"/>
            <w:shd w:val="clear" w:color="auto" w:fill="EAEAEA"/>
          </w:tcPr>
          <w:p>
            <w:pPr>
              <w:spacing w:after="0"/>
              <w:rPr>
                <w:sz w:val="24"/>
                <w:szCs w:val="24"/>
                <w:color w:val="auto"/>
              </w:rPr>
            </w:pPr>
          </w:p>
        </w:tc>
        <w:tc>
          <w:tcPr>
            <w:tcW w:w="620" w:type="dxa"/>
            <w:vAlign w:val="bottom"/>
          </w:tcPr>
          <w:p>
            <w:pPr>
              <w:spacing w:after="0"/>
              <w:rPr>
                <w:sz w:val="24"/>
                <w:szCs w:val="24"/>
                <w:color w:val="auto"/>
              </w:rPr>
            </w:pPr>
          </w:p>
        </w:tc>
        <w:tc>
          <w:tcPr>
            <w:tcW w:w="3780" w:type="dxa"/>
            <w:vAlign w:val="bottom"/>
            <w:shd w:val="clear" w:color="auto" w:fill="EAEAEA"/>
          </w:tcPr>
          <w:p>
            <w:pPr>
              <w:ind w:left="80"/>
              <w:spacing w:after="0"/>
              <w:rPr>
                <w:sz w:val="20"/>
                <w:szCs w:val="20"/>
                <w:color w:val="auto"/>
              </w:rPr>
            </w:pPr>
            <w:r>
              <w:rPr>
                <w:rFonts w:ascii="Arial" w:cs="Arial" w:eastAsia="Arial" w:hAnsi="Arial"/>
                <w:sz w:val="17"/>
                <w:szCs w:val="17"/>
                <w:color w:val="auto"/>
                <w:w w:val="99"/>
              </w:rPr>
              <w:t>Professor of Medicine at Harvard Medical School</w:t>
            </w:r>
          </w:p>
        </w:tc>
        <w:tc>
          <w:tcPr>
            <w:tcW w:w="940" w:type="dxa"/>
            <w:vAlign w:val="bottom"/>
          </w:tcPr>
          <w:p>
            <w:pPr>
              <w:spacing w:after="0"/>
              <w:rPr>
                <w:sz w:val="24"/>
                <w:szCs w:val="24"/>
                <w:color w:val="auto"/>
              </w:rPr>
            </w:pPr>
          </w:p>
        </w:tc>
        <w:tc>
          <w:tcPr>
            <w:tcW w:w="700" w:type="dxa"/>
            <w:vAlign w:val="bottom"/>
            <w:shd w:val="clear" w:color="auto" w:fill="EAEAEA"/>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100" w:type="dxa"/>
            <w:vAlign w:val="bottom"/>
            <w:vMerge w:val="continue"/>
          </w:tcPr>
          <w:p>
            <w:pPr>
              <w:spacing w:after="0"/>
              <w:rPr>
                <w:sz w:val="18"/>
                <w:szCs w:val="18"/>
                <w:color w:val="auto"/>
              </w:rPr>
            </w:pPr>
          </w:p>
        </w:tc>
        <w:tc>
          <w:tcPr>
            <w:tcW w:w="360" w:type="dxa"/>
            <w:vAlign w:val="bottom"/>
            <w:shd w:val="clear" w:color="auto" w:fill="EAEAEA"/>
          </w:tcPr>
          <w:p>
            <w:pPr>
              <w:jc w:val="right"/>
              <w:ind w:right="35"/>
              <w:spacing w:after="0"/>
              <w:rPr>
                <w:sz w:val="20"/>
                <w:szCs w:val="20"/>
                <w:color w:val="auto"/>
              </w:rPr>
            </w:pPr>
            <w:r>
              <w:rPr>
                <w:rFonts w:ascii="Arial" w:cs="Arial" w:eastAsia="Arial" w:hAnsi="Arial"/>
                <w:sz w:val="17"/>
                <w:szCs w:val="17"/>
                <w:color w:val="auto"/>
              </w:rPr>
              <w:t>69</w:t>
            </w:r>
          </w:p>
        </w:tc>
        <w:tc>
          <w:tcPr>
            <w:tcW w:w="620" w:type="dxa"/>
            <w:vAlign w:val="bottom"/>
          </w:tcPr>
          <w:p>
            <w:pPr>
              <w:ind w:left="80"/>
              <w:spacing w:after="0"/>
              <w:rPr>
                <w:sz w:val="20"/>
                <w:szCs w:val="20"/>
                <w:color w:val="auto"/>
              </w:rPr>
            </w:pPr>
            <w:r>
              <w:rPr>
                <w:rFonts w:ascii="Arial" w:cs="Arial" w:eastAsia="Arial" w:hAnsi="Arial"/>
                <w:sz w:val="17"/>
                <w:szCs w:val="17"/>
                <w:color w:val="auto"/>
              </w:rPr>
              <w:t>2020</w:t>
            </w:r>
          </w:p>
        </w:tc>
        <w:tc>
          <w:tcPr>
            <w:tcW w:w="3780" w:type="dxa"/>
            <w:vAlign w:val="bottom"/>
            <w:shd w:val="clear" w:color="auto" w:fill="EAEAEA"/>
          </w:tcPr>
          <w:p>
            <w:pPr>
              <w:ind w:left="80"/>
              <w:spacing w:after="0"/>
              <w:rPr>
                <w:sz w:val="20"/>
                <w:szCs w:val="20"/>
                <w:color w:val="auto"/>
              </w:rPr>
            </w:pPr>
            <w:r>
              <w:rPr>
                <w:rFonts w:ascii="Arial" w:cs="Arial" w:eastAsia="Arial" w:hAnsi="Arial"/>
                <w:sz w:val="17"/>
                <w:szCs w:val="17"/>
                <w:color w:val="auto"/>
              </w:rPr>
              <w:t>and President and Chief Executive Officer of the</w:t>
            </w:r>
          </w:p>
        </w:tc>
        <w:tc>
          <w:tcPr>
            <w:tcW w:w="940" w:type="dxa"/>
            <w:vAlign w:val="bottom"/>
          </w:tcPr>
          <w:p>
            <w:pPr>
              <w:spacing w:after="0"/>
              <w:rPr>
                <w:sz w:val="18"/>
                <w:szCs w:val="18"/>
                <w:color w:val="auto"/>
              </w:rPr>
            </w:pPr>
          </w:p>
        </w:tc>
        <w:tc>
          <w:tcPr>
            <w:tcW w:w="700" w:type="dxa"/>
            <w:vAlign w:val="bottom"/>
            <w:shd w:val="clear" w:color="auto" w:fill="EAEAEA"/>
          </w:tcPr>
          <w:p>
            <w:pPr>
              <w:ind w:left="60"/>
              <w:spacing w:after="0"/>
              <w:rPr>
                <w:sz w:val="20"/>
                <w:szCs w:val="20"/>
                <w:color w:val="auto"/>
              </w:rPr>
            </w:pPr>
            <w:r>
              <w:rPr>
                <w:rFonts w:ascii="Arial" w:cs="Arial" w:eastAsia="Arial" w:hAnsi="Arial"/>
                <w:sz w:val="17"/>
                <w:szCs w:val="17"/>
                <w:color w:val="auto"/>
              </w:rPr>
              <w:t>1</w:t>
            </w:r>
          </w:p>
        </w:tc>
        <w:tc>
          <w:tcPr>
            <w:tcW w:w="1120" w:type="dxa"/>
            <w:vAlign w:val="bottom"/>
          </w:tcPr>
          <w:p>
            <w:pPr>
              <w:ind w:left="80"/>
              <w:spacing w:after="0"/>
              <w:rPr>
                <w:sz w:val="20"/>
                <w:szCs w:val="20"/>
                <w:color w:val="auto"/>
              </w:rPr>
            </w:pPr>
            <w:r>
              <w:rPr>
                <w:rFonts w:ascii="Arial" w:cs="Arial" w:eastAsia="Arial" w:hAnsi="Arial"/>
                <w:sz w:val="17"/>
                <w:szCs w:val="17"/>
                <w:color w:val="auto"/>
              </w:rPr>
              <w:t>CC</w:t>
            </w:r>
          </w:p>
        </w:tc>
        <w:tc>
          <w:tcPr>
            <w:tcW w:w="0" w:type="dxa"/>
            <w:vAlign w:val="bottom"/>
          </w:tcPr>
          <w:p>
            <w:pPr>
              <w:spacing w:after="0"/>
              <w:rPr>
                <w:sz w:val="1"/>
                <w:szCs w:val="1"/>
                <w:color w:val="auto"/>
              </w:rPr>
            </w:pPr>
          </w:p>
        </w:tc>
      </w:tr>
      <w:tr>
        <w:trPr>
          <w:trHeight w:val="221"/>
        </w:trPr>
        <w:tc>
          <w:tcPr>
            <w:tcW w:w="3100" w:type="dxa"/>
            <w:vAlign w:val="bottom"/>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620" w:type="dxa"/>
            <w:vAlign w:val="bottom"/>
          </w:tcPr>
          <w:p>
            <w:pPr>
              <w:spacing w:after="0"/>
              <w:rPr>
                <w:sz w:val="19"/>
                <w:szCs w:val="19"/>
                <w:color w:val="auto"/>
              </w:rPr>
            </w:pPr>
          </w:p>
        </w:tc>
        <w:tc>
          <w:tcPr>
            <w:tcW w:w="3780" w:type="dxa"/>
            <w:vAlign w:val="bottom"/>
            <w:shd w:val="clear" w:color="auto" w:fill="EAEAEA"/>
          </w:tcPr>
          <w:p>
            <w:pPr>
              <w:ind w:left="80"/>
              <w:spacing w:after="0"/>
              <w:rPr>
                <w:sz w:val="20"/>
                <w:szCs w:val="20"/>
                <w:color w:val="auto"/>
              </w:rPr>
            </w:pPr>
            <w:r>
              <w:rPr>
                <w:rFonts w:ascii="Arial" w:cs="Arial" w:eastAsia="Arial" w:hAnsi="Arial"/>
                <w:sz w:val="17"/>
                <w:szCs w:val="17"/>
                <w:color w:val="auto"/>
              </w:rPr>
              <w:t>Dana-Farber Cancer Institute</w:t>
            </w:r>
          </w:p>
        </w:tc>
        <w:tc>
          <w:tcPr>
            <w:tcW w:w="940" w:type="dxa"/>
            <w:vAlign w:val="bottom"/>
          </w:tcPr>
          <w:p>
            <w:pPr>
              <w:spacing w:after="0"/>
              <w:rPr>
                <w:sz w:val="19"/>
                <w:szCs w:val="19"/>
                <w:color w:val="auto"/>
              </w:rPr>
            </w:pPr>
          </w:p>
        </w:tc>
        <w:tc>
          <w:tcPr>
            <w:tcW w:w="700" w:type="dxa"/>
            <w:vAlign w:val="bottom"/>
            <w:shd w:val="clear" w:color="auto" w:fill="EAEAEA"/>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3100" w:type="dxa"/>
            <w:vAlign w:val="bottom"/>
            <w:tcBorders>
              <w:bottom w:val="single" w:sz="8" w:color="0066BA"/>
            </w:tcBorders>
          </w:tcPr>
          <w:p>
            <w:pPr>
              <w:spacing w:after="0"/>
              <w:rPr>
                <w:sz w:val="12"/>
                <w:szCs w:val="12"/>
                <w:color w:val="auto"/>
              </w:rPr>
            </w:pPr>
          </w:p>
        </w:tc>
        <w:tc>
          <w:tcPr>
            <w:tcW w:w="360" w:type="dxa"/>
            <w:vAlign w:val="bottom"/>
            <w:tcBorders>
              <w:bottom w:val="single" w:sz="8" w:color="0066BA"/>
            </w:tcBorders>
            <w:shd w:val="clear" w:color="auto" w:fill="EAEAEA"/>
          </w:tcPr>
          <w:p>
            <w:pPr>
              <w:spacing w:after="0"/>
              <w:rPr>
                <w:sz w:val="12"/>
                <w:szCs w:val="12"/>
                <w:color w:val="auto"/>
              </w:rPr>
            </w:pPr>
          </w:p>
        </w:tc>
        <w:tc>
          <w:tcPr>
            <w:tcW w:w="620" w:type="dxa"/>
            <w:vAlign w:val="bottom"/>
            <w:tcBorders>
              <w:bottom w:val="single" w:sz="8" w:color="0066BA"/>
            </w:tcBorders>
          </w:tcPr>
          <w:p>
            <w:pPr>
              <w:spacing w:after="0"/>
              <w:rPr>
                <w:sz w:val="12"/>
                <w:szCs w:val="12"/>
                <w:color w:val="auto"/>
              </w:rPr>
            </w:pPr>
          </w:p>
        </w:tc>
        <w:tc>
          <w:tcPr>
            <w:tcW w:w="3780" w:type="dxa"/>
            <w:vAlign w:val="bottom"/>
            <w:tcBorders>
              <w:bottom w:val="single" w:sz="8" w:color="0066BA"/>
            </w:tcBorders>
            <w:shd w:val="clear" w:color="auto" w:fill="EAEAEA"/>
          </w:tcPr>
          <w:p>
            <w:pPr>
              <w:spacing w:after="0"/>
              <w:rPr>
                <w:sz w:val="12"/>
                <w:szCs w:val="12"/>
                <w:color w:val="auto"/>
              </w:rPr>
            </w:pPr>
          </w:p>
        </w:tc>
        <w:tc>
          <w:tcPr>
            <w:tcW w:w="940" w:type="dxa"/>
            <w:vAlign w:val="bottom"/>
            <w:tcBorders>
              <w:bottom w:val="single" w:sz="8" w:color="0066BA"/>
            </w:tcBorders>
          </w:tcPr>
          <w:p>
            <w:pPr>
              <w:spacing w:after="0"/>
              <w:rPr>
                <w:sz w:val="12"/>
                <w:szCs w:val="12"/>
                <w:color w:val="auto"/>
              </w:rPr>
            </w:pPr>
          </w:p>
        </w:tc>
        <w:tc>
          <w:tcPr>
            <w:tcW w:w="700" w:type="dxa"/>
            <w:vAlign w:val="bottom"/>
            <w:tcBorders>
              <w:bottom w:val="single" w:sz="8" w:color="0066BA"/>
            </w:tcBorders>
            <w:shd w:val="clear" w:color="auto" w:fill="EAEAEA"/>
          </w:tcPr>
          <w:p>
            <w:pPr>
              <w:spacing w:after="0"/>
              <w:rPr>
                <w:sz w:val="12"/>
                <w:szCs w:val="12"/>
                <w:color w:val="auto"/>
              </w:rPr>
            </w:pPr>
          </w:p>
        </w:tc>
        <w:tc>
          <w:tcPr>
            <w:tcW w:w="1120" w:type="dxa"/>
            <w:vAlign w:val="bottom"/>
            <w:tcBorders>
              <w:bottom w:val="single" w:sz="8" w:color="0066BA"/>
            </w:tcBorders>
          </w:tcPr>
          <w:p>
            <w:pPr>
              <w:spacing w:after="0"/>
              <w:rPr>
                <w:sz w:val="12"/>
                <w:szCs w:val="12"/>
                <w:color w:val="auto"/>
              </w:rPr>
            </w:pPr>
          </w:p>
        </w:tc>
        <w:tc>
          <w:tcPr>
            <w:tcW w:w="0" w:type="dxa"/>
            <w:vAlign w:val="bottom"/>
          </w:tcPr>
          <w:p>
            <w:pPr>
              <w:spacing w:after="0"/>
              <w:rPr>
                <w:sz w:val="1"/>
                <w:szCs w:val="1"/>
                <w:color w:val="auto"/>
              </w:rPr>
            </w:pPr>
          </w:p>
        </w:tc>
      </w:tr>
      <w:tr>
        <w:trPr>
          <w:trHeight w:val="410"/>
        </w:trPr>
        <w:tc>
          <w:tcPr>
            <w:tcW w:w="3100" w:type="dxa"/>
            <w:vAlign w:val="bottom"/>
            <w:vMerge w:val="restart"/>
          </w:tcPr>
          <w:p>
            <w:pPr>
              <w:ind w:left="940"/>
              <w:spacing w:after="0"/>
              <w:rPr>
                <w:sz w:val="20"/>
                <w:szCs w:val="20"/>
                <w:color w:val="auto"/>
              </w:rPr>
            </w:pPr>
            <w:r>
              <w:rPr>
                <w:rFonts w:ascii="Arial" w:cs="Arial" w:eastAsia="Arial" w:hAnsi="Arial"/>
                <w:sz w:val="17"/>
                <w:szCs w:val="17"/>
                <w:b w:val="1"/>
                <w:bCs w:val="1"/>
                <w:color w:val="0066BA"/>
              </w:rPr>
              <w:t>Karen M. Golz</w:t>
            </w:r>
          </w:p>
        </w:tc>
        <w:tc>
          <w:tcPr>
            <w:tcW w:w="360" w:type="dxa"/>
            <w:vAlign w:val="bottom"/>
            <w:vMerge w:val="restart"/>
            <w:shd w:val="clear" w:color="auto" w:fill="EAEAEA"/>
          </w:tcPr>
          <w:p>
            <w:pPr>
              <w:jc w:val="right"/>
              <w:ind w:right="35"/>
              <w:spacing w:after="0"/>
              <w:rPr>
                <w:sz w:val="20"/>
                <w:szCs w:val="20"/>
                <w:color w:val="auto"/>
              </w:rPr>
            </w:pPr>
            <w:r>
              <w:rPr>
                <w:rFonts w:ascii="Arial" w:cs="Arial" w:eastAsia="Arial" w:hAnsi="Arial"/>
                <w:sz w:val="17"/>
                <w:szCs w:val="17"/>
                <w:color w:val="auto"/>
              </w:rPr>
              <w:t>66</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2018</w:t>
            </w:r>
          </w:p>
        </w:tc>
        <w:tc>
          <w:tcPr>
            <w:tcW w:w="3780" w:type="dxa"/>
            <w:vAlign w:val="bottom"/>
            <w:shd w:val="clear" w:color="auto" w:fill="EAEAEA"/>
          </w:tcPr>
          <w:p>
            <w:pPr>
              <w:ind w:left="80"/>
              <w:spacing w:after="0"/>
              <w:rPr>
                <w:sz w:val="20"/>
                <w:szCs w:val="20"/>
                <w:color w:val="auto"/>
              </w:rPr>
            </w:pPr>
            <w:r>
              <w:rPr>
                <w:rFonts w:ascii="Arial" w:cs="Arial" w:eastAsia="Arial" w:hAnsi="Arial"/>
                <w:sz w:val="17"/>
                <w:szCs w:val="17"/>
                <w:color w:val="auto"/>
              </w:rPr>
              <w:t>Former Global Vice</w:t>
            </w:r>
          </w:p>
        </w:tc>
        <w:tc>
          <w:tcPr>
            <w:tcW w:w="940" w:type="dxa"/>
            <w:vAlign w:val="bottom"/>
          </w:tcPr>
          <w:p>
            <w:pPr>
              <w:spacing w:after="0"/>
              <w:rPr>
                <w:sz w:val="24"/>
                <w:szCs w:val="24"/>
                <w:color w:val="auto"/>
              </w:rPr>
            </w:pPr>
          </w:p>
        </w:tc>
        <w:tc>
          <w:tcPr>
            <w:tcW w:w="700" w:type="dxa"/>
            <w:vAlign w:val="bottom"/>
            <w:vMerge w:val="restart"/>
            <w:shd w:val="clear" w:color="auto" w:fill="EAEAEA"/>
          </w:tcPr>
          <w:p>
            <w:pPr>
              <w:ind w:left="60"/>
              <w:spacing w:after="0"/>
              <w:rPr>
                <w:sz w:val="20"/>
                <w:szCs w:val="20"/>
                <w:color w:val="auto"/>
              </w:rPr>
            </w:pPr>
            <w:r>
              <w:rPr>
                <w:rFonts w:ascii="Arial" w:cs="Arial" w:eastAsia="Arial" w:hAnsi="Arial"/>
                <w:sz w:val="17"/>
                <w:szCs w:val="17"/>
                <w:color w:val="auto"/>
              </w:rPr>
              <w:t>—</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auto"/>
              </w:rPr>
              <w:t>AC</w:t>
            </w:r>
          </w:p>
        </w:tc>
        <w:tc>
          <w:tcPr>
            <w:tcW w:w="0" w:type="dxa"/>
            <w:vAlign w:val="bottom"/>
          </w:tcPr>
          <w:p>
            <w:pPr>
              <w:spacing w:after="0"/>
              <w:rPr>
                <w:sz w:val="1"/>
                <w:szCs w:val="1"/>
                <w:color w:val="auto"/>
              </w:rPr>
            </w:pPr>
          </w:p>
        </w:tc>
      </w:tr>
      <w:tr>
        <w:trPr>
          <w:trHeight w:val="116"/>
        </w:trPr>
        <w:tc>
          <w:tcPr>
            <w:tcW w:w="3100" w:type="dxa"/>
            <w:vAlign w:val="bottom"/>
            <w:vMerge w:val="continue"/>
          </w:tcPr>
          <w:p>
            <w:pPr>
              <w:spacing w:after="0"/>
              <w:rPr>
                <w:sz w:val="10"/>
                <w:szCs w:val="10"/>
                <w:color w:val="auto"/>
              </w:rPr>
            </w:pPr>
          </w:p>
        </w:tc>
        <w:tc>
          <w:tcPr>
            <w:tcW w:w="360" w:type="dxa"/>
            <w:vAlign w:val="bottom"/>
            <w:vMerge w:val="continue"/>
            <w:shd w:val="clear" w:color="auto" w:fill="EAEAEA"/>
          </w:tcPr>
          <w:p>
            <w:pPr>
              <w:spacing w:after="0"/>
              <w:rPr>
                <w:sz w:val="10"/>
                <w:szCs w:val="10"/>
                <w:color w:val="auto"/>
              </w:rPr>
            </w:pPr>
          </w:p>
        </w:tc>
        <w:tc>
          <w:tcPr>
            <w:tcW w:w="620" w:type="dxa"/>
            <w:vAlign w:val="bottom"/>
            <w:vMerge w:val="continue"/>
          </w:tcPr>
          <w:p>
            <w:pPr>
              <w:spacing w:after="0"/>
              <w:rPr>
                <w:sz w:val="10"/>
                <w:szCs w:val="10"/>
                <w:color w:val="auto"/>
              </w:rPr>
            </w:pPr>
          </w:p>
        </w:tc>
        <w:tc>
          <w:tcPr>
            <w:tcW w:w="3780" w:type="dxa"/>
            <w:vAlign w:val="bottom"/>
            <w:vMerge w:val="restart"/>
            <w:shd w:val="clear" w:color="auto" w:fill="EAEAEA"/>
          </w:tcPr>
          <w:p>
            <w:pPr>
              <w:ind w:left="80"/>
              <w:spacing w:after="0"/>
              <w:rPr>
                <w:sz w:val="20"/>
                <w:szCs w:val="20"/>
                <w:color w:val="auto"/>
              </w:rPr>
            </w:pPr>
            <w:r>
              <w:rPr>
                <w:rFonts w:ascii="Arial" w:cs="Arial" w:eastAsia="Arial" w:hAnsi="Arial"/>
                <w:sz w:val="17"/>
                <w:szCs w:val="17"/>
                <w:color w:val="auto"/>
              </w:rPr>
              <w:t>Chair of Ernst &amp; Young</w:t>
            </w:r>
          </w:p>
        </w:tc>
        <w:tc>
          <w:tcPr>
            <w:tcW w:w="940" w:type="dxa"/>
            <w:vAlign w:val="bottom"/>
          </w:tcPr>
          <w:p>
            <w:pPr>
              <w:spacing w:after="0"/>
              <w:rPr>
                <w:sz w:val="10"/>
                <w:szCs w:val="10"/>
                <w:color w:val="auto"/>
              </w:rPr>
            </w:pPr>
          </w:p>
        </w:tc>
        <w:tc>
          <w:tcPr>
            <w:tcW w:w="700" w:type="dxa"/>
            <w:vAlign w:val="bottom"/>
            <w:vMerge w:val="continue"/>
            <w:shd w:val="clear" w:color="auto" w:fill="EAEAEA"/>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360" w:type="dxa"/>
            <w:vAlign w:val="bottom"/>
            <w:shd w:val="clear" w:color="auto" w:fill="EAEAEA"/>
          </w:tcPr>
          <w:p>
            <w:pPr>
              <w:spacing w:after="0"/>
              <w:rPr>
                <w:sz w:val="9"/>
                <w:szCs w:val="9"/>
                <w:color w:val="auto"/>
              </w:rPr>
            </w:pPr>
          </w:p>
        </w:tc>
        <w:tc>
          <w:tcPr>
            <w:tcW w:w="620" w:type="dxa"/>
            <w:vAlign w:val="bottom"/>
          </w:tcPr>
          <w:p>
            <w:pPr>
              <w:spacing w:after="0"/>
              <w:rPr>
                <w:sz w:val="9"/>
                <w:szCs w:val="9"/>
                <w:color w:val="auto"/>
              </w:rPr>
            </w:pPr>
          </w:p>
        </w:tc>
        <w:tc>
          <w:tcPr>
            <w:tcW w:w="3780" w:type="dxa"/>
            <w:vAlign w:val="bottom"/>
            <w:vMerge w:val="continue"/>
            <w:shd w:val="clear" w:color="auto" w:fill="EAEAEA"/>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shd w:val="clear" w:color="auto" w:fill="EAEAEA"/>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3100" w:type="dxa"/>
            <w:vAlign w:val="bottom"/>
            <w:tcBorders>
              <w:bottom w:val="single" w:sz="8" w:color="0066BA"/>
            </w:tcBorders>
          </w:tcPr>
          <w:p>
            <w:pPr>
              <w:spacing w:after="0"/>
              <w:rPr>
                <w:sz w:val="21"/>
                <w:szCs w:val="21"/>
                <w:color w:val="auto"/>
              </w:rPr>
            </w:pPr>
          </w:p>
        </w:tc>
        <w:tc>
          <w:tcPr>
            <w:tcW w:w="360" w:type="dxa"/>
            <w:vAlign w:val="bottom"/>
            <w:tcBorders>
              <w:bottom w:val="single" w:sz="8" w:color="0066BA"/>
            </w:tcBorders>
            <w:shd w:val="clear" w:color="auto" w:fill="EAEAEA"/>
          </w:tcPr>
          <w:p>
            <w:pPr>
              <w:spacing w:after="0"/>
              <w:rPr>
                <w:sz w:val="21"/>
                <w:szCs w:val="21"/>
                <w:color w:val="auto"/>
              </w:rPr>
            </w:pPr>
          </w:p>
        </w:tc>
        <w:tc>
          <w:tcPr>
            <w:tcW w:w="620" w:type="dxa"/>
            <w:vAlign w:val="bottom"/>
            <w:tcBorders>
              <w:bottom w:val="single" w:sz="8" w:color="0066BA"/>
            </w:tcBorders>
          </w:tcPr>
          <w:p>
            <w:pPr>
              <w:spacing w:after="0"/>
              <w:rPr>
                <w:sz w:val="21"/>
                <w:szCs w:val="21"/>
                <w:color w:val="auto"/>
              </w:rPr>
            </w:pPr>
          </w:p>
        </w:tc>
        <w:tc>
          <w:tcPr>
            <w:tcW w:w="3780" w:type="dxa"/>
            <w:vAlign w:val="bottom"/>
            <w:tcBorders>
              <w:bottom w:val="single" w:sz="8" w:color="0066BA"/>
            </w:tcBorders>
            <w:shd w:val="clear" w:color="auto" w:fill="EAEAEA"/>
          </w:tcPr>
          <w:p>
            <w:pPr>
              <w:spacing w:after="0"/>
              <w:rPr>
                <w:sz w:val="21"/>
                <w:szCs w:val="21"/>
                <w:color w:val="auto"/>
              </w:rPr>
            </w:pPr>
          </w:p>
        </w:tc>
        <w:tc>
          <w:tcPr>
            <w:tcW w:w="940" w:type="dxa"/>
            <w:vAlign w:val="bottom"/>
            <w:tcBorders>
              <w:bottom w:val="single" w:sz="8" w:color="0066BA"/>
            </w:tcBorders>
          </w:tcPr>
          <w:p>
            <w:pPr>
              <w:spacing w:after="0"/>
              <w:rPr>
                <w:sz w:val="21"/>
                <w:szCs w:val="21"/>
                <w:color w:val="auto"/>
              </w:rPr>
            </w:pPr>
          </w:p>
        </w:tc>
        <w:tc>
          <w:tcPr>
            <w:tcW w:w="700" w:type="dxa"/>
            <w:vAlign w:val="bottom"/>
            <w:tcBorders>
              <w:bottom w:val="single" w:sz="8" w:color="0066BA"/>
            </w:tcBorders>
            <w:shd w:val="clear" w:color="auto" w:fill="EAEAEA"/>
          </w:tcPr>
          <w:p>
            <w:pPr>
              <w:spacing w:after="0"/>
              <w:rPr>
                <w:sz w:val="21"/>
                <w:szCs w:val="21"/>
                <w:color w:val="auto"/>
              </w:rPr>
            </w:pPr>
          </w:p>
        </w:tc>
        <w:tc>
          <w:tcPr>
            <w:tcW w:w="1120" w:type="dxa"/>
            <w:vAlign w:val="bottom"/>
            <w:tcBorders>
              <w:bottom w:val="single" w:sz="8" w:color="0066BA"/>
            </w:tcBorders>
          </w:tcPr>
          <w:p>
            <w:pPr>
              <w:spacing w:after="0"/>
              <w:rPr>
                <w:sz w:val="21"/>
                <w:szCs w:val="21"/>
                <w:color w:val="auto"/>
              </w:rPr>
            </w:pPr>
          </w:p>
        </w:tc>
        <w:tc>
          <w:tcPr>
            <w:tcW w:w="0" w:type="dxa"/>
            <w:vAlign w:val="bottom"/>
          </w:tcPr>
          <w:p>
            <w:pPr>
              <w:spacing w:after="0"/>
              <w:rPr>
                <w:sz w:val="1"/>
                <w:szCs w:val="1"/>
                <w:color w:val="auto"/>
              </w:rPr>
            </w:pPr>
          </w:p>
        </w:tc>
      </w:tr>
      <w:tr>
        <w:trPr>
          <w:trHeight w:val="410"/>
        </w:trPr>
        <w:tc>
          <w:tcPr>
            <w:tcW w:w="3100" w:type="dxa"/>
            <w:vAlign w:val="bottom"/>
            <w:vMerge w:val="restart"/>
          </w:tcPr>
          <w:p>
            <w:pPr>
              <w:ind w:left="940"/>
              <w:spacing w:after="0"/>
              <w:rPr>
                <w:sz w:val="20"/>
                <w:szCs w:val="20"/>
                <w:color w:val="auto"/>
              </w:rPr>
            </w:pPr>
            <w:r>
              <w:rPr>
                <w:rFonts w:ascii="Arial" w:cs="Arial" w:eastAsia="Arial" w:hAnsi="Arial"/>
                <w:sz w:val="17"/>
                <w:szCs w:val="17"/>
                <w:b w:val="1"/>
                <w:bCs w:val="1"/>
                <w:color w:val="0066BA"/>
              </w:rPr>
              <w:t>Mark M. Little</w:t>
            </w:r>
          </w:p>
        </w:tc>
        <w:tc>
          <w:tcPr>
            <w:tcW w:w="360" w:type="dxa"/>
            <w:vAlign w:val="bottom"/>
            <w:vMerge w:val="restart"/>
            <w:shd w:val="clear" w:color="auto" w:fill="EAEAEA"/>
          </w:tcPr>
          <w:p>
            <w:pPr>
              <w:jc w:val="right"/>
              <w:ind w:right="35"/>
              <w:spacing w:after="0"/>
              <w:rPr>
                <w:sz w:val="20"/>
                <w:szCs w:val="20"/>
                <w:color w:val="auto"/>
              </w:rPr>
            </w:pPr>
            <w:r>
              <w:rPr>
                <w:rFonts w:ascii="Arial" w:cs="Arial" w:eastAsia="Arial" w:hAnsi="Arial"/>
                <w:sz w:val="17"/>
                <w:szCs w:val="17"/>
                <w:color w:val="auto"/>
              </w:rPr>
              <w:t>68</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2017</w:t>
            </w:r>
          </w:p>
        </w:tc>
        <w:tc>
          <w:tcPr>
            <w:tcW w:w="3780" w:type="dxa"/>
            <w:vAlign w:val="bottom"/>
            <w:shd w:val="clear" w:color="auto" w:fill="EAEAEA"/>
          </w:tcPr>
          <w:p>
            <w:pPr>
              <w:ind w:left="80"/>
              <w:spacing w:after="0"/>
              <w:rPr>
                <w:sz w:val="20"/>
                <w:szCs w:val="20"/>
                <w:color w:val="auto"/>
              </w:rPr>
            </w:pPr>
            <w:r>
              <w:rPr>
                <w:rFonts w:ascii="Arial" w:cs="Arial" w:eastAsia="Arial" w:hAnsi="Arial"/>
                <w:sz w:val="17"/>
                <w:szCs w:val="17"/>
                <w:color w:val="auto"/>
              </w:rPr>
              <w:t>Former SVP, GE Global Research &amp; Chief</w:t>
            </w:r>
          </w:p>
        </w:tc>
        <w:tc>
          <w:tcPr>
            <w:tcW w:w="940" w:type="dxa"/>
            <w:vAlign w:val="bottom"/>
          </w:tcPr>
          <w:p>
            <w:pPr>
              <w:spacing w:after="0"/>
              <w:rPr>
                <w:sz w:val="24"/>
                <w:szCs w:val="24"/>
                <w:color w:val="auto"/>
              </w:rPr>
            </w:pPr>
          </w:p>
        </w:tc>
        <w:tc>
          <w:tcPr>
            <w:tcW w:w="700" w:type="dxa"/>
            <w:vAlign w:val="bottom"/>
            <w:vMerge w:val="restart"/>
            <w:shd w:val="clear" w:color="auto" w:fill="EAEAEA"/>
          </w:tcPr>
          <w:p>
            <w:pPr>
              <w:ind w:left="60"/>
              <w:spacing w:after="0"/>
              <w:rPr>
                <w:sz w:val="20"/>
                <w:szCs w:val="20"/>
                <w:color w:val="auto"/>
              </w:rPr>
            </w:pPr>
            <w:r>
              <w:rPr>
                <w:rFonts w:ascii="Arial" w:cs="Arial" w:eastAsia="Arial" w:hAnsi="Arial"/>
                <w:sz w:val="17"/>
                <w:szCs w:val="17"/>
                <w:color w:val="auto"/>
              </w:rPr>
              <w:t>—</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auto"/>
              </w:rPr>
              <w:t>CC</w:t>
            </w:r>
          </w:p>
        </w:tc>
        <w:tc>
          <w:tcPr>
            <w:tcW w:w="0" w:type="dxa"/>
            <w:vAlign w:val="bottom"/>
          </w:tcPr>
          <w:p>
            <w:pPr>
              <w:spacing w:after="0"/>
              <w:rPr>
                <w:sz w:val="1"/>
                <w:szCs w:val="1"/>
                <w:color w:val="auto"/>
              </w:rPr>
            </w:pPr>
          </w:p>
        </w:tc>
      </w:tr>
      <w:tr>
        <w:trPr>
          <w:trHeight w:val="116"/>
        </w:trPr>
        <w:tc>
          <w:tcPr>
            <w:tcW w:w="3100" w:type="dxa"/>
            <w:vAlign w:val="bottom"/>
            <w:vMerge w:val="continue"/>
          </w:tcPr>
          <w:p>
            <w:pPr>
              <w:spacing w:after="0"/>
              <w:rPr>
                <w:sz w:val="10"/>
                <w:szCs w:val="10"/>
                <w:color w:val="auto"/>
              </w:rPr>
            </w:pPr>
          </w:p>
        </w:tc>
        <w:tc>
          <w:tcPr>
            <w:tcW w:w="360" w:type="dxa"/>
            <w:vAlign w:val="bottom"/>
            <w:vMerge w:val="continue"/>
            <w:shd w:val="clear" w:color="auto" w:fill="EAEAEA"/>
          </w:tcPr>
          <w:p>
            <w:pPr>
              <w:spacing w:after="0"/>
              <w:rPr>
                <w:sz w:val="10"/>
                <w:szCs w:val="10"/>
                <w:color w:val="auto"/>
              </w:rPr>
            </w:pPr>
          </w:p>
        </w:tc>
        <w:tc>
          <w:tcPr>
            <w:tcW w:w="620" w:type="dxa"/>
            <w:vAlign w:val="bottom"/>
            <w:vMerge w:val="continue"/>
          </w:tcPr>
          <w:p>
            <w:pPr>
              <w:spacing w:after="0"/>
              <w:rPr>
                <w:sz w:val="10"/>
                <w:szCs w:val="10"/>
                <w:color w:val="auto"/>
              </w:rPr>
            </w:pPr>
          </w:p>
        </w:tc>
        <w:tc>
          <w:tcPr>
            <w:tcW w:w="3780" w:type="dxa"/>
            <w:vAlign w:val="bottom"/>
            <w:vMerge w:val="restart"/>
            <w:shd w:val="clear" w:color="auto" w:fill="EAEAEA"/>
          </w:tcPr>
          <w:p>
            <w:pPr>
              <w:ind w:left="80"/>
              <w:spacing w:after="0"/>
              <w:rPr>
                <w:sz w:val="20"/>
                <w:szCs w:val="20"/>
                <w:color w:val="auto"/>
              </w:rPr>
            </w:pPr>
            <w:r>
              <w:rPr>
                <w:rFonts w:ascii="Arial" w:cs="Arial" w:eastAsia="Arial" w:hAnsi="Arial"/>
                <w:sz w:val="17"/>
                <w:szCs w:val="17"/>
                <w:color w:val="auto"/>
              </w:rPr>
              <w:t>Technology Officer of General Electric Company</w:t>
            </w:r>
          </w:p>
        </w:tc>
        <w:tc>
          <w:tcPr>
            <w:tcW w:w="940" w:type="dxa"/>
            <w:vAlign w:val="bottom"/>
          </w:tcPr>
          <w:p>
            <w:pPr>
              <w:spacing w:after="0"/>
              <w:rPr>
                <w:sz w:val="10"/>
                <w:szCs w:val="10"/>
                <w:color w:val="auto"/>
              </w:rPr>
            </w:pPr>
          </w:p>
        </w:tc>
        <w:tc>
          <w:tcPr>
            <w:tcW w:w="700" w:type="dxa"/>
            <w:vAlign w:val="bottom"/>
            <w:vMerge w:val="continue"/>
            <w:shd w:val="clear" w:color="auto" w:fill="EAEAEA"/>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360" w:type="dxa"/>
            <w:vAlign w:val="bottom"/>
            <w:shd w:val="clear" w:color="auto" w:fill="EAEAEA"/>
          </w:tcPr>
          <w:p>
            <w:pPr>
              <w:spacing w:after="0"/>
              <w:rPr>
                <w:sz w:val="9"/>
                <w:szCs w:val="9"/>
                <w:color w:val="auto"/>
              </w:rPr>
            </w:pPr>
          </w:p>
        </w:tc>
        <w:tc>
          <w:tcPr>
            <w:tcW w:w="620" w:type="dxa"/>
            <w:vAlign w:val="bottom"/>
          </w:tcPr>
          <w:p>
            <w:pPr>
              <w:spacing w:after="0"/>
              <w:rPr>
                <w:sz w:val="9"/>
                <w:szCs w:val="9"/>
                <w:color w:val="auto"/>
              </w:rPr>
            </w:pPr>
          </w:p>
        </w:tc>
        <w:tc>
          <w:tcPr>
            <w:tcW w:w="3780" w:type="dxa"/>
            <w:vAlign w:val="bottom"/>
            <w:vMerge w:val="continue"/>
            <w:shd w:val="clear" w:color="auto" w:fill="EAEAEA"/>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shd w:val="clear" w:color="auto" w:fill="EAEAEA"/>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3100" w:type="dxa"/>
            <w:vAlign w:val="bottom"/>
            <w:tcBorders>
              <w:bottom w:val="single" w:sz="8" w:color="0066BA"/>
            </w:tcBorders>
          </w:tcPr>
          <w:p>
            <w:pPr>
              <w:spacing w:after="0"/>
              <w:rPr>
                <w:sz w:val="21"/>
                <w:szCs w:val="21"/>
                <w:color w:val="auto"/>
              </w:rPr>
            </w:pPr>
          </w:p>
        </w:tc>
        <w:tc>
          <w:tcPr>
            <w:tcW w:w="360" w:type="dxa"/>
            <w:vAlign w:val="bottom"/>
            <w:tcBorders>
              <w:bottom w:val="single" w:sz="8" w:color="0066BA"/>
            </w:tcBorders>
            <w:shd w:val="clear" w:color="auto" w:fill="EAEAEA"/>
          </w:tcPr>
          <w:p>
            <w:pPr>
              <w:spacing w:after="0"/>
              <w:rPr>
                <w:sz w:val="21"/>
                <w:szCs w:val="21"/>
                <w:color w:val="auto"/>
              </w:rPr>
            </w:pPr>
          </w:p>
        </w:tc>
        <w:tc>
          <w:tcPr>
            <w:tcW w:w="620" w:type="dxa"/>
            <w:vAlign w:val="bottom"/>
            <w:tcBorders>
              <w:bottom w:val="single" w:sz="8" w:color="0066BA"/>
            </w:tcBorders>
          </w:tcPr>
          <w:p>
            <w:pPr>
              <w:spacing w:after="0"/>
              <w:rPr>
                <w:sz w:val="21"/>
                <w:szCs w:val="21"/>
                <w:color w:val="auto"/>
              </w:rPr>
            </w:pPr>
          </w:p>
        </w:tc>
        <w:tc>
          <w:tcPr>
            <w:tcW w:w="3780" w:type="dxa"/>
            <w:vAlign w:val="bottom"/>
            <w:tcBorders>
              <w:bottom w:val="single" w:sz="8" w:color="0066BA"/>
            </w:tcBorders>
            <w:shd w:val="clear" w:color="auto" w:fill="EAEAEA"/>
          </w:tcPr>
          <w:p>
            <w:pPr>
              <w:spacing w:after="0"/>
              <w:rPr>
                <w:sz w:val="21"/>
                <w:szCs w:val="21"/>
                <w:color w:val="auto"/>
              </w:rPr>
            </w:pPr>
          </w:p>
        </w:tc>
        <w:tc>
          <w:tcPr>
            <w:tcW w:w="940" w:type="dxa"/>
            <w:vAlign w:val="bottom"/>
            <w:tcBorders>
              <w:bottom w:val="single" w:sz="8" w:color="0066BA"/>
            </w:tcBorders>
          </w:tcPr>
          <w:p>
            <w:pPr>
              <w:spacing w:after="0"/>
              <w:rPr>
                <w:sz w:val="21"/>
                <w:szCs w:val="21"/>
                <w:color w:val="auto"/>
              </w:rPr>
            </w:pPr>
          </w:p>
        </w:tc>
        <w:tc>
          <w:tcPr>
            <w:tcW w:w="700" w:type="dxa"/>
            <w:vAlign w:val="bottom"/>
            <w:tcBorders>
              <w:bottom w:val="single" w:sz="8" w:color="0066BA"/>
            </w:tcBorders>
            <w:shd w:val="clear" w:color="auto" w:fill="EAEAEA"/>
          </w:tcPr>
          <w:p>
            <w:pPr>
              <w:spacing w:after="0"/>
              <w:rPr>
                <w:sz w:val="21"/>
                <w:szCs w:val="21"/>
                <w:color w:val="auto"/>
              </w:rPr>
            </w:pPr>
          </w:p>
        </w:tc>
        <w:tc>
          <w:tcPr>
            <w:tcW w:w="1120" w:type="dxa"/>
            <w:vAlign w:val="bottom"/>
            <w:tcBorders>
              <w:bottom w:val="single" w:sz="8" w:color="0066BA"/>
            </w:tcBorders>
          </w:tcPr>
          <w:p>
            <w:pPr>
              <w:spacing w:after="0"/>
              <w:rPr>
                <w:sz w:val="21"/>
                <w:szCs w:val="21"/>
                <w:color w:val="auto"/>
              </w:rPr>
            </w:pPr>
          </w:p>
        </w:tc>
        <w:tc>
          <w:tcPr>
            <w:tcW w:w="0" w:type="dxa"/>
            <w:vAlign w:val="bottom"/>
          </w:tcPr>
          <w:p>
            <w:pPr>
              <w:spacing w:after="0"/>
              <w:rPr>
                <w:sz w:val="1"/>
                <w:szCs w:val="1"/>
                <w:color w:val="auto"/>
              </w:rPr>
            </w:pPr>
          </w:p>
        </w:tc>
      </w:tr>
      <w:tr>
        <w:trPr>
          <w:trHeight w:val="410"/>
        </w:trPr>
        <w:tc>
          <w:tcPr>
            <w:tcW w:w="3100" w:type="dxa"/>
            <w:vAlign w:val="bottom"/>
            <w:vMerge w:val="restart"/>
          </w:tcPr>
          <w:p>
            <w:pPr>
              <w:ind w:left="940"/>
              <w:spacing w:after="0"/>
              <w:rPr>
                <w:sz w:val="20"/>
                <w:szCs w:val="20"/>
                <w:color w:val="auto"/>
              </w:rPr>
            </w:pPr>
            <w:r>
              <w:rPr>
                <w:rFonts w:ascii="Arial" w:cs="Arial" w:eastAsia="Arial" w:hAnsi="Arial"/>
                <w:sz w:val="17"/>
                <w:szCs w:val="17"/>
                <w:b w:val="1"/>
                <w:bCs w:val="1"/>
                <w:color w:val="0066BA"/>
              </w:rPr>
              <w:t>Kenton J. Sicchitano</w:t>
            </w:r>
          </w:p>
        </w:tc>
        <w:tc>
          <w:tcPr>
            <w:tcW w:w="360" w:type="dxa"/>
            <w:vAlign w:val="bottom"/>
            <w:vMerge w:val="restart"/>
            <w:shd w:val="clear" w:color="auto" w:fill="EAEAEA"/>
          </w:tcPr>
          <w:p>
            <w:pPr>
              <w:jc w:val="right"/>
              <w:ind w:right="35"/>
              <w:spacing w:after="0"/>
              <w:rPr>
                <w:sz w:val="20"/>
                <w:szCs w:val="20"/>
                <w:color w:val="auto"/>
              </w:rPr>
            </w:pPr>
            <w:r>
              <w:rPr>
                <w:rFonts w:ascii="Arial" w:cs="Arial" w:eastAsia="Arial" w:hAnsi="Arial"/>
                <w:sz w:val="17"/>
                <w:szCs w:val="17"/>
                <w:color w:val="auto"/>
              </w:rPr>
              <w:t>76</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2003</w:t>
            </w:r>
          </w:p>
        </w:tc>
        <w:tc>
          <w:tcPr>
            <w:tcW w:w="3780" w:type="dxa"/>
            <w:vAlign w:val="bottom"/>
            <w:shd w:val="clear" w:color="auto" w:fill="EAEAEA"/>
          </w:tcPr>
          <w:p>
            <w:pPr>
              <w:ind w:left="80"/>
              <w:spacing w:after="0"/>
              <w:rPr>
                <w:sz w:val="20"/>
                <w:szCs w:val="20"/>
                <w:color w:val="auto"/>
              </w:rPr>
            </w:pPr>
            <w:r>
              <w:rPr>
                <w:rFonts w:ascii="Arial" w:cs="Arial" w:eastAsia="Arial" w:hAnsi="Arial"/>
                <w:sz w:val="17"/>
                <w:szCs w:val="17"/>
                <w:color w:val="auto"/>
              </w:rPr>
              <w:t>Former Global Managing Partner</w:t>
            </w:r>
          </w:p>
        </w:tc>
        <w:tc>
          <w:tcPr>
            <w:tcW w:w="940" w:type="dxa"/>
            <w:vAlign w:val="bottom"/>
          </w:tcPr>
          <w:p>
            <w:pPr>
              <w:spacing w:after="0"/>
              <w:rPr>
                <w:sz w:val="24"/>
                <w:szCs w:val="24"/>
                <w:color w:val="auto"/>
              </w:rPr>
            </w:pPr>
          </w:p>
        </w:tc>
        <w:tc>
          <w:tcPr>
            <w:tcW w:w="700" w:type="dxa"/>
            <w:vAlign w:val="bottom"/>
            <w:vMerge w:val="restart"/>
            <w:shd w:val="clear" w:color="auto" w:fill="EAEAEA"/>
          </w:tcPr>
          <w:p>
            <w:pPr>
              <w:ind w:left="60"/>
              <w:spacing w:after="0"/>
              <w:rPr>
                <w:sz w:val="20"/>
                <w:szCs w:val="20"/>
                <w:color w:val="auto"/>
              </w:rPr>
            </w:pPr>
            <w:r>
              <w:rPr>
                <w:rFonts w:ascii="Arial" w:cs="Arial" w:eastAsia="Arial" w:hAnsi="Arial"/>
                <w:sz w:val="17"/>
                <w:szCs w:val="17"/>
                <w:color w:val="auto"/>
              </w:rPr>
              <w:t>—</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auto"/>
              </w:rPr>
              <w:t>AC (Chair)</w:t>
            </w:r>
          </w:p>
        </w:tc>
        <w:tc>
          <w:tcPr>
            <w:tcW w:w="0" w:type="dxa"/>
            <w:vAlign w:val="bottom"/>
          </w:tcPr>
          <w:p>
            <w:pPr>
              <w:spacing w:after="0"/>
              <w:rPr>
                <w:sz w:val="1"/>
                <w:szCs w:val="1"/>
                <w:color w:val="auto"/>
              </w:rPr>
            </w:pPr>
          </w:p>
        </w:tc>
      </w:tr>
      <w:tr>
        <w:trPr>
          <w:trHeight w:val="116"/>
        </w:trPr>
        <w:tc>
          <w:tcPr>
            <w:tcW w:w="3100" w:type="dxa"/>
            <w:vAlign w:val="bottom"/>
            <w:vMerge w:val="continue"/>
          </w:tcPr>
          <w:p>
            <w:pPr>
              <w:spacing w:after="0"/>
              <w:rPr>
                <w:sz w:val="10"/>
                <w:szCs w:val="10"/>
                <w:color w:val="auto"/>
              </w:rPr>
            </w:pPr>
          </w:p>
        </w:tc>
        <w:tc>
          <w:tcPr>
            <w:tcW w:w="360" w:type="dxa"/>
            <w:vAlign w:val="bottom"/>
            <w:vMerge w:val="continue"/>
            <w:shd w:val="clear" w:color="auto" w:fill="EAEAEA"/>
          </w:tcPr>
          <w:p>
            <w:pPr>
              <w:spacing w:after="0"/>
              <w:rPr>
                <w:sz w:val="10"/>
                <w:szCs w:val="10"/>
                <w:color w:val="auto"/>
              </w:rPr>
            </w:pPr>
          </w:p>
        </w:tc>
        <w:tc>
          <w:tcPr>
            <w:tcW w:w="620" w:type="dxa"/>
            <w:vAlign w:val="bottom"/>
            <w:vMerge w:val="continue"/>
          </w:tcPr>
          <w:p>
            <w:pPr>
              <w:spacing w:after="0"/>
              <w:rPr>
                <w:sz w:val="10"/>
                <w:szCs w:val="10"/>
                <w:color w:val="auto"/>
              </w:rPr>
            </w:pPr>
          </w:p>
        </w:tc>
        <w:tc>
          <w:tcPr>
            <w:tcW w:w="3780" w:type="dxa"/>
            <w:vAlign w:val="bottom"/>
            <w:vMerge w:val="restart"/>
            <w:shd w:val="clear" w:color="auto" w:fill="EAEAEA"/>
          </w:tcPr>
          <w:p>
            <w:pPr>
              <w:ind w:left="80"/>
              <w:spacing w:after="0"/>
              <w:rPr>
                <w:sz w:val="20"/>
                <w:szCs w:val="20"/>
                <w:color w:val="auto"/>
              </w:rPr>
            </w:pPr>
            <w:r>
              <w:rPr>
                <w:rFonts w:ascii="Arial" w:cs="Arial" w:eastAsia="Arial" w:hAnsi="Arial"/>
                <w:sz w:val="17"/>
                <w:szCs w:val="17"/>
                <w:color w:val="auto"/>
              </w:rPr>
              <w:t>of PricewaterhouseCoopers LLP</w:t>
            </w:r>
          </w:p>
        </w:tc>
        <w:tc>
          <w:tcPr>
            <w:tcW w:w="940" w:type="dxa"/>
            <w:vAlign w:val="bottom"/>
          </w:tcPr>
          <w:p>
            <w:pPr>
              <w:spacing w:after="0"/>
              <w:rPr>
                <w:sz w:val="10"/>
                <w:szCs w:val="10"/>
                <w:color w:val="auto"/>
              </w:rPr>
            </w:pPr>
          </w:p>
        </w:tc>
        <w:tc>
          <w:tcPr>
            <w:tcW w:w="700" w:type="dxa"/>
            <w:vAlign w:val="bottom"/>
            <w:vMerge w:val="continue"/>
            <w:shd w:val="clear" w:color="auto" w:fill="EAEAEA"/>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360" w:type="dxa"/>
            <w:vAlign w:val="bottom"/>
            <w:shd w:val="clear" w:color="auto" w:fill="EAEAEA"/>
          </w:tcPr>
          <w:p>
            <w:pPr>
              <w:spacing w:after="0"/>
              <w:rPr>
                <w:sz w:val="9"/>
                <w:szCs w:val="9"/>
                <w:color w:val="auto"/>
              </w:rPr>
            </w:pPr>
          </w:p>
        </w:tc>
        <w:tc>
          <w:tcPr>
            <w:tcW w:w="620" w:type="dxa"/>
            <w:vAlign w:val="bottom"/>
          </w:tcPr>
          <w:p>
            <w:pPr>
              <w:spacing w:after="0"/>
              <w:rPr>
                <w:sz w:val="9"/>
                <w:szCs w:val="9"/>
                <w:color w:val="auto"/>
              </w:rPr>
            </w:pPr>
          </w:p>
        </w:tc>
        <w:tc>
          <w:tcPr>
            <w:tcW w:w="3780" w:type="dxa"/>
            <w:vAlign w:val="bottom"/>
            <w:vMerge w:val="continue"/>
            <w:shd w:val="clear" w:color="auto" w:fill="EAEAEA"/>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shd w:val="clear" w:color="auto" w:fill="EAEAEA"/>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3100" w:type="dxa"/>
            <w:vAlign w:val="bottom"/>
            <w:tcBorders>
              <w:bottom w:val="single" w:sz="8" w:color="0066BA"/>
            </w:tcBorders>
          </w:tcPr>
          <w:p>
            <w:pPr>
              <w:spacing w:after="0"/>
              <w:rPr>
                <w:sz w:val="21"/>
                <w:szCs w:val="21"/>
                <w:color w:val="auto"/>
              </w:rPr>
            </w:pPr>
          </w:p>
        </w:tc>
        <w:tc>
          <w:tcPr>
            <w:tcW w:w="360" w:type="dxa"/>
            <w:vAlign w:val="bottom"/>
            <w:tcBorders>
              <w:bottom w:val="single" w:sz="8" w:color="0066BA"/>
            </w:tcBorders>
            <w:shd w:val="clear" w:color="auto" w:fill="EAEAEA"/>
          </w:tcPr>
          <w:p>
            <w:pPr>
              <w:spacing w:after="0"/>
              <w:rPr>
                <w:sz w:val="21"/>
                <w:szCs w:val="21"/>
                <w:color w:val="auto"/>
              </w:rPr>
            </w:pPr>
          </w:p>
        </w:tc>
        <w:tc>
          <w:tcPr>
            <w:tcW w:w="620" w:type="dxa"/>
            <w:vAlign w:val="bottom"/>
            <w:tcBorders>
              <w:bottom w:val="single" w:sz="8" w:color="0066BA"/>
            </w:tcBorders>
          </w:tcPr>
          <w:p>
            <w:pPr>
              <w:spacing w:after="0"/>
              <w:rPr>
                <w:sz w:val="21"/>
                <w:szCs w:val="21"/>
                <w:color w:val="auto"/>
              </w:rPr>
            </w:pPr>
          </w:p>
        </w:tc>
        <w:tc>
          <w:tcPr>
            <w:tcW w:w="3780" w:type="dxa"/>
            <w:vAlign w:val="bottom"/>
            <w:tcBorders>
              <w:bottom w:val="single" w:sz="8" w:color="0066BA"/>
            </w:tcBorders>
            <w:shd w:val="clear" w:color="auto" w:fill="EAEAEA"/>
          </w:tcPr>
          <w:p>
            <w:pPr>
              <w:spacing w:after="0"/>
              <w:rPr>
                <w:sz w:val="21"/>
                <w:szCs w:val="21"/>
                <w:color w:val="auto"/>
              </w:rPr>
            </w:pPr>
          </w:p>
        </w:tc>
        <w:tc>
          <w:tcPr>
            <w:tcW w:w="940" w:type="dxa"/>
            <w:vAlign w:val="bottom"/>
            <w:tcBorders>
              <w:bottom w:val="single" w:sz="8" w:color="0066BA"/>
            </w:tcBorders>
          </w:tcPr>
          <w:p>
            <w:pPr>
              <w:spacing w:after="0"/>
              <w:rPr>
                <w:sz w:val="21"/>
                <w:szCs w:val="21"/>
                <w:color w:val="auto"/>
              </w:rPr>
            </w:pPr>
          </w:p>
        </w:tc>
        <w:tc>
          <w:tcPr>
            <w:tcW w:w="700" w:type="dxa"/>
            <w:vAlign w:val="bottom"/>
            <w:tcBorders>
              <w:bottom w:val="single" w:sz="8" w:color="0066BA"/>
            </w:tcBorders>
            <w:shd w:val="clear" w:color="auto" w:fill="EAEAEA"/>
          </w:tcPr>
          <w:p>
            <w:pPr>
              <w:spacing w:after="0"/>
              <w:rPr>
                <w:sz w:val="21"/>
                <w:szCs w:val="21"/>
                <w:color w:val="auto"/>
              </w:rPr>
            </w:pPr>
          </w:p>
        </w:tc>
        <w:tc>
          <w:tcPr>
            <w:tcW w:w="1120" w:type="dxa"/>
            <w:vAlign w:val="bottom"/>
            <w:tcBorders>
              <w:bottom w:val="single" w:sz="8" w:color="0066BA"/>
            </w:tcBorders>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3100" w:type="dxa"/>
            <w:vAlign w:val="bottom"/>
            <w:vMerge w:val="restart"/>
          </w:tcPr>
          <w:p>
            <w:pPr>
              <w:ind w:left="940"/>
              <w:spacing w:after="0"/>
              <w:rPr>
                <w:sz w:val="20"/>
                <w:szCs w:val="20"/>
                <w:color w:val="auto"/>
              </w:rPr>
            </w:pPr>
            <w:r>
              <w:rPr>
                <w:rFonts w:ascii="Arial" w:cs="Arial" w:eastAsia="Arial" w:hAnsi="Arial"/>
                <w:sz w:val="17"/>
                <w:szCs w:val="17"/>
                <w:b w:val="1"/>
                <w:bCs w:val="1"/>
                <w:color w:val="0066BA"/>
              </w:rPr>
              <w:t>Susie Wee</w:t>
            </w:r>
          </w:p>
        </w:tc>
        <w:tc>
          <w:tcPr>
            <w:tcW w:w="360" w:type="dxa"/>
            <w:vAlign w:val="bottom"/>
            <w:shd w:val="clear" w:color="auto" w:fill="EAEAEA"/>
          </w:tcPr>
          <w:p>
            <w:pPr>
              <w:spacing w:after="0"/>
              <w:rPr>
                <w:sz w:val="24"/>
                <w:szCs w:val="24"/>
                <w:color w:val="auto"/>
              </w:rPr>
            </w:pPr>
          </w:p>
        </w:tc>
        <w:tc>
          <w:tcPr>
            <w:tcW w:w="620" w:type="dxa"/>
            <w:vAlign w:val="bottom"/>
          </w:tcPr>
          <w:p>
            <w:pPr>
              <w:spacing w:after="0"/>
              <w:rPr>
                <w:sz w:val="24"/>
                <w:szCs w:val="24"/>
                <w:color w:val="auto"/>
              </w:rPr>
            </w:pPr>
          </w:p>
        </w:tc>
        <w:tc>
          <w:tcPr>
            <w:tcW w:w="3780" w:type="dxa"/>
            <w:vAlign w:val="bottom"/>
            <w:shd w:val="clear" w:color="auto" w:fill="EAEAEA"/>
          </w:tcPr>
          <w:p>
            <w:pPr>
              <w:ind w:left="80"/>
              <w:spacing w:after="0"/>
              <w:rPr>
                <w:sz w:val="20"/>
                <w:szCs w:val="20"/>
                <w:color w:val="auto"/>
              </w:rPr>
            </w:pPr>
            <w:r>
              <w:rPr>
                <w:rFonts w:ascii="Arial" w:cs="Arial" w:eastAsia="Arial" w:hAnsi="Arial"/>
                <w:sz w:val="17"/>
                <w:szCs w:val="17"/>
                <w:color w:val="auto"/>
              </w:rPr>
              <w:t>Senior Vice President and General</w:t>
            </w:r>
          </w:p>
        </w:tc>
        <w:tc>
          <w:tcPr>
            <w:tcW w:w="940" w:type="dxa"/>
            <w:vAlign w:val="bottom"/>
          </w:tcPr>
          <w:p>
            <w:pPr>
              <w:spacing w:after="0"/>
              <w:rPr>
                <w:sz w:val="24"/>
                <w:szCs w:val="24"/>
                <w:color w:val="auto"/>
              </w:rPr>
            </w:pPr>
          </w:p>
        </w:tc>
        <w:tc>
          <w:tcPr>
            <w:tcW w:w="700" w:type="dxa"/>
            <w:vAlign w:val="bottom"/>
            <w:shd w:val="clear" w:color="auto" w:fill="EAEAEA"/>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100" w:type="dxa"/>
            <w:vAlign w:val="bottom"/>
            <w:vMerge w:val="continue"/>
          </w:tcPr>
          <w:p>
            <w:pPr>
              <w:spacing w:after="0"/>
              <w:rPr>
                <w:sz w:val="18"/>
                <w:szCs w:val="18"/>
                <w:color w:val="auto"/>
              </w:rPr>
            </w:pPr>
          </w:p>
        </w:tc>
        <w:tc>
          <w:tcPr>
            <w:tcW w:w="360" w:type="dxa"/>
            <w:vAlign w:val="bottom"/>
            <w:shd w:val="clear" w:color="auto" w:fill="EAEAEA"/>
          </w:tcPr>
          <w:p>
            <w:pPr>
              <w:jc w:val="right"/>
              <w:ind w:right="35"/>
              <w:spacing w:after="0"/>
              <w:rPr>
                <w:sz w:val="20"/>
                <w:szCs w:val="20"/>
                <w:color w:val="auto"/>
              </w:rPr>
            </w:pPr>
            <w:r>
              <w:rPr>
                <w:rFonts w:ascii="Arial" w:cs="Arial" w:eastAsia="Arial" w:hAnsi="Arial"/>
                <w:sz w:val="17"/>
                <w:szCs w:val="17"/>
                <w:color w:val="auto"/>
              </w:rPr>
              <w:t>51</w:t>
            </w:r>
          </w:p>
        </w:tc>
        <w:tc>
          <w:tcPr>
            <w:tcW w:w="620" w:type="dxa"/>
            <w:vAlign w:val="bottom"/>
          </w:tcPr>
          <w:p>
            <w:pPr>
              <w:ind w:left="80"/>
              <w:spacing w:after="0"/>
              <w:rPr>
                <w:sz w:val="20"/>
                <w:szCs w:val="20"/>
                <w:color w:val="auto"/>
              </w:rPr>
            </w:pPr>
            <w:r>
              <w:rPr>
                <w:rFonts w:ascii="Arial" w:cs="Arial" w:eastAsia="Arial" w:hAnsi="Arial"/>
                <w:sz w:val="17"/>
                <w:szCs w:val="17"/>
                <w:color w:val="auto"/>
              </w:rPr>
              <w:t>2019</w:t>
            </w:r>
          </w:p>
        </w:tc>
        <w:tc>
          <w:tcPr>
            <w:tcW w:w="3780" w:type="dxa"/>
            <w:vAlign w:val="bottom"/>
            <w:shd w:val="clear" w:color="auto" w:fill="EAEAEA"/>
          </w:tcPr>
          <w:p>
            <w:pPr>
              <w:ind w:left="80"/>
              <w:spacing w:after="0"/>
              <w:rPr>
                <w:sz w:val="20"/>
                <w:szCs w:val="20"/>
                <w:color w:val="auto"/>
              </w:rPr>
            </w:pPr>
            <w:r>
              <w:rPr>
                <w:rFonts w:ascii="Arial" w:cs="Arial" w:eastAsia="Arial" w:hAnsi="Arial"/>
                <w:sz w:val="17"/>
                <w:szCs w:val="17"/>
                <w:color w:val="auto"/>
              </w:rPr>
              <w:t>Manager of DevNet and CX Ecosystem</w:t>
            </w:r>
          </w:p>
        </w:tc>
        <w:tc>
          <w:tcPr>
            <w:tcW w:w="940" w:type="dxa"/>
            <w:vAlign w:val="bottom"/>
          </w:tcPr>
          <w:p>
            <w:pPr>
              <w:spacing w:after="0"/>
              <w:rPr>
                <w:sz w:val="18"/>
                <w:szCs w:val="18"/>
                <w:color w:val="auto"/>
              </w:rPr>
            </w:pPr>
          </w:p>
        </w:tc>
        <w:tc>
          <w:tcPr>
            <w:tcW w:w="700" w:type="dxa"/>
            <w:vAlign w:val="bottom"/>
            <w:shd w:val="clear" w:color="auto" w:fill="EAEAEA"/>
          </w:tcPr>
          <w:p>
            <w:pPr>
              <w:ind w:left="60"/>
              <w:spacing w:after="0"/>
              <w:rPr>
                <w:sz w:val="20"/>
                <w:szCs w:val="20"/>
                <w:color w:val="auto"/>
              </w:rPr>
            </w:pPr>
            <w:r>
              <w:rPr>
                <w:rFonts w:ascii="Arial" w:cs="Arial" w:eastAsia="Arial" w:hAnsi="Arial"/>
                <w:sz w:val="17"/>
                <w:szCs w:val="17"/>
                <w:color w:val="auto"/>
              </w:rPr>
              <w:t>—</w:t>
            </w:r>
          </w:p>
        </w:tc>
        <w:tc>
          <w:tcPr>
            <w:tcW w:w="1120" w:type="dxa"/>
            <w:vAlign w:val="bottom"/>
          </w:tcPr>
          <w:p>
            <w:pPr>
              <w:ind w:left="80"/>
              <w:spacing w:after="0"/>
              <w:rPr>
                <w:sz w:val="20"/>
                <w:szCs w:val="20"/>
                <w:color w:val="auto"/>
              </w:rPr>
            </w:pPr>
            <w:r>
              <w:rPr>
                <w:rFonts w:ascii="Arial" w:cs="Arial" w:eastAsia="Arial" w:hAnsi="Arial"/>
                <w:sz w:val="17"/>
                <w:szCs w:val="17"/>
                <w:color w:val="auto"/>
              </w:rPr>
              <w:t>CC</w:t>
            </w:r>
          </w:p>
        </w:tc>
        <w:tc>
          <w:tcPr>
            <w:tcW w:w="0" w:type="dxa"/>
            <w:vAlign w:val="bottom"/>
          </w:tcPr>
          <w:p>
            <w:pPr>
              <w:spacing w:after="0"/>
              <w:rPr>
                <w:sz w:val="1"/>
                <w:szCs w:val="1"/>
                <w:color w:val="auto"/>
              </w:rPr>
            </w:pPr>
          </w:p>
        </w:tc>
      </w:tr>
      <w:tr>
        <w:trPr>
          <w:trHeight w:val="221"/>
        </w:trPr>
        <w:tc>
          <w:tcPr>
            <w:tcW w:w="3100" w:type="dxa"/>
            <w:vAlign w:val="bottom"/>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620" w:type="dxa"/>
            <w:vAlign w:val="bottom"/>
          </w:tcPr>
          <w:p>
            <w:pPr>
              <w:spacing w:after="0"/>
              <w:rPr>
                <w:sz w:val="19"/>
                <w:szCs w:val="19"/>
                <w:color w:val="auto"/>
              </w:rPr>
            </w:pPr>
          </w:p>
        </w:tc>
        <w:tc>
          <w:tcPr>
            <w:tcW w:w="3780" w:type="dxa"/>
            <w:vAlign w:val="bottom"/>
            <w:shd w:val="clear" w:color="auto" w:fill="EAEAEA"/>
          </w:tcPr>
          <w:p>
            <w:pPr>
              <w:ind w:left="80"/>
              <w:spacing w:after="0"/>
              <w:rPr>
                <w:sz w:val="20"/>
                <w:szCs w:val="20"/>
                <w:color w:val="auto"/>
              </w:rPr>
            </w:pPr>
            <w:r>
              <w:rPr>
                <w:rFonts w:ascii="Arial" w:cs="Arial" w:eastAsia="Arial" w:hAnsi="Arial"/>
                <w:sz w:val="17"/>
                <w:szCs w:val="17"/>
                <w:color w:val="auto"/>
              </w:rPr>
              <w:t>Success at Cisco Systems</w:t>
            </w:r>
          </w:p>
        </w:tc>
        <w:tc>
          <w:tcPr>
            <w:tcW w:w="940" w:type="dxa"/>
            <w:vAlign w:val="bottom"/>
          </w:tcPr>
          <w:p>
            <w:pPr>
              <w:spacing w:after="0"/>
              <w:rPr>
                <w:sz w:val="19"/>
                <w:szCs w:val="19"/>
                <w:color w:val="auto"/>
              </w:rPr>
            </w:pPr>
          </w:p>
        </w:tc>
        <w:tc>
          <w:tcPr>
            <w:tcW w:w="700" w:type="dxa"/>
            <w:vAlign w:val="bottom"/>
            <w:shd w:val="clear" w:color="auto" w:fill="EAEAEA"/>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3100" w:type="dxa"/>
            <w:vAlign w:val="bottom"/>
            <w:tcBorders>
              <w:bottom w:val="single" w:sz="8" w:color="0066BA"/>
            </w:tcBorders>
          </w:tcPr>
          <w:p>
            <w:pPr>
              <w:spacing w:after="0"/>
              <w:rPr>
                <w:sz w:val="12"/>
                <w:szCs w:val="12"/>
                <w:color w:val="auto"/>
              </w:rPr>
            </w:pPr>
          </w:p>
        </w:tc>
        <w:tc>
          <w:tcPr>
            <w:tcW w:w="360" w:type="dxa"/>
            <w:vAlign w:val="bottom"/>
            <w:tcBorders>
              <w:bottom w:val="single" w:sz="8" w:color="0066BA"/>
            </w:tcBorders>
            <w:shd w:val="clear" w:color="auto" w:fill="EAEAEA"/>
          </w:tcPr>
          <w:p>
            <w:pPr>
              <w:spacing w:after="0"/>
              <w:rPr>
                <w:sz w:val="12"/>
                <w:szCs w:val="12"/>
                <w:color w:val="auto"/>
              </w:rPr>
            </w:pPr>
          </w:p>
        </w:tc>
        <w:tc>
          <w:tcPr>
            <w:tcW w:w="620" w:type="dxa"/>
            <w:vAlign w:val="bottom"/>
            <w:tcBorders>
              <w:bottom w:val="single" w:sz="8" w:color="0066BA"/>
            </w:tcBorders>
          </w:tcPr>
          <w:p>
            <w:pPr>
              <w:spacing w:after="0"/>
              <w:rPr>
                <w:sz w:val="12"/>
                <w:szCs w:val="12"/>
                <w:color w:val="auto"/>
              </w:rPr>
            </w:pPr>
          </w:p>
        </w:tc>
        <w:tc>
          <w:tcPr>
            <w:tcW w:w="3780" w:type="dxa"/>
            <w:vAlign w:val="bottom"/>
            <w:tcBorders>
              <w:bottom w:val="single" w:sz="8" w:color="0066BA"/>
            </w:tcBorders>
            <w:shd w:val="clear" w:color="auto" w:fill="EAEAEA"/>
          </w:tcPr>
          <w:p>
            <w:pPr>
              <w:spacing w:after="0"/>
              <w:rPr>
                <w:sz w:val="12"/>
                <w:szCs w:val="12"/>
                <w:color w:val="auto"/>
              </w:rPr>
            </w:pPr>
          </w:p>
        </w:tc>
        <w:tc>
          <w:tcPr>
            <w:tcW w:w="940" w:type="dxa"/>
            <w:vAlign w:val="bottom"/>
            <w:tcBorders>
              <w:bottom w:val="single" w:sz="8" w:color="0066BA"/>
            </w:tcBorders>
          </w:tcPr>
          <w:p>
            <w:pPr>
              <w:spacing w:after="0"/>
              <w:rPr>
                <w:sz w:val="12"/>
                <w:szCs w:val="12"/>
                <w:color w:val="auto"/>
              </w:rPr>
            </w:pPr>
          </w:p>
        </w:tc>
        <w:tc>
          <w:tcPr>
            <w:tcW w:w="700" w:type="dxa"/>
            <w:vAlign w:val="bottom"/>
            <w:tcBorders>
              <w:bottom w:val="single" w:sz="8" w:color="0066BA"/>
            </w:tcBorders>
            <w:shd w:val="clear" w:color="auto" w:fill="EAEAEA"/>
          </w:tcPr>
          <w:p>
            <w:pPr>
              <w:spacing w:after="0"/>
              <w:rPr>
                <w:sz w:val="12"/>
                <w:szCs w:val="12"/>
                <w:color w:val="auto"/>
              </w:rPr>
            </w:pPr>
          </w:p>
        </w:tc>
        <w:tc>
          <w:tcPr>
            <w:tcW w:w="1120" w:type="dxa"/>
            <w:vAlign w:val="bottom"/>
            <w:tcBorders>
              <w:bottom w:val="single" w:sz="8" w:color="0066B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-6236335</wp:posOffset>
            </wp:positionV>
            <wp:extent cx="437515" cy="437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7515" cy="43751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-5666105</wp:posOffset>
            </wp:positionV>
            <wp:extent cx="437515" cy="437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7515" cy="43751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-5096510</wp:posOffset>
            </wp:positionV>
            <wp:extent cx="437515" cy="4457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7515" cy="445770"/>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-4906010</wp:posOffset>
            </wp:positionV>
            <wp:extent cx="66040" cy="577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-4509770</wp:posOffset>
            </wp:positionV>
            <wp:extent cx="437515" cy="437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7515" cy="437515"/>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-4319905</wp:posOffset>
            </wp:positionV>
            <wp:extent cx="66040" cy="577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-3931285</wp:posOffset>
            </wp:positionV>
            <wp:extent cx="437515" cy="437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7515" cy="437515"/>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-3741420</wp:posOffset>
            </wp:positionV>
            <wp:extent cx="66040" cy="577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-3361690</wp:posOffset>
            </wp:positionV>
            <wp:extent cx="437515" cy="43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7515" cy="437515"/>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-3171190</wp:posOffset>
            </wp:positionV>
            <wp:extent cx="66040" cy="577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-2791460</wp:posOffset>
            </wp:positionV>
            <wp:extent cx="437515" cy="437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7515" cy="437515"/>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-2601595</wp:posOffset>
            </wp:positionV>
            <wp:extent cx="66040" cy="577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-2221230</wp:posOffset>
            </wp:positionV>
            <wp:extent cx="437515" cy="437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7515" cy="437515"/>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-2031365</wp:posOffset>
            </wp:positionV>
            <wp:extent cx="66040" cy="577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-1651635</wp:posOffset>
            </wp:positionV>
            <wp:extent cx="437515" cy="437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7515" cy="437515"/>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-1461770</wp:posOffset>
            </wp:positionV>
            <wp:extent cx="66040" cy="577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-1081405</wp:posOffset>
            </wp:positionV>
            <wp:extent cx="437515" cy="437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7515" cy="437515"/>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-891540</wp:posOffset>
            </wp:positionV>
            <wp:extent cx="66040" cy="577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-511810</wp:posOffset>
            </wp:positionV>
            <wp:extent cx="437515" cy="437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7515" cy="437515"/>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-321310</wp:posOffset>
            </wp:positionV>
            <wp:extent cx="66040" cy="577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040" cy="57785"/>
                    </a:xfrm>
                    <a:prstGeom prst="rect">
                      <a:avLst/>
                    </a:prstGeom>
                    <a:noFill/>
                  </pic:spPr>
                </pic:pic>
              </a:graphicData>
            </a:graphic>
          </wp:anchor>
        </w:drawing>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3"/>
          <w:szCs w:val="13"/>
          <w:i w:val="1"/>
          <w:iCs w:val="1"/>
          <w:color w:val="auto"/>
        </w:rPr>
        <w:t>AC = Audit Committee CC = Compensation Committee NCGC =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95885</wp:posOffset>
            </wp:positionV>
            <wp:extent cx="140335" cy="908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0335" cy="908685"/>
                    </a:xfrm>
                    <a:prstGeom prst="rect">
                      <a:avLst/>
                    </a:prstGeom>
                    <a:noFill/>
                  </pic:spPr>
                </pic:pic>
              </a:graphicData>
            </a:graphic>
          </wp:anchor>
        </w:drawing>
      </w:r>
    </w:p>
    <w:p>
      <w:pPr>
        <w:sectPr>
          <w:pgSz w:w="11900" w:h="16838" w:orient="portrait"/>
          <w:cols w:equalWidth="0" w:num="1">
            <w:col w:w="10940"/>
          </w:cols>
          <w:pgMar w:left="320" w:top="447" w:right="639" w:bottom="5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940"/>
          </w:cols>
          <w:pgMar w:left="320" w:top="447" w:right="639" w:bottom="581" w:gutter="0" w:footer="0" w:header="0"/>
          <w:type w:val="continuous"/>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Board Composition</w:t>
      </w:r>
    </w:p>
    <w:p>
      <w:pPr>
        <w:spacing w:after="0" w:line="124" w:lineRule="exact"/>
        <w:rPr>
          <w:sz w:val="20"/>
          <w:szCs w:val="20"/>
          <w:color w:val="auto"/>
        </w:rPr>
      </w:pPr>
    </w:p>
    <w:p>
      <w:pPr>
        <w:jc w:val="both"/>
        <w:ind w:left="320" w:right="260"/>
        <w:spacing w:after="0" w:line="295" w:lineRule="auto"/>
        <w:rPr>
          <w:sz w:val="20"/>
          <w:szCs w:val="20"/>
          <w:color w:val="auto"/>
        </w:rPr>
      </w:pPr>
      <w:r>
        <w:rPr>
          <w:rFonts w:ascii="Arial" w:cs="Arial" w:eastAsia="Arial" w:hAnsi="Arial"/>
          <w:sz w:val="16"/>
          <w:szCs w:val="16"/>
          <w:color w:val="auto"/>
        </w:rPr>
        <w:t>The Board of Directors and the Nominating and Corporate Governance Committee are committed to ensuring that the Board is comprised of a highly capable group of directors who collectively provide a significant breadth of experience, knowledge and ability to effectively represent the interest of shareholders, drive shareholder value and reflect our corporate values of integrity, honesty and adherence to high ethical standards.</w:t>
      </w:r>
    </w:p>
    <w:p>
      <w:pPr>
        <w:spacing w:after="0" w:line="194" w:lineRule="exact"/>
        <w:rPr>
          <w:sz w:val="20"/>
          <w:szCs w:val="20"/>
          <w:color w:val="auto"/>
        </w:rPr>
      </w:pPr>
    </w:p>
    <w:tbl>
      <w:tblPr>
        <w:tblLayout w:type="fixed"/>
        <w:tblInd w:w="320" w:type="dxa"/>
        <w:tblCellMar>
          <w:top w:w="0" w:type="dxa"/>
          <w:left w:w="0" w:type="dxa"/>
          <w:bottom w:w="0" w:type="dxa"/>
          <w:right w:w="0" w:type="dxa"/>
        </w:tblCellMar>
      </w:tblPr>
      <w:tr>
        <w:trPr>
          <w:trHeight w:val="396"/>
        </w:trPr>
        <w:tc>
          <w:tcPr>
            <w:tcW w:w="2120" w:type="dxa"/>
            <w:vAlign w:val="bottom"/>
          </w:tcPr>
          <w:p>
            <w:pPr>
              <w:spacing w:after="0"/>
              <w:rPr>
                <w:sz w:val="20"/>
                <w:szCs w:val="20"/>
                <w:color w:val="auto"/>
              </w:rPr>
            </w:pPr>
            <w:r>
              <w:rPr>
                <w:rFonts w:ascii="Arial" w:cs="Arial" w:eastAsia="Arial" w:hAnsi="Arial"/>
                <w:sz w:val="33"/>
                <w:szCs w:val="33"/>
                <w:color w:val="0066BA"/>
              </w:rPr>
              <w:t>45%</w:t>
            </w:r>
          </w:p>
        </w:tc>
        <w:tc>
          <w:tcPr>
            <w:tcW w:w="2800" w:type="dxa"/>
            <w:vAlign w:val="bottom"/>
          </w:tcPr>
          <w:p>
            <w:pPr>
              <w:ind w:left="640"/>
              <w:spacing w:after="0"/>
              <w:rPr>
                <w:sz w:val="20"/>
                <w:szCs w:val="20"/>
                <w:color w:val="auto"/>
              </w:rPr>
            </w:pPr>
            <w:r>
              <w:rPr>
                <w:rFonts w:ascii="Arial" w:cs="Arial" w:eastAsia="Arial" w:hAnsi="Arial"/>
                <w:sz w:val="33"/>
                <w:szCs w:val="33"/>
                <w:color w:val="0066BA"/>
              </w:rPr>
              <w:t>97%</w:t>
            </w:r>
          </w:p>
        </w:tc>
        <w:tc>
          <w:tcPr>
            <w:tcW w:w="2460" w:type="dxa"/>
            <w:vAlign w:val="bottom"/>
          </w:tcPr>
          <w:p>
            <w:pPr>
              <w:ind w:left="600"/>
              <w:spacing w:after="0"/>
              <w:rPr>
                <w:sz w:val="20"/>
                <w:szCs w:val="20"/>
                <w:color w:val="auto"/>
              </w:rPr>
            </w:pPr>
            <w:r>
              <w:rPr>
                <w:rFonts w:ascii="Arial" w:cs="Arial" w:eastAsia="Arial" w:hAnsi="Arial"/>
                <w:sz w:val="33"/>
                <w:szCs w:val="33"/>
                <w:color w:val="0066BA"/>
              </w:rPr>
              <w:t>31</w:t>
            </w:r>
          </w:p>
        </w:tc>
        <w:tc>
          <w:tcPr>
            <w:tcW w:w="2060" w:type="dxa"/>
            <w:vAlign w:val="bottom"/>
          </w:tcPr>
          <w:p>
            <w:pPr>
              <w:ind w:left="900"/>
              <w:spacing w:after="0"/>
              <w:rPr>
                <w:sz w:val="20"/>
                <w:szCs w:val="20"/>
                <w:color w:val="auto"/>
              </w:rPr>
            </w:pPr>
            <w:r>
              <w:rPr>
                <w:rFonts w:ascii="Arial" w:cs="Arial" w:eastAsia="Arial" w:hAnsi="Arial"/>
                <w:sz w:val="33"/>
                <w:szCs w:val="33"/>
                <w:color w:val="0066BA"/>
              </w:rPr>
              <w:t>9 of 11</w:t>
            </w:r>
          </w:p>
        </w:tc>
      </w:tr>
      <w:tr>
        <w:trPr>
          <w:trHeight w:val="263"/>
        </w:trPr>
        <w:tc>
          <w:tcPr>
            <w:tcW w:w="2120" w:type="dxa"/>
            <w:vAlign w:val="bottom"/>
          </w:tcPr>
          <w:p>
            <w:pPr>
              <w:spacing w:after="0"/>
              <w:rPr>
                <w:sz w:val="20"/>
                <w:szCs w:val="20"/>
                <w:color w:val="auto"/>
              </w:rPr>
            </w:pPr>
            <w:r>
              <w:rPr>
                <w:rFonts w:ascii="Arial" w:cs="Arial" w:eastAsia="Arial" w:hAnsi="Arial"/>
                <w:sz w:val="19"/>
                <w:szCs w:val="19"/>
                <w:color w:val="auto"/>
              </w:rPr>
              <w:t>of director</w:t>
            </w:r>
          </w:p>
        </w:tc>
        <w:tc>
          <w:tcPr>
            <w:tcW w:w="2800" w:type="dxa"/>
            <w:vAlign w:val="bottom"/>
          </w:tcPr>
          <w:p>
            <w:pPr>
              <w:ind w:left="640"/>
              <w:spacing w:after="0"/>
              <w:rPr>
                <w:sz w:val="20"/>
                <w:szCs w:val="20"/>
                <w:color w:val="auto"/>
              </w:rPr>
            </w:pPr>
            <w:r>
              <w:rPr>
                <w:rFonts w:ascii="Arial" w:cs="Arial" w:eastAsia="Arial" w:hAnsi="Arial"/>
                <w:sz w:val="19"/>
                <w:szCs w:val="19"/>
                <w:color w:val="auto"/>
              </w:rPr>
              <w:t>overall attendance</w:t>
            </w:r>
          </w:p>
        </w:tc>
        <w:tc>
          <w:tcPr>
            <w:tcW w:w="2460" w:type="dxa"/>
            <w:vAlign w:val="bottom"/>
          </w:tcPr>
          <w:p>
            <w:pPr>
              <w:ind w:left="600"/>
              <w:spacing w:after="0"/>
              <w:rPr>
                <w:sz w:val="20"/>
                <w:szCs w:val="20"/>
                <w:color w:val="auto"/>
              </w:rPr>
            </w:pPr>
            <w:r>
              <w:rPr>
                <w:rFonts w:ascii="Arial" w:cs="Arial" w:eastAsia="Arial" w:hAnsi="Arial"/>
                <w:sz w:val="19"/>
                <w:szCs w:val="19"/>
                <w:color w:val="auto"/>
              </w:rPr>
              <w:t>Board and</w:t>
            </w:r>
          </w:p>
        </w:tc>
        <w:tc>
          <w:tcPr>
            <w:tcW w:w="2060" w:type="dxa"/>
            <w:vAlign w:val="bottom"/>
          </w:tcPr>
          <w:p>
            <w:pPr>
              <w:ind w:left="900"/>
              <w:spacing w:after="0"/>
              <w:rPr>
                <w:sz w:val="20"/>
                <w:szCs w:val="20"/>
                <w:color w:val="auto"/>
              </w:rPr>
            </w:pPr>
            <w:r>
              <w:rPr>
                <w:rFonts w:ascii="Arial" w:cs="Arial" w:eastAsia="Arial" w:hAnsi="Arial"/>
                <w:sz w:val="19"/>
                <w:szCs w:val="19"/>
                <w:color w:val="auto"/>
              </w:rPr>
              <w:t>director</w:t>
            </w:r>
          </w:p>
        </w:tc>
      </w:tr>
      <w:tr>
        <w:trPr>
          <w:trHeight w:val="208"/>
        </w:trPr>
        <w:tc>
          <w:tcPr>
            <w:tcW w:w="2120" w:type="dxa"/>
            <w:vAlign w:val="bottom"/>
          </w:tcPr>
          <w:p>
            <w:pPr>
              <w:spacing w:after="0" w:line="208" w:lineRule="exact"/>
              <w:rPr>
                <w:sz w:val="20"/>
                <w:szCs w:val="20"/>
                <w:color w:val="auto"/>
              </w:rPr>
            </w:pPr>
            <w:r>
              <w:rPr>
                <w:rFonts w:ascii="Arial" w:cs="Arial" w:eastAsia="Arial" w:hAnsi="Arial"/>
                <w:sz w:val="19"/>
                <w:szCs w:val="19"/>
                <w:color w:val="auto"/>
              </w:rPr>
              <w:t>nominees added</w:t>
            </w:r>
          </w:p>
        </w:tc>
        <w:tc>
          <w:tcPr>
            <w:tcW w:w="2800" w:type="dxa"/>
            <w:vAlign w:val="bottom"/>
          </w:tcPr>
          <w:p>
            <w:pPr>
              <w:ind w:left="640"/>
              <w:spacing w:after="0" w:line="208" w:lineRule="exact"/>
              <w:rPr>
                <w:sz w:val="20"/>
                <w:szCs w:val="20"/>
                <w:color w:val="auto"/>
              </w:rPr>
            </w:pPr>
            <w:r>
              <w:rPr>
                <w:rFonts w:ascii="Arial" w:cs="Arial" w:eastAsia="Arial" w:hAnsi="Arial"/>
                <w:sz w:val="19"/>
                <w:szCs w:val="19"/>
                <w:color w:val="auto"/>
              </w:rPr>
              <w:t>at Board and</w:t>
            </w:r>
          </w:p>
        </w:tc>
        <w:tc>
          <w:tcPr>
            <w:tcW w:w="2460" w:type="dxa"/>
            <w:vAlign w:val="bottom"/>
          </w:tcPr>
          <w:p>
            <w:pPr>
              <w:ind w:left="600"/>
              <w:spacing w:after="0" w:line="208" w:lineRule="exact"/>
              <w:rPr>
                <w:sz w:val="20"/>
                <w:szCs w:val="20"/>
                <w:color w:val="auto"/>
              </w:rPr>
            </w:pPr>
            <w:r>
              <w:rPr>
                <w:rFonts w:ascii="Arial" w:cs="Arial" w:eastAsia="Arial" w:hAnsi="Arial"/>
                <w:sz w:val="19"/>
                <w:szCs w:val="19"/>
                <w:color w:val="auto"/>
              </w:rPr>
              <w:t>Committee</w:t>
            </w:r>
          </w:p>
        </w:tc>
        <w:tc>
          <w:tcPr>
            <w:tcW w:w="2060" w:type="dxa"/>
            <w:vAlign w:val="bottom"/>
          </w:tcPr>
          <w:p>
            <w:pPr>
              <w:ind w:left="900"/>
              <w:spacing w:after="0" w:line="208" w:lineRule="exact"/>
              <w:rPr>
                <w:sz w:val="20"/>
                <w:szCs w:val="20"/>
                <w:color w:val="auto"/>
              </w:rPr>
            </w:pPr>
            <w:r>
              <w:rPr>
                <w:rFonts w:ascii="Arial" w:cs="Arial" w:eastAsia="Arial" w:hAnsi="Arial"/>
                <w:sz w:val="19"/>
                <w:szCs w:val="19"/>
                <w:color w:val="auto"/>
                <w:w w:val="99"/>
              </w:rPr>
              <w:t>nominees are</w:t>
            </w:r>
          </w:p>
        </w:tc>
      </w:tr>
      <w:tr>
        <w:trPr>
          <w:trHeight w:val="208"/>
        </w:trPr>
        <w:tc>
          <w:tcPr>
            <w:tcW w:w="2120" w:type="dxa"/>
            <w:vAlign w:val="bottom"/>
          </w:tcPr>
          <w:p>
            <w:pPr>
              <w:spacing w:after="0" w:line="208" w:lineRule="exact"/>
              <w:rPr>
                <w:sz w:val="20"/>
                <w:szCs w:val="20"/>
                <w:color w:val="auto"/>
              </w:rPr>
            </w:pPr>
            <w:r>
              <w:rPr>
                <w:rFonts w:ascii="Arial" w:cs="Arial" w:eastAsia="Arial" w:hAnsi="Arial"/>
                <w:sz w:val="19"/>
                <w:szCs w:val="19"/>
                <w:color w:val="auto"/>
              </w:rPr>
              <w:t>in the last 5 years</w:t>
            </w:r>
          </w:p>
        </w:tc>
        <w:tc>
          <w:tcPr>
            <w:tcW w:w="2800" w:type="dxa"/>
            <w:vAlign w:val="bottom"/>
          </w:tcPr>
          <w:p>
            <w:pPr>
              <w:ind w:left="640"/>
              <w:spacing w:after="0" w:line="208" w:lineRule="exact"/>
              <w:rPr>
                <w:sz w:val="20"/>
                <w:szCs w:val="20"/>
                <w:color w:val="auto"/>
              </w:rPr>
            </w:pPr>
            <w:r>
              <w:rPr>
                <w:rFonts w:ascii="Arial" w:cs="Arial" w:eastAsia="Arial" w:hAnsi="Arial"/>
                <w:sz w:val="19"/>
                <w:szCs w:val="19"/>
                <w:color w:val="auto"/>
              </w:rPr>
              <w:t>Committee</w:t>
            </w:r>
          </w:p>
        </w:tc>
        <w:tc>
          <w:tcPr>
            <w:tcW w:w="2460" w:type="dxa"/>
            <w:vAlign w:val="bottom"/>
          </w:tcPr>
          <w:p>
            <w:pPr>
              <w:ind w:left="600"/>
              <w:spacing w:after="0" w:line="208" w:lineRule="exact"/>
              <w:rPr>
                <w:sz w:val="20"/>
                <w:szCs w:val="20"/>
                <w:color w:val="auto"/>
              </w:rPr>
            </w:pPr>
            <w:r>
              <w:rPr>
                <w:rFonts w:ascii="Arial" w:cs="Arial" w:eastAsia="Arial" w:hAnsi="Arial"/>
                <w:sz w:val="19"/>
                <w:szCs w:val="19"/>
                <w:color w:val="auto"/>
              </w:rPr>
              <w:t>meetings in</w:t>
            </w:r>
          </w:p>
        </w:tc>
        <w:tc>
          <w:tcPr>
            <w:tcW w:w="2060" w:type="dxa"/>
            <w:vAlign w:val="bottom"/>
          </w:tcPr>
          <w:p>
            <w:pPr>
              <w:ind w:left="900"/>
              <w:spacing w:after="0" w:line="208" w:lineRule="exact"/>
              <w:rPr>
                <w:sz w:val="20"/>
                <w:szCs w:val="20"/>
                <w:color w:val="auto"/>
              </w:rPr>
            </w:pPr>
            <w:r>
              <w:rPr>
                <w:rFonts w:ascii="Arial" w:cs="Arial" w:eastAsia="Arial" w:hAnsi="Arial"/>
                <w:sz w:val="19"/>
                <w:szCs w:val="19"/>
                <w:color w:val="auto"/>
              </w:rPr>
              <w:t>independent</w:t>
            </w:r>
          </w:p>
        </w:tc>
      </w:tr>
      <w:tr>
        <w:trPr>
          <w:trHeight w:val="208"/>
        </w:trPr>
        <w:tc>
          <w:tcPr>
            <w:tcW w:w="2120" w:type="dxa"/>
            <w:vAlign w:val="bottom"/>
          </w:tcPr>
          <w:p>
            <w:pPr>
              <w:spacing w:after="0"/>
              <w:rPr>
                <w:sz w:val="18"/>
                <w:szCs w:val="18"/>
                <w:color w:val="auto"/>
              </w:rPr>
            </w:pPr>
          </w:p>
        </w:tc>
        <w:tc>
          <w:tcPr>
            <w:tcW w:w="2800" w:type="dxa"/>
            <w:vAlign w:val="bottom"/>
          </w:tcPr>
          <w:p>
            <w:pPr>
              <w:ind w:left="640"/>
              <w:spacing w:after="0" w:line="208" w:lineRule="exact"/>
              <w:rPr>
                <w:sz w:val="20"/>
                <w:szCs w:val="20"/>
                <w:color w:val="auto"/>
              </w:rPr>
            </w:pPr>
            <w:r>
              <w:rPr>
                <w:rFonts w:ascii="Arial" w:cs="Arial" w:eastAsia="Arial" w:hAnsi="Arial"/>
                <w:sz w:val="19"/>
                <w:szCs w:val="19"/>
                <w:color w:val="auto"/>
              </w:rPr>
              <w:t>meetings in</w:t>
            </w:r>
          </w:p>
        </w:tc>
        <w:tc>
          <w:tcPr>
            <w:tcW w:w="2460" w:type="dxa"/>
            <w:vAlign w:val="bottom"/>
          </w:tcPr>
          <w:p>
            <w:pPr>
              <w:ind w:left="600"/>
              <w:spacing w:after="0" w:line="208" w:lineRule="exact"/>
              <w:rPr>
                <w:sz w:val="20"/>
                <w:szCs w:val="20"/>
                <w:color w:val="auto"/>
              </w:rPr>
            </w:pPr>
            <w:r>
              <w:rPr>
                <w:rFonts w:ascii="Arial" w:cs="Arial" w:eastAsia="Arial" w:hAnsi="Arial"/>
                <w:sz w:val="19"/>
                <w:szCs w:val="19"/>
                <w:color w:val="auto"/>
              </w:rPr>
              <w:t>fiscal 2020</w:t>
            </w:r>
          </w:p>
        </w:tc>
        <w:tc>
          <w:tcPr>
            <w:tcW w:w="2060" w:type="dxa"/>
            <w:vAlign w:val="bottom"/>
          </w:tcPr>
          <w:p>
            <w:pPr>
              <w:spacing w:after="0"/>
              <w:rPr>
                <w:sz w:val="18"/>
                <w:szCs w:val="18"/>
                <w:color w:val="auto"/>
              </w:rPr>
            </w:pPr>
          </w:p>
        </w:tc>
      </w:tr>
      <w:tr>
        <w:trPr>
          <w:trHeight w:val="229"/>
        </w:trPr>
        <w:tc>
          <w:tcPr>
            <w:tcW w:w="2120" w:type="dxa"/>
            <w:vAlign w:val="bottom"/>
          </w:tcPr>
          <w:p>
            <w:pPr>
              <w:spacing w:after="0"/>
              <w:rPr>
                <w:sz w:val="19"/>
                <w:szCs w:val="19"/>
                <w:color w:val="auto"/>
              </w:rPr>
            </w:pPr>
          </w:p>
        </w:tc>
        <w:tc>
          <w:tcPr>
            <w:tcW w:w="2800" w:type="dxa"/>
            <w:vAlign w:val="bottom"/>
          </w:tcPr>
          <w:p>
            <w:pPr>
              <w:ind w:left="640"/>
              <w:spacing w:after="0"/>
              <w:rPr>
                <w:sz w:val="20"/>
                <w:szCs w:val="20"/>
                <w:color w:val="auto"/>
              </w:rPr>
            </w:pPr>
            <w:r>
              <w:rPr>
                <w:rFonts w:ascii="Arial" w:cs="Arial" w:eastAsia="Arial" w:hAnsi="Arial"/>
                <w:sz w:val="19"/>
                <w:szCs w:val="19"/>
                <w:color w:val="auto"/>
              </w:rPr>
              <w:t>fiscal 2020</w:t>
            </w:r>
          </w:p>
        </w:tc>
        <w:tc>
          <w:tcPr>
            <w:tcW w:w="246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75"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3F3F3F"/>
        </w:rPr>
        <w:t>Strong Board Diversity</w:t>
      </w:r>
    </w:p>
    <w:p>
      <w:pPr>
        <w:spacing w:after="0" w:line="125" w:lineRule="exact"/>
        <w:rPr>
          <w:sz w:val="20"/>
          <w:szCs w:val="20"/>
          <w:color w:val="auto"/>
        </w:rPr>
      </w:pPr>
    </w:p>
    <w:p>
      <w:pPr>
        <w:jc w:val="both"/>
        <w:ind w:left="320" w:right="200"/>
        <w:spacing w:after="0" w:line="270" w:lineRule="auto"/>
        <w:rPr>
          <w:sz w:val="20"/>
          <w:szCs w:val="20"/>
          <w:color w:val="auto"/>
        </w:rPr>
      </w:pPr>
      <w:r>
        <w:rPr>
          <w:rFonts w:ascii="Arial" w:cs="Arial" w:eastAsia="Arial" w:hAnsi="Arial"/>
          <w:sz w:val="17"/>
          <w:szCs w:val="17"/>
          <w:color w:val="auto"/>
        </w:rPr>
        <w:t>The Board also believes that having directors with a mix of tenure helps transition the institutional knowledge of the more experienced directors while providing a broad, fresh set of perspectives. The Board has continued to make progress in broadening the experience, gender and tenure of our eleven director nominees.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23"/>
        </w:trPr>
        <w:tc>
          <w:tcPr>
            <w:tcW w:w="20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Average Tenure</w:t>
            </w:r>
          </w:p>
        </w:tc>
        <w:tc>
          <w:tcPr>
            <w:tcW w:w="1500" w:type="dxa"/>
            <w:vAlign w:val="bottom"/>
          </w:tcPr>
          <w:p>
            <w:pPr>
              <w:spacing w:after="0" w:line="20" w:lineRule="exact"/>
              <w:rPr>
                <w:sz w:val="1"/>
                <w:szCs w:val="1"/>
                <w:color w:val="auto"/>
              </w:rPr>
            </w:pPr>
          </w:p>
        </w:tc>
        <w:tc>
          <w:tcPr>
            <w:tcW w:w="2000" w:type="dxa"/>
            <w:vAlign w:val="bottom"/>
            <w:vMerge w:val="restart"/>
          </w:tcPr>
          <w:p>
            <w:pPr>
              <w:ind w:left="780"/>
              <w:spacing w:after="0"/>
              <w:rPr>
                <w:sz w:val="20"/>
                <w:szCs w:val="20"/>
                <w:color w:val="auto"/>
              </w:rPr>
            </w:pPr>
            <w:r>
              <w:rPr>
                <w:rFonts w:ascii="Arial" w:cs="Arial" w:eastAsia="Arial" w:hAnsi="Arial"/>
                <w:sz w:val="17"/>
                <w:szCs w:val="17"/>
                <w:b w:val="1"/>
                <w:bCs w:val="1"/>
                <w:color w:val="auto"/>
              </w:rPr>
              <w:t>Diversity</w:t>
            </w:r>
          </w:p>
        </w:tc>
        <w:tc>
          <w:tcPr>
            <w:tcW w:w="132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80" w:type="dxa"/>
            <w:vAlign w:val="bottom"/>
            <w:gridSpan w:val="2"/>
            <w:vMerge w:val="continue"/>
          </w:tcPr>
          <w:p>
            <w:pPr>
              <w:spacing w:after="0"/>
              <w:rPr>
                <w:sz w:val="18"/>
                <w:szCs w:val="18"/>
                <w:color w:val="auto"/>
              </w:rPr>
            </w:pPr>
          </w:p>
        </w:tc>
        <w:tc>
          <w:tcPr>
            <w:tcW w:w="1500" w:type="dxa"/>
            <w:vAlign w:val="bottom"/>
            <w:shd w:val="clear" w:color="auto" w:fill="CCE0F1"/>
          </w:tcPr>
          <w:p>
            <w:pPr>
              <w:spacing w:after="0"/>
              <w:rPr>
                <w:sz w:val="18"/>
                <w:szCs w:val="18"/>
                <w:color w:val="auto"/>
              </w:rPr>
            </w:pPr>
          </w:p>
        </w:tc>
        <w:tc>
          <w:tcPr>
            <w:tcW w:w="2000" w:type="dxa"/>
            <w:vAlign w:val="bottom"/>
            <w:vMerge w:val="continue"/>
          </w:tcPr>
          <w:p>
            <w:pPr>
              <w:spacing w:after="0"/>
              <w:rPr>
                <w:sz w:val="18"/>
                <w:szCs w:val="18"/>
                <w:color w:val="auto"/>
              </w:rPr>
            </w:pPr>
          </w:p>
        </w:tc>
        <w:tc>
          <w:tcPr>
            <w:tcW w:w="1320" w:type="dxa"/>
            <w:vAlign w:val="bottom"/>
            <w:shd w:val="clear" w:color="auto" w:fill="CCE0F1"/>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14"/>
        </w:trPr>
        <w:tc>
          <w:tcPr>
            <w:tcW w:w="920" w:type="dxa"/>
            <w:vAlign w:val="bottom"/>
          </w:tcPr>
          <w:p>
            <w:pPr>
              <w:spacing w:after="0"/>
              <w:rPr>
                <w:sz w:val="20"/>
                <w:szCs w:val="20"/>
                <w:color w:val="auto"/>
              </w:rPr>
            </w:pPr>
            <w:r>
              <w:rPr>
                <w:rFonts w:ascii="Arial" w:cs="Arial" w:eastAsia="Arial" w:hAnsi="Arial"/>
                <w:sz w:val="33"/>
                <w:szCs w:val="33"/>
                <w:color w:val="0066BA"/>
              </w:rPr>
              <w:t>45%</w:t>
            </w:r>
          </w:p>
        </w:tc>
        <w:tc>
          <w:tcPr>
            <w:tcW w:w="2660" w:type="dxa"/>
            <w:vAlign w:val="bottom"/>
            <w:gridSpan w:val="2"/>
          </w:tcPr>
          <w:p>
            <w:pPr>
              <w:ind w:left="100"/>
              <w:spacing w:after="0"/>
              <w:rPr>
                <w:sz w:val="20"/>
                <w:szCs w:val="20"/>
                <w:color w:val="auto"/>
              </w:rPr>
            </w:pPr>
            <w:r>
              <w:rPr>
                <w:rFonts w:ascii="Arial" w:cs="Arial" w:eastAsia="Arial" w:hAnsi="Arial"/>
                <w:sz w:val="19"/>
                <w:szCs w:val="19"/>
                <w:color w:val="auto"/>
              </w:rPr>
              <w:t>0-5 Years</w:t>
            </w:r>
          </w:p>
        </w:tc>
        <w:tc>
          <w:tcPr>
            <w:tcW w:w="2000" w:type="dxa"/>
            <w:vAlign w:val="bottom"/>
          </w:tcPr>
          <w:p>
            <w:pPr>
              <w:spacing w:after="0"/>
              <w:rPr>
                <w:sz w:val="24"/>
                <w:szCs w:val="24"/>
                <w:color w:val="auto"/>
              </w:rPr>
            </w:pPr>
          </w:p>
        </w:tc>
        <w:tc>
          <w:tcPr>
            <w:tcW w:w="1880" w:type="dxa"/>
            <w:vAlign w:val="bottom"/>
            <w:gridSpan w:val="2"/>
            <w:vMerge w:val="restart"/>
          </w:tcPr>
          <w:p>
            <w:pPr>
              <w:ind w:left="100"/>
              <w:spacing w:after="0"/>
              <w:rPr>
                <w:sz w:val="20"/>
                <w:szCs w:val="20"/>
                <w:color w:val="auto"/>
              </w:rPr>
            </w:pPr>
            <w:r>
              <w:rPr>
                <w:rFonts w:ascii="Arial" w:cs="Arial" w:eastAsia="Arial" w:hAnsi="Arial"/>
                <w:sz w:val="33"/>
                <w:szCs w:val="33"/>
                <w:color w:val="0066BA"/>
              </w:rPr>
              <w:t>3 of 11</w:t>
            </w:r>
          </w:p>
        </w:tc>
        <w:tc>
          <w:tcPr>
            <w:tcW w:w="0" w:type="dxa"/>
            <w:vAlign w:val="bottom"/>
          </w:tcPr>
          <w:p>
            <w:pPr>
              <w:spacing w:after="0"/>
              <w:rPr>
                <w:sz w:val="1"/>
                <w:szCs w:val="1"/>
                <w:color w:val="auto"/>
              </w:rPr>
            </w:pPr>
          </w:p>
        </w:tc>
      </w:tr>
      <w:tr>
        <w:trPr>
          <w:trHeight w:val="117"/>
        </w:trPr>
        <w:tc>
          <w:tcPr>
            <w:tcW w:w="920" w:type="dxa"/>
            <w:vAlign w:val="bottom"/>
            <w:vMerge w:val="restart"/>
          </w:tcPr>
          <w:p>
            <w:pPr>
              <w:spacing w:after="0"/>
              <w:rPr>
                <w:sz w:val="20"/>
                <w:szCs w:val="20"/>
                <w:color w:val="auto"/>
              </w:rPr>
            </w:pPr>
            <w:r>
              <w:rPr>
                <w:rFonts w:ascii="Arial" w:cs="Arial" w:eastAsia="Arial" w:hAnsi="Arial"/>
                <w:sz w:val="33"/>
                <w:szCs w:val="33"/>
                <w:color w:val="0066BA"/>
              </w:rPr>
              <w:t>27%</w:t>
            </w:r>
          </w:p>
        </w:tc>
        <w:tc>
          <w:tcPr>
            <w:tcW w:w="11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920" w:type="dxa"/>
            <w:vAlign w:val="bottom"/>
            <w:vMerge w:val="continue"/>
          </w:tcPr>
          <w:p>
            <w:pPr>
              <w:spacing w:after="0"/>
              <w:rPr>
                <w:sz w:val="22"/>
                <w:szCs w:val="22"/>
                <w:color w:val="auto"/>
              </w:rPr>
            </w:pPr>
          </w:p>
        </w:tc>
        <w:tc>
          <w:tcPr>
            <w:tcW w:w="2660" w:type="dxa"/>
            <w:vAlign w:val="bottom"/>
            <w:gridSpan w:val="2"/>
          </w:tcPr>
          <w:p>
            <w:pPr>
              <w:ind w:left="100"/>
              <w:spacing w:after="0"/>
              <w:rPr>
                <w:sz w:val="20"/>
                <w:szCs w:val="20"/>
                <w:color w:val="auto"/>
              </w:rPr>
            </w:pPr>
            <w:r>
              <w:rPr>
                <w:rFonts w:ascii="Arial" w:cs="Arial" w:eastAsia="Arial" w:hAnsi="Arial"/>
                <w:sz w:val="19"/>
                <w:szCs w:val="19"/>
                <w:color w:val="auto"/>
              </w:rPr>
              <w:t>5-10 Years</w:t>
            </w:r>
          </w:p>
        </w:tc>
        <w:tc>
          <w:tcPr>
            <w:tcW w:w="2000" w:type="dxa"/>
            <w:vAlign w:val="bottom"/>
          </w:tcPr>
          <w:p>
            <w:pPr>
              <w:spacing w:after="0"/>
              <w:rPr>
                <w:sz w:val="22"/>
                <w:szCs w:val="22"/>
                <w:color w:val="auto"/>
              </w:rPr>
            </w:pPr>
          </w:p>
        </w:tc>
        <w:tc>
          <w:tcPr>
            <w:tcW w:w="1880" w:type="dxa"/>
            <w:vAlign w:val="bottom"/>
            <w:gridSpan w:val="2"/>
          </w:tcPr>
          <w:p>
            <w:pPr>
              <w:ind w:left="100"/>
              <w:spacing w:after="0"/>
              <w:rPr>
                <w:sz w:val="20"/>
                <w:szCs w:val="20"/>
                <w:color w:val="auto"/>
              </w:rPr>
            </w:pPr>
            <w:r>
              <w:rPr>
                <w:rFonts w:ascii="Arial" w:cs="Arial" w:eastAsia="Arial" w:hAnsi="Arial"/>
                <w:sz w:val="19"/>
                <w:szCs w:val="19"/>
                <w:color w:val="auto"/>
                <w:w w:val="99"/>
              </w:rPr>
              <w:t>Directors are female,</w:t>
            </w:r>
          </w:p>
        </w:tc>
        <w:tc>
          <w:tcPr>
            <w:tcW w:w="0" w:type="dxa"/>
            <w:vAlign w:val="bottom"/>
          </w:tcPr>
          <w:p>
            <w:pPr>
              <w:spacing w:after="0"/>
              <w:rPr>
                <w:sz w:val="1"/>
                <w:szCs w:val="1"/>
                <w:color w:val="auto"/>
              </w:rPr>
            </w:pPr>
          </w:p>
        </w:tc>
      </w:tr>
      <w:tr>
        <w:trPr>
          <w:trHeight w:val="229"/>
        </w:trPr>
        <w:tc>
          <w:tcPr>
            <w:tcW w:w="920" w:type="dxa"/>
            <w:vAlign w:val="bottom"/>
            <w:vMerge w:val="restart"/>
          </w:tcPr>
          <w:p>
            <w:pPr>
              <w:spacing w:after="0" w:line="342" w:lineRule="exact"/>
              <w:rPr>
                <w:sz w:val="20"/>
                <w:szCs w:val="20"/>
                <w:color w:val="auto"/>
              </w:rPr>
            </w:pPr>
            <w:r>
              <w:rPr>
                <w:rFonts w:ascii="Arial" w:cs="Arial" w:eastAsia="Arial" w:hAnsi="Arial"/>
                <w:sz w:val="33"/>
                <w:szCs w:val="33"/>
                <w:color w:val="0066BA"/>
              </w:rPr>
              <w:t>27%</w:t>
            </w:r>
          </w:p>
        </w:tc>
        <w:tc>
          <w:tcPr>
            <w:tcW w:w="2660" w:type="dxa"/>
            <w:vAlign w:val="bottom"/>
            <w:gridSpan w:val="2"/>
            <w:vMerge w:val="restart"/>
          </w:tcPr>
          <w:p>
            <w:pPr>
              <w:ind w:left="100"/>
              <w:spacing w:after="0"/>
              <w:rPr>
                <w:sz w:val="20"/>
                <w:szCs w:val="20"/>
                <w:color w:val="auto"/>
              </w:rPr>
            </w:pPr>
            <w:r>
              <w:rPr>
                <w:rFonts w:ascii="Arial" w:cs="Arial" w:eastAsia="Arial" w:hAnsi="Arial"/>
                <w:sz w:val="19"/>
                <w:szCs w:val="19"/>
                <w:color w:val="auto"/>
              </w:rPr>
              <w:t>10+ Years</w:t>
            </w:r>
          </w:p>
        </w:tc>
        <w:tc>
          <w:tcPr>
            <w:tcW w:w="2000" w:type="dxa"/>
            <w:vAlign w:val="bottom"/>
          </w:tcPr>
          <w:p>
            <w:pPr>
              <w:spacing w:after="0"/>
              <w:rPr>
                <w:sz w:val="19"/>
                <w:szCs w:val="19"/>
                <w:color w:val="auto"/>
              </w:rPr>
            </w:pPr>
          </w:p>
        </w:tc>
        <w:tc>
          <w:tcPr>
            <w:tcW w:w="1880" w:type="dxa"/>
            <w:vAlign w:val="bottom"/>
            <w:gridSpan w:val="2"/>
          </w:tcPr>
          <w:p>
            <w:pPr>
              <w:ind w:left="100"/>
              <w:spacing w:after="0"/>
              <w:rPr>
                <w:sz w:val="20"/>
                <w:szCs w:val="20"/>
                <w:color w:val="auto"/>
              </w:rPr>
            </w:pPr>
            <w:r>
              <w:rPr>
                <w:rFonts w:ascii="Arial" w:cs="Arial" w:eastAsia="Arial" w:hAnsi="Arial"/>
                <w:sz w:val="19"/>
                <w:szCs w:val="19"/>
                <w:color w:val="auto"/>
              </w:rPr>
              <w:t>or 27%</w:t>
            </w:r>
          </w:p>
        </w:tc>
        <w:tc>
          <w:tcPr>
            <w:tcW w:w="0" w:type="dxa"/>
            <w:vAlign w:val="bottom"/>
          </w:tcPr>
          <w:p>
            <w:pPr>
              <w:spacing w:after="0"/>
              <w:rPr>
                <w:sz w:val="1"/>
                <w:szCs w:val="1"/>
                <w:color w:val="auto"/>
              </w:rPr>
            </w:pPr>
          </w:p>
        </w:tc>
      </w:tr>
      <w:tr>
        <w:trPr>
          <w:trHeight w:val="113"/>
        </w:trPr>
        <w:tc>
          <w:tcPr>
            <w:tcW w:w="920" w:type="dxa"/>
            <w:vAlign w:val="bottom"/>
            <w:vMerge w:val="continue"/>
          </w:tcPr>
          <w:p>
            <w:pPr>
              <w:spacing w:after="0"/>
              <w:rPr>
                <w:sz w:val="9"/>
                <w:szCs w:val="9"/>
                <w:color w:val="auto"/>
              </w:rPr>
            </w:pPr>
          </w:p>
        </w:tc>
        <w:tc>
          <w:tcPr>
            <w:tcW w:w="2660" w:type="dxa"/>
            <w:vAlign w:val="bottom"/>
            <w:gridSpan w:val="2"/>
            <w:vMerge w:val="continue"/>
          </w:tcPr>
          <w:p>
            <w:pPr>
              <w:spacing w:after="0"/>
              <w:rPr>
                <w:sz w:val="9"/>
                <w:szCs w:val="9"/>
                <w:color w:val="auto"/>
              </w:rPr>
            </w:pPr>
          </w:p>
        </w:tc>
        <w:tc>
          <w:tcPr>
            <w:tcW w:w="2000" w:type="dxa"/>
            <w:vAlign w:val="bottom"/>
          </w:tcPr>
          <w:p>
            <w:pPr>
              <w:spacing w:after="0"/>
              <w:rPr>
                <w:sz w:val="9"/>
                <w:szCs w:val="9"/>
                <w:color w:val="auto"/>
              </w:rPr>
            </w:pPr>
          </w:p>
        </w:tc>
        <w:tc>
          <w:tcPr>
            <w:tcW w:w="1880" w:type="dxa"/>
            <w:vAlign w:val="bottom"/>
            <w:gridSpan w:val="2"/>
            <w:vMerge w:val="restart"/>
          </w:tcPr>
          <w:p>
            <w:pPr>
              <w:ind w:left="100"/>
              <w:spacing w:after="0"/>
              <w:rPr>
                <w:sz w:val="20"/>
                <w:szCs w:val="20"/>
                <w:color w:val="auto"/>
              </w:rPr>
            </w:pPr>
            <w:r>
              <w:rPr>
                <w:rFonts w:ascii="Arial" w:cs="Arial" w:eastAsia="Arial" w:hAnsi="Arial"/>
                <w:sz w:val="33"/>
                <w:szCs w:val="33"/>
                <w:color w:val="0066BA"/>
              </w:rPr>
              <w:t>2 of 11</w:t>
            </w:r>
          </w:p>
        </w:tc>
        <w:tc>
          <w:tcPr>
            <w:tcW w:w="0" w:type="dxa"/>
            <w:vAlign w:val="bottom"/>
          </w:tcPr>
          <w:p>
            <w:pPr>
              <w:spacing w:after="0"/>
              <w:rPr>
                <w:sz w:val="1"/>
                <w:szCs w:val="1"/>
                <w:color w:val="auto"/>
              </w:rPr>
            </w:pPr>
          </w:p>
        </w:tc>
      </w:tr>
      <w:tr>
        <w:trPr>
          <w:trHeight w:val="56"/>
        </w:trPr>
        <w:tc>
          <w:tcPr>
            <w:tcW w:w="920" w:type="dxa"/>
            <w:vAlign w:val="bottom"/>
          </w:tcPr>
          <w:p>
            <w:pPr>
              <w:spacing w:after="0"/>
              <w:rPr>
                <w:sz w:val="4"/>
                <w:szCs w:val="4"/>
                <w:color w:val="auto"/>
              </w:rPr>
            </w:pPr>
          </w:p>
        </w:tc>
        <w:tc>
          <w:tcPr>
            <w:tcW w:w="2660" w:type="dxa"/>
            <w:vAlign w:val="bottom"/>
            <w:gridSpan w:val="2"/>
            <w:vMerge w:val="continue"/>
          </w:tcPr>
          <w:p>
            <w:pPr>
              <w:spacing w:after="0"/>
              <w:rPr>
                <w:sz w:val="4"/>
                <w:szCs w:val="4"/>
                <w:color w:val="auto"/>
              </w:rPr>
            </w:pPr>
          </w:p>
        </w:tc>
        <w:tc>
          <w:tcPr>
            <w:tcW w:w="200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920" w:type="dxa"/>
            <w:vAlign w:val="bottom"/>
            <w:vMerge w:val="restart"/>
          </w:tcPr>
          <w:p>
            <w:pPr>
              <w:spacing w:after="0"/>
              <w:rPr>
                <w:sz w:val="20"/>
                <w:szCs w:val="20"/>
                <w:color w:val="auto"/>
              </w:rPr>
            </w:pPr>
            <w:r>
              <w:rPr>
                <w:rFonts w:ascii="Arial" w:cs="Arial" w:eastAsia="Arial" w:hAnsi="Arial"/>
                <w:sz w:val="33"/>
                <w:szCs w:val="33"/>
                <w:color w:val="0066BA"/>
              </w:rPr>
              <w:t>6.7</w:t>
            </w:r>
          </w:p>
        </w:tc>
        <w:tc>
          <w:tcPr>
            <w:tcW w:w="2660" w:type="dxa"/>
            <w:vAlign w:val="bottom"/>
            <w:gridSpan w:val="2"/>
            <w:vMerge w:val="restart"/>
          </w:tcPr>
          <w:p>
            <w:pPr>
              <w:ind w:left="100"/>
              <w:spacing w:after="0"/>
              <w:rPr>
                <w:sz w:val="20"/>
                <w:szCs w:val="20"/>
                <w:color w:val="auto"/>
              </w:rPr>
            </w:pPr>
            <w:r>
              <w:rPr>
                <w:rFonts w:ascii="Arial" w:cs="Arial" w:eastAsia="Arial" w:hAnsi="Arial"/>
                <w:sz w:val="19"/>
                <w:szCs w:val="19"/>
                <w:color w:val="auto"/>
              </w:rPr>
              <w:t>Average Tenure</w:t>
            </w:r>
          </w:p>
        </w:tc>
        <w:tc>
          <w:tcPr>
            <w:tcW w:w="2000" w:type="dxa"/>
            <w:vAlign w:val="bottom"/>
          </w:tcPr>
          <w:p>
            <w:pPr>
              <w:spacing w:after="0"/>
              <w:rPr>
                <w:sz w:val="23"/>
                <w:szCs w:val="23"/>
                <w:color w:val="auto"/>
              </w:rPr>
            </w:pPr>
          </w:p>
        </w:tc>
        <w:tc>
          <w:tcPr>
            <w:tcW w:w="18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30"/>
        </w:trPr>
        <w:tc>
          <w:tcPr>
            <w:tcW w:w="920" w:type="dxa"/>
            <w:vAlign w:val="bottom"/>
            <w:vMerge w:val="continue"/>
          </w:tcPr>
          <w:p>
            <w:pPr>
              <w:spacing w:after="0"/>
              <w:rPr>
                <w:sz w:val="11"/>
                <w:szCs w:val="11"/>
                <w:color w:val="auto"/>
              </w:rPr>
            </w:pPr>
          </w:p>
        </w:tc>
        <w:tc>
          <w:tcPr>
            <w:tcW w:w="2660" w:type="dxa"/>
            <w:vAlign w:val="bottom"/>
            <w:gridSpan w:val="2"/>
            <w:vMerge w:val="continue"/>
          </w:tcPr>
          <w:p>
            <w:pPr>
              <w:spacing w:after="0"/>
              <w:rPr>
                <w:sz w:val="11"/>
                <w:szCs w:val="11"/>
                <w:color w:val="auto"/>
              </w:rPr>
            </w:pPr>
          </w:p>
        </w:tc>
        <w:tc>
          <w:tcPr>
            <w:tcW w:w="2000" w:type="dxa"/>
            <w:vAlign w:val="bottom"/>
          </w:tcPr>
          <w:p>
            <w:pPr>
              <w:spacing w:after="0"/>
              <w:rPr>
                <w:sz w:val="11"/>
                <w:szCs w:val="11"/>
                <w:color w:val="auto"/>
              </w:rPr>
            </w:pPr>
          </w:p>
        </w:tc>
        <w:tc>
          <w:tcPr>
            <w:tcW w:w="1880" w:type="dxa"/>
            <w:vAlign w:val="bottom"/>
            <w:gridSpan w:val="2"/>
            <w:vMerge w:val="restart"/>
          </w:tcPr>
          <w:p>
            <w:pPr>
              <w:ind w:left="100"/>
              <w:spacing w:after="0" w:line="208" w:lineRule="exact"/>
              <w:rPr>
                <w:sz w:val="20"/>
                <w:szCs w:val="20"/>
                <w:color w:val="auto"/>
              </w:rPr>
            </w:pPr>
            <w:r>
              <w:rPr>
                <w:rFonts w:ascii="Arial" w:cs="Arial" w:eastAsia="Arial" w:hAnsi="Arial"/>
                <w:sz w:val="19"/>
                <w:szCs w:val="19"/>
                <w:color w:val="auto"/>
              </w:rPr>
              <w:t>Directors are</w:t>
            </w:r>
          </w:p>
        </w:tc>
        <w:tc>
          <w:tcPr>
            <w:tcW w:w="0" w:type="dxa"/>
            <w:vAlign w:val="bottom"/>
          </w:tcPr>
          <w:p>
            <w:pPr>
              <w:spacing w:after="0"/>
              <w:rPr>
                <w:sz w:val="1"/>
                <w:szCs w:val="1"/>
                <w:color w:val="auto"/>
              </w:rPr>
            </w:pPr>
          </w:p>
        </w:tc>
      </w:tr>
      <w:tr>
        <w:trPr>
          <w:trHeight w:val="78"/>
        </w:trPr>
        <w:tc>
          <w:tcPr>
            <w:tcW w:w="920" w:type="dxa"/>
            <w:vAlign w:val="bottom"/>
            <w:vMerge w:val="continue"/>
          </w:tcPr>
          <w:p>
            <w:pPr>
              <w:spacing w:after="0"/>
              <w:rPr>
                <w:sz w:val="6"/>
                <w:szCs w:val="6"/>
                <w:color w:val="auto"/>
              </w:rPr>
            </w:pPr>
          </w:p>
        </w:tc>
        <w:tc>
          <w:tcPr>
            <w:tcW w:w="2660" w:type="dxa"/>
            <w:vAlign w:val="bottom"/>
            <w:gridSpan w:val="2"/>
            <w:vMerge w:val="restart"/>
          </w:tcPr>
          <w:p>
            <w:pPr>
              <w:ind w:left="100"/>
              <w:spacing w:after="0" w:line="173" w:lineRule="exact"/>
              <w:rPr>
                <w:sz w:val="20"/>
                <w:szCs w:val="20"/>
                <w:color w:val="auto"/>
              </w:rPr>
            </w:pPr>
            <w:r>
              <w:rPr>
                <w:rFonts w:ascii="Arial" w:cs="Arial" w:eastAsia="Arial" w:hAnsi="Arial"/>
                <w:sz w:val="19"/>
                <w:szCs w:val="19"/>
                <w:color w:val="auto"/>
              </w:rPr>
              <w:t>of independent</w:t>
            </w:r>
          </w:p>
        </w:tc>
        <w:tc>
          <w:tcPr>
            <w:tcW w:w="2000" w:type="dxa"/>
            <w:vAlign w:val="bottom"/>
          </w:tcPr>
          <w:p>
            <w:pPr>
              <w:spacing w:after="0"/>
              <w:rPr>
                <w:sz w:val="6"/>
                <w:szCs w:val="6"/>
                <w:color w:val="auto"/>
              </w:rPr>
            </w:pPr>
          </w:p>
        </w:tc>
        <w:tc>
          <w:tcPr>
            <w:tcW w:w="1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920" w:type="dxa"/>
            <w:vAlign w:val="bottom"/>
            <w:vMerge w:val="continue"/>
          </w:tcPr>
          <w:p>
            <w:pPr>
              <w:spacing w:after="0"/>
              <w:rPr>
                <w:sz w:val="8"/>
                <w:szCs w:val="8"/>
                <w:color w:val="auto"/>
              </w:rPr>
            </w:pPr>
          </w:p>
        </w:tc>
        <w:tc>
          <w:tcPr>
            <w:tcW w:w="2660" w:type="dxa"/>
            <w:vAlign w:val="bottom"/>
            <w:gridSpan w:val="2"/>
            <w:vMerge w:val="continue"/>
          </w:tcPr>
          <w:p>
            <w:pPr>
              <w:spacing w:after="0"/>
              <w:rPr>
                <w:sz w:val="8"/>
                <w:szCs w:val="8"/>
                <w:color w:val="auto"/>
              </w:rPr>
            </w:pPr>
          </w:p>
        </w:tc>
        <w:tc>
          <w:tcPr>
            <w:tcW w:w="2000" w:type="dxa"/>
            <w:vAlign w:val="bottom"/>
          </w:tcPr>
          <w:p>
            <w:pPr>
              <w:spacing w:after="0"/>
              <w:rPr>
                <w:sz w:val="8"/>
                <w:szCs w:val="8"/>
                <w:color w:val="auto"/>
              </w:rPr>
            </w:pPr>
          </w:p>
        </w:tc>
        <w:tc>
          <w:tcPr>
            <w:tcW w:w="1880" w:type="dxa"/>
            <w:vAlign w:val="bottom"/>
            <w:gridSpan w:val="2"/>
            <w:vMerge w:val="restart"/>
          </w:tcPr>
          <w:p>
            <w:pPr>
              <w:ind w:left="100"/>
              <w:spacing w:after="0" w:line="208" w:lineRule="exact"/>
              <w:rPr>
                <w:sz w:val="20"/>
                <w:szCs w:val="20"/>
                <w:color w:val="auto"/>
              </w:rPr>
            </w:pPr>
            <w:r>
              <w:rPr>
                <w:rFonts w:ascii="Arial" w:cs="Arial" w:eastAsia="Arial" w:hAnsi="Arial"/>
                <w:sz w:val="19"/>
                <w:szCs w:val="19"/>
                <w:color w:val="auto"/>
              </w:rPr>
              <w:t>ethnically diverse,</w:t>
            </w:r>
          </w:p>
        </w:tc>
        <w:tc>
          <w:tcPr>
            <w:tcW w:w="0" w:type="dxa"/>
            <w:vAlign w:val="bottom"/>
          </w:tcPr>
          <w:p>
            <w:pPr>
              <w:spacing w:after="0"/>
              <w:rPr>
                <w:sz w:val="1"/>
                <w:szCs w:val="1"/>
                <w:color w:val="auto"/>
              </w:rPr>
            </w:pPr>
          </w:p>
        </w:tc>
      </w:tr>
      <w:tr>
        <w:trPr>
          <w:trHeight w:val="113"/>
        </w:trPr>
        <w:tc>
          <w:tcPr>
            <w:tcW w:w="920" w:type="dxa"/>
            <w:vAlign w:val="bottom"/>
            <w:vMerge w:val="restart"/>
          </w:tcPr>
          <w:p>
            <w:pPr>
              <w:spacing w:after="0"/>
              <w:rPr>
                <w:sz w:val="20"/>
                <w:szCs w:val="20"/>
                <w:color w:val="auto"/>
              </w:rPr>
            </w:pPr>
            <w:r>
              <w:rPr>
                <w:rFonts w:ascii="Arial" w:cs="Arial" w:eastAsia="Arial" w:hAnsi="Arial"/>
                <w:sz w:val="33"/>
                <w:szCs w:val="33"/>
                <w:color w:val="0066BA"/>
              </w:rPr>
              <w:t>Years</w:t>
            </w:r>
          </w:p>
        </w:tc>
        <w:tc>
          <w:tcPr>
            <w:tcW w:w="2660" w:type="dxa"/>
            <w:vAlign w:val="bottom"/>
            <w:gridSpan w:val="2"/>
            <w:vMerge w:val="restart"/>
          </w:tcPr>
          <w:p>
            <w:pPr>
              <w:ind w:left="100"/>
              <w:spacing w:after="0"/>
              <w:rPr>
                <w:sz w:val="20"/>
                <w:szCs w:val="20"/>
                <w:color w:val="auto"/>
              </w:rPr>
            </w:pPr>
            <w:r>
              <w:rPr>
                <w:rFonts w:ascii="Arial" w:cs="Arial" w:eastAsia="Arial" w:hAnsi="Arial"/>
                <w:sz w:val="19"/>
                <w:szCs w:val="19"/>
                <w:color w:val="auto"/>
              </w:rPr>
              <w:t>director nominees</w:t>
            </w:r>
          </w:p>
        </w:tc>
        <w:tc>
          <w:tcPr>
            <w:tcW w:w="2000" w:type="dxa"/>
            <w:vAlign w:val="bottom"/>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920" w:type="dxa"/>
            <w:vAlign w:val="bottom"/>
            <w:vMerge w:val="continue"/>
          </w:tcPr>
          <w:p>
            <w:pPr>
              <w:spacing w:after="0"/>
              <w:rPr>
                <w:sz w:val="24"/>
                <w:szCs w:val="24"/>
                <w:color w:val="auto"/>
              </w:rPr>
            </w:pPr>
          </w:p>
        </w:tc>
        <w:tc>
          <w:tcPr>
            <w:tcW w:w="2660" w:type="dxa"/>
            <w:vAlign w:val="bottom"/>
            <w:gridSpan w:val="2"/>
            <w:vMerge w:val="continue"/>
          </w:tcPr>
          <w:p>
            <w:pPr>
              <w:spacing w:after="0"/>
              <w:rPr>
                <w:sz w:val="24"/>
                <w:szCs w:val="24"/>
                <w:color w:val="auto"/>
              </w:rPr>
            </w:pPr>
          </w:p>
        </w:tc>
        <w:tc>
          <w:tcPr>
            <w:tcW w:w="2000" w:type="dxa"/>
            <w:vAlign w:val="bottom"/>
          </w:tcPr>
          <w:p>
            <w:pPr>
              <w:spacing w:after="0"/>
              <w:rPr>
                <w:sz w:val="24"/>
                <w:szCs w:val="24"/>
                <w:color w:val="auto"/>
              </w:rPr>
            </w:pPr>
          </w:p>
        </w:tc>
        <w:tc>
          <w:tcPr>
            <w:tcW w:w="1880" w:type="dxa"/>
            <w:vAlign w:val="bottom"/>
            <w:gridSpan w:val="2"/>
          </w:tcPr>
          <w:p>
            <w:pPr>
              <w:ind w:left="100"/>
              <w:spacing w:after="0"/>
              <w:rPr>
                <w:sz w:val="20"/>
                <w:szCs w:val="20"/>
                <w:color w:val="auto"/>
              </w:rPr>
            </w:pPr>
            <w:r>
              <w:rPr>
                <w:rFonts w:ascii="Arial" w:cs="Arial" w:eastAsia="Arial" w:hAnsi="Arial"/>
                <w:sz w:val="19"/>
                <w:szCs w:val="19"/>
                <w:color w:val="auto"/>
              </w:rPr>
              <w:t>or 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-1234440</wp:posOffset>
            </wp:positionV>
            <wp:extent cx="883920" cy="577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3920" cy="5778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-970280</wp:posOffset>
            </wp:positionV>
            <wp:extent cx="883920" cy="577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3920" cy="57785"/>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-706120</wp:posOffset>
            </wp:positionV>
            <wp:extent cx="883920" cy="577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3920" cy="5778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-1358265</wp:posOffset>
            </wp:positionV>
            <wp:extent cx="594995" cy="2476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4995" cy="247650"/>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-796925</wp:posOffset>
            </wp:positionV>
            <wp:extent cx="445770" cy="2476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45770" cy="247650"/>
                    </a:xfrm>
                    <a:prstGeom prst="rect">
                      <a:avLst/>
                    </a:prstGeom>
                    <a:noFill/>
                  </pic:spPr>
                </pic:pic>
              </a:graphicData>
            </a:graphic>
          </wp:anchor>
        </w:drawing>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Board Profile</w:t>
      </w:r>
    </w:p>
    <w:p>
      <w:pPr>
        <w:spacing w:after="0" w:line="72" w:lineRule="exact"/>
        <w:rPr>
          <w:sz w:val="20"/>
          <w:szCs w:val="20"/>
          <w:color w:val="auto"/>
        </w:rPr>
      </w:pPr>
    </w:p>
    <w:p>
      <w:pPr>
        <w:ind w:left="320" w:right="540"/>
        <w:spacing w:after="0" w:line="286" w:lineRule="auto"/>
        <w:rPr>
          <w:sz w:val="20"/>
          <w:szCs w:val="20"/>
          <w:color w:val="auto"/>
        </w:rPr>
      </w:pPr>
      <w:r>
        <w:rPr>
          <w:rFonts w:ascii="Arial" w:cs="Arial" w:eastAsia="Arial" w:hAnsi="Arial"/>
          <w:sz w:val="17"/>
          <w:szCs w:val="17"/>
          <w:color w:val="auto"/>
        </w:rPr>
        <w:t>ADI’s directors contribute significant experience in the areas most relevant to overseeing the Company’s business and strategy. The below matrix provides a high-level summary of the experience and qualifications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125095</wp:posOffset>
            </wp:positionV>
            <wp:extent cx="6740525" cy="685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405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FFFFFF"/>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37465</wp:posOffset>
            </wp:positionV>
            <wp:extent cx="6740525" cy="18999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40525" cy="1899920"/>
                    </a:xfrm>
                    <a:prstGeom prst="rect">
                      <a:avLst/>
                    </a:prstGeom>
                    <a:noFill/>
                  </pic:spPr>
                </pic:pic>
              </a:graphicData>
            </a:graphic>
          </wp:anchor>
        </w:drawing>
      </w:r>
    </w:p>
    <w:p>
      <w:pPr>
        <w:spacing w:after="0" w:line="8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0066BA"/>
        </w:rPr>
        <w:t>Ray Stata</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0066BA"/>
        </w:rPr>
        <w:t>Vincent Roche</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0066BA"/>
        </w:rPr>
        <w:t>James A. Champy</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0066BA"/>
        </w:rPr>
        <w:t>Anantha P. Chandrakasan</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0066BA"/>
        </w:rPr>
        <w:t>Bruce R. Evans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0066BA"/>
        </w:rPr>
        <w:t>Edward H. Frank</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0066BA"/>
        </w:rPr>
        <w:t>Laurie H. Glimcher</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0066BA"/>
        </w:rPr>
        <w:t>Karen M. Golz</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0066BA"/>
        </w:rPr>
        <w:t>Mark M. Little</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0066BA"/>
        </w:rPr>
        <w:t>Kenton J. Sicchitano</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0066BA"/>
        </w:rPr>
        <w:t>Susie Wee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36195</wp:posOffset>
            </wp:positionV>
            <wp:extent cx="6740525" cy="9994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40525" cy="999490"/>
                    </a:xfrm>
                    <a:prstGeom prst="rect">
                      <a:avLst/>
                    </a:prstGeom>
                    <a:noFill/>
                  </pic:spPr>
                </pic:pic>
              </a:graphicData>
            </a:graphic>
          </wp:anchor>
        </w:drawing>
      </w:r>
    </w:p>
    <w:p>
      <w:pPr>
        <w:sectPr>
          <w:pgSz w:w="11900" w:h="16838" w:orient="portrait"/>
          <w:cols w:equalWidth="0" w:num="1">
            <w:col w:w="10940"/>
          </w:cols>
          <w:pgMar w:left="320" w:top="447" w:right="639" w:bottom="9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84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40"/>
          </w:cols>
          <w:pgMar w:left="320" w:top="447" w:right="639" w:bottom="975" w:gutter="0" w:footer="0" w:header="0"/>
          <w:type w:val="continuous"/>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20" w:right="1800"/>
        <w:spacing w:after="0" w:line="256" w:lineRule="auto"/>
        <w:rPr>
          <w:sz w:val="20"/>
          <w:szCs w:val="20"/>
          <w:color w:val="auto"/>
        </w:rPr>
      </w:pPr>
      <w:r>
        <w:rPr>
          <w:rFonts w:ascii="Arial" w:cs="Arial" w:eastAsia="Arial" w:hAnsi="Arial"/>
          <w:sz w:val="55"/>
          <w:szCs w:val="55"/>
          <w:color w:val="auto"/>
        </w:rPr>
        <w:t>Integrated Approach to Shareholder Engagement</w:t>
      </w:r>
    </w:p>
    <w:p>
      <w:pPr>
        <w:spacing w:after="0" w:line="222" w:lineRule="exact"/>
        <w:rPr>
          <w:sz w:val="20"/>
          <w:szCs w:val="20"/>
          <w:color w:val="auto"/>
        </w:rPr>
      </w:pPr>
    </w:p>
    <w:p>
      <w:pPr>
        <w:ind w:left="320" w:right="200"/>
        <w:spacing w:after="0" w:line="270" w:lineRule="auto"/>
        <w:rPr>
          <w:sz w:val="20"/>
          <w:szCs w:val="20"/>
          <w:color w:val="auto"/>
        </w:rPr>
      </w:pPr>
      <w:r>
        <w:rPr>
          <w:rFonts w:ascii="Arial" w:cs="Arial" w:eastAsia="Arial" w:hAnsi="Arial"/>
          <w:sz w:val="17"/>
          <w:szCs w:val="17"/>
          <w:color w:val="auto"/>
        </w:rPr>
        <w:t>We conduct extensive investor outreach throughout the year involving our senior management, investor relations, legal and human resources departments. This helps management and the Board understand and focus on the issues that matter most to our shareholders, so ADI can address them effectively.</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ADI’s Year-Round Engagement Process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color w:val="0066BA"/>
        </w:rPr>
        <w:t>Engaging with Shareholders Year-round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48895</wp:posOffset>
            </wp:positionV>
            <wp:extent cx="67405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97" w:lineRule="exact"/>
        <w:rPr>
          <w:sz w:val="20"/>
          <w:szCs w:val="20"/>
          <w:color w:val="auto"/>
        </w:rPr>
      </w:pPr>
    </w:p>
    <w:p>
      <w:pPr>
        <w:ind w:left="520" w:hanging="204"/>
        <w:spacing w:after="0"/>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fiscal 2020, we held more than 400 meetings with our shareholders, including the majority of our top 25 shareholders, on a variety of topics</w:t>
      </w:r>
    </w:p>
    <w:p>
      <w:pPr>
        <w:spacing w:after="0" w:line="89" w:lineRule="exact"/>
        <w:rPr>
          <w:rFonts w:ascii="Arial" w:cs="Arial" w:eastAsia="Arial" w:hAnsi="Arial"/>
          <w:sz w:val="16"/>
          <w:szCs w:val="16"/>
          <w:color w:val="auto"/>
        </w:rPr>
      </w:pPr>
    </w:p>
    <w:p>
      <w:pPr>
        <w:ind w:left="520" w:right="960" w:hanging="204"/>
        <w:spacing w:after="0" w:line="286"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Launched a new webcast series, ADI Uncovered, discussing business strategy and secular growth trends of 5G communications, vehicle electrification, digital healthcare and processing at the edge</w:t>
      </w:r>
    </w:p>
    <w:p>
      <w:pPr>
        <w:spacing w:after="0" w:line="15" w:lineRule="exact"/>
        <w:rPr>
          <w:rFonts w:ascii="Arial" w:cs="Arial" w:eastAsia="Arial" w:hAnsi="Arial"/>
          <w:sz w:val="17"/>
          <w:szCs w:val="17"/>
          <w:color w:val="auto"/>
        </w:rPr>
      </w:pPr>
    </w:p>
    <w:p>
      <w:pPr>
        <w:ind w:left="520" w:right="400" w:hanging="204"/>
        <w:spacing w:after="0" w:line="286"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Held multiple webcasts and attended multiple conferences to keep shareholders informed of Company developments; this included a special call regarding our proposed acquisition of Maxim Integrated</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0066BA"/>
        </w:rPr>
        <w:t>Enhancing Practices &amp;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48895</wp:posOffset>
            </wp:positionV>
            <wp:extent cx="67405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97" w:lineRule="exact"/>
        <w:rPr>
          <w:sz w:val="20"/>
          <w:szCs w:val="20"/>
          <w:color w:val="auto"/>
        </w:rPr>
      </w:pPr>
    </w:p>
    <w:p>
      <w:pPr>
        <w:ind w:left="520" w:right="120" w:hanging="204"/>
        <w:spacing w:after="0" w:line="286"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During fiscal 2020, we reached out to our top 25 shareholders, representing approximately 55% of our outstanding shares, with an invitation to have discussions with their corporate governance teams</w:t>
      </w:r>
    </w:p>
    <w:p>
      <w:pPr>
        <w:spacing w:after="0" w:line="15" w:lineRule="exact"/>
        <w:rPr>
          <w:rFonts w:ascii="Arial" w:cs="Arial" w:eastAsia="Arial" w:hAnsi="Arial"/>
          <w:sz w:val="17"/>
          <w:szCs w:val="17"/>
          <w:color w:val="auto"/>
        </w:rPr>
      </w:pPr>
    </w:p>
    <w:p>
      <w:pPr>
        <w:ind w:left="520" w:right="60" w:hanging="204"/>
        <w:spacing w:after="0" w:line="286"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Topics of interest during engagement included Board composition and risk oversight, Board evaluation and refreshment, corporate governance trends and environmental, social and governance considerations, including human capital management reporting</w:t>
      </w:r>
    </w:p>
    <w:p>
      <w:pPr>
        <w:spacing w:after="0" w:line="15" w:lineRule="exact"/>
        <w:rPr>
          <w:rFonts w:ascii="Arial" w:cs="Arial" w:eastAsia="Arial" w:hAnsi="Arial"/>
          <w:sz w:val="17"/>
          <w:szCs w:val="17"/>
          <w:color w:val="auto"/>
        </w:rPr>
      </w:pPr>
    </w:p>
    <w:p>
      <w:pPr>
        <w:ind w:left="520" w:right="680" w:hanging="204"/>
        <w:spacing w:after="0" w:line="286"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Shareholder and stakeholder feedback are integrated into boardroom discussions regularly and helps to inform the Board’s decisions and the Company’s practices and disclosures</w:t>
      </w:r>
    </w:p>
    <w:p>
      <w:pPr>
        <w:spacing w:after="0" w:line="355"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Shareholder Topics &amp; Company Response</w:t>
      </w:r>
    </w:p>
    <w:p>
      <w:pPr>
        <w:spacing w:after="0" w:line="124" w:lineRule="exact"/>
        <w:rPr>
          <w:sz w:val="20"/>
          <w:szCs w:val="20"/>
          <w:color w:val="auto"/>
        </w:rPr>
      </w:pPr>
    </w:p>
    <w:p>
      <w:pPr>
        <w:ind w:left="320" w:right="100"/>
        <w:spacing w:after="0" w:line="265" w:lineRule="auto"/>
        <w:rPr>
          <w:sz w:val="20"/>
          <w:szCs w:val="20"/>
          <w:color w:val="auto"/>
        </w:rPr>
      </w:pPr>
      <w:r>
        <w:rPr>
          <w:rFonts w:ascii="Arial" w:cs="Arial" w:eastAsia="Arial" w:hAnsi="Arial"/>
          <w:sz w:val="17"/>
          <w:szCs w:val="17"/>
          <w:color w:val="auto"/>
        </w:rPr>
        <w:t>In the spirit of continuous improvement, we have reviewed with our Board of Directors the key takeaways from these meetings with our shareholders with the goal of continuing to evolve our corporate governance practices to best meet the needs of the Company and our shareholders. Our dialogue has led to enhancements to our practices and disclosure, which our Board believes are in the best interests of our company and our shareholders. For example:</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172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Topics of</w:t>
            </w:r>
          </w:p>
        </w:tc>
        <w:tc>
          <w:tcPr>
            <w:tcW w:w="8900" w:type="dxa"/>
            <w:vAlign w:val="bottom"/>
            <w:shd w:val="clear" w:color="auto" w:fill="0066BA"/>
          </w:tcPr>
          <w:p>
            <w:pPr>
              <w:ind w:left="280"/>
              <w:spacing w:after="0"/>
              <w:rPr>
                <w:sz w:val="20"/>
                <w:szCs w:val="20"/>
                <w:color w:val="auto"/>
              </w:rPr>
            </w:pPr>
            <w:r>
              <w:rPr>
                <w:rFonts w:ascii="Arial" w:cs="Arial" w:eastAsia="Arial" w:hAnsi="Arial"/>
                <w:sz w:val="14"/>
                <w:szCs w:val="14"/>
                <w:b w:val="1"/>
                <w:bCs w:val="1"/>
                <w:color w:val="FFFFFF"/>
              </w:rPr>
              <w:t>Recent Outcomes of Engagement</w:t>
            </w:r>
          </w:p>
        </w:tc>
      </w:tr>
      <w:tr>
        <w:trPr>
          <w:trHeight w:val="182"/>
        </w:trPr>
        <w:tc>
          <w:tcPr>
            <w:tcW w:w="172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Discussion</w:t>
            </w:r>
          </w:p>
        </w:tc>
        <w:tc>
          <w:tcPr>
            <w:tcW w:w="8900" w:type="dxa"/>
            <w:vAlign w:val="bottom"/>
            <w:shd w:val="clear" w:color="auto" w:fill="0066BA"/>
          </w:tcPr>
          <w:p>
            <w:pPr>
              <w:spacing w:after="0"/>
              <w:rPr>
                <w:sz w:val="15"/>
                <w:szCs w:val="15"/>
                <w:color w:val="auto"/>
              </w:rPr>
            </w:pPr>
          </w:p>
        </w:tc>
      </w:tr>
      <w:tr>
        <w:trPr>
          <w:trHeight w:val="103"/>
        </w:trPr>
        <w:tc>
          <w:tcPr>
            <w:tcW w:w="1720" w:type="dxa"/>
            <w:vAlign w:val="bottom"/>
            <w:shd w:val="clear" w:color="auto" w:fill="0066BA"/>
          </w:tcPr>
          <w:p>
            <w:pPr>
              <w:spacing w:after="0"/>
              <w:rPr>
                <w:sz w:val="8"/>
                <w:szCs w:val="8"/>
                <w:color w:val="auto"/>
              </w:rPr>
            </w:pPr>
          </w:p>
        </w:tc>
        <w:tc>
          <w:tcPr>
            <w:tcW w:w="8900" w:type="dxa"/>
            <w:vAlign w:val="bottom"/>
            <w:shd w:val="clear" w:color="auto" w:fill="0066BA"/>
          </w:tcPr>
          <w:p>
            <w:pPr>
              <w:spacing w:after="0"/>
              <w:rPr>
                <w:sz w:val="8"/>
                <w:szCs w:val="8"/>
                <w:color w:val="auto"/>
              </w:rPr>
            </w:pPr>
          </w:p>
        </w:tc>
      </w:tr>
    </w:tbl>
    <w:p>
      <w:pPr>
        <w:spacing w:after="0" w:line="20" w:lineRule="exact"/>
        <w:rPr>
          <w:sz w:val="20"/>
          <w:szCs w:val="20"/>
          <w:color w:val="auto"/>
        </w:rPr>
      </w:pPr>
    </w:p>
    <w:tbl>
      <w:tblPr>
        <w:tblLayout w:type="fixed"/>
        <w:tblInd w:w="320" w:type="dxa"/>
        <w:tblCellMar>
          <w:top w:w="0" w:type="dxa"/>
          <w:left w:w="0" w:type="dxa"/>
          <w:bottom w:w="0" w:type="dxa"/>
          <w:right w:w="0" w:type="dxa"/>
        </w:tblCellMar>
      </w:tblPr>
      <w:tr>
        <w:trPr>
          <w:trHeight w:val="241"/>
        </w:trPr>
        <w:tc>
          <w:tcPr>
            <w:tcW w:w="1720" w:type="dxa"/>
            <w:vAlign w:val="bottom"/>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r>
              <w:rPr>
                <w:rFonts w:ascii="Arial" w:cs="Arial" w:eastAsia="Arial" w:hAnsi="Arial"/>
                <w:sz w:val="17"/>
                <w:szCs w:val="17"/>
                <w:color w:val="auto"/>
              </w:rPr>
              <w:t>•</w:t>
            </w:r>
          </w:p>
        </w:tc>
        <w:tc>
          <w:tcPr>
            <w:tcW w:w="8600" w:type="dxa"/>
            <w:vAlign w:val="bottom"/>
            <w:shd w:val="clear" w:color="auto" w:fill="EAEAEA"/>
          </w:tcPr>
          <w:p>
            <w:pPr>
              <w:ind w:left="40"/>
              <w:spacing w:after="0"/>
              <w:rPr>
                <w:sz w:val="20"/>
                <w:szCs w:val="20"/>
                <w:color w:val="auto"/>
              </w:rPr>
            </w:pPr>
            <w:r>
              <w:rPr>
                <w:rFonts w:ascii="Arial" w:cs="Arial" w:eastAsia="Arial" w:hAnsi="Arial"/>
                <w:sz w:val="17"/>
                <w:szCs w:val="17"/>
                <w:color w:val="auto"/>
              </w:rPr>
              <w:t>Continued focus on active Board refreshment and diversity, adding two new female directors to the Board</w:t>
            </w:r>
          </w:p>
        </w:tc>
        <w:tc>
          <w:tcPr>
            <w:tcW w:w="0" w:type="dxa"/>
            <w:vAlign w:val="bottom"/>
          </w:tcPr>
          <w:p>
            <w:pPr>
              <w:spacing w:after="0"/>
              <w:rPr>
                <w:sz w:val="1"/>
                <w:szCs w:val="1"/>
                <w:color w:val="auto"/>
              </w:rPr>
            </w:pPr>
          </w:p>
        </w:tc>
      </w:tr>
      <w:tr>
        <w:trPr>
          <w:trHeight w:val="208"/>
        </w:trPr>
        <w:tc>
          <w:tcPr>
            <w:tcW w:w="1720" w:type="dxa"/>
            <w:vAlign w:val="bottom"/>
            <w:vMerge w:val="restart"/>
          </w:tcPr>
          <w:p>
            <w:pPr>
              <w:ind w:left="60"/>
              <w:spacing w:after="0"/>
              <w:rPr>
                <w:sz w:val="20"/>
                <w:szCs w:val="20"/>
                <w:color w:val="auto"/>
              </w:rPr>
            </w:pPr>
            <w:r>
              <w:rPr>
                <w:rFonts w:ascii="Arial" w:cs="Arial" w:eastAsia="Arial" w:hAnsi="Arial"/>
                <w:sz w:val="16"/>
                <w:szCs w:val="16"/>
                <w:color w:val="auto"/>
              </w:rPr>
              <w:t>Corporate</w:t>
            </w:r>
          </w:p>
        </w:tc>
        <w:tc>
          <w:tcPr>
            <w:tcW w:w="20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20"/>
                <w:szCs w:val="20"/>
                <w:color w:val="auto"/>
              </w:rPr>
            </w:pPr>
            <w:r>
              <w:rPr>
                <w:rFonts w:ascii="Arial" w:cs="Arial" w:eastAsia="Arial" w:hAnsi="Arial"/>
                <w:sz w:val="17"/>
                <w:szCs w:val="17"/>
                <w:color w:val="auto"/>
              </w:rPr>
              <w:t>•</w:t>
            </w:r>
          </w:p>
        </w:tc>
        <w:tc>
          <w:tcPr>
            <w:tcW w:w="8600" w:type="dxa"/>
            <w:vAlign w:val="bottom"/>
            <w:shd w:val="clear" w:color="auto" w:fill="EAEAEA"/>
          </w:tcPr>
          <w:p>
            <w:pPr>
              <w:ind w:left="40"/>
              <w:spacing w:after="0"/>
              <w:rPr>
                <w:sz w:val="20"/>
                <w:szCs w:val="20"/>
                <w:color w:val="auto"/>
              </w:rPr>
            </w:pPr>
            <w:r>
              <w:rPr>
                <w:rFonts w:ascii="Arial" w:cs="Arial" w:eastAsia="Arial" w:hAnsi="Arial"/>
                <w:sz w:val="17"/>
                <w:szCs w:val="17"/>
                <w:color w:val="auto"/>
                <w:w w:val="93"/>
              </w:rPr>
              <w:t>Enhanced risk oversight practices for our Board, including cybersecurity at the Board level and ESG under the Nominating</w:t>
            </w: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200" w:type="dxa"/>
            <w:vAlign w:val="bottom"/>
            <w:shd w:val="clear" w:color="auto" w:fill="EAEAEA"/>
          </w:tcPr>
          <w:p>
            <w:pPr>
              <w:spacing w:after="0"/>
              <w:rPr>
                <w:sz w:val="9"/>
                <w:szCs w:val="9"/>
                <w:color w:val="auto"/>
              </w:rPr>
            </w:pPr>
          </w:p>
        </w:tc>
        <w:tc>
          <w:tcPr>
            <w:tcW w:w="100" w:type="dxa"/>
            <w:vAlign w:val="bottom"/>
            <w:shd w:val="clear" w:color="auto" w:fill="EAEAEA"/>
          </w:tcPr>
          <w:p>
            <w:pPr>
              <w:spacing w:after="0"/>
              <w:rPr>
                <w:sz w:val="9"/>
                <w:szCs w:val="9"/>
                <w:color w:val="auto"/>
              </w:rPr>
            </w:pPr>
          </w:p>
        </w:tc>
        <w:tc>
          <w:tcPr>
            <w:tcW w:w="8600" w:type="dxa"/>
            <w:vAlign w:val="bottom"/>
            <w:vMerge w:val="restart"/>
            <w:shd w:val="clear" w:color="auto" w:fill="EAEAEA"/>
          </w:tcPr>
          <w:p>
            <w:pPr>
              <w:ind w:left="40"/>
              <w:spacing w:after="0"/>
              <w:rPr>
                <w:sz w:val="20"/>
                <w:szCs w:val="20"/>
                <w:color w:val="auto"/>
              </w:rPr>
            </w:pPr>
            <w:r>
              <w:rPr>
                <w:rFonts w:ascii="Arial" w:cs="Arial" w:eastAsia="Arial" w:hAnsi="Arial"/>
                <w:sz w:val="17"/>
                <w:szCs w:val="17"/>
                <w:color w:val="auto"/>
              </w:rPr>
              <w:t>and Corporate Governance Committee</w:t>
            </w:r>
          </w:p>
        </w:tc>
        <w:tc>
          <w:tcPr>
            <w:tcW w:w="0" w:type="dxa"/>
            <w:vAlign w:val="bottom"/>
          </w:tcPr>
          <w:p>
            <w:pPr>
              <w:spacing w:after="0"/>
              <w:rPr>
                <w:sz w:val="1"/>
                <w:szCs w:val="1"/>
                <w:color w:val="auto"/>
              </w:rPr>
            </w:pPr>
          </w:p>
        </w:tc>
      </w:tr>
      <w:tr>
        <w:trPr>
          <w:trHeight w:val="114"/>
        </w:trPr>
        <w:tc>
          <w:tcPr>
            <w:tcW w:w="1720" w:type="dxa"/>
            <w:vAlign w:val="bottom"/>
            <w:vMerge w:val="restart"/>
          </w:tcPr>
          <w:p>
            <w:pPr>
              <w:ind w:left="60"/>
              <w:spacing w:after="0"/>
              <w:rPr>
                <w:sz w:val="20"/>
                <w:szCs w:val="20"/>
                <w:color w:val="auto"/>
              </w:rPr>
            </w:pPr>
            <w:r>
              <w:rPr>
                <w:rFonts w:ascii="Arial" w:cs="Arial" w:eastAsia="Arial" w:hAnsi="Arial"/>
                <w:sz w:val="16"/>
                <w:szCs w:val="16"/>
                <w:color w:val="auto"/>
              </w:rPr>
              <w:t>Governance</w:t>
            </w:r>
          </w:p>
        </w:tc>
        <w:tc>
          <w:tcPr>
            <w:tcW w:w="200" w:type="dxa"/>
            <w:vAlign w:val="bottom"/>
            <w:shd w:val="clear" w:color="auto" w:fill="EAEAEA"/>
          </w:tcPr>
          <w:p>
            <w:pPr>
              <w:spacing w:after="0"/>
              <w:rPr>
                <w:sz w:val="9"/>
                <w:szCs w:val="9"/>
                <w:color w:val="auto"/>
              </w:rPr>
            </w:pPr>
          </w:p>
        </w:tc>
        <w:tc>
          <w:tcPr>
            <w:tcW w:w="100" w:type="dxa"/>
            <w:vAlign w:val="bottom"/>
            <w:shd w:val="clear" w:color="auto" w:fill="EAEAEA"/>
          </w:tcPr>
          <w:p>
            <w:pPr>
              <w:spacing w:after="0"/>
              <w:rPr>
                <w:sz w:val="9"/>
                <w:szCs w:val="9"/>
                <w:color w:val="auto"/>
              </w:rPr>
            </w:pPr>
          </w:p>
        </w:tc>
        <w:tc>
          <w:tcPr>
            <w:tcW w:w="860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720" w:type="dxa"/>
            <w:vAlign w:val="bottom"/>
            <w:vMerge w:val="continue"/>
          </w:tcPr>
          <w:p>
            <w:pPr>
              <w:spacing w:after="0"/>
              <w:rPr>
                <w:sz w:val="7"/>
                <w:szCs w:val="7"/>
                <w:color w:val="auto"/>
              </w:rPr>
            </w:pPr>
          </w:p>
        </w:tc>
        <w:tc>
          <w:tcPr>
            <w:tcW w:w="200" w:type="dxa"/>
            <w:vAlign w:val="bottom"/>
            <w:shd w:val="clear" w:color="auto" w:fill="EAEAEA"/>
          </w:tcPr>
          <w:p>
            <w:pPr>
              <w:spacing w:after="0"/>
              <w:rPr>
                <w:sz w:val="7"/>
                <w:szCs w:val="7"/>
                <w:color w:val="auto"/>
              </w:rPr>
            </w:pPr>
          </w:p>
        </w:tc>
        <w:tc>
          <w:tcPr>
            <w:tcW w:w="8700" w:type="dxa"/>
            <w:vAlign w:val="bottom"/>
            <w:gridSpan w:val="2"/>
            <w:vMerge w:val="restart"/>
            <w:shd w:val="clear" w:color="auto" w:fill="EAEAEA"/>
          </w:tcPr>
          <w:p>
            <w:pPr>
              <w:spacing w:after="0"/>
              <w:rPr>
                <w:sz w:val="20"/>
                <w:szCs w:val="20"/>
                <w:color w:val="auto"/>
              </w:rPr>
            </w:pPr>
            <w:r>
              <w:rPr>
                <w:rFonts w:ascii="Arial" w:cs="Arial" w:eastAsia="Arial" w:hAnsi="Arial"/>
                <w:sz w:val="17"/>
                <w:szCs w:val="17"/>
                <w:color w:val="auto"/>
                <w:w w:val="96"/>
              </w:rPr>
              <w:t>• Adopted a new clawback policy for all executive officers with respect to cash and equity incentives that is applicable in</w:t>
            </w: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200" w:type="dxa"/>
            <w:vAlign w:val="bottom"/>
            <w:shd w:val="clear" w:color="auto" w:fill="EAEAEA"/>
          </w:tcPr>
          <w:p>
            <w:pPr>
              <w:spacing w:after="0"/>
              <w:rPr>
                <w:sz w:val="15"/>
                <w:szCs w:val="15"/>
                <w:color w:val="auto"/>
              </w:rPr>
            </w:pPr>
          </w:p>
        </w:tc>
        <w:tc>
          <w:tcPr>
            <w:tcW w:w="8700" w:type="dxa"/>
            <w:vAlign w:val="bottom"/>
            <w:gridSpan w:val="2"/>
            <w:vMerge w:val="continue"/>
            <w:shd w:val="clear" w:color="auto" w:fill="EAEAEA"/>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720" w:type="dxa"/>
            <w:vAlign w:val="bottom"/>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8600" w:type="dxa"/>
            <w:vAlign w:val="bottom"/>
            <w:shd w:val="clear" w:color="auto" w:fill="EAEAEA"/>
          </w:tcPr>
          <w:p>
            <w:pPr>
              <w:ind w:left="40"/>
              <w:spacing w:after="0"/>
              <w:rPr>
                <w:sz w:val="20"/>
                <w:szCs w:val="20"/>
                <w:color w:val="auto"/>
              </w:rPr>
            </w:pPr>
            <w:r>
              <w:rPr>
                <w:rFonts w:ascii="Arial" w:cs="Arial" w:eastAsia="Arial" w:hAnsi="Arial"/>
                <w:sz w:val="17"/>
                <w:szCs w:val="17"/>
                <w:color w:val="auto"/>
              </w:rPr>
              <w:t>the event of a material financial restatement due to fraud or willful misconduct</w:t>
            </w:r>
          </w:p>
        </w:tc>
        <w:tc>
          <w:tcPr>
            <w:tcW w:w="0" w:type="dxa"/>
            <w:vAlign w:val="bottom"/>
          </w:tcPr>
          <w:p>
            <w:pPr>
              <w:spacing w:after="0"/>
              <w:rPr>
                <w:sz w:val="1"/>
                <w:szCs w:val="1"/>
                <w:color w:val="auto"/>
              </w:rPr>
            </w:pPr>
          </w:p>
        </w:tc>
      </w:tr>
      <w:tr>
        <w:trPr>
          <w:trHeight w:val="65"/>
        </w:trPr>
        <w:tc>
          <w:tcPr>
            <w:tcW w:w="1720" w:type="dxa"/>
            <w:vAlign w:val="bottom"/>
            <w:tcBorders>
              <w:bottom w:val="single" w:sz="8" w:color="0066BA"/>
            </w:tcBorders>
          </w:tcPr>
          <w:p>
            <w:pPr>
              <w:spacing w:after="0"/>
              <w:rPr>
                <w:sz w:val="5"/>
                <w:szCs w:val="5"/>
                <w:color w:val="auto"/>
              </w:rPr>
            </w:pPr>
          </w:p>
        </w:tc>
        <w:tc>
          <w:tcPr>
            <w:tcW w:w="200" w:type="dxa"/>
            <w:vAlign w:val="bottom"/>
            <w:tcBorders>
              <w:bottom w:val="single" w:sz="8" w:color="0066BA"/>
            </w:tcBorders>
            <w:shd w:val="clear" w:color="auto" w:fill="EAEAEA"/>
          </w:tcPr>
          <w:p>
            <w:pPr>
              <w:spacing w:after="0"/>
              <w:rPr>
                <w:sz w:val="5"/>
                <w:szCs w:val="5"/>
                <w:color w:val="auto"/>
              </w:rPr>
            </w:pPr>
          </w:p>
        </w:tc>
        <w:tc>
          <w:tcPr>
            <w:tcW w:w="100" w:type="dxa"/>
            <w:vAlign w:val="bottom"/>
            <w:tcBorders>
              <w:bottom w:val="single" w:sz="8" w:color="0066BA"/>
            </w:tcBorders>
            <w:shd w:val="clear" w:color="auto" w:fill="EAEAEA"/>
          </w:tcPr>
          <w:p>
            <w:pPr>
              <w:spacing w:after="0"/>
              <w:rPr>
                <w:sz w:val="5"/>
                <w:szCs w:val="5"/>
                <w:color w:val="auto"/>
              </w:rPr>
            </w:pPr>
          </w:p>
        </w:tc>
        <w:tc>
          <w:tcPr>
            <w:tcW w:w="8600" w:type="dxa"/>
            <w:vAlign w:val="bottom"/>
            <w:tcBorders>
              <w:bottom w:val="single" w:sz="8" w:color="0066BA"/>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20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line="189" w:lineRule="exact"/>
              <w:rPr>
                <w:sz w:val="20"/>
                <w:szCs w:val="20"/>
                <w:color w:val="auto"/>
              </w:rPr>
            </w:pPr>
            <w:r>
              <w:rPr>
                <w:rFonts w:ascii="Arial" w:cs="Arial" w:eastAsia="Arial" w:hAnsi="Arial"/>
                <w:sz w:val="17"/>
                <w:szCs w:val="17"/>
                <w:color w:val="auto"/>
              </w:rPr>
              <w:t>•</w:t>
            </w:r>
          </w:p>
        </w:tc>
        <w:tc>
          <w:tcPr>
            <w:tcW w:w="8600" w:type="dxa"/>
            <w:vAlign w:val="bottom"/>
            <w:shd w:val="clear" w:color="auto" w:fill="EAEAEA"/>
          </w:tcPr>
          <w:p>
            <w:pPr>
              <w:ind w:left="40"/>
              <w:spacing w:after="0" w:line="189" w:lineRule="exact"/>
              <w:rPr>
                <w:sz w:val="20"/>
                <w:szCs w:val="20"/>
                <w:color w:val="auto"/>
              </w:rPr>
            </w:pPr>
            <w:r>
              <w:rPr>
                <w:rFonts w:ascii="Arial" w:cs="Arial" w:eastAsia="Arial" w:hAnsi="Arial"/>
                <w:sz w:val="17"/>
                <w:szCs w:val="17"/>
                <w:color w:val="auto"/>
                <w:w w:val="98"/>
              </w:rPr>
              <w:t>Published our inaugural Corporate Responsibility Report in May 2020 that includes enhanced disclosure of our ESG</w:t>
            </w:r>
          </w:p>
        </w:tc>
        <w:tc>
          <w:tcPr>
            <w:tcW w:w="0" w:type="dxa"/>
            <w:vAlign w:val="bottom"/>
          </w:tcPr>
          <w:p>
            <w:pPr>
              <w:spacing w:after="0"/>
              <w:rPr>
                <w:sz w:val="1"/>
                <w:szCs w:val="1"/>
                <w:color w:val="auto"/>
              </w:rPr>
            </w:pPr>
          </w:p>
        </w:tc>
      </w:tr>
      <w:tr>
        <w:trPr>
          <w:trHeight w:val="221"/>
        </w:trPr>
        <w:tc>
          <w:tcPr>
            <w:tcW w:w="1720" w:type="dxa"/>
            <w:vAlign w:val="bottom"/>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8600" w:type="dxa"/>
            <w:vAlign w:val="bottom"/>
            <w:shd w:val="clear" w:color="auto" w:fill="EAEAEA"/>
          </w:tcPr>
          <w:p>
            <w:pPr>
              <w:ind w:left="40"/>
              <w:spacing w:after="0"/>
              <w:rPr>
                <w:sz w:val="20"/>
                <w:szCs w:val="20"/>
                <w:color w:val="auto"/>
              </w:rPr>
            </w:pPr>
            <w:r>
              <w:rPr>
                <w:rFonts w:ascii="Arial" w:cs="Arial" w:eastAsia="Arial" w:hAnsi="Arial"/>
                <w:sz w:val="17"/>
                <w:szCs w:val="17"/>
                <w:color w:val="auto"/>
              </w:rPr>
              <w:t>initiatives</w:t>
            </w:r>
          </w:p>
        </w:tc>
        <w:tc>
          <w:tcPr>
            <w:tcW w:w="0" w:type="dxa"/>
            <w:vAlign w:val="bottom"/>
          </w:tcPr>
          <w:p>
            <w:pPr>
              <w:spacing w:after="0"/>
              <w:rPr>
                <w:sz w:val="1"/>
                <w:szCs w:val="1"/>
                <w:color w:val="auto"/>
              </w:rPr>
            </w:pPr>
          </w:p>
        </w:tc>
      </w:tr>
      <w:tr>
        <w:trPr>
          <w:trHeight w:val="261"/>
        </w:trPr>
        <w:tc>
          <w:tcPr>
            <w:tcW w:w="1720" w:type="dxa"/>
            <w:vAlign w:val="bottom"/>
          </w:tcPr>
          <w:p>
            <w:pPr>
              <w:ind w:left="60"/>
              <w:spacing w:after="0"/>
              <w:rPr>
                <w:sz w:val="20"/>
                <w:szCs w:val="20"/>
                <w:color w:val="auto"/>
              </w:rPr>
            </w:pPr>
            <w:r>
              <w:rPr>
                <w:rFonts w:ascii="Arial" w:cs="Arial" w:eastAsia="Arial" w:hAnsi="Arial"/>
                <w:sz w:val="16"/>
                <w:szCs w:val="16"/>
                <w:color w:val="auto"/>
              </w:rPr>
              <w:t>Corporate Social</w:t>
            </w:r>
          </w:p>
        </w:tc>
        <w:tc>
          <w:tcPr>
            <w:tcW w:w="200" w:type="dxa"/>
            <w:vAlign w:val="bottom"/>
            <w:shd w:val="clear" w:color="auto" w:fill="EAEAEA"/>
          </w:tcPr>
          <w:p>
            <w:pPr>
              <w:spacing w:after="0"/>
              <w:rPr>
                <w:sz w:val="22"/>
                <w:szCs w:val="22"/>
                <w:color w:val="auto"/>
              </w:rPr>
            </w:pPr>
          </w:p>
        </w:tc>
        <w:tc>
          <w:tcPr>
            <w:tcW w:w="100" w:type="dxa"/>
            <w:vAlign w:val="bottom"/>
            <w:shd w:val="clear" w:color="auto" w:fill="EAEAEA"/>
          </w:tcPr>
          <w:p>
            <w:pPr>
              <w:spacing w:after="0"/>
              <w:rPr>
                <w:sz w:val="20"/>
                <w:szCs w:val="20"/>
                <w:color w:val="auto"/>
              </w:rPr>
            </w:pPr>
            <w:r>
              <w:rPr>
                <w:rFonts w:ascii="Arial" w:cs="Arial" w:eastAsia="Arial" w:hAnsi="Arial"/>
                <w:sz w:val="17"/>
                <w:szCs w:val="17"/>
                <w:color w:val="auto"/>
              </w:rPr>
              <w:t>•</w:t>
            </w:r>
          </w:p>
        </w:tc>
        <w:tc>
          <w:tcPr>
            <w:tcW w:w="8600" w:type="dxa"/>
            <w:vAlign w:val="bottom"/>
            <w:shd w:val="clear" w:color="auto" w:fill="EAEAEA"/>
          </w:tcPr>
          <w:p>
            <w:pPr>
              <w:ind w:left="40"/>
              <w:spacing w:after="0"/>
              <w:rPr>
                <w:sz w:val="20"/>
                <w:szCs w:val="20"/>
                <w:color w:val="auto"/>
              </w:rPr>
            </w:pPr>
            <w:r>
              <w:rPr>
                <w:rFonts w:ascii="Arial" w:cs="Arial" w:eastAsia="Arial" w:hAnsi="Arial"/>
                <w:sz w:val="17"/>
                <w:szCs w:val="17"/>
                <w:color w:val="auto"/>
                <w:w w:val="93"/>
              </w:rPr>
              <w:t>Enhanced our diversity and inclusion disclosures, including management perspective and workforce data on diversity and</w:t>
            </w:r>
          </w:p>
        </w:tc>
        <w:tc>
          <w:tcPr>
            <w:tcW w:w="0" w:type="dxa"/>
            <w:vAlign w:val="bottom"/>
          </w:tcPr>
          <w:p>
            <w:pPr>
              <w:spacing w:after="0"/>
              <w:rPr>
                <w:sz w:val="1"/>
                <w:szCs w:val="1"/>
                <w:color w:val="auto"/>
              </w:rPr>
            </w:pPr>
          </w:p>
        </w:tc>
      </w:tr>
      <w:tr>
        <w:trPr>
          <w:trHeight w:val="221"/>
        </w:trPr>
        <w:tc>
          <w:tcPr>
            <w:tcW w:w="1720" w:type="dxa"/>
            <w:vAlign w:val="bottom"/>
          </w:tcPr>
          <w:p>
            <w:pPr>
              <w:ind w:left="60"/>
              <w:spacing w:after="0"/>
              <w:rPr>
                <w:sz w:val="20"/>
                <w:szCs w:val="20"/>
                <w:color w:val="auto"/>
              </w:rPr>
            </w:pPr>
            <w:r>
              <w:rPr>
                <w:rFonts w:ascii="Arial" w:cs="Arial" w:eastAsia="Arial" w:hAnsi="Arial"/>
                <w:sz w:val="16"/>
                <w:szCs w:val="16"/>
                <w:color w:val="auto"/>
              </w:rPr>
              <w:t>Responsibility</w:t>
            </w:r>
          </w:p>
        </w:tc>
        <w:tc>
          <w:tcPr>
            <w:tcW w:w="2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8600" w:type="dxa"/>
            <w:vAlign w:val="bottom"/>
            <w:shd w:val="clear" w:color="auto" w:fill="EAEAEA"/>
          </w:tcPr>
          <w:p>
            <w:pPr>
              <w:ind w:left="40"/>
              <w:spacing w:after="0"/>
              <w:rPr>
                <w:sz w:val="20"/>
                <w:szCs w:val="20"/>
                <w:color w:val="auto"/>
              </w:rPr>
            </w:pPr>
            <w:r>
              <w:rPr>
                <w:rFonts w:ascii="Arial" w:cs="Arial" w:eastAsia="Arial" w:hAnsi="Arial"/>
                <w:sz w:val="17"/>
                <w:szCs w:val="17"/>
                <w:color w:val="auto"/>
              </w:rPr>
              <w:t>inclusion topics in the Corporate Responsibility Report</w:t>
            </w:r>
          </w:p>
        </w:tc>
        <w:tc>
          <w:tcPr>
            <w:tcW w:w="0" w:type="dxa"/>
            <w:vAlign w:val="bottom"/>
          </w:tcPr>
          <w:p>
            <w:pPr>
              <w:spacing w:after="0"/>
              <w:rPr>
                <w:sz w:val="1"/>
                <w:szCs w:val="1"/>
                <w:color w:val="auto"/>
              </w:rPr>
            </w:pPr>
          </w:p>
        </w:tc>
      </w:tr>
      <w:tr>
        <w:trPr>
          <w:trHeight w:val="261"/>
        </w:trPr>
        <w:tc>
          <w:tcPr>
            <w:tcW w:w="1720" w:type="dxa"/>
            <w:vAlign w:val="bottom"/>
          </w:tcPr>
          <w:p>
            <w:pPr>
              <w:spacing w:after="0"/>
              <w:rPr>
                <w:sz w:val="22"/>
                <w:szCs w:val="22"/>
                <w:color w:val="auto"/>
              </w:rPr>
            </w:pPr>
          </w:p>
        </w:tc>
        <w:tc>
          <w:tcPr>
            <w:tcW w:w="200" w:type="dxa"/>
            <w:vAlign w:val="bottom"/>
            <w:shd w:val="clear" w:color="auto" w:fill="EAEAEA"/>
          </w:tcPr>
          <w:p>
            <w:pPr>
              <w:spacing w:after="0"/>
              <w:rPr>
                <w:sz w:val="22"/>
                <w:szCs w:val="22"/>
                <w:color w:val="auto"/>
              </w:rPr>
            </w:pPr>
          </w:p>
        </w:tc>
        <w:tc>
          <w:tcPr>
            <w:tcW w:w="100" w:type="dxa"/>
            <w:vAlign w:val="bottom"/>
            <w:shd w:val="clear" w:color="auto" w:fill="EAEAEA"/>
          </w:tcPr>
          <w:p>
            <w:pPr>
              <w:spacing w:after="0"/>
              <w:rPr>
                <w:sz w:val="20"/>
                <w:szCs w:val="20"/>
                <w:color w:val="auto"/>
              </w:rPr>
            </w:pPr>
            <w:r>
              <w:rPr>
                <w:rFonts w:ascii="Arial" w:cs="Arial" w:eastAsia="Arial" w:hAnsi="Arial"/>
                <w:sz w:val="17"/>
                <w:szCs w:val="17"/>
                <w:color w:val="auto"/>
              </w:rPr>
              <w:t>•</w:t>
            </w:r>
          </w:p>
        </w:tc>
        <w:tc>
          <w:tcPr>
            <w:tcW w:w="8600" w:type="dxa"/>
            <w:vAlign w:val="bottom"/>
            <w:shd w:val="clear" w:color="auto" w:fill="EAEAEA"/>
          </w:tcPr>
          <w:p>
            <w:pPr>
              <w:ind w:left="40"/>
              <w:spacing w:after="0"/>
              <w:rPr>
                <w:sz w:val="20"/>
                <w:szCs w:val="20"/>
                <w:color w:val="auto"/>
              </w:rPr>
            </w:pPr>
            <w:r>
              <w:rPr>
                <w:rFonts w:ascii="Arial" w:cs="Arial" w:eastAsia="Arial" w:hAnsi="Arial"/>
                <w:sz w:val="17"/>
                <w:szCs w:val="17"/>
                <w:color w:val="auto"/>
                <w:w w:val="95"/>
              </w:rPr>
              <w:t>Continued to refine our shareholder engagement process to connect our shareholders with key stakeholders within our</w:t>
            </w:r>
          </w:p>
        </w:tc>
        <w:tc>
          <w:tcPr>
            <w:tcW w:w="0" w:type="dxa"/>
            <w:vAlign w:val="bottom"/>
          </w:tcPr>
          <w:p>
            <w:pPr>
              <w:spacing w:after="0"/>
              <w:rPr>
                <w:sz w:val="1"/>
                <w:szCs w:val="1"/>
                <w:color w:val="auto"/>
              </w:rPr>
            </w:pPr>
          </w:p>
        </w:tc>
      </w:tr>
      <w:tr>
        <w:trPr>
          <w:trHeight w:val="221"/>
        </w:trPr>
        <w:tc>
          <w:tcPr>
            <w:tcW w:w="1720" w:type="dxa"/>
            <w:vAlign w:val="bottom"/>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8600" w:type="dxa"/>
            <w:vAlign w:val="bottom"/>
            <w:shd w:val="clear" w:color="auto" w:fill="EAEAEA"/>
          </w:tcPr>
          <w:p>
            <w:pPr>
              <w:ind w:left="40"/>
              <w:spacing w:after="0"/>
              <w:rPr>
                <w:sz w:val="20"/>
                <w:szCs w:val="20"/>
                <w:color w:val="auto"/>
              </w:rPr>
            </w:pPr>
            <w:r>
              <w:rPr>
                <w:rFonts w:ascii="Arial" w:cs="Arial" w:eastAsia="Arial" w:hAnsi="Arial"/>
                <w:sz w:val="17"/>
                <w:szCs w:val="17"/>
                <w:color w:val="auto"/>
              </w:rPr>
              <w:t>company around topics of interest</w:t>
            </w:r>
          </w:p>
        </w:tc>
        <w:tc>
          <w:tcPr>
            <w:tcW w:w="0" w:type="dxa"/>
            <w:vAlign w:val="bottom"/>
          </w:tcPr>
          <w:p>
            <w:pPr>
              <w:spacing w:after="0"/>
              <w:rPr>
                <w:sz w:val="1"/>
                <w:szCs w:val="1"/>
                <w:color w:val="auto"/>
              </w:rPr>
            </w:pPr>
          </w:p>
        </w:tc>
      </w:tr>
      <w:tr>
        <w:trPr>
          <w:trHeight w:val="65"/>
        </w:trPr>
        <w:tc>
          <w:tcPr>
            <w:tcW w:w="1720" w:type="dxa"/>
            <w:vAlign w:val="bottom"/>
            <w:tcBorders>
              <w:bottom w:val="single" w:sz="8" w:color="0066BA"/>
            </w:tcBorders>
          </w:tcPr>
          <w:p>
            <w:pPr>
              <w:spacing w:after="0"/>
              <w:rPr>
                <w:sz w:val="5"/>
                <w:szCs w:val="5"/>
                <w:color w:val="auto"/>
              </w:rPr>
            </w:pPr>
          </w:p>
        </w:tc>
        <w:tc>
          <w:tcPr>
            <w:tcW w:w="200" w:type="dxa"/>
            <w:vAlign w:val="bottom"/>
            <w:tcBorders>
              <w:bottom w:val="single" w:sz="8" w:color="0066BA"/>
            </w:tcBorders>
            <w:shd w:val="clear" w:color="auto" w:fill="EAEAEA"/>
          </w:tcPr>
          <w:p>
            <w:pPr>
              <w:spacing w:after="0"/>
              <w:rPr>
                <w:sz w:val="5"/>
                <w:szCs w:val="5"/>
                <w:color w:val="auto"/>
              </w:rPr>
            </w:pPr>
          </w:p>
        </w:tc>
        <w:tc>
          <w:tcPr>
            <w:tcW w:w="100" w:type="dxa"/>
            <w:vAlign w:val="bottom"/>
            <w:tcBorders>
              <w:bottom w:val="single" w:sz="8" w:color="0066BA"/>
            </w:tcBorders>
            <w:shd w:val="clear" w:color="auto" w:fill="EAEAEA"/>
          </w:tcPr>
          <w:p>
            <w:pPr>
              <w:spacing w:after="0"/>
              <w:rPr>
                <w:sz w:val="5"/>
                <w:szCs w:val="5"/>
                <w:color w:val="auto"/>
              </w:rPr>
            </w:pPr>
          </w:p>
        </w:tc>
        <w:tc>
          <w:tcPr>
            <w:tcW w:w="8600" w:type="dxa"/>
            <w:vAlign w:val="bottom"/>
            <w:tcBorders>
              <w:bottom w:val="single" w:sz="8" w:color="0066BA"/>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90805</wp:posOffset>
            </wp:positionV>
            <wp:extent cx="140335" cy="908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0335" cy="908685"/>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940"/>
          </w:cols>
          <w:pgMar w:left="320" w:top="447" w:right="639" w:bottom="1440" w:gutter="0" w:footer="0" w:header="0"/>
          <w:type w:val="continuous"/>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20"/>
        <w:spacing w:after="0"/>
        <w:rPr>
          <w:sz w:val="20"/>
          <w:szCs w:val="20"/>
          <w:color w:val="auto"/>
        </w:rPr>
      </w:pPr>
      <w:r>
        <w:rPr>
          <w:rFonts w:ascii="Arial" w:cs="Arial" w:eastAsia="Arial" w:hAnsi="Arial"/>
          <w:sz w:val="55"/>
          <w:szCs w:val="55"/>
          <w:color w:val="auto"/>
        </w:rPr>
        <w:t>Executive Compensation</w:t>
      </w:r>
    </w:p>
    <w:p>
      <w:pPr>
        <w:spacing w:after="0" w:line="302" w:lineRule="exact"/>
        <w:rPr>
          <w:sz w:val="20"/>
          <w:szCs w:val="20"/>
          <w:color w:val="auto"/>
        </w:rPr>
      </w:pPr>
    </w:p>
    <w:p>
      <w:pPr>
        <w:ind w:left="320" w:right="340"/>
        <w:spacing w:after="0" w:line="286" w:lineRule="auto"/>
        <w:rPr>
          <w:sz w:val="20"/>
          <w:szCs w:val="20"/>
          <w:color w:val="auto"/>
        </w:rPr>
      </w:pPr>
      <w:r>
        <w:rPr>
          <w:rFonts w:ascii="Arial" w:cs="Arial" w:eastAsia="Arial" w:hAnsi="Arial"/>
          <w:sz w:val="17"/>
          <w:szCs w:val="17"/>
          <w:color w:val="auto"/>
        </w:rPr>
        <w:t>Our executive compensation program is designed to attract, retain and motivate top executive talent and align the interests of our executives and our shareholders.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103505</wp:posOffset>
            </wp:positionV>
            <wp:extent cx="67405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10940"/>
          </w:cols>
          <w:pgMar w:left="320" w:top="447" w:right="639" w:bottom="884" w:gutter="0" w:footer="0" w:header="0"/>
        </w:sectPr>
      </w:pPr>
    </w:p>
    <w:p>
      <w:pPr>
        <w:spacing w:after="0" w:line="254" w:lineRule="exact"/>
        <w:rPr>
          <w:sz w:val="20"/>
          <w:szCs w:val="20"/>
          <w:color w:val="auto"/>
        </w:rPr>
      </w:pPr>
    </w:p>
    <w:p>
      <w:pPr>
        <w:ind w:left="480" w:right="320" w:hanging="164"/>
        <w:spacing w:after="0" w:line="286" w:lineRule="auto"/>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cash incentive bonus awards are based solely on our financial performance</w:t>
      </w:r>
    </w:p>
    <w:p>
      <w:pPr>
        <w:spacing w:after="0" w:line="15" w:lineRule="exact"/>
        <w:rPr>
          <w:rFonts w:ascii="Arial" w:cs="Arial" w:eastAsia="Arial" w:hAnsi="Arial"/>
          <w:sz w:val="17"/>
          <w:szCs w:val="17"/>
          <w:color w:val="auto"/>
        </w:rPr>
      </w:pPr>
    </w:p>
    <w:p>
      <w:pPr>
        <w:ind w:left="480" w:right="100" w:hanging="164"/>
        <w:spacing w:after="0" w:line="286" w:lineRule="auto"/>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significant portion of equity awards are contingent upon long-term performance achievement</w:t>
      </w:r>
    </w:p>
    <w:p>
      <w:pPr>
        <w:spacing w:after="0" w:line="15" w:lineRule="exact"/>
        <w:rPr>
          <w:rFonts w:ascii="Arial" w:cs="Arial" w:eastAsia="Arial" w:hAnsi="Arial"/>
          <w:sz w:val="17"/>
          <w:szCs w:val="17"/>
          <w:color w:val="auto"/>
        </w:rPr>
      </w:pPr>
    </w:p>
    <w:p>
      <w:pPr>
        <w:ind w:left="480" w:right="40" w:hanging="164"/>
        <w:spacing w:after="0" w:line="286" w:lineRule="auto"/>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Incentive awards are tied to rigorous performance targets aligned with our corporate strategy</w:t>
      </w:r>
    </w:p>
    <w:p>
      <w:pPr>
        <w:spacing w:after="0" w:line="15" w:lineRule="exact"/>
        <w:rPr>
          <w:rFonts w:ascii="Arial" w:cs="Arial" w:eastAsia="Arial" w:hAnsi="Arial"/>
          <w:sz w:val="17"/>
          <w:szCs w:val="17"/>
          <w:color w:val="auto"/>
        </w:rPr>
      </w:pPr>
    </w:p>
    <w:p>
      <w:pPr>
        <w:ind w:left="480" w:hanging="164"/>
        <w:spacing w:after="0" w:line="286" w:lineRule="auto"/>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Payout for relative TSR-based awards capped at target for instances of negative absolute TSR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170" w:right="160" w:hanging="170"/>
        <w:spacing w:after="0" w:line="270" w:lineRule="auto"/>
        <w:tabs>
          <w:tab w:leader="none" w:pos="17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recently adopted a clawback policy for all executive officers in the event of a material financial restatement due to fraud or willful misconduct</w:t>
      </w:r>
    </w:p>
    <w:p>
      <w:pPr>
        <w:spacing w:after="0" w:line="29" w:lineRule="exact"/>
        <w:rPr>
          <w:rFonts w:ascii="Arial" w:cs="Arial" w:eastAsia="Arial" w:hAnsi="Arial"/>
          <w:sz w:val="17"/>
          <w:szCs w:val="17"/>
          <w:color w:val="auto"/>
        </w:rPr>
      </w:pPr>
    </w:p>
    <w:p>
      <w:pPr>
        <w:ind w:left="170" w:right="60" w:hanging="170"/>
        <w:spacing w:after="0" w:line="270" w:lineRule="auto"/>
        <w:tabs>
          <w:tab w:leader="none" w:pos="17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a specific policy regarding the grant dates of stock options, RSUs and other stock-based awards for our directors, executive officers and employees</w:t>
      </w:r>
    </w:p>
    <w:p>
      <w:pPr>
        <w:spacing w:after="0" w:line="29" w:lineRule="exact"/>
        <w:rPr>
          <w:rFonts w:ascii="Arial" w:cs="Arial" w:eastAsia="Arial" w:hAnsi="Arial"/>
          <w:sz w:val="17"/>
          <w:szCs w:val="17"/>
          <w:color w:val="auto"/>
        </w:rPr>
      </w:pPr>
    </w:p>
    <w:p>
      <w:pPr>
        <w:ind w:left="170" w:hanging="170"/>
        <w:spacing w:after="0"/>
        <w:tabs>
          <w:tab w:leader="none" w:pos="17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stock ownership guidelines for all officers and directors</w:t>
      </w:r>
    </w:p>
    <w:p>
      <w:pPr>
        <w:spacing w:after="0" w:line="77" w:lineRule="exact"/>
        <w:rPr>
          <w:rFonts w:ascii="Arial" w:cs="Arial" w:eastAsia="Arial" w:hAnsi="Arial"/>
          <w:sz w:val="17"/>
          <w:szCs w:val="17"/>
          <w:color w:val="auto"/>
        </w:rPr>
      </w:pPr>
    </w:p>
    <w:p>
      <w:pPr>
        <w:ind w:left="170" w:hanging="170"/>
        <w:spacing w:after="0"/>
        <w:tabs>
          <w:tab w:leader="none" w:pos="17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prohibit hedging and pledging of ADI securities</w:t>
      </w:r>
    </w:p>
    <w:p>
      <w:pPr>
        <w:spacing w:after="0" w:line="77" w:lineRule="exact"/>
        <w:rPr>
          <w:rFonts w:ascii="Arial" w:cs="Arial" w:eastAsia="Arial" w:hAnsi="Arial"/>
          <w:sz w:val="17"/>
          <w:szCs w:val="17"/>
          <w:color w:val="auto"/>
        </w:rPr>
      </w:pPr>
    </w:p>
    <w:p>
      <w:pPr>
        <w:ind w:left="170" w:hanging="170"/>
        <w:spacing w:after="0"/>
        <w:tabs>
          <w:tab w:leader="none" w:pos="17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Annual “say on pay” vote</w:t>
      </w:r>
    </w:p>
    <w:p>
      <w:pPr>
        <w:spacing w:after="0" w:line="200" w:lineRule="exact"/>
        <w:rPr>
          <w:sz w:val="20"/>
          <w:szCs w:val="20"/>
          <w:color w:val="auto"/>
        </w:rPr>
      </w:pPr>
    </w:p>
    <w:p>
      <w:pPr>
        <w:sectPr>
          <w:pgSz w:w="11900" w:h="16838" w:orient="portrait"/>
          <w:cols w:equalWidth="0" w:num="2">
            <w:col w:w="5380" w:space="350"/>
            <w:col w:w="5210"/>
          </w:cols>
          <w:pgMar w:left="320" w:top="447" w:right="639" w:bottom="884" w:gutter="0" w:footer="0" w:header="0"/>
          <w:type w:val="continuous"/>
        </w:sectPr>
      </w:pPr>
    </w:p>
    <w:p>
      <w:pPr>
        <w:spacing w:after="0" w:line="178"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Overview of CEO Pay</w:t>
      </w:r>
    </w:p>
    <w:p>
      <w:pPr>
        <w:spacing w:after="0" w:line="124" w:lineRule="exact"/>
        <w:rPr>
          <w:sz w:val="20"/>
          <w:szCs w:val="20"/>
          <w:color w:val="auto"/>
        </w:rPr>
      </w:pPr>
    </w:p>
    <w:p>
      <w:pPr>
        <w:ind w:left="320" w:right="120"/>
        <w:spacing w:after="0" w:line="270" w:lineRule="auto"/>
        <w:rPr>
          <w:sz w:val="20"/>
          <w:szCs w:val="20"/>
          <w:color w:val="auto"/>
        </w:rPr>
      </w:pPr>
      <w:r>
        <w:rPr>
          <w:rFonts w:ascii="Arial" w:cs="Arial" w:eastAsia="Arial" w:hAnsi="Arial"/>
          <w:sz w:val="17"/>
          <w:szCs w:val="17"/>
          <w:color w:val="auto"/>
        </w:rPr>
        <w:t>Executive pay at ADI is strongly aligned with long-term company performance, with the majority of compensation delivered in long-term equity-based awards. The pay mix chart is based on target compensation consisting of the annual rate of base salary and short-term and long-term incentive targets approved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133985</wp:posOffset>
            </wp:positionV>
            <wp:extent cx="2891155" cy="12553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1155" cy="1255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Fiscal 2020 Total Shareholder Return</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2020 compensation actions for our NEOs are supported by solid corporate performance and strong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213995</wp:posOffset>
            </wp:positionV>
            <wp:extent cx="3453130" cy="18421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53130" cy="184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320" w:right="5140"/>
        <w:spacing w:after="0" w:line="245" w:lineRule="auto"/>
        <w:rPr>
          <w:sz w:val="20"/>
          <w:szCs w:val="20"/>
          <w:color w:val="auto"/>
        </w:rPr>
      </w:pPr>
      <w:r>
        <w:rPr>
          <w:rFonts w:ascii="Arial" w:cs="Arial" w:eastAsia="Arial" w:hAnsi="Arial"/>
          <w:sz w:val="13"/>
          <w:szCs w:val="13"/>
          <w:i w:val="1"/>
          <w:iCs w:val="1"/>
          <w:color w:val="auto"/>
        </w:rPr>
        <w:t>Total Shareholder Return calculation is share price appreciation plus cumulative cash dividend payments, and the effect of reinvesting those dividends into the security for the one-year period ended October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6801485</wp:posOffset>
            </wp:positionH>
            <wp:positionV relativeFrom="paragraph">
              <wp:posOffset>81915</wp:posOffset>
            </wp:positionV>
            <wp:extent cx="140335" cy="900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0335" cy="900430"/>
                    </a:xfrm>
                    <a:prstGeom prst="rect">
                      <a:avLst/>
                    </a:prstGeom>
                    <a:noFill/>
                  </pic:spPr>
                </pic:pic>
              </a:graphicData>
            </a:graphic>
          </wp:anchor>
        </w:drawing>
      </w:r>
    </w:p>
    <w:p>
      <w:pPr>
        <w:sectPr>
          <w:pgSz w:w="11900" w:h="16838" w:orient="portrait"/>
          <w:cols w:equalWidth="0" w:num="1">
            <w:col w:w="10940"/>
          </w:cols>
          <w:pgMar w:left="320" w:top="447" w:right="639" w:bottom="88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84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40"/>
          </w:cols>
          <w:pgMar w:left="320" w:top="447" w:right="639" w:bottom="884" w:gutter="0" w:footer="0" w:header="0"/>
          <w:type w:val="continuous"/>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Summary of Direct Compensation Elements</w:t>
      </w:r>
    </w:p>
    <w:p>
      <w:pPr>
        <w:spacing w:after="0" w:line="124" w:lineRule="exact"/>
        <w:rPr>
          <w:sz w:val="20"/>
          <w:szCs w:val="20"/>
          <w:color w:val="auto"/>
        </w:rPr>
      </w:pPr>
    </w:p>
    <w:p>
      <w:pPr>
        <w:ind w:left="320" w:right="1500"/>
        <w:spacing w:after="0" w:line="286" w:lineRule="auto"/>
        <w:rPr>
          <w:sz w:val="20"/>
          <w:szCs w:val="20"/>
          <w:color w:val="auto"/>
        </w:rPr>
      </w:pPr>
      <w:r>
        <w:rPr>
          <w:rFonts w:ascii="Arial" w:cs="Arial" w:eastAsia="Arial" w:hAnsi="Arial"/>
          <w:sz w:val="17"/>
          <w:szCs w:val="17"/>
          <w:color w:val="auto"/>
        </w:rPr>
        <w:t>We provide a mix of compensation elements that support our goals of attracting and retaining top executive talent and incentivizing our key performance objectives in the short- and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125095</wp:posOffset>
            </wp:positionV>
            <wp:extent cx="4923155" cy="3219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23155" cy="321945"/>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sectPr>
      </w:pPr>
    </w:p>
    <w:p>
      <w:pPr>
        <w:spacing w:after="0" w:line="197" w:lineRule="exact"/>
        <w:rPr>
          <w:sz w:val="20"/>
          <w:szCs w:val="20"/>
          <w:color w:val="auto"/>
        </w:rPr>
      </w:pPr>
    </w:p>
    <w:tbl>
      <w:tblPr>
        <w:tblLayout w:type="fixed"/>
        <w:tblInd w:w="320" w:type="dxa"/>
        <w:tblCellMar>
          <w:top w:w="0" w:type="dxa"/>
          <w:left w:w="0" w:type="dxa"/>
          <w:bottom w:w="0" w:type="dxa"/>
          <w:right w:w="0" w:type="dxa"/>
        </w:tblCellMar>
      </w:tblPr>
      <w:tr>
        <w:trPr>
          <w:trHeight w:val="325"/>
        </w:trPr>
        <w:tc>
          <w:tcPr>
            <w:tcW w:w="1200" w:type="dxa"/>
            <w:vAlign w:val="bottom"/>
            <w:shd w:val="clear" w:color="auto" w:fill="CCCCCC"/>
          </w:tcPr>
          <w:p>
            <w:pPr>
              <w:ind w:left="80"/>
              <w:spacing w:after="0"/>
              <w:rPr>
                <w:sz w:val="20"/>
                <w:szCs w:val="20"/>
                <w:color w:val="auto"/>
              </w:rPr>
            </w:pPr>
            <w:r>
              <w:rPr>
                <w:rFonts w:ascii="Arial" w:cs="Arial" w:eastAsia="Arial" w:hAnsi="Arial"/>
                <w:sz w:val="17"/>
                <w:szCs w:val="17"/>
                <w:b w:val="1"/>
                <w:bCs w:val="1"/>
                <w:color w:val="auto"/>
              </w:rPr>
              <w:t>Pay Element</w:t>
            </w:r>
          </w:p>
        </w:tc>
        <w:tc>
          <w:tcPr>
            <w:tcW w:w="1420" w:type="dxa"/>
            <w:vAlign w:val="bottom"/>
            <w:shd w:val="clear" w:color="auto" w:fill="CCCCCC"/>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shd w:val="clear" w:color="auto" w:fill="B2D1EA"/>
          </w:tcPr>
          <w:p>
            <w:pPr>
              <w:ind w:left="200"/>
              <w:spacing w:after="0"/>
              <w:rPr>
                <w:sz w:val="20"/>
                <w:szCs w:val="20"/>
                <w:color w:val="auto"/>
              </w:rPr>
            </w:pPr>
            <w:r>
              <w:rPr>
                <w:rFonts w:ascii="Arial" w:cs="Arial" w:eastAsia="Arial" w:hAnsi="Arial"/>
                <w:sz w:val="17"/>
                <w:szCs w:val="17"/>
                <w:b w:val="1"/>
                <w:bCs w:val="1"/>
                <w:color w:val="auto"/>
              </w:rPr>
              <w:t>Purpose</w:t>
            </w:r>
          </w:p>
        </w:tc>
      </w:tr>
      <w:tr>
        <w:trPr>
          <w:trHeight w:val="182"/>
        </w:trPr>
        <w:tc>
          <w:tcPr>
            <w:tcW w:w="1200" w:type="dxa"/>
            <w:vAlign w:val="bottom"/>
            <w:shd w:val="clear" w:color="auto" w:fill="CCCCCC"/>
          </w:tcPr>
          <w:p>
            <w:pPr>
              <w:spacing w:after="0"/>
              <w:rPr>
                <w:sz w:val="15"/>
                <w:szCs w:val="15"/>
                <w:color w:val="auto"/>
              </w:rPr>
            </w:pPr>
          </w:p>
        </w:tc>
        <w:tc>
          <w:tcPr>
            <w:tcW w:w="1420" w:type="dxa"/>
            <w:vAlign w:val="bottom"/>
            <w:shd w:val="clear" w:color="auto" w:fill="CCCCCC"/>
          </w:tcPr>
          <w:p>
            <w:pPr>
              <w:spacing w:after="0"/>
              <w:rPr>
                <w:sz w:val="15"/>
                <w:szCs w:val="15"/>
                <w:color w:val="auto"/>
              </w:rPr>
            </w:pPr>
          </w:p>
        </w:tc>
        <w:tc>
          <w:tcPr>
            <w:tcW w:w="520" w:type="dxa"/>
            <w:vAlign w:val="bottom"/>
          </w:tcPr>
          <w:p>
            <w:pPr>
              <w:spacing w:after="0"/>
              <w:rPr>
                <w:sz w:val="15"/>
                <w:szCs w:val="15"/>
                <w:color w:val="auto"/>
              </w:rPr>
            </w:pPr>
          </w:p>
        </w:tc>
        <w:tc>
          <w:tcPr>
            <w:tcW w:w="2120" w:type="dxa"/>
            <w:vAlign w:val="bottom"/>
            <w:shd w:val="clear" w:color="auto" w:fill="B2D1EA"/>
          </w:tcPr>
          <w:p>
            <w:pPr>
              <w:spacing w:after="0"/>
              <w:rPr>
                <w:sz w:val="15"/>
                <w:szCs w:val="15"/>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7"/>
                <w:szCs w:val="17"/>
                <w:color w:val="auto"/>
              </w:rPr>
              <w:t>• Base Salary</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7"/>
                <w:szCs w:val="17"/>
                <w:color w:val="auto"/>
              </w:rPr>
              <w:t>• Attract and retain</w:t>
            </w:r>
          </w:p>
        </w:tc>
      </w:tr>
      <w:tr>
        <w:trPr>
          <w:trHeight w:val="221"/>
        </w:trPr>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20" w:type="dxa"/>
            <w:vAlign w:val="bottom"/>
          </w:tcPr>
          <w:p>
            <w:pPr>
              <w:ind w:left="240"/>
              <w:spacing w:after="0"/>
              <w:rPr>
                <w:sz w:val="20"/>
                <w:szCs w:val="20"/>
                <w:color w:val="auto"/>
              </w:rPr>
            </w:pPr>
            <w:r>
              <w:rPr>
                <w:rFonts w:ascii="Arial" w:cs="Arial" w:eastAsia="Arial" w:hAnsi="Arial"/>
                <w:sz w:val="17"/>
                <w:szCs w:val="17"/>
                <w:color w:val="auto"/>
              </w:rPr>
              <w:t>executive talent</w:t>
            </w:r>
          </w:p>
        </w:tc>
      </w:tr>
      <w:tr>
        <w:trPr>
          <w:trHeight w:val="52"/>
        </w:trPr>
        <w:tc>
          <w:tcPr>
            <w:tcW w:w="2620" w:type="dxa"/>
            <w:vAlign w:val="bottom"/>
            <w:tcBorders>
              <w:bottom w:val="single" w:sz="8" w:color="0066BA"/>
            </w:tcBorders>
            <w:gridSpan w:val="2"/>
          </w:tcPr>
          <w:p>
            <w:pPr>
              <w:spacing w:after="0"/>
              <w:rPr>
                <w:sz w:val="4"/>
                <w:szCs w:val="4"/>
                <w:color w:val="auto"/>
              </w:rPr>
            </w:pPr>
          </w:p>
        </w:tc>
        <w:tc>
          <w:tcPr>
            <w:tcW w:w="520" w:type="dxa"/>
            <w:vAlign w:val="bottom"/>
          </w:tcPr>
          <w:p>
            <w:pPr>
              <w:spacing w:after="0"/>
              <w:rPr>
                <w:sz w:val="4"/>
                <w:szCs w:val="4"/>
                <w:color w:val="auto"/>
              </w:rPr>
            </w:pPr>
          </w:p>
        </w:tc>
        <w:tc>
          <w:tcPr>
            <w:tcW w:w="2120" w:type="dxa"/>
            <w:vAlign w:val="bottom"/>
            <w:tcBorders>
              <w:bottom w:val="single" w:sz="8" w:color="0066BA"/>
            </w:tcBorders>
          </w:tcPr>
          <w:p>
            <w:pPr>
              <w:spacing w:after="0"/>
              <w:rPr>
                <w:sz w:val="4"/>
                <w:szCs w:val="4"/>
                <w:color w:val="auto"/>
              </w:rPr>
            </w:pPr>
          </w:p>
        </w:tc>
      </w:tr>
      <w:tr>
        <w:trPr>
          <w:trHeight w:val="202"/>
        </w:trPr>
        <w:tc>
          <w:tcPr>
            <w:tcW w:w="2620" w:type="dxa"/>
            <w:vAlign w:val="bottom"/>
            <w:gridSpan w:val="2"/>
          </w:tcPr>
          <w:p>
            <w:pPr>
              <w:spacing w:after="0"/>
              <w:rPr>
                <w:sz w:val="20"/>
                <w:szCs w:val="20"/>
                <w:color w:val="auto"/>
              </w:rPr>
            </w:pPr>
            <w:r>
              <w:rPr>
                <w:rFonts w:ascii="Arial" w:cs="Arial" w:eastAsia="Arial" w:hAnsi="Arial"/>
                <w:sz w:val="17"/>
                <w:szCs w:val="17"/>
                <w:color w:val="auto"/>
              </w:rPr>
              <w:t>• Variable Cash Incentive</w:t>
            </w:r>
          </w:p>
        </w:tc>
        <w:tc>
          <w:tcPr>
            <w:tcW w:w="520" w:type="dxa"/>
            <w:vAlign w:val="bottom"/>
          </w:tcPr>
          <w:p>
            <w:pPr>
              <w:spacing w:after="0"/>
              <w:rPr>
                <w:sz w:val="17"/>
                <w:szCs w:val="17"/>
                <w:color w:val="auto"/>
              </w:rPr>
            </w:pPr>
          </w:p>
        </w:tc>
        <w:tc>
          <w:tcPr>
            <w:tcW w:w="2120" w:type="dxa"/>
            <w:vAlign w:val="bottom"/>
          </w:tcPr>
          <w:p>
            <w:pPr>
              <w:ind w:left="100"/>
              <w:spacing w:after="0"/>
              <w:rPr>
                <w:sz w:val="20"/>
                <w:szCs w:val="20"/>
                <w:color w:val="auto"/>
              </w:rPr>
            </w:pPr>
            <w:r>
              <w:rPr>
                <w:rFonts w:ascii="Arial" w:cs="Arial" w:eastAsia="Arial" w:hAnsi="Arial"/>
                <w:sz w:val="17"/>
                <w:szCs w:val="17"/>
                <w:color w:val="auto"/>
              </w:rPr>
              <w:t>• Motivate and reward</w:t>
            </w:r>
          </w:p>
        </w:tc>
      </w:tr>
      <w:tr>
        <w:trPr>
          <w:trHeight w:val="208"/>
        </w:trPr>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ind w:left="240"/>
              <w:spacing w:after="0"/>
              <w:rPr>
                <w:sz w:val="20"/>
                <w:szCs w:val="20"/>
                <w:color w:val="auto"/>
              </w:rPr>
            </w:pPr>
            <w:r>
              <w:rPr>
                <w:rFonts w:ascii="Arial" w:cs="Arial" w:eastAsia="Arial" w:hAnsi="Arial"/>
                <w:sz w:val="17"/>
                <w:szCs w:val="17"/>
                <w:color w:val="auto"/>
              </w:rPr>
              <w:t>executives for achieving</w:t>
            </w:r>
          </w:p>
        </w:tc>
      </w:tr>
      <w:tr>
        <w:trPr>
          <w:trHeight w:val="208"/>
        </w:trPr>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ind w:left="240"/>
              <w:spacing w:after="0"/>
              <w:rPr>
                <w:sz w:val="20"/>
                <w:szCs w:val="20"/>
                <w:color w:val="auto"/>
              </w:rPr>
            </w:pPr>
            <w:r>
              <w:rPr>
                <w:rFonts w:ascii="Arial" w:cs="Arial" w:eastAsia="Arial" w:hAnsi="Arial"/>
                <w:sz w:val="17"/>
                <w:szCs w:val="17"/>
                <w:color w:val="auto"/>
              </w:rPr>
              <w:t>short-term Company</w:t>
            </w:r>
          </w:p>
        </w:tc>
      </w:tr>
      <w:tr>
        <w:trPr>
          <w:trHeight w:val="208"/>
        </w:trPr>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ind w:left="240"/>
              <w:spacing w:after="0"/>
              <w:rPr>
                <w:sz w:val="20"/>
                <w:szCs w:val="20"/>
                <w:color w:val="auto"/>
              </w:rPr>
            </w:pPr>
            <w:r>
              <w:rPr>
                <w:rFonts w:ascii="Arial" w:cs="Arial" w:eastAsia="Arial" w:hAnsi="Arial"/>
                <w:sz w:val="17"/>
                <w:szCs w:val="17"/>
                <w:color w:val="auto"/>
              </w:rPr>
              <w:t>financial objectives</w:t>
            </w:r>
          </w:p>
        </w:tc>
      </w:tr>
      <w:tr>
        <w:trPr>
          <w:trHeight w:val="208"/>
        </w:trPr>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ind w:left="240"/>
              <w:spacing w:after="0"/>
              <w:rPr>
                <w:sz w:val="20"/>
                <w:szCs w:val="20"/>
                <w:color w:val="auto"/>
              </w:rPr>
            </w:pPr>
            <w:r>
              <w:rPr>
                <w:rFonts w:ascii="Arial" w:cs="Arial" w:eastAsia="Arial" w:hAnsi="Arial"/>
                <w:sz w:val="17"/>
                <w:szCs w:val="17"/>
                <w:color w:val="auto"/>
              </w:rPr>
              <w:t>aligned with value</w:t>
            </w:r>
          </w:p>
        </w:tc>
      </w:tr>
      <w:tr>
        <w:trPr>
          <w:trHeight w:val="221"/>
        </w:trPr>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20" w:type="dxa"/>
            <w:vAlign w:val="bottom"/>
          </w:tcPr>
          <w:p>
            <w:pPr>
              <w:ind w:left="240"/>
              <w:spacing w:after="0"/>
              <w:rPr>
                <w:sz w:val="20"/>
                <w:szCs w:val="20"/>
                <w:color w:val="auto"/>
              </w:rPr>
            </w:pPr>
            <w:r>
              <w:rPr>
                <w:rFonts w:ascii="Arial" w:cs="Arial" w:eastAsia="Arial" w:hAnsi="Arial"/>
                <w:sz w:val="17"/>
                <w:szCs w:val="17"/>
                <w:color w:val="auto"/>
              </w:rPr>
              <w:t>creation</w:t>
            </w:r>
          </w:p>
        </w:tc>
      </w:tr>
      <w:tr>
        <w:trPr>
          <w:trHeight w:val="390"/>
        </w:trPr>
        <w:tc>
          <w:tcPr>
            <w:tcW w:w="1200" w:type="dxa"/>
            <w:vAlign w:val="bottom"/>
            <w:tcBorders>
              <w:bottom w:val="single" w:sz="8" w:color="0066BA"/>
            </w:tcBorders>
          </w:tcPr>
          <w:p>
            <w:pPr>
              <w:spacing w:after="0"/>
              <w:rPr>
                <w:sz w:val="24"/>
                <w:szCs w:val="24"/>
                <w:color w:val="auto"/>
              </w:rPr>
            </w:pPr>
          </w:p>
        </w:tc>
        <w:tc>
          <w:tcPr>
            <w:tcW w:w="1420" w:type="dxa"/>
            <w:vAlign w:val="bottom"/>
            <w:tcBorders>
              <w:bottom w:val="single" w:sz="8" w:color="0066BA"/>
            </w:tcBorders>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Borders>
              <w:bottom w:val="single" w:sz="8" w:color="0066BA"/>
            </w:tcBorders>
          </w:tcPr>
          <w:p>
            <w:pPr>
              <w:spacing w:after="0"/>
              <w:rPr>
                <w:sz w:val="24"/>
                <w:szCs w:val="24"/>
                <w:color w:val="auto"/>
              </w:rPr>
            </w:pPr>
          </w:p>
        </w:tc>
      </w:tr>
      <w:tr>
        <w:trPr>
          <w:trHeight w:val="202"/>
        </w:trPr>
        <w:tc>
          <w:tcPr>
            <w:tcW w:w="1200" w:type="dxa"/>
            <w:vAlign w:val="bottom"/>
          </w:tcPr>
          <w:p>
            <w:pPr>
              <w:spacing w:after="0"/>
              <w:rPr>
                <w:sz w:val="20"/>
                <w:szCs w:val="20"/>
                <w:color w:val="auto"/>
              </w:rPr>
            </w:pPr>
            <w:r>
              <w:rPr>
                <w:rFonts w:ascii="Arial" w:cs="Arial" w:eastAsia="Arial" w:hAnsi="Arial"/>
                <w:sz w:val="17"/>
                <w:szCs w:val="17"/>
                <w:color w:val="auto"/>
              </w:rPr>
              <w:t>• Annual</w:t>
            </w:r>
          </w:p>
        </w:tc>
        <w:tc>
          <w:tcPr>
            <w:tcW w:w="1420" w:type="dxa"/>
            <w:vAlign w:val="bottom"/>
          </w:tcPr>
          <w:p>
            <w:pPr>
              <w:jc w:val="right"/>
              <w:ind w:right="33"/>
              <w:spacing w:after="0"/>
              <w:rPr>
                <w:sz w:val="20"/>
                <w:szCs w:val="20"/>
                <w:color w:val="auto"/>
              </w:rPr>
            </w:pPr>
            <w:r>
              <w:rPr>
                <w:rFonts w:ascii="Arial" w:cs="Arial" w:eastAsia="Arial" w:hAnsi="Arial"/>
                <w:sz w:val="17"/>
                <w:szCs w:val="17"/>
                <w:color w:val="auto"/>
              </w:rPr>
              <w:t>• TSR PRSUs –</w:t>
            </w:r>
          </w:p>
        </w:tc>
        <w:tc>
          <w:tcPr>
            <w:tcW w:w="520" w:type="dxa"/>
            <w:vAlign w:val="bottom"/>
          </w:tcPr>
          <w:p>
            <w:pPr>
              <w:spacing w:after="0"/>
              <w:rPr>
                <w:sz w:val="17"/>
                <w:szCs w:val="17"/>
                <w:color w:val="auto"/>
              </w:rPr>
            </w:pPr>
          </w:p>
        </w:tc>
        <w:tc>
          <w:tcPr>
            <w:tcW w:w="2120" w:type="dxa"/>
            <w:vAlign w:val="bottom"/>
          </w:tcPr>
          <w:p>
            <w:pPr>
              <w:ind w:left="100"/>
              <w:spacing w:after="0"/>
              <w:rPr>
                <w:sz w:val="20"/>
                <w:szCs w:val="20"/>
                <w:color w:val="auto"/>
              </w:rPr>
            </w:pPr>
            <w:r>
              <w:rPr>
                <w:rFonts w:ascii="Arial" w:cs="Arial" w:eastAsia="Arial" w:hAnsi="Arial"/>
                <w:sz w:val="17"/>
                <w:szCs w:val="17"/>
                <w:color w:val="auto"/>
              </w:rPr>
              <w:t>• Align NEO and</w:t>
            </w:r>
          </w:p>
        </w:tc>
      </w:tr>
      <w:tr>
        <w:trPr>
          <w:trHeight w:val="208"/>
        </w:trPr>
        <w:tc>
          <w:tcPr>
            <w:tcW w:w="1200" w:type="dxa"/>
            <w:vAlign w:val="bottom"/>
          </w:tcPr>
          <w:p>
            <w:pPr>
              <w:ind w:left="140"/>
              <w:spacing w:after="0"/>
              <w:rPr>
                <w:sz w:val="20"/>
                <w:szCs w:val="20"/>
                <w:color w:val="auto"/>
              </w:rPr>
            </w:pPr>
            <w:r>
              <w:rPr>
                <w:rFonts w:ascii="Arial" w:cs="Arial" w:eastAsia="Arial" w:hAnsi="Arial"/>
                <w:sz w:val="17"/>
                <w:szCs w:val="17"/>
                <w:color w:val="auto"/>
              </w:rPr>
              <w:t>Long-Term</w:t>
            </w:r>
          </w:p>
        </w:tc>
        <w:tc>
          <w:tcPr>
            <w:tcW w:w="1420" w:type="dxa"/>
            <w:vAlign w:val="bottom"/>
          </w:tcPr>
          <w:p>
            <w:pPr>
              <w:jc w:val="right"/>
              <w:ind w:right="713"/>
              <w:spacing w:after="0"/>
              <w:rPr>
                <w:sz w:val="20"/>
                <w:szCs w:val="20"/>
                <w:color w:val="auto"/>
              </w:rPr>
            </w:pPr>
            <w:r>
              <w:rPr>
                <w:rFonts w:ascii="Arial" w:cs="Arial" w:eastAsia="Arial" w:hAnsi="Arial"/>
                <w:sz w:val="17"/>
                <w:szCs w:val="17"/>
                <w:color w:val="auto"/>
              </w:rPr>
              <w:t>25%</w:t>
            </w:r>
          </w:p>
        </w:tc>
        <w:tc>
          <w:tcPr>
            <w:tcW w:w="520" w:type="dxa"/>
            <w:vAlign w:val="bottom"/>
          </w:tcPr>
          <w:p>
            <w:pPr>
              <w:spacing w:after="0"/>
              <w:rPr>
                <w:sz w:val="18"/>
                <w:szCs w:val="18"/>
                <w:color w:val="auto"/>
              </w:rPr>
            </w:pPr>
          </w:p>
        </w:tc>
        <w:tc>
          <w:tcPr>
            <w:tcW w:w="2120" w:type="dxa"/>
            <w:vAlign w:val="bottom"/>
          </w:tcPr>
          <w:p>
            <w:pPr>
              <w:ind w:left="240"/>
              <w:spacing w:after="0"/>
              <w:rPr>
                <w:sz w:val="20"/>
                <w:szCs w:val="20"/>
                <w:color w:val="auto"/>
              </w:rPr>
            </w:pPr>
            <w:r>
              <w:rPr>
                <w:rFonts w:ascii="Arial" w:cs="Arial" w:eastAsia="Arial" w:hAnsi="Arial"/>
                <w:sz w:val="17"/>
                <w:szCs w:val="17"/>
                <w:color w:val="auto"/>
              </w:rPr>
              <w:t>shareholder interest to</w:t>
            </w:r>
          </w:p>
        </w:tc>
      </w:tr>
      <w:tr>
        <w:trPr>
          <w:trHeight w:val="208"/>
        </w:trPr>
        <w:tc>
          <w:tcPr>
            <w:tcW w:w="1200" w:type="dxa"/>
            <w:vAlign w:val="bottom"/>
          </w:tcPr>
          <w:p>
            <w:pPr>
              <w:ind w:left="140"/>
              <w:spacing w:after="0"/>
              <w:rPr>
                <w:sz w:val="20"/>
                <w:szCs w:val="20"/>
                <w:color w:val="auto"/>
              </w:rPr>
            </w:pPr>
            <w:r>
              <w:rPr>
                <w:rFonts w:ascii="Arial" w:cs="Arial" w:eastAsia="Arial" w:hAnsi="Arial"/>
                <w:sz w:val="17"/>
                <w:szCs w:val="17"/>
                <w:color w:val="auto"/>
              </w:rPr>
              <w:t>Incentives</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ind w:left="240"/>
              <w:spacing w:after="0"/>
              <w:rPr>
                <w:sz w:val="20"/>
                <w:szCs w:val="20"/>
                <w:color w:val="auto"/>
              </w:rPr>
            </w:pPr>
            <w:r>
              <w:rPr>
                <w:rFonts w:ascii="Arial" w:cs="Arial" w:eastAsia="Arial" w:hAnsi="Arial"/>
                <w:sz w:val="17"/>
                <w:szCs w:val="17"/>
                <w:color w:val="auto"/>
              </w:rPr>
              <w:t>drive superior relative</w:t>
            </w:r>
          </w:p>
        </w:tc>
      </w:tr>
      <w:tr>
        <w:trPr>
          <w:trHeight w:val="221"/>
        </w:trPr>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20" w:type="dxa"/>
            <w:vAlign w:val="bottom"/>
          </w:tcPr>
          <w:p>
            <w:pPr>
              <w:ind w:left="240"/>
              <w:spacing w:after="0"/>
              <w:rPr>
                <w:sz w:val="20"/>
                <w:szCs w:val="20"/>
                <w:color w:val="auto"/>
              </w:rPr>
            </w:pPr>
            <w:r>
              <w:rPr>
                <w:rFonts w:ascii="Arial" w:cs="Arial" w:eastAsia="Arial" w:hAnsi="Arial"/>
                <w:sz w:val="17"/>
                <w:szCs w:val="17"/>
                <w:color w:val="auto"/>
              </w:rPr>
              <w:t>TSR results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74295</wp:posOffset>
            </wp:positionV>
            <wp:extent cx="33458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45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Time Period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80" w:type="dxa"/>
            <w:vAlign w:val="bottom"/>
            <w:gridSpan w:val="2"/>
          </w:tcPr>
          <w:p>
            <w:pPr>
              <w:ind w:left="180"/>
              <w:spacing w:after="0"/>
              <w:rPr>
                <w:sz w:val="20"/>
                <w:szCs w:val="20"/>
                <w:color w:val="auto"/>
              </w:rPr>
            </w:pPr>
            <w:r>
              <w:rPr>
                <w:rFonts w:ascii="Arial" w:cs="Arial" w:eastAsia="Arial" w:hAnsi="Arial"/>
                <w:sz w:val="17"/>
                <w:szCs w:val="17"/>
                <w:color w:val="auto"/>
              </w:rPr>
              <w:t>• Annual</w:t>
            </w:r>
          </w:p>
        </w:tc>
      </w:tr>
      <w:tr>
        <w:trPr>
          <w:trHeight w:val="260"/>
        </w:trPr>
        <w:tc>
          <w:tcPr>
            <w:tcW w:w="280" w:type="dxa"/>
            <w:vAlign w:val="bottom"/>
            <w:tcBorders>
              <w:bottom w:val="single" w:sz="8" w:color="0066BA"/>
            </w:tcBorders>
          </w:tcPr>
          <w:p>
            <w:pPr>
              <w:spacing w:after="0"/>
              <w:rPr>
                <w:sz w:val="22"/>
                <w:szCs w:val="22"/>
                <w:color w:val="auto"/>
              </w:rPr>
            </w:pPr>
          </w:p>
        </w:tc>
        <w:tc>
          <w:tcPr>
            <w:tcW w:w="1800" w:type="dxa"/>
            <w:vAlign w:val="bottom"/>
            <w:tcBorders>
              <w:bottom w:val="single" w:sz="8" w:color="0066BA"/>
            </w:tcBorders>
          </w:tcPr>
          <w:p>
            <w:pPr>
              <w:spacing w:after="0"/>
              <w:rPr>
                <w:sz w:val="22"/>
                <w:szCs w:val="22"/>
                <w:color w:val="auto"/>
              </w:rPr>
            </w:pPr>
          </w:p>
        </w:tc>
      </w:tr>
      <w:tr>
        <w:trPr>
          <w:trHeight w:val="202"/>
        </w:trPr>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1800" w:type="dxa"/>
            <w:vAlign w:val="bottom"/>
          </w:tcPr>
          <w:p>
            <w:pPr>
              <w:ind w:left="60"/>
              <w:spacing w:after="0"/>
              <w:rPr>
                <w:sz w:val="20"/>
                <w:szCs w:val="20"/>
                <w:color w:val="auto"/>
              </w:rPr>
            </w:pPr>
            <w:r>
              <w:rPr>
                <w:rFonts w:ascii="Arial" w:cs="Arial" w:eastAsia="Arial" w:hAnsi="Arial"/>
                <w:sz w:val="17"/>
                <w:szCs w:val="17"/>
                <w:color w:val="auto"/>
                <w:w w:val="93"/>
              </w:rPr>
              <w:t>Paid semi-annually, with</w:t>
            </w:r>
          </w:p>
        </w:tc>
      </w:tr>
      <w:tr>
        <w:trPr>
          <w:trHeight w:val="208"/>
        </w:trPr>
        <w:tc>
          <w:tcPr>
            <w:tcW w:w="280" w:type="dxa"/>
            <w:vAlign w:val="bottom"/>
          </w:tcPr>
          <w:p>
            <w:pPr>
              <w:spacing w:after="0"/>
              <w:rPr>
                <w:sz w:val="18"/>
                <w:szCs w:val="18"/>
                <w:color w:val="auto"/>
              </w:rPr>
            </w:pPr>
          </w:p>
        </w:tc>
        <w:tc>
          <w:tcPr>
            <w:tcW w:w="1800" w:type="dxa"/>
            <w:vAlign w:val="bottom"/>
          </w:tcPr>
          <w:p>
            <w:pPr>
              <w:ind w:left="40"/>
              <w:spacing w:after="0"/>
              <w:rPr>
                <w:sz w:val="20"/>
                <w:szCs w:val="20"/>
                <w:color w:val="auto"/>
              </w:rPr>
            </w:pPr>
            <w:r>
              <w:rPr>
                <w:rFonts w:ascii="Arial" w:cs="Arial" w:eastAsia="Arial" w:hAnsi="Arial"/>
                <w:sz w:val="17"/>
                <w:szCs w:val="17"/>
                <w:color w:val="auto"/>
              </w:rPr>
              <w:t>quarterly corporate</w:t>
            </w:r>
          </w:p>
        </w:tc>
      </w:tr>
      <w:tr>
        <w:trPr>
          <w:trHeight w:val="208"/>
        </w:trPr>
        <w:tc>
          <w:tcPr>
            <w:tcW w:w="280" w:type="dxa"/>
            <w:vAlign w:val="bottom"/>
          </w:tcPr>
          <w:p>
            <w:pPr>
              <w:spacing w:after="0"/>
              <w:rPr>
                <w:sz w:val="18"/>
                <w:szCs w:val="18"/>
                <w:color w:val="auto"/>
              </w:rPr>
            </w:pPr>
          </w:p>
        </w:tc>
        <w:tc>
          <w:tcPr>
            <w:tcW w:w="1800" w:type="dxa"/>
            <w:vAlign w:val="bottom"/>
          </w:tcPr>
          <w:p>
            <w:pPr>
              <w:ind w:left="40"/>
              <w:spacing w:after="0"/>
              <w:rPr>
                <w:sz w:val="20"/>
                <w:szCs w:val="20"/>
                <w:color w:val="auto"/>
              </w:rPr>
            </w:pPr>
            <w:r>
              <w:rPr>
                <w:rFonts w:ascii="Arial" w:cs="Arial" w:eastAsia="Arial" w:hAnsi="Arial"/>
                <w:sz w:val="17"/>
                <w:szCs w:val="17"/>
                <w:color w:val="auto"/>
              </w:rPr>
              <w:t>financial targets tied to</w:t>
            </w:r>
          </w:p>
        </w:tc>
      </w:tr>
      <w:tr>
        <w:trPr>
          <w:trHeight w:val="208"/>
        </w:trPr>
        <w:tc>
          <w:tcPr>
            <w:tcW w:w="280" w:type="dxa"/>
            <w:vAlign w:val="bottom"/>
          </w:tcPr>
          <w:p>
            <w:pPr>
              <w:spacing w:after="0"/>
              <w:rPr>
                <w:sz w:val="18"/>
                <w:szCs w:val="18"/>
                <w:color w:val="auto"/>
              </w:rPr>
            </w:pPr>
          </w:p>
        </w:tc>
        <w:tc>
          <w:tcPr>
            <w:tcW w:w="1800" w:type="dxa"/>
            <w:vAlign w:val="bottom"/>
          </w:tcPr>
          <w:p>
            <w:pPr>
              <w:ind w:left="40"/>
              <w:spacing w:after="0"/>
              <w:rPr>
                <w:sz w:val="20"/>
                <w:szCs w:val="20"/>
                <w:color w:val="auto"/>
              </w:rPr>
            </w:pPr>
            <w:r>
              <w:rPr>
                <w:rFonts w:ascii="Arial" w:cs="Arial" w:eastAsia="Arial" w:hAnsi="Arial"/>
                <w:sz w:val="17"/>
                <w:szCs w:val="17"/>
                <w:color w:val="auto"/>
              </w:rPr>
              <w:t>corporate strategy of</w:t>
            </w:r>
          </w:p>
        </w:tc>
      </w:tr>
      <w:tr>
        <w:trPr>
          <w:trHeight w:val="221"/>
        </w:trPr>
        <w:tc>
          <w:tcPr>
            <w:tcW w:w="280" w:type="dxa"/>
            <w:vAlign w:val="bottom"/>
          </w:tcPr>
          <w:p>
            <w:pPr>
              <w:spacing w:after="0"/>
              <w:rPr>
                <w:sz w:val="19"/>
                <w:szCs w:val="19"/>
                <w:color w:val="auto"/>
              </w:rPr>
            </w:pPr>
          </w:p>
        </w:tc>
        <w:tc>
          <w:tcPr>
            <w:tcW w:w="1800" w:type="dxa"/>
            <w:vAlign w:val="bottom"/>
          </w:tcPr>
          <w:p>
            <w:pPr>
              <w:ind w:left="40"/>
              <w:spacing w:after="0"/>
              <w:rPr>
                <w:sz w:val="20"/>
                <w:szCs w:val="20"/>
                <w:color w:val="auto"/>
              </w:rPr>
            </w:pPr>
            <w:r>
              <w:rPr>
                <w:rFonts w:ascii="Arial" w:cs="Arial" w:eastAsia="Arial" w:hAnsi="Arial"/>
                <w:sz w:val="17"/>
                <w:szCs w:val="17"/>
                <w:color w:val="auto"/>
              </w:rPr>
              <w:t>profitable growth</w:t>
            </w:r>
          </w:p>
        </w:tc>
      </w:tr>
      <w:tr>
        <w:trPr>
          <w:trHeight w:val="598"/>
        </w:trPr>
        <w:tc>
          <w:tcPr>
            <w:tcW w:w="280" w:type="dxa"/>
            <w:vAlign w:val="bottom"/>
            <w:tcBorders>
              <w:bottom w:val="single" w:sz="8" w:color="0066BA"/>
            </w:tcBorders>
          </w:tcPr>
          <w:p>
            <w:pPr>
              <w:spacing w:after="0"/>
              <w:rPr>
                <w:sz w:val="24"/>
                <w:szCs w:val="24"/>
                <w:color w:val="auto"/>
              </w:rPr>
            </w:pPr>
          </w:p>
        </w:tc>
        <w:tc>
          <w:tcPr>
            <w:tcW w:w="1800" w:type="dxa"/>
            <w:vAlign w:val="bottom"/>
            <w:tcBorders>
              <w:bottom w:val="single" w:sz="8" w:color="0066BA"/>
            </w:tcBorders>
          </w:tcPr>
          <w:p>
            <w:pPr>
              <w:spacing w:after="0"/>
              <w:rPr>
                <w:sz w:val="24"/>
                <w:szCs w:val="24"/>
                <w:color w:val="auto"/>
              </w:rPr>
            </w:pPr>
          </w:p>
        </w:tc>
      </w:tr>
      <w:tr>
        <w:trPr>
          <w:trHeight w:val="202"/>
        </w:trPr>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1800" w:type="dxa"/>
            <w:vAlign w:val="bottom"/>
          </w:tcPr>
          <w:p>
            <w:pPr>
              <w:ind w:left="60"/>
              <w:spacing w:after="0"/>
              <w:rPr>
                <w:sz w:val="20"/>
                <w:szCs w:val="20"/>
                <w:color w:val="auto"/>
              </w:rPr>
            </w:pPr>
            <w:r>
              <w:rPr>
                <w:rFonts w:ascii="Arial" w:cs="Arial" w:eastAsia="Arial" w:hAnsi="Arial"/>
                <w:sz w:val="17"/>
                <w:szCs w:val="17"/>
                <w:color w:val="auto"/>
              </w:rPr>
              <w:t>Cumulative three-year</w:t>
            </w:r>
          </w:p>
        </w:tc>
      </w:tr>
      <w:tr>
        <w:trPr>
          <w:trHeight w:val="221"/>
        </w:trPr>
        <w:tc>
          <w:tcPr>
            <w:tcW w:w="280" w:type="dxa"/>
            <w:vAlign w:val="bottom"/>
          </w:tcPr>
          <w:p>
            <w:pPr>
              <w:spacing w:after="0"/>
              <w:rPr>
                <w:sz w:val="19"/>
                <w:szCs w:val="19"/>
                <w:color w:val="auto"/>
              </w:rPr>
            </w:pPr>
          </w:p>
        </w:tc>
        <w:tc>
          <w:tcPr>
            <w:tcW w:w="1800" w:type="dxa"/>
            <w:vAlign w:val="bottom"/>
          </w:tcPr>
          <w:p>
            <w:pPr>
              <w:ind w:left="40"/>
              <w:spacing w:after="0"/>
              <w:rPr>
                <w:sz w:val="20"/>
                <w:szCs w:val="20"/>
                <w:color w:val="auto"/>
              </w:rPr>
            </w:pPr>
            <w:r>
              <w:rPr>
                <w:rFonts w:ascii="Arial" w:cs="Arial" w:eastAsia="Arial" w:hAnsi="Arial"/>
                <w:sz w:val="17"/>
                <w:szCs w:val="17"/>
                <w:color w:val="auto"/>
              </w:rPr>
              <w:t>period</w:t>
            </w:r>
          </w:p>
        </w:tc>
      </w:tr>
    </w:tbl>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Performance Measures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40" w:type="dxa"/>
            <w:vAlign w:val="bottom"/>
            <w:tcBorders>
              <w:top w:val="single" w:sz="8" w:color="0066BA"/>
            </w:tcBorders>
            <w:gridSpan w:val="2"/>
          </w:tcPr>
          <w:p>
            <w:pPr>
              <w:ind w:left="120"/>
              <w:spacing w:after="0"/>
              <w:rPr>
                <w:sz w:val="20"/>
                <w:szCs w:val="20"/>
                <w:color w:val="auto"/>
              </w:rPr>
            </w:pPr>
            <w:r>
              <w:rPr>
                <w:rFonts w:ascii="Arial" w:cs="Arial" w:eastAsia="Arial" w:hAnsi="Arial"/>
                <w:sz w:val="17"/>
                <w:szCs w:val="17"/>
                <w:color w:val="auto"/>
              </w:rPr>
              <w:t>• 50%: quarterly OPBT</w:t>
            </w:r>
          </w:p>
        </w:tc>
      </w:tr>
      <w:tr>
        <w:trPr>
          <w:trHeight w:val="221"/>
        </w:trPr>
        <w:tc>
          <w:tcPr>
            <w:tcW w:w="220" w:type="dxa"/>
            <w:vAlign w:val="bottom"/>
          </w:tcPr>
          <w:p>
            <w:pPr>
              <w:spacing w:after="0"/>
              <w:rPr>
                <w:sz w:val="19"/>
                <w:szCs w:val="19"/>
                <w:color w:val="auto"/>
              </w:rPr>
            </w:pPr>
          </w:p>
        </w:tc>
        <w:tc>
          <w:tcPr>
            <w:tcW w:w="2020" w:type="dxa"/>
            <w:vAlign w:val="bottom"/>
          </w:tcPr>
          <w:p>
            <w:pPr>
              <w:ind w:left="20"/>
              <w:spacing w:after="0"/>
              <w:rPr>
                <w:sz w:val="20"/>
                <w:szCs w:val="20"/>
                <w:color w:val="auto"/>
              </w:rPr>
            </w:pPr>
            <w:r>
              <w:rPr>
                <w:rFonts w:ascii="Arial" w:cs="Arial" w:eastAsia="Arial" w:hAnsi="Arial"/>
                <w:sz w:val="17"/>
                <w:szCs w:val="17"/>
                <w:color w:val="auto"/>
              </w:rPr>
              <w:t>margin</w:t>
            </w:r>
          </w:p>
        </w:tc>
      </w:tr>
      <w:tr>
        <w:trPr>
          <w:trHeight w:val="261"/>
        </w:trPr>
        <w:tc>
          <w:tcPr>
            <w:tcW w:w="220" w:type="dxa"/>
            <w:vAlign w:val="bottom"/>
          </w:tcPr>
          <w:p>
            <w:pPr>
              <w:ind w:left="120"/>
              <w:spacing w:after="0"/>
              <w:rPr>
                <w:sz w:val="20"/>
                <w:szCs w:val="20"/>
                <w:color w:val="auto"/>
              </w:rPr>
            </w:pPr>
            <w:r>
              <w:rPr>
                <w:rFonts w:ascii="Arial" w:cs="Arial" w:eastAsia="Arial" w:hAnsi="Arial"/>
                <w:sz w:val="17"/>
                <w:szCs w:val="17"/>
                <w:color w:val="auto"/>
              </w:rPr>
              <w:t>•</w:t>
            </w:r>
          </w:p>
        </w:tc>
        <w:tc>
          <w:tcPr>
            <w:tcW w:w="2020" w:type="dxa"/>
            <w:vAlign w:val="bottom"/>
          </w:tcPr>
          <w:p>
            <w:pPr>
              <w:ind w:left="40"/>
              <w:spacing w:after="0"/>
              <w:rPr>
                <w:sz w:val="20"/>
                <w:szCs w:val="20"/>
                <w:color w:val="auto"/>
              </w:rPr>
            </w:pPr>
            <w:r>
              <w:rPr>
                <w:rFonts w:ascii="Arial" w:cs="Arial" w:eastAsia="Arial" w:hAnsi="Arial"/>
                <w:sz w:val="17"/>
                <w:szCs w:val="17"/>
                <w:color w:val="auto"/>
              </w:rPr>
              <w:t>50%: year over year</w:t>
            </w:r>
          </w:p>
        </w:tc>
      </w:tr>
      <w:tr>
        <w:trPr>
          <w:trHeight w:val="208"/>
        </w:trPr>
        <w:tc>
          <w:tcPr>
            <w:tcW w:w="2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7"/>
                <w:szCs w:val="17"/>
                <w:color w:val="auto"/>
                <w:w w:val="97"/>
              </w:rPr>
              <w:t>revenue growth (measured</w:t>
            </w:r>
          </w:p>
        </w:tc>
      </w:tr>
      <w:tr>
        <w:trPr>
          <w:trHeight w:val="221"/>
        </w:trPr>
        <w:tc>
          <w:tcPr>
            <w:tcW w:w="220" w:type="dxa"/>
            <w:vAlign w:val="bottom"/>
          </w:tcPr>
          <w:p>
            <w:pPr>
              <w:spacing w:after="0"/>
              <w:rPr>
                <w:sz w:val="19"/>
                <w:szCs w:val="19"/>
                <w:color w:val="auto"/>
              </w:rPr>
            </w:pPr>
          </w:p>
        </w:tc>
        <w:tc>
          <w:tcPr>
            <w:tcW w:w="2020" w:type="dxa"/>
            <w:vAlign w:val="bottom"/>
          </w:tcPr>
          <w:p>
            <w:pPr>
              <w:ind w:left="20"/>
              <w:spacing w:after="0"/>
              <w:rPr>
                <w:sz w:val="20"/>
                <w:szCs w:val="20"/>
                <w:color w:val="auto"/>
              </w:rPr>
            </w:pPr>
            <w:r>
              <w:rPr>
                <w:rFonts w:ascii="Arial" w:cs="Arial" w:eastAsia="Arial" w:hAnsi="Arial"/>
                <w:sz w:val="17"/>
                <w:szCs w:val="17"/>
                <w:color w:val="auto"/>
              </w:rPr>
              <w:t>quarterly)</w:t>
            </w:r>
          </w:p>
        </w:tc>
      </w:tr>
      <w:tr>
        <w:trPr>
          <w:trHeight w:val="261"/>
        </w:trPr>
        <w:tc>
          <w:tcPr>
            <w:tcW w:w="2240" w:type="dxa"/>
            <w:vAlign w:val="bottom"/>
            <w:gridSpan w:val="2"/>
          </w:tcPr>
          <w:p>
            <w:pPr>
              <w:ind w:left="120"/>
              <w:spacing w:after="0"/>
              <w:rPr>
                <w:sz w:val="20"/>
                <w:szCs w:val="20"/>
                <w:color w:val="auto"/>
              </w:rPr>
            </w:pPr>
            <w:r>
              <w:rPr>
                <w:rFonts w:ascii="Arial" w:cs="Arial" w:eastAsia="Arial" w:hAnsi="Arial"/>
                <w:sz w:val="17"/>
                <w:szCs w:val="17"/>
                <w:color w:val="auto"/>
              </w:rPr>
              <w:t>• Minimum OPBT margin</w:t>
            </w:r>
          </w:p>
        </w:tc>
      </w:tr>
      <w:tr>
        <w:trPr>
          <w:trHeight w:val="221"/>
        </w:trPr>
        <w:tc>
          <w:tcPr>
            <w:tcW w:w="220" w:type="dxa"/>
            <w:vAlign w:val="bottom"/>
          </w:tcPr>
          <w:p>
            <w:pPr>
              <w:spacing w:after="0"/>
              <w:rPr>
                <w:sz w:val="19"/>
                <w:szCs w:val="19"/>
                <w:color w:val="auto"/>
              </w:rPr>
            </w:pPr>
          </w:p>
        </w:tc>
        <w:tc>
          <w:tcPr>
            <w:tcW w:w="2020" w:type="dxa"/>
            <w:vAlign w:val="bottom"/>
          </w:tcPr>
          <w:p>
            <w:pPr>
              <w:ind w:left="20"/>
              <w:spacing w:after="0"/>
              <w:rPr>
                <w:sz w:val="20"/>
                <w:szCs w:val="20"/>
                <w:color w:val="auto"/>
              </w:rPr>
            </w:pPr>
            <w:r>
              <w:rPr>
                <w:rFonts w:ascii="Arial" w:cs="Arial" w:eastAsia="Arial" w:hAnsi="Arial"/>
                <w:sz w:val="17"/>
                <w:szCs w:val="17"/>
                <w:color w:val="auto"/>
              </w:rPr>
              <w:t>required for payout</w:t>
            </w:r>
          </w:p>
        </w:tc>
      </w:tr>
      <w:tr>
        <w:trPr>
          <w:trHeight w:val="52"/>
        </w:trPr>
        <w:tc>
          <w:tcPr>
            <w:tcW w:w="2240" w:type="dxa"/>
            <w:vAlign w:val="bottom"/>
            <w:tcBorders>
              <w:bottom w:val="single" w:sz="8" w:color="0066BA"/>
            </w:tcBorders>
            <w:gridSpan w:val="2"/>
          </w:tcPr>
          <w:p>
            <w:pPr>
              <w:spacing w:after="0"/>
              <w:rPr>
                <w:sz w:val="4"/>
                <w:szCs w:val="4"/>
                <w:color w:val="auto"/>
              </w:rPr>
            </w:pPr>
          </w:p>
        </w:tc>
      </w:tr>
      <w:tr>
        <w:trPr>
          <w:trHeight w:val="202"/>
        </w:trPr>
        <w:tc>
          <w:tcPr>
            <w:tcW w:w="2240" w:type="dxa"/>
            <w:vAlign w:val="bottom"/>
            <w:gridSpan w:val="2"/>
          </w:tcPr>
          <w:p>
            <w:pPr>
              <w:ind w:left="120"/>
              <w:spacing w:after="0"/>
              <w:rPr>
                <w:sz w:val="20"/>
                <w:szCs w:val="20"/>
                <w:color w:val="auto"/>
              </w:rPr>
            </w:pPr>
            <w:r>
              <w:rPr>
                <w:rFonts w:ascii="Arial" w:cs="Arial" w:eastAsia="Arial" w:hAnsi="Arial"/>
                <w:sz w:val="17"/>
                <w:szCs w:val="17"/>
                <w:color w:val="auto"/>
                <w:w w:val="99"/>
              </w:rPr>
              <w:t>• Relative TSR compared to</w:t>
            </w:r>
          </w:p>
        </w:tc>
      </w:tr>
      <w:tr>
        <w:trPr>
          <w:trHeight w:val="221"/>
        </w:trPr>
        <w:tc>
          <w:tcPr>
            <w:tcW w:w="220" w:type="dxa"/>
            <w:vAlign w:val="bottom"/>
          </w:tcPr>
          <w:p>
            <w:pPr>
              <w:spacing w:after="0"/>
              <w:rPr>
                <w:sz w:val="19"/>
                <w:szCs w:val="19"/>
                <w:color w:val="auto"/>
              </w:rPr>
            </w:pPr>
          </w:p>
        </w:tc>
        <w:tc>
          <w:tcPr>
            <w:tcW w:w="2020" w:type="dxa"/>
            <w:vAlign w:val="bottom"/>
          </w:tcPr>
          <w:p>
            <w:pPr>
              <w:ind w:left="20"/>
              <w:spacing w:after="0"/>
              <w:rPr>
                <w:sz w:val="20"/>
                <w:szCs w:val="20"/>
                <w:color w:val="auto"/>
              </w:rPr>
            </w:pPr>
            <w:r>
              <w:rPr>
                <w:rFonts w:ascii="Arial" w:cs="Arial" w:eastAsia="Arial" w:hAnsi="Arial"/>
                <w:sz w:val="17"/>
                <w:szCs w:val="17"/>
                <w:color w:val="auto"/>
              </w:rPr>
              <w:t>comparator group</w:t>
            </w:r>
          </w:p>
        </w:tc>
      </w:tr>
      <w:tr>
        <w:trPr>
          <w:trHeight w:val="261"/>
        </w:trPr>
        <w:tc>
          <w:tcPr>
            <w:tcW w:w="220" w:type="dxa"/>
            <w:vAlign w:val="bottom"/>
          </w:tcPr>
          <w:p>
            <w:pPr>
              <w:ind w:left="120"/>
              <w:spacing w:after="0"/>
              <w:rPr>
                <w:sz w:val="20"/>
                <w:szCs w:val="20"/>
                <w:color w:val="auto"/>
              </w:rPr>
            </w:pPr>
            <w:r>
              <w:rPr>
                <w:rFonts w:ascii="Arial" w:cs="Arial" w:eastAsia="Arial" w:hAnsi="Arial"/>
                <w:sz w:val="17"/>
                <w:szCs w:val="17"/>
                <w:color w:val="auto"/>
              </w:rPr>
              <w:t>•</w:t>
            </w:r>
          </w:p>
        </w:tc>
        <w:tc>
          <w:tcPr>
            <w:tcW w:w="2020" w:type="dxa"/>
            <w:vAlign w:val="bottom"/>
          </w:tcPr>
          <w:p>
            <w:pPr>
              <w:ind w:left="40"/>
              <w:spacing w:after="0"/>
              <w:rPr>
                <w:sz w:val="20"/>
                <w:szCs w:val="20"/>
                <w:color w:val="auto"/>
              </w:rPr>
            </w:pPr>
            <w:r>
              <w:rPr>
                <w:rFonts w:ascii="Arial" w:cs="Arial" w:eastAsia="Arial" w:hAnsi="Arial"/>
                <w:sz w:val="17"/>
                <w:szCs w:val="17"/>
                <w:color w:val="auto"/>
                <w:w w:val="96"/>
              </w:rPr>
              <w:t>Payouts capped at target if</w:t>
            </w:r>
          </w:p>
        </w:tc>
      </w:tr>
      <w:tr>
        <w:trPr>
          <w:trHeight w:val="221"/>
        </w:trPr>
        <w:tc>
          <w:tcPr>
            <w:tcW w:w="220" w:type="dxa"/>
            <w:vAlign w:val="bottom"/>
          </w:tcPr>
          <w:p>
            <w:pPr>
              <w:spacing w:after="0"/>
              <w:rPr>
                <w:sz w:val="19"/>
                <w:szCs w:val="19"/>
                <w:color w:val="auto"/>
              </w:rPr>
            </w:pPr>
          </w:p>
        </w:tc>
        <w:tc>
          <w:tcPr>
            <w:tcW w:w="2020" w:type="dxa"/>
            <w:vAlign w:val="bottom"/>
          </w:tcPr>
          <w:p>
            <w:pPr>
              <w:ind w:left="20"/>
              <w:spacing w:after="0"/>
              <w:rPr>
                <w:sz w:val="20"/>
                <w:szCs w:val="20"/>
                <w:color w:val="auto"/>
              </w:rPr>
            </w:pPr>
            <w:r>
              <w:rPr>
                <w:rFonts w:ascii="Arial" w:cs="Arial" w:eastAsia="Arial" w:hAnsi="Arial"/>
                <w:sz w:val="17"/>
                <w:szCs w:val="17"/>
                <w:color w:val="auto"/>
              </w:rPr>
              <w:t>absolute TSR is negative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14128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3">
            <w:col w:w="5580" w:space="520"/>
            <w:col w:w="2080" w:space="520"/>
            <w:col w:w="2240"/>
          </w:cols>
          <w:pgMar w:left="320" w:top="447" w:right="639" w:bottom="1440" w:gutter="0" w:footer="0" w:header="0"/>
          <w:type w:val="continuous"/>
        </w:sectPr>
      </w:pPr>
    </w:p>
    <w:p>
      <w:pPr>
        <w:spacing w:after="0" w:line="34" w:lineRule="exact"/>
        <w:rPr>
          <w:sz w:val="20"/>
          <w:szCs w:val="20"/>
          <w:color w:val="auto"/>
        </w:rPr>
      </w:pPr>
    </w:p>
    <w:p>
      <w:pPr>
        <w:ind w:left="1820" w:right="29" w:hanging="138"/>
        <w:spacing w:after="0" w:line="323" w:lineRule="auto"/>
        <w:tabs>
          <w:tab w:leader="none" w:pos="1829" w:val="left"/>
        </w:tabs>
        <w:numPr>
          <w:ilvl w:val="0"/>
          <w:numId w:val="15"/>
        </w:numPr>
        <w:rPr>
          <w:rFonts w:ascii="Arial" w:cs="Arial" w:eastAsia="Arial" w:hAnsi="Arial"/>
          <w:sz w:val="15"/>
          <w:szCs w:val="15"/>
          <w:color w:val="auto"/>
        </w:rPr>
      </w:pPr>
      <w:r>
        <w:rPr>
          <w:rFonts w:ascii="Arial" w:cs="Arial" w:eastAsia="Arial" w:hAnsi="Arial"/>
          <w:sz w:val="15"/>
          <w:szCs w:val="15"/>
          <w:color w:val="auto"/>
        </w:rPr>
        <w:t>Financial Metric PRSUs – 25%</w:t>
      </w:r>
    </w:p>
    <w:p>
      <w:pPr>
        <w:spacing w:after="0" w:line="214" w:lineRule="exact"/>
        <w:rPr>
          <w:rFonts w:ascii="Arial" w:cs="Arial" w:eastAsia="Arial" w:hAnsi="Arial"/>
          <w:sz w:val="15"/>
          <w:szCs w:val="15"/>
          <w:color w:val="auto"/>
        </w:rPr>
      </w:pPr>
    </w:p>
    <w:p>
      <w:pPr>
        <w:ind w:left="1820" w:hanging="138"/>
        <w:spacing w:after="0"/>
        <w:tabs>
          <w:tab w:leader="none" w:pos="1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Stock Options</w:t>
      </w:r>
    </w:p>
    <w:p>
      <w:pPr>
        <w:spacing w:after="0" w:line="36" w:lineRule="exact"/>
        <w:rPr>
          <w:rFonts w:ascii="Arial" w:cs="Arial" w:eastAsia="Arial" w:hAnsi="Arial"/>
          <w:sz w:val="16"/>
          <w:szCs w:val="16"/>
          <w:color w:val="auto"/>
        </w:rPr>
      </w:pPr>
    </w:p>
    <w:p>
      <w:pPr>
        <w:ind w:left="1820"/>
        <w:spacing w:after="0"/>
        <w:rPr>
          <w:rFonts w:ascii="Arial" w:cs="Arial" w:eastAsia="Arial" w:hAnsi="Arial"/>
          <w:sz w:val="16"/>
          <w:szCs w:val="16"/>
          <w:color w:val="auto"/>
        </w:rPr>
      </w:pPr>
      <w:r>
        <w:rPr>
          <w:rFonts w:ascii="Arial" w:cs="Arial" w:eastAsia="Arial" w:hAnsi="Arial"/>
          <w:sz w:val="17"/>
          <w:szCs w:val="17"/>
          <w:color w:val="auto"/>
        </w:rPr>
        <w:t>– 25%</w:t>
      </w:r>
    </w:p>
    <w:p>
      <w:pPr>
        <w:spacing w:after="0" w:line="200" w:lineRule="exact"/>
        <w:rPr>
          <w:rFonts w:ascii="Arial" w:cs="Arial" w:eastAsia="Arial" w:hAnsi="Arial"/>
          <w:sz w:val="16"/>
          <w:szCs w:val="16"/>
          <w:color w:val="auto"/>
        </w:rPr>
      </w:pPr>
    </w:p>
    <w:p>
      <w:pPr>
        <w:spacing w:after="0" w:line="294" w:lineRule="exact"/>
        <w:rPr>
          <w:rFonts w:ascii="Arial" w:cs="Arial" w:eastAsia="Arial" w:hAnsi="Arial"/>
          <w:sz w:val="16"/>
          <w:szCs w:val="16"/>
          <w:color w:val="auto"/>
        </w:rPr>
      </w:pPr>
    </w:p>
    <w:p>
      <w:pPr>
        <w:ind w:left="1820" w:hanging="138"/>
        <w:spacing w:after="0"/>
        <w:tabs>
          <w:tab w:leader="none" w:pos="1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RSUs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48895</wp:posOffset>
            </wp:positionV>
            <wp:extent cx="16687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68780"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-132080</wp:posOffset>
            </wp:positionV>
            <wp:extent cx="16687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68780"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-710565</wp:posOffset>
            </wp:positionV>
            <wp:extent cx="16687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68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131" w:hanging="131"/>
        <w:spacing w:after="0" w:line="323" w:lineRule="auto"/>
        <w:tabs>
          <w:tab w:leader="none" w:pos="13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Align NEO and shareholder interests with long-term profitability</w:t>
      </w:r>
    </w:p>
    <w:p>
      <w:pPr>
        <w:spacing w:after="0" w:line="214" w:lineRule="exact"/>
        <w:rPr>
          <w:rFonts w:ascii="Arial" w:cs="Arial" w:eastAsia="Arial" w:hAnsi="Arial"/>
          <w:sz w:val="15"/>
          <w:szCs w:val="15"/>
          <w:color w:val="auto"/>
        </w:rPr>
      </w:pPr>
    </w:p>
    <w:p>
      <w:pPr>
        <w:ind w:left="131" w:right="160" w:hanging="131"/>
        <w:spacing w:after="0" w:line="265" w:lineRule="auto"/>
        <w:tabs>
          <w:tab w:leader="none" w:pos="13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Align NEO and shareholder interests in absolute stock price appreciation</w:t>
      </w:r>
    </w:p>
    <w:p>
      <w:pPr>
        <w:spacing w:after="0" w:line="47" w:lineRule="exact"/>
        <w:rPr>
          <w:rFonts w:ascii="Arial" w:cs="Arial" w:eastAsia="Arial" w:hAnsi="Arial"/>
          <w:sz w:val="17"/>
          <w:szCs w:val="17"/>
          <w:color w:val="auto"/>
        </w:rPr>
      </w:pPr>
    </w:p>
    <w:p>
      <w:pPr>
        <w:ind w:left="151" w:hanging="151"/>
        <w:spacing w:after="0"/>
        <w:tabs>
          <w:tab w:leader="none" w:pos="151"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Retain key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wp:posOffset>
            </wp:positionV>
            <wp:extent cx="13462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46200"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-132080</wp:posOffset>
            </wp:positionV>
            <wp:extent cx="13462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46200"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-710565</wp:posOffset>
            </wp:positionV>
            <wp:extent cx="13462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280" w:type="dxa"/>
            <w:vAlign w:val="bottom"/>
            <w:tcBorders>
              <w:top w:val="single" w:sz="8" w:color="0066BA"/>
            </w:tcBorders>
          </w:tcPr>
          <w:p>
            <w:pPr>
              <w:ind w:left="180"/>
              <w:spacing w:after="0"/>
              <w:rPr>
                <w:sz w:val="20"/>
                <w:szCs w:val="20"/>
                <w:color w:val="auto"/>
              </w:rPr>
            </w:pPr>
            <w:r>
              <w:rPr>
                <w:rFonts w:ascii="Arial" w:cs="Arial" w:eastAsia="Arial" w:hAnsi="Arial"/>
                <w:sz w:val="17"/>
                <w:szCs w:val="17"/>
                <w:color w:val="auto"/>
              </w:rPr>
              <w:t>•</w:t>
            </w:r>
          </w:p>
        </w:tc>
        <w:tc>
          <w:tcPr>
            <w:tcW w:w="1800" w:type="dxa"/>
            <w:vAlign w:val="bottom"/>
            <w:tcBorders>
              <w:top w:val="single" w:sz="8" w:color="0066BA"/>
            </w:tcBorders>
          </w:tcPr>
          <w:p>
            <w:pPr>
              <w:ind w:left="60"/>
              <w:spacing w:after="0"/>
              <w:rPr>
                <w:sz w:val="20"/>
                <w:szCs w:val="20"/>
                <w:color w:val="auto"/>
              </w:rPr>
            </w:pPr>
            <w:r>
              <w:rPr>
                <w:rFonts w:ascii="Arial" w:cs="Arial" w:eastAsia="Arial" w:hAnsi="Arial"/>
                <w:sz w:val="17"/>
                <w:szCs w:val="17"/>
                <w:color w:val="auto"/>
              </w:rPr>
              <w:t>One-year, two-year</w:t>
            </w:r>
          </w:p>
        </w:tc>
      </w:tr>
      <w:tr>
        <w:trPr>
          <w:trHeight w:val="208"/>
        </w:trPr>
        <w:tc>
          <w:tcPr>
            <w:tcW w:w="280" w:type="dxa"/>
            <w:vAlign w:val="bottom"/>
          </w:tcPr>
          <w:p>
            <w:pPr>
              <w:spacing w:after="0"/>
              <w:rPr>
                <w:sz w:val="18"/>
                <w:szCs w:val="18"/>
                <w:color w:val="auto"/>
              </w:rPr>
            </w:pPr>
          </w:p>
        </w:tc>
        <w:tc>
          <w:tcPr>
            <w:tcW w:w="1800" w:type="dxa"/>
            <w:vAlign w:val="bottom"/>
          </w:tcPr>
          <w:p>
            <w:pPr>
              <w:ind w:left="40"/>
              <w:spacing w:after="0"/>
              <w:rPr>
                <w:sz w:val="20"/>
                <w:szCs w:val="20"/>
                <w:color w:val="auto"/>
              </w:rPr>
            </w:pPr>
            <w:r>
              <w:rPr>
                <w:rFonts w:ascii="Arial" w:cs="Arial" w:eastAsia="Arial" w:hAnsi="Arial"/>
                <w:sz w:val="17"/>
                <w:szCs w:val="17"/>
                <w:color w:val="auto"/>
              </w:rPr>
              <w:t>cumulative and three-</w:t>
            </w:r>
          </w:p>
        </w:tc>
      </w:tr>
      <w:tr>
        <w:trPr>
          <w:trHeight w:val="208"/>
        </w:trPr>
        <w:tc>
          <w:tcPr>
            <w:tcW w:w="280" w:type="dxa"/>
            <w:vAlign w:val="bottom"/>
          </w:tcPr>
          <w:p>
            <w:pPr>
              <w:spacing w:after="0"/>
              <w:rPr>
                <w:sz w:val="18"/>
                <w:szCs w:val="18"/>
                <w:color w:val="auto"/>
              </w:rPr>
            </w:pPr>
          </w:p>
        </w:tc>
        <w:tc>
          <w:tcPr>
            <w:tcW w:w="1800" w:type="dxa"/>
            <w:vAlign w:val="bottom"/>
          </w:tcPr>
          <w:p>
            <w:pPr>
              <w:ind w:left="40"/>
              <w:spacing w:after="0"/>
              <w:rPr>
                <w:sz w:val="20"/>
                <w:szCs w:val="20"/>
                <w:color w:val="auto"/>
              </w:rPr>
            </w:pPr>
            <w:r>
              <w:rPr>
                <w:rFonts w:ascii="Arial" w:cs="Arial" w:eastAsia="Arial" w:hAnsi="Arial"/>
                <w:sz w:val="17"/>
                <w:szCs w:val="17"/>
                <w:color w:val="auto"/>
              </w:rPr>
              <w:t>year cumulative time</w:t>
            </w:r>
          </w:p>
        </w:tc>
      </w:tr>
      <w:tr>
        <w:trPr>
          <w:trHeight w:val="221"/>
        </w:trPr>
        <w:tc>
          <w:tcPr>
            <w:tcW w:w="280" w:type="dxa"/>
            <w:vAlign w:val="bottom"/>
          </w:tcPr>
          <w:p>
            <w:pPr>
              <w:spacing w:after="0"/>
              <w:rPr>
                <w:sz w:val="19"/>
                <w:szCs w:val="19"/>
                <w:color w:val="auto"/>
              </w:rPr>
            </w:pPr>
          </w:p>
        </w:tc>
        <w:tc>
          <w:tcPr>
            <w:tcW w:w="1800" w:type="dxa"/>
            <w:vAlign w:val="bottom"/>
          </w:tcPr>
          <w:p>
            <w:pPr>
              <w:ind w:left="40"/>
              <w:spacing w:after="0"/>
              <w:rPr>
                <w:sz w:val="20"/>
                <w:szCs w:val="20"/>
                <w:color w:val="auto"/>
              </w:rPr>
            </w:pPr>
            <w:r>
              <w:rPr>
                <w:rFonts w:ascii="Arial" w:cs="Arial" w:eastAsia="Arial" w:hAnsi="Arial"/>
                <w:sz w:val="17"/>
                <w:szCs w:val="17"/>
                <w:color w:val="auto"/>
              </w:rPr>
              <w:t>periods</w:t>
            </w:r>
          </w:p>
        </w:tc>
      </w:tr>
      <w:tr>
        <w:trPr>
          <w:trHeight w:val="52"/>
        </w:trPr>
        <w:tc>
          <w:tcPr>
            <w:tcW w:w="280" w:type="dxa"/>
            <w:vAlign w:val="bottom"/>
            <w:tcBorders>
              <w:bottom w:val="single" w:sz="8" w:color="0066BA"/>
            </w:tcBorders>
          </w:tcPr>
          <w:p>
            <w:pPr>
              <w:spacing w:after="0"/>
              <w:rPr>
                <w:sz w:val="4"/>
                <w:szCs w:val="4"/>
                <w:color w:val="auto"/>
              </w:rPr>
            </w:pPr>
          </w:p>
        </w:tc>
        <w:tc>
          <w:tcPr>
            <w:tcW w:w="1800" w:type="dxa"/>
            <w:vAlign w:val="bottom"/>
            <w:tcBorders>
              <w:bottom w:val="single" w:sz="8" w:color="0066BA"/>
            </w:tcBorders>
          </w:tcPr>
          <w:p>
            <w:pPr>
              <w:spacing w:after="0"/>
              <w:rPr>
                <w:sz w:val="4"/>
                <w:szCs w:val="4"/>
                <w:color w:val="auto"/>
              </w:rPr>
            </w:pPr>
          </w:p>
        </w:tc>
      </w:tr>
      <w:tr>
        <w:trPr>
          <w:trHeight w:val="214"/>
        </w:trPr>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1800" w:type="dxa"/>
            <w:vAlign w:val="bottom"/>
          </w:tcPr>
          <w:p>
            <w:pPr>
              <w:ind w:left="60"/>
              <w:spacing w:after="0"/>
              <w:rPr>
                <w:sz w:val="20"/>
                <w:szCs w:val="20"/>
                <w:color w:val="auto"/>
              </w:rPr>
            </w:pPr>
            <w:r>
              <w:rPr>
                <w:rFonts w:ascii="Arial" w:cs="Arial" w:eastAsia="Arial" w:hAnsi="Arial"/>
                <w:sz w:val="17"/>
                <w:szCs w:val="17"/>
                <w:color w:val="auto"/>
                <w:w w:val="90"/>
              </w:rPr>
              <w:t>Four year graded vesting</w:t>
            </w:r>
          </w:p>
        </w:tc>
      </w:tr>
      <w:tr>
        <w:trPr>
          <w:trHeight w:val="273"/>
        </w:trPr>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1800" w:type="dxa"/>
            <w:vAlign w:val="bottom"/>
          </w:tcPr>
          <w:p>
            <w:pPr>
              <w:ind w:left="60"/>
              <w:spacing w:after="0"/>
              <w:rPr>
                <w:sz w:val="20"/>
                <w:szCs w:val="20"/>
                <w:color w:val="auto"/>
              </w:rPr>
            </w:pPr>
            <w:r>
              <w:rPr>
                <w:rFonts w:ascii="Arial" w:cs="Arial" w:eastAsia="Arial" w:hAnsi="Arial"/>
                <w:sz w:val="17"/>
                <w:szCs w:val="17"/>
                <w:color w:val="auto"/>
              </w:rPr>
              <w:t>10 year term</w:t>
            </w:r>
          </w:p>
        </w:tc>
      </w:tr>
      <w:tr>
        <w:trPr>
          <w:trHeight w:val="403"/>
        </w:trPr>
        <w:tc>
          <w:tcPr>
            <w:tcW w:w="280" w:type="dxa"/>
            <w:vAlign w:val="bottom"/>
            <w:tcBorders>
              <w:bottom w:val="single" w:sz="8" w:color="0066BA"/>
            </w:tcBorders>
          </w:tcPr>
          <w:p>
            <w:pPr>
              <w:spacing w:after="0"/>
              <w:rPr>
                <w:sz w:val="24"/>
                <w:szCs w:val="24"/>
                <w:color w:val="auto"/>
              </w:rPr>
            </w:pPr>
          </w:p>
        </w:tc>
        <w:tc>
          <w:tcPr>
            <w:tcW w:w="1800" w:type="dxa"/>
            <w:vAlign w:val="bottom"/>
            <w:tcBorders>
              <w:bottom w:val="single" w:sz="8" w:color="0066BA"/>
            </w:tcBorders>
          </w:tcPr>
          <w:p>
            <w:pPr>
              <w:spacing w:after="0"/>
              <w:rPr>
                <w:sz w:val="24"/>
                <w:szCs w:val="24"/>
                <w:color w:val="auto"/>
              </w:rPr>
            </w:pPr>
          </w:p>
        </w:tc>
      </w:tr>
      <w:tr>
        <w:trPr>
          <w:trHeight w:val="214"/>
        </w:trPr>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1800" w:type="dxa"/>
            <w:vAlign w:val="bottom"/>
          </w:tcPr>
          <w:p>
            <w:pPr>
              <w:ind w:left="60"/>
              <w:spacing w:after="0"/>
              <w:rPr>
                <w:sz w:val="20"/>
                <w:szCs w:val="20"/>
                <w:color w:val="auto"/>
              </w:rPr>
            </w:pPr>
            <w:r>
              <w:rPr>
                <w:rFonts w:ascii="Arial" w:cs="Arial" w:eastAsia="Arial" w:hAnsi="Arial"/>
                <w:sz w:val="17"/>
                <w:szCs w:val="17"/>
                <w:color w:val="auto"/>
                <w:w w:val="90"/>
              </w:rPr>
              <w:t>Four year graded vesting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132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 Operating profit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452755</wp:posOffset>
            </wp:positionV>
            <wp:extent cx="14128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 Absolute stock price</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305435</wp:posOffset>
            </wp:positionV>
            <wp:extent cx="14128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48895</wp:posOffset>
            </wp:positionV>
            <wp:extent cx="14128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4">
            <w:col w:w="2849" w:space="720"/>
            <w:col w:w="1911" w:space="620"/>
            <w:col w:w="2080" w:space="640"/>
            <w:col w:w="2120"/>
          </w:cols>
          <w:pgMar w:left="320" w:top="447" w:right="639" w:bottom="1440" w:gutter="0" w:footer="0" w:header="0"/>
          <w:type w:val="continuous"/>
        </w:sectPr>
      </w:pPr>
    </w:p>
    <w:p>
      <w:pPr>
        <w:ind w:left="320"/>
        <w:spacing w:after="0"/>
        <w:rPr>
          <w:sz w:val="20"/>
          <w:szCs w:val="20"/>
          <w:color w:val="auto"/>
        </w:rPr>
      </w:pPr>
      <w:r>
        <w:rPr>
          <w:rFonts w:ascii="Arial" w:cs="Arial" w:eastAsia="Arial" w:hAnsi="Arial"/>
          <w:sz w:val="13"/>
          <w:szCs w:val="13"/>
          <w:i w:val="1"/>
          <w:iCs w:val="1"/>
          <w:color w:val="auto"/>
        </w:rPr>
        <w:t>OPBT = Operating Profit Before Taxes. TSR = Total Shareholder Return</w:t>
      </w:r>
    </w:p>
    <w:p>
      <w:pPr>
        <w:spacing w:after="0" w:line="200" w:lineRule="exact"/>
        <w:rPr>
          <w:sz w:val="20"/>
          <w:szCs w:val="20"/>
          <w:color w:val="auto"/>
        </w:rPr>
      </w:pPr>
    </w:p>
    <w:p>
      <w:pPr>
        <w:spacing w:after="0" w:line="266"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Historical “Say on Pay”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3843655</wp:posOffset>
            </wp:positionH>
            <wp:positionV relativeFrom="paragraph">
              <wp:posOffset>-152400</wp:posOffset>
            </wp:positionV>
            <wp:extent cx="1544955" cy="11315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44955" cy="1131570"/>
                    </a:xfrm>
                    <a:prstGeom prst="rect">
                      <a:avLst/>
                    </a:prstGeom>
                    <a:noFill/>
                  </pic:spPr>
                </pic:pic>
              </a:graphicData>
            </a:graphic>
          </wp:anchor>
        </w:drawing>
      </w:r>
    </w:p>
    <w:p>
      <w:pPr>
        <w:spacing w:after="0" w:line="117" w:lineRule="exact"/>
        <w:rPr>
          <w:sz w:val="20"/>
          <w:szCs w:val="20"/>
          <w:color w:val="auto"/>
        </w:rPr>
      </w:pPr>
    </w:p>
    <w:p>
      <w:pPr>
        <w:ind w:left="320" w:right="5100"/>
        <w:spacing w:after="0" w:line="261" w:lineRule="auto"/>
        <w:rPr>
          <w:sz w:val="20"/>
          <w:szCs w:val="20"/>
          <w:color w:val="auto"/>
        </w:rPr>
      </w:pPr>
      <w:r>
        <w:rPr>
          <w:rFonts w:ascii="Arial" w:cs="Arial" w:eastAsia="Arial" w:hAnsi="Arial"/>
          <w:sz w:val="17"/>
          <w:szCs w:val="17"/>
          <w:color w:val="auto"/>
        </w:rPr>
        <w:t>Our pay programs have a history of strong shareholder support. Our Compensation Committee believes the results of last year’s “Say on Pay” vote and input from our shareholder engagement affirmed our shareholders’ support of our company’s executive compensation program. This informed our decision to maintain a consistent overall approach in setting executive compensation in fiscal 2020.</w:t>
      </w:r>
    </w:p>
    <w:p>
      <w:pPr>
        <w:spacing w:after="0" w:line="325" w:lineRule="exact"/>
        <w:rPr>
          <w:sz w:val="20"/>
          <w:szCs w:val="20"/>
          <w:color w:val="auto"/>
        </w:rPr>
      </w:pPr>
    </w:p>
    <w:p>
      <w:pPr>
        <w:ind w:left="320" w:right="1800"/>
        <w:spacing w:after="0" w:line="286" w:lineRule="auto"/>
        <w:rPr>
          <w:sz w:val="20"/>
          <w:szCs w:val="20"/>
          <w:color w:val="auto"/>
        </w:rPr>
      </w:pPr>
      <w:r>
        <w:rPr>
          <w:rFonts w:ascii="Arial" w:cs="Arial" w:eastAsia="Arial" w:hAnsi="Arial"/>
          <w:sz w:val="17"/>
          <w:szCs w:val="17"/>
          <w:color w:val="auto"/>
        </w:rPr>
        <w:t>Please see the Compensation Discussion and Analysis section beginning on page 31 of this proxy statement for a more detailed description of our executive compensation program, philosophy and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67310</wp:posOffset>
            </wp:positionV>
            <wp:extent cx="140335" cy="9086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033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40"/>
          </w:cols>
          <w:pgMar w:left="320" w:top="447" w:right="639" w:bottom="1440" w:gutter="0" w:footer="0" w:header="0"/>
          <w:type w:val="continuous"/>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20"/>
        <w:spacing w:after="0"/>
        <w:rPr>
          <w:sz w:val="20"/>
          <w:szCs w:val="20"/>
          <w:color w:val="auto"/>
        </w:rPr>
      </w:pPr>
      <w:r>
        <w:rPr>
          <w:rFonts w:ascii="Arial" w:cs="Arial" w:eastAsia="Arial" w:hAnsi="Arial"/>
          <w:sz w:val="55"/>
          <w:szCs w:val="55"/>
          <w:color w:val="auto"/>
        </w:rPr>
        <w:t>Corporate Responsibility</w:t>
      </w:r>
    </w:p>
    <w:p>
      <w:pPr>
        <w:spacing w:after="0" w:line="290"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Our Approach</w:t>
      </w:r>
    </w:p>
    <w:p>
      <w:pPr>
        <w:spacing w:after="0" w:line="124" w:lineRule="exact"/>
        <w:rPr>
          <w:sz w:val="20"/>
          <w:szCs w:val="20"/>
          <w:color w:val="auto"/>
        </w:rPr>
      </w:pPr>
    </w:p>
    <w:p>
      <w:pPr>
        <w:ind w:left="320" w:right="420"/>
        <w:spacing w:after="0" w:line="286" w:lineRule="auto"/>
        <w:rPr>
          <w:sz w:val="20"/>
          <w:szCs w:val="20"/>
          <w:color w:val="auto"/>
        </w:rPr>
      </w:pPr>
      <w:r>
        <w:rPr>
          <w:rFonts w:ascii="Arial" w:cs="Arial" w:eastAsia="Arial" w:hAnsi="Arial"/>
          <w:sz w:val="17"/>
          <w:szCs w:val="17"/>
          <w:color w:val="auto"/>
        </w:rPr>
        <w:t>As a global company, we are passionately driven to be a leading corporate citizen—“engineering good” through the relentless pursuit of innovative technologies in order for our customers to be more successful in a more connected, greener and healthier future.</w:t>
      </w:r>
    </w:p>
    <w:p>
      <w:pPr>
        <w:spacing w:after="0" w:line="54" w:lineRule="exact"/>
        <w:rPr>
          <w:sz w:val="20"/>
          <w:szCs w:val="20"/>
          <w:color w:val="auto"/>
        </w:rPr>
      </w:pPr>
    </w:p>
    <w:p>
      <w:pPr>
        <w:jc w:val="both"/>
        <w:ind w:left="320" w:right="40"/>
        <w:spacing w:after="0" w:line="265" w:lineRule="auto"/>
        <w:rPr>
          <w:sz w:val="20"/>
          <w:szCs w:val="20"/>
          <w:color w:val="auto"/>
        </w:rPr>
      </w:pPr>
      <w:r>
        <w:rPr>
          <w:rFonts w:ascii="Arial" w:cs="Arial" w:eastAsia="Arial" w:hAnsi="Arial"/>
          <w:sz w:val="17"/>
          <w:szCs w:val="17"/>
          <w:color w:val="auto"/>
        </w:rPr>
        <w:t>We believe that sustainability is about delivering holistic solutions to make a real, demonstrable impact in the world. Our goal is to help our customers solve their sustainability challenges while making meaningful progress on environmental regeneration efforts and broader societal challenges. We drive positive impact through our technologies and solutions, which are used across a range of end-markets and end-uses, as well as our sustainability strategy and platform, which is focused on three core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71120</wp:posOffset>
            </wp:positionV>
            <wp:extent cx="6740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sectPr>
      </w:pPr>
    </w:p>
    <w:p>
      <w:pPr>
        <w:spacing w:after="0" w:line="197" w:lineRule="exact"/>
        <w:rPr>
          <w:sz w:val="20"/>
          <w:szCs w:val="20"/>
          <w:color w:val="auto"/>
        </w:rPr>
      </w:pPr>
    </w:p>
    <w:p>
      <w:pPr>
        <w:jc w:val="both"/>
        <w:ind w:left="480" w:hanging="164"/>
        <w:spacing w:after="0" w:line="299" w:lineRule="auto"/>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Protect and Regenerate the Environment</w:t>
      </w:r>
      <w:r>
        <w:rPr>
          <w:rFonts w:ascii="Arial" w:cs="Arial" w:eastAsia="Arial" w:hAnsi="Arial"/>
          <w:sz w:val="16"/>
          <w:szCs w:val="16"/>
          <w:color w:val="auto"/>
        </w:rPr>
        <w:t>: we will deliver 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that reduce our carbon and environ-mental footprint, as well as restore and replenish our natural resources and ecosystems</w:t>
      </w:r>
    </w:p>
    <w:p>
      <w:pPr>
        <w:spacing w:after="0" w:line="1" w:lineRule="exact"/>
        <w:rPr>
          <w:rFonts w:ascii="Arial" w:cs="Arial" w:eastAsia="Arial" w:hAnsi="Arial"/>
          <w:sz w:val="16"/>
          <w:szCs w:val="16"/>
          <w:color w:val="auto"/>
        </w:rPr>
      </w:pPr>
    </w:p>
    <w:p>
      <w:pPr>
        <w:jc w:val="both"/>
        <w:ind w:left="480" w:right="360" w:hanging="164"/>
        <w:spacing w:after="0" w:line="274"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Empower People: </w:t>
      </w:r>
      <w:r>
        <w:rPr>
          <w:rFonts w:ascii="Arial" w:cs="Arial" w:eastAsia="Arial" w:hAnsi="Arial"/>
          <w:sz w:val="17"/>
          <w:szCs w:val="17"/>
          <w:color w:val="auto"/>
        </w:rPr>
        <w:t>we aim to create opportunities for people and</w:t>
      </w:r>
      <w:r>
        <w:rPr>
          <w:rFonts w:ascii="Arial" w:cs="Arial" w:eastAsia="Arial" w:hAnsi="Arial"/>
          <w:sz w:val="17"/>
          <w:szCs w:val="17"/>
          <w:b w:val="1"/>
          <w:bCs w:val="1"/>
          <w:color w:val="auto"/>
        </w:rPr>
        <w:t xml:space="preserve"> </w:t>
      </w:r>
      <w:r>
        <w:rPr>
          <w:rFonts w:ascii="Arial" w:cs="Arial" w:eastAsia="Arial" w:hAnsi="Arial"/>
          <w:sz w:val="17"/>
          <w:szCs w:val="17"/>
          <w:color w:val="auto"/>
        </w:rPr>
        <w:t>make a meaningful impact on their lives—both at ADI and in the broader community</w:t>
      </w:r>
    </w:p>
    <w:p>
      <w:pPr>
        <w:spacing w:after="0" w:line="200" w:lineRule="exact"/>
        <w:rPr>
          <w:sz w:val="20"/>
          <w:szCs w:val="20"/>
          <w:color w:val="auto"/>
        </w:rPr>
      </w:pPr>
    </w:p>
    <w:p>
      <w:pPr>
        <w:spacing w:after="0" w:line="244"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Sustainability Governance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both"/>
        <w:ind w:left="170" w:right="100" w:hanging="170"/>
        <w:spacing w:after="0" w:line="274" w:lineRule="auto"/>
        <w:tabs>
          <w:tab w:leader="none" w:pos="17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Impact Through Engagement: </w:t>
      </w:r>
      <w:r>
        <w:rPr>
          <w:rFonts w:ascii="Arial" w:cs="Arial" w:eastAsia="Arial" w:hAnsi="Arial"/>
          <w:sz w:val="17"/>
          <w:szCs w:val="17"/>
          <w:color w:val="auto"/>
        </w:rPr>
        <w:t>we will leverage the ingenuity of ADI</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to drive positive change and help solve real-world problems that benefit our lives, our communities and our planet</w:t>
      </w:r>
    </w:p>
    <w:p>
      <w:pPr>
        <w:spacing w:after="0" w:line="1469" w:lineRule="exact"/>
        <w:rPr>
          <w:sz w:val="20"/>
          <w:szCs w:val="20"/>
          <w:color w:val="auto"/>
        </w:rPr>
      </w:pPr>
    </w:p>
    <w:p>
      <w:pPr>
        <w:sectPr>
          <w:pgSz w:w="11900" w:h="16838" w:orient="portrait"/>
          <w:cols w:equalWidth="0" w:num="2">
            <w:col w:w="5360" w:space="370"/>
            <w:col w:w="5210"/>
          </w:cols>
          <w:pgMar w:left="320" w:top="447" w:right="639" w:bottom="1440" w:gutter="0" w:footer="0" w:header="0"/>
          <w:type w:val="continuous"/>
        </w:sectPr>
      </w:pPr>
    </w:p>
    <w:p>
      <w:pPr>
        <w:ind w:left="320" w:right="540"/>
        <w:spacing w:after="0" w:line="270" w:lineRule="auto"/>
        <w:rPr>
          <w:sz w:val="20"/>
          <w:szCs w:val="20"/>
          <w:color w:val="auto"/>
        </w:rPr>
      </w:pPr>
      <w:r>
        <w:rPr>
          <w:rFonts w:ascii="Arial" w:cs="Arial" w:eastAsia="Arial" w:hAnsi="Arial"/>
          <w:sz w:val="17"/>
          <w:szCs w:val="17"/>
          <w:color w:val="auto"/>
        </w:rPr>
        <w:t>Our sustainability agenda is led and managed by our Chief Executive Officer alongside a senior management team that includes our Chief People Officer, Chief Financial Officer, Chief Legal Officer, Senior Vice President of Industrial and Consumer, and newly appointed Director of Social Purpose.</w:t>
      </w:r>
    </w:p>
    <w:p>
      <w:pPr>
        <w:spacing w:after="0" w:line="69" w:lineRule="exact"/>
        <w:rPr>
          <w:sz w:val="20"/>
          <w:szCs w:val="20"/>
          <w:color w:val="auto"/>
        </w:rPr>
      </w:pPr>
    </w:p>
    <w:p>
      <w:pPr>
        <w:ind w:left="320" w:right="700"/>
        <w:spacing w:after="0" w:line="286" w:lineRule="auto"/>
        <w:rPr>
          <w:sz w:val="20"/>
          <w:szCs w:val="20"/>
          <w:color w:val="auto"/>
        </w:rPr>
      </w:pPr>
      <w:r>
        <w:rPr>
          <w:rFonts w:ascii="Arial" w:cs="Arial" w:eastAsia="Arial" w:hAnsi="Arial"/>
          <w:sz w:val="17"/>
          <w:szCs w:val="17"/>
          <w:color w:val="auto"/>
        </w:rPr>
        <w:t>In addition, our Board of Directors is fully engaged and receives updates from senior management about our progress against our sustainability initiatives.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Fiscal 2020 Highlights</w:t>
      </w:r>
    </w:p>
    <w:p>
      <w:pPr>
        <w:spacing w:after="0" w:line="176" w:lineRule="exact"/>
        <w:rPr>
          <w:sz w:val="20"/>
          <w:szCs w:val="20"/>
          <w:color w:val="auto"/>
        </w:rPr>
      </w:pPr>
    </w:p>
    <w:tbl>
      <w:tblPr>
        <w:tblLayout w:type="fixed"/>
        <w:tblInd w:w="320" w:type="dxa"/>
        <w:tblCellMar>
          <w:top w:w="0" w:type="dxa"/>
          <w:left w:w="0" w:type="dxa"/>
          <w:bottom w:w="0" w:type="dxa"/>
          <w:right w:w="0" w:type="dxa"/>
        </w:tblCellMar>
      </w:tblPr>
      <w:tr>
        <w:trPr>
          <w:trHeight w:val="235"/>
        </w:trPr>
        <w:tc>
          <w:tcPr>
            <w:tcW w:w="358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Disclosure &amp; Transparency</w:t>
            </w:r>
          </w:p>
        </w:tc>
        <w:tc>
          <w:tcPr>
            <w:tcW w:w="2520" w:type="dxa"/>
            <w:vAlign w:val="bottom"/>
            <w:shd w:val="clear" w:color="auto" w:fill="0066BA"/>
          </w:tcPr>
          <w:p>
            <w:pPr>
              <w:ind w:left="160"/>
              <w:spacing w:after="0"/>
              <w:rPr>
                <w:sz w:val="20"/>
                <w:szCs w:val="20"/>
                <w:color w:val="auto"/>
              </w:rPr>
            </w:pPr>
            <w:r>
              <w:rPr>
                <w:rFonts w:ascii="Arial" w:cs="Arial" w:eastAsia="Arial" w:hAnsi="Arial"/>
                <w:sz w:val="14"/>
                <w:szCs w:val="14"/>
                <w:b w:val="1"/>
                <w:bCs w:val="1"/>
                <w:color w:val="FFFFFF"/>
              </w:rPr>
              <w:t>Our Environment</w:t>
            </w:r>
          </w:p>
        </w:tc>
        <w:tc>
          <w:tcPr>
            <w:tcW w:w="4520" w:type="dxa"/>
            <w:vAlign w:val="bottom"/>
            <w:shd w:val="clear" w:color="auto" w:fill="0066BA"/>
          </w:tcPr>
          <w:p>
            <w:pPr>
              <w:ind w:left="1220"/>
              <w:spacing w:after="0"/>
              <w:rPr>
                <w:sz w:val="20"/>
                <w:szCs w:val="20"/>
                <w:color w:val="auto"/>
              </w:rPr>
            </w:pPr>
            <w:r>
              <w:rPr>
                <w:rFonts w:ascii="Arial" w:cs="Arial" w:eastAsia="Arial" w:hAnsi="Arial"/>
                <w:sz w:val="14"/>
                <w:szCs w:val="14"/>
                <w:b w:val="1"/>
                <w:bCs w:val="1"/>
                <w:color w:val="FFFFFF"/>
              </w:rPr>
              <w:t>Our People &amp; Society</w:t>
            </w:r>
          </w:p>
        </w:tc>
      </w:tr>
      <w:tr>
        <w:trPr>
          <w:trHeight w:val="25"/>
        </w:trPr>
        <w:tc>
          <w:tcPr>
            <w:tcW w:w="3580" w:type="dxa"/>
            <w:vAlign w:val="bottom"/>
            <w:shd w:val="clear" w:color="auto" w:fill="0066BA"/>
          </w:tcPr>
          <w:p>
            <w:pPr>
              <w:spacing w:after="0"/>
              <w:rPr>
                <w:sz w:val="2"/>
                <w:szCs w:val="2"/>
                <w:color w:val="auto"/>
              </w:rPr>
            </w:pPr>
          </w:p>
        </w:tc>
        <w:tc>
          <w:tcPr>
            <w:tcW w:w="2520" w:type="dxa"/>
            <w:vAlign w:val="bottom"/>
            <w:shd w:val="clear" w:color="auto" w:fill="0066BA"/>
          </w:tcPr>
          <w:p>
            <w:pPr>
              <w:spacing w:after="0"/>
              <w:rPr>
                <w:sz w:val="2"/>
                <w:szCs w:val="2"/>
                <w:color w:val="auto"/>
              </w:rPr>
            </w:pPr>
          </w:p>
        </w:tc>
        <w:tc>
          <w:tcPr>
            <w:tcW w:w="4520" w:type="dxa"/>
            <w:vAlign w:val="bottom"/>
            <w:shd w:val="clear" w:color="auto" w:fill="0066BA"/>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0</wp:posOffset>
            </wp:positionV>
            <wp:extent cx="2272030" cy="27920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72030" cy="2792095"/>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type w:val="continuous"/>
        </w:sectPr>
      </w:pPr>
    </w:p>
    <w:p>
      <w:pPr>
        <w:spacing w:after="0" w:line="53" w:lineRule="exact"/>
        <w:rPr>
          <w:sz w:val="20"/>
          <w:szCs w:val="20"/>
          <w:color w:val="auto"/>
        </w:rPr>
      </w:pPr>
    </w:p>
    <w:p>
      <w:pPr>
        <w:ind w:left="460" w:right="620" w:hanging="144"/>
        <w:spacing w:after="0" w:line="286" w:lineRule="auto"/>
        <w:tabs>
          <w:tab w:leader="none" w:pos="469" w:val="left"/>
        </w:tabs>
        <w:numPr>
          <w:ilvl w:val="0"/>
          <w:numId w:val="19"/>
        </w:numPr>
        <w:rPr>
          <w:rFonts w:ascii="Arial" w:cs="Arial" w:eastAsia="Arial" w:hAnsi="Arial"/>
          <w:sz w:val="17"/>
          <w:szCs w:val="17"/>
          <w:color w:val="auto"/>
        </w:rPr>
      </w:pPr>
      <w:r>
        <w:rPr>
          <w:rFonts w:ascii="Arial" w:cs="Arial" w:eastAsia="Arial" w:hAnsi="Arial"/>
          <w:sz w:val="17"/>
          <w:szCs w:val="17"/>
          <w:color w:val="auto"/>
        </w:rPr>
        <w:t>Published the company’s first Corporate Responsibility Report</w:t>
      </w:r>
    </w:p>
    <w:p>
      <w:pPr>
        <w:spacing w:after="0" w:line="184" w:lineRule="exact"/>
        <w:rPr>
          <w:rFonts w:ascii="Arial" w:cs="Arial" w:eastAsia="Arial" w:hAnsi="Arial"/>
          <w:sz w:val="17"/>
          <w:szCs w:val="17"/>
          <w:color w:val="auto"/>
        </w:rPr>
      </w:pPr>
    </w:p>
    <w:p>
      <w:pPr>
        <w:ind w:left="460" w:hanging="144"/>
        <w:spacing w:after="0" w:line="263" w:lineRule="auto"/>
        <w:tabs>
          <w:tab w:leader="none" w:pos="469"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Corporate Responsibility Report is prepared in accordance with the Global Reporting Initiative (GRI): Core Option and we report separately to the CDP Climate Change and Water Security projects</w:t>
      </w:r>
    </w:p>
    <w:p>
      <w:pPr>
        <w:spacing w:after="0" w:line="203" w:lineRule="exact"/>
        <w:rPr>
          <w:rFonts w:ascii="Arial" w:cs="Arial" w:eastAsia="Arial" w:hAnsi="Arial"/>
          <w:sz w:val="17"/>
          <w:szCs w:val="17"/>
          <w:color w:val="auto"/>
        </w:rPr>
      </w:pPr>
    </w:p>
    <w:p>
      <w:pPr>
        <w:ind w:left="460" w:right="200" w:hanging="144"/>
        <w:spacing w:after="0" w:line="270" w:lineRule="auto"/>
        <w:tabs>
          <w:tab w:leader="none" w:pos="469"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sustainability activities and reporting are appropriately aligned with the UN Sustainable Development Goals</w:t>
      </w:r>
    </w:p>
    <w:p>
      <w:pPr>
        <w:spacing w:after="0" w:line="198" w:lineRule="exact"/>
        <w:rPr>
          <w:rFonts w:ascii="Arial" w:cs="Arial" w:eastAsia="Arial" w:hAnsi="Arial"/>
          <w:sz w:val="17"/>
          <w:szCs w:val="17"/>
          <w:color w:val="auto"/>
        </w:rPr>
      </w:pPr>
    </w:p>
    <w:p>
      <w:pPr>
        <w:ind w:left="460" w:right="20" w:hanging="144"/>
        <w:spacing w:after="0" w:line="295" w:lineRule="auto"/>
        <w:tabs>
          <w:tab w:leader="none" w:pos="469" w:val="left"/>
        </w:tabs>
        <w:numPr>
          <w:ilvl w:val="0"/>
          <w:numId w:val="19"/>
        </w:numPr>
        <w:rPr>
          <w:rFonts w:ascii="Arial" w:cs="Arial" w:eastAsia="Arial" w:hAnsi="Arial"/>
          <w:sz w:val="16"/>
          <w:szCs w:val="16"/>
          <w:color w:val="auto"/>
        </w:rPr>
      </w:pPr>
      <w:r>
        <w:rPr>
          <w:rFonts w:ascii="Arial" w:cs="Arial" w:eastAsia="Arial" w:hAnsi="Arial"/>
          <w:sz w:val="16"/>
          <w:szCs w:val="16"/>
          <w:color w:val="auto"/>
        </w:rPr>
        <w:t>Going forward, we plan to review other evolving ESG disclosure frameworks (e.g., TCFD and SASB) to better inform our sustainability reports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142" w:right="660" w:hanging="142"/>
        <w:spacing w:after="0" w:line="286" w:lineRule="auto"/>
        <w:tabs>
          <w:tab w:leader="none" w:pos="151" w:val="left"/>
        </w:tabs>
        <w:numPr>
          <w:ilvl w:val="0"/>
          <w:numId w:val="20"/>
        </w:numPr>
        <w:rPr>
          <w:rFonts w:ascii="Arial" w:cs="Arial" w:eastAsia="Arial" w:hAnsi="Arial"/>
          <w:sz w:val="17"/>
          <w:szCs w:val="17"/>
          <w:color w:val="auto"/>
        </w:rPr>
      </w:pPr>
      <w:r>
        <w:rPr>
          <w:rFonts w:ascii="Arial" w:cs="Arial" w:eastAsia="Arial" w:hAnsi="Arial"/>
          <w:sz w:val="17"/>
          <w:szCs w:val="17"/>
          <w:color w:val="auto"/>
        </w:rPr>
        <w:t>Significant progress against emissions reduction targets</w:t>
      </w:r>
    </w:p>
    <w:p>
      <w:pPr>
        <w:spacing w:after="0" w:line="184" w:lineRule="exact"/>
        <w:rPr>
          <w:rFonts w:ascii="Arial" w:cs="Arial" w:eastAsia="Arial" w:hAnsi="Arial"/>
          <w:sz w:val="17"/>
          <w:szCs w:val="17"/>
          <w:color w:val="auto"/>
        </w:rPr>
      </w:pPr>
    </w:p>
    <w:p>
      <w:pPr>
        <w:ind w:left="142" w:right="320" w:hanging="142"/>
        <w:spacing w:after="0" w:line="286" w:lineRule="auto"/>
        <w:tabs>
          <w:tab w:leader="none" w:pos="151"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Set ambitious absolute emissions reduction goals by 2025</w:t>
      </w:r>
    </w:p>
    <w:p>
      <w:pPr>
        <w:spacing w:after="0" w:line="184" w:lineRule="exact"/>
        <w:rPr>
          <w:rFonts w:ascii="Arial" w:cs="Arial" w:eastAsia="Arial" w:hAnsi="Arial"/>
          <w:sz w:val="17"/>
          <w:szCs w:val="17"/>
          <w:color w:val="auto"/>
        </w:rPr>
      </w:pPr>
    </w:p>
    <w:p>
      <w:pPr>
        <w:ind w:left="142" w:right="80" w:hanging="142"/>
        <w:spacing w:after="0" w:line="265" w:lineRule="auto"/>
        <w:tabs>
          <w:tab w:leader="none" w:pos="151" w:val="left"/>
        </w:tabs>
        <w:numPr>
          <w:ilvl w:val="0"/>
          <w:numId w:val="20"/>
        </w:numPr>
        <w:rPr>
          <w:rFonts w:ascii="Arial" w:cs="Arial" w:eastAsia="Arial" w:hAnsi="Arial"/>
          <w:sz w:val="17"/>
          <w:szCs w:val="17"/>
          <w:color w:val="auto"/>
        </w:rPr>
      </w:pPr>
      <w:r>
        <w:rPr>
          <w:rFonts w:ascii="Arial" w:cs="Arial" w:eastAsia="Arial" w:hAnsi="Arial"/>
          <w:sz w:val="17"/>
          <w:szCs w:val="17"/>
          <w:color w:val="auto"/>
        </w:rPr>
        <w:t>Issued inaugural green bond—the first in the industry—to help finance or refinance eligible projects that offer environmental sustainability benefits</w:t>
      </w:r>
    </w:p>
    <w:p>
      <w:pPr>
        <w:spacing w:after="0" w:line="203" w:lineRule="exact"/>
        <w:rPr>
          <w:rFonts w:ascii="Arial" w:cs="Arial" w:eastAsia="Arial" w:hAnsi="Arial"/>
          <w:sz w:val="17"/>
          <w:szCs w:val="17"/>
          <w:color w:val="auto"/>
        </w:rPr>
      </w:pPr>
    </w:p>
    <w:p>
      <w:pPr>
        <w:ind w:left="142" w:hanging="142"/>
        <w:spacing w:after="0" w:line="261" w:lineRule="auto"/>
        <w:tabs>
          <w:tab w:leader="none" w:pos="151"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Continued to innovate and develop solutions with meaningful environmental benefits, including our Battery Management Solutions, Energy Storage Systems and leveraging our intelligent sensing systems to make data centers greener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445135</wp:posOffset>
            </wp:positionV>
            <wp:extent cx="67405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145" w:right="20" w:hanging="145"/>
        <w:spacing w:after="0" w:line="295" w:lineRule="auto"/>
        <w:tabs>
          <w:tab w:leader="none" w:pos="153"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Expanded training and development programs and established employee-led networks to drive inclusion and engagement</w:t>
      </w:r>
    </w:p>
    <w:p>
      <w:pPr>
        <w:spacing w:after="0" w:line="180" w:lineRule="exact"/>
        <w:rPr>
          <w:rFonts w:ascii="Arial" w:cs="Arial" w:eastAsia="Arial" w:hAnsi="Arial"/>
          <w:sz w:val="16"/>
          <w:szCs w:val="16"/>
          <w:color w:val="auto"/>
        </w:rPr>
      </w:pPr>
    </w:p>
    <w:p>
      <w:pPr>
        <w:ind w:left="145" w:right="140" w:hanging="145"/>
        <w:spacing w:after="0" w:line="295" w:lineRule="auto"/>
        <w:tabs>
          <w:tab w:leader="none" w:pos="153" w:val="left"/>
        </w:tabs>
        <w:numPr>
          <w:ilvl w:val="0"/>
          <w:numId w:val="21"/>
        </w:numPr>
        <w:rPr>
          <w:rFonts w:ascii="Arial" w:cs="Arial" w:eastAsia="Arial" w:hAnsi="Arial"/>
          <w:sz w:val="16"/>
          <w:szCs w:val="16"/>
          <w:color w:val="auto"/>
        </w:rPr>
      </w:pPr>
      <w:r>
        <w:rPr>
          <w:rFonts w:ascii="Arial" w:cs="Arial" w:eastAsia="Arial" w:hAnsi="Arial"/>
          <w:sz w:val="16"/>
          <w:szCs w:val="16"/>
          <w:color w:val="auto"/>
        </w:rPr>
        <w:t>Shifted production focus to healthcare technologies, supporting the medical community during the COVID-19 pandemic</w:t>
      </w:r>
    </w:p>
    <w:p>
      <w:pPr>
        <w:spacing w:after="0" w:line="180" w:lineRule="exact"/>
        <w:rPr>
          <w:rFonts w:ascii="Arial" w:cs="Arial" w:eastAsia="Arial" w:hAnsi="Arial"/>
          <w:sz w:val="16"/>
          <w:szCs w:val="16"/>
          <w:color w:val="auto"/>
        </w:rPr>
      </w:pPr>
    </w:p>
    <w:p>
      <w:pPr>
        <w:ind w:left="145" w:right="120" w:hanging="145"/>
        <w:spacing w:after="0" w:line="270" w:lineRule="auto"/>
        <w:tabs>
          <w:tab w:leader="none" w:pos="153"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Established the Analog Devices Foundation to formalize the company’s philanthropy and charitable giving</w:t>
      </w:r>
    </w:p>
    <w:p>
      <w:pPr>
        <w:spacing w:after="0" w:line="198" w:lineRule="exact"/>
        <w:rPr>
          <w:rFonts w:ascii="Arial" w:cs="Arial" w:eastAsia="Arial" w:hAnsi="Arial"/>
          <w:sz w:val="17"/>
          <w:szCs w:val="17"/>
          <w:color w:val="auto"/>
        </w:rPr>
      </w:pPr>
    </w:p>
    <w:p>
      <w:pPr>
        <w:ind w:left="145" w:right="160" w:hanging="145"/>
        <w:spacing w:after="0" w:line="270" w:lineRule="auto"/>
        <w:tabs>
          <w:tab w:leader="none" w:pos="153"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Provided support to global and local COVID-19 relief efforts through the Analog Devices Foundation</w:t>
      </w:r>
    </w:p>
    <w:p>
      <w:pPr>
        <w:spacing w:after="0" w:line="198" w:lineRule="exact"/>
        <w:rPr>
          <w:rFonts w:ascii="Arial" w:cs="Arial" w:eastAsia="Arial" w:hAnsi="Arial"/>
          <w:sz w:val="17"/>
          <w:szCs w:val="17"/>
          <w:color w:val="auto"/>
        </w:rPr>
      </w:pPr>
    </w:p>
    <w:p>
      <w:pPr>
        <w:ind w:left="145" w:right="120" w:hanging="145"/>
        <w:spacing w:after="0" w:line="287" w:lineRule="auto"/>
        <w:tabs>
          <w:tab w:leader="none" w:pos="153" w:val="left"/>
        </w:tabs>
        <w:numPr>
          <w:ilvl w:val="0"/>
          <w:numId w:val="21"/>
        </w:numPr>
        <w:rPr>
          <w:rFonts w:ascii="Arial" w:cs="Arial" w:eastAsia="Arial" w:hAnsi="Arial"/>
          <w:sz w:val="16"/>
          <w:szCs w:val="16"/>
          <w:color w:val="auto"/>
        </w:rPr>
      </w:pPr>
      <w:r>
        <w:rPr>
          <w:rFonts w:ascii="Arial" w:cs="Arial" w:eastAsia="Arial" w:hAnsi="Arial"/>
          <w:sz w:val="16"/>
          <w:szCs w:val="16"/>
          <w:color w:val="auto"/>
        </w:rPr>
        <w:t>Partnered with Massachusetts General Hospital and the Analog Devices Foundation donated $500,000 towards MGH’s Vaccine and Immunotherapy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118110</wp:posOffset>
            </wp:positionV>
            <wp:extent cx="140335" cy="900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0335" cy="900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880" w:space="118"/>
            <w:col w:w="3462" w:space="115"/>
            <w:col w:w="3365"/>
          </w:cols>
          <w:pgMar w:left="320" w:top="447"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84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940"/>
          </w:cols>
          <w:pgMar w:left="320" w:top="447" w:right="639" w:bottom="1440" w:gutter="0" w:footer="0" w:header="0"/>
          <w:type w:val="continuous"/>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480" w:type="dxa"/>
        <w:tblCellMar>
          <w:top w:w="0" w:type="dxa"/>
          <w:left w:w="0" w:type="dxa"/>
          <w:bottom w:w="0" w:type="dxa"/>
          <w:right w:w="0" w:type="dxa"/>
        </w:tblCellMar>
      </w:tblPr>
      <w:tr>
        <w:trPr>
          <w:trHeight w:val="1581"/>
        </w:trPr>
        <w:tc>
          <w:tcPr>
            <w:tcW w:w="1500" w:type="dxa"/>
            <w:vAlign w:val="bottom"/>
            <w:vMerge w:val="restart"/>
          </w:tcPr>
          <w:p>
            <w:pPr>
              <w:spacing w:after="0"/>
              <w:rPr>
                <w:sz w:val="20"/>
                <w:szCs w:val="20"/>
                <w:color w:val="auto"/>
              </w:rPr>
            </w:pPr>
            <w:r>
              <w:rPr>
                <w:rFonts w:ascii="Arial" w:cs="Arial" w:eastAsia="Arial" w:hAnsi="Arial"/>
                <w:sz w:val="191"/>
                <w:szCs w:val="191"/>
                <w:color w:val="0066BA"/>
              </w:rPr>
              <w:t>u</w:t>
            </w:r>
          </w:p>
        </w:tc>
        <w:tc>
          <w:tcPr>
            <w:tcW w:w="5220" w:type="dxa"/>
            <w:vAlign w:val="bottom"/>
          </w:tcPr>
          <w:p>
            <w:pPr>
              <w:ind w:left="560"/>
              <w:spacing w:after="0"/>
              <w:rPr>
                <w:sz w:val="20"/>
                <w:szCs w:val="20"/>
                <w:color w:val="auto"/>
              </w:rPr>
            </w:pPr>
            <w:r>
              <w:rPr>
                <w:rFonts w:ascii="Arial" w:cs="Arial" w:eastAsia="Arial" w:hAnsi="Arial"/>
                <w:sz w:val="55"/>
                <w:szCs w:val="55"/>
                <w:b w:val="1"/>
                <w:bCs w:val="1"/>
                <w:color w:val="0066BA"/>
              </w:rPr>
              <w:t>Proposal 1</w:t>
            </w:r>
          </w:p>
        </w:tc>
        <w:tc>
          <w:tcPr>
            <w:tcW w:w="0" w:type="dxa"/>
            <w:vAlign w:val="bottom"/>
          </w:tcPr>
          <w:p>
            <w:pPr>
              <w:spacing w:after="0"/>
              <w:rPr>
                <w:sz w:val="1"/>
                <w:szCs w:val="1"/>
                <w:color w:val="auto"/>
              </w:rPr>
            </w:pPr>
          </w:p>
        </w:tc>
      </w:tr>
      <w:tr>
        <w:trPr>
          <w:trHeight w:val="865"/>
        </w:trPr>
        <w:tc>
          <w:tcPr>
            <w:tcW w:w="1500" w:type="dxa"/>
            <w:vAlign w:val="bottom"/>
            <w:vMerge w:val="continue"/>
          </w:tcPr>
          <w:p>
            <w:pPr>
              <w:spacing w:after="0"/>
              <w:rPr>
                <w:sz w:val="24"/>
                <w:szCs w:val="24"/>
                <w:color w:val="auto"/>
              </w:rPr>
            </w:pPr>
          </w:p>
        </w:tc>
        <w:tc>
          <w:tcPr>
            <w:tcW w:w="5220" w:type="dxa"/>
            <w:vAlign w:val="bottom"/>
          </w:tcPr>
          <w:p>
            <w:pPr>
              <w:ind w:left="560"/>
              <w:spacing w:after="0"/>
              <w:rPr>
                <w:sz w:val="20"/>
                <w:szCs w:val="20"/>
                <w:color w:val="auto"/>
              </w:rPr>
            </w:pPr>
            <w:r>
              <w:rPr>
                <w:rFonts w:ascii="Arial" w:cs="Arial" w:eastAsia="Arial" w:hAnsi="Arial"/>
                <w:sz w:val="52"/>
                <w:szCs w:val="52"/>
                <w:color w:val="auto"/>
                <w:w w:val="99"/>
              </w:rPr>
              <w:t>Election of Directors</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80" w:right="740"/>
        <w:spacing w:after="0" w:line="250" w:lineRule="auto"/>
        <w:rPr>
          <w:sz w:val="20"/>
          <w:szCs w:val="20"/>
          <w:color w:val="auto"/>
        </w:rPr>
      </w:pPr>
      <w:r>
        <w:rPr>
          <w:rFonts w:ascii="Arial" w:cs="Arial" w:eastAsia="Arial" w:hAnsi="Arial"/>
          <w:sz w:val="28"/>
          <w:szCs w:val="28"/>
          <w:color w:val="0066BA"/>
        </w:rPr>
        <w:t xml:space="preserve">Our Board of Directors unanimously recommends that you vote </w:t>
      </w:r>
      <w:r>
        <w:rPr>
          <w:sz w:val="1"/>
          <w:szCs w:val="1"/>
          <w:color w:val="auto"/>
        </w:rPr>
        <w:drawing>
          <wp:inline distT="0" distB="0" distL="0" distR="0">
            <wp:extent cx="165100" cy="14033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5100" cy="140335"/>
                    </a:xfrm>
                    <a:prstGeom prst="rect">
                      <a:avLst/>
                    </a:prstGeom>
                    <a:noFill/>
                    <a:ln>
                      <a:noFill/>
                    </a:ln>
                  </pic:spPr>
                </pic:pic>
              </a:graphicData>
            </a:graphic>
          </wp:inline>
        </w:drawing>
      </w:r>
      <w:r>
        <w:rPr>
          <w:rFonts w:ascii="Arial" w:cs="Arial" w:eastAsia="Arial" w:hAnsi="Arial"/>
          <w:sz w:val="28"/>
          <w:szCs w:val="28"/>
          <w:color w:val="FFFFFF"/>
          <w:shd w:val="clear" w:color="auto" w:fill="0066BA"/>
        </w:rPr>
        <w:t xml:space="preserve"> FOR </w:t>
      </w:r>
      <w:r>
        <w:rPr>
          <w:rFonts w:ascii="Arial" w:cs="Arial" w:eastAsia="Arial" w:hAnsi="Arial"/>
          <w:sz w:val="28"/>
          <w:szCs w:val="28"/>
          <w:color w:val="0066BA"/>
        </w:rPr>
        <w:t>the</w:t>
      </w:r>
      <w:r>
        <w:rPr>
          <w:rFonts w:ascii="Arial" w:cs="Arial" w:eastAsia="Arial" w:hAnsi="Arial"/>
          <w:sz w:val="28"/>
          <w:szCs w:val="28"/>
          <w:color w:val="FFFFFF"/>
          <w:shd w:val="clear" w:color="auto" w:fill="0066BA"/>
        </w:rPr>
        <w:t xml:space="preserve"> </w:t>
      </w:r>
      <w:r>
        <w:rPr>
          <w:rFonts w:ascii="Arial" w:cs="Arial" w:eastAsia="Arial" w:hAnsi="Arial"/>
          <w:sz w:val="28"/>
          <w:szCs w:val="28"/>
          <w:color w:val="0066BA"/>
        </w:rPr>
        <w:t>election of each of the below nominees.</w:t>
      </w:r>
    </w:p>
    <w:p>
      <w:pPr>
        <w:spacing w:after="0" w:line="26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Election Process</w:t>
      </w:r>
    </w:p>
    <w:p>
      <w:pPr>
        <w:spacing w:after="0" w:line="125" w:lineRule="exact"/>
        <w:rPr>
          <w:sz w:val="20"/>
          <w:szCs w:val="20"/>
          <w:color w:val="auto"/>
        </w:rPr>
      </w:pPr>
    </w:p>
    <w:p>
      <w:pPr>
        <w:ind w:left="480" w:right="160"/>
        <w:spacing w:after="0" w:line="302" w:lineRule="auto"/>
        <w:rPr>
          <w:sz w:val="20"/>
          <w:szCs w:val="20"/>
          <w:color w:val="auto"/>
        </w:rPr>
      </w:pPr>
      <w:r>
        <w:rPr>
          <w:rFonts w:ascii="Arial" w:cs="Arial" w:eastAsia="Arial" w:hAnsi="Arial"/>
          <w:sz w:val="15"/>
          <w:szCs w:val="15"/>
          <w:color w:val="auto"/>
        </w:rPr>
        <w:t>Our entire Board of Directors is elected annually by our shareholders and currently consists of eleven directors, of whom nine are deemed to be “independent directors.” At the Annual Meeting, shareholders will accordingly have an opportunity to vote for each of the eleven nominees listed below. The persons named in the proxy card, upon receipt of a properly executed proxy, will vote for each of these nominees, unless you instruct them to vote otherwise on the proxy card (whether executed by you or through Internet or telephonic voting). Each of the nominees has indicated his or her willingness to serve, if elected. However, if any or all of the nominees should be unable or unwilling to serve, the proxies may be voted for a substitute nominee designated by our Board of Directors or our Board of Directors may reduce the number of directors.</w:t>
      </w:r>
    </w:p>
    <w:p>
      <w:pPr>
        <w:spacing w:after="0" w:line="51" w:lineRule="exact"/>
        <w:rPr>
          <w:sz w:val="20"/>
          <w:szCs w:val="20"/>
          <w:color w:val="auto"/>
        </w:rPr>
      </w:pPr>
    </w:p>
    <w:p>
      <w:pPr>
        <w:ind w:left="480" w:right="140"/>
        <w:spacing w:after="0" w:line="259" w:lineRule="auto"/>
        <w:rPr>
          <w:sz w:val="20"/>
          <w:szCs w:val="20"/>
          <w:color w:val="auto"/>
        </w:rPr>
      </w:pPr>
      <w:r>
        <w:rPr>
          <w:rFonts w:ascii="Arial" w:cs="Arial" w:eastAsia="Arial" w:hAnsi="Arial"/>
          <w:sz w:val="17"/>
          <w:szCs w:val="17"/>
          <w:color w:val="auto"/>
        </w:rPr>
        <w:t>We have also agreed to add two members of the Maxim Integrated Board of Directors to our Board of Directors upon the completion of our proposed acquisition of Maxim Integrated, with such two directors to hold office until the earliest to occur of the appointment or election of his or her respective successor or his or her resignation or proper removal. One of the directors will be Tunç Doluca, President and Chief Executive Officer of</w:t>
      </w:r>
    </w:p>
    <w:p>
      <w:pPr>
        <w:spacing w:after="0" w:line="1" w:lineRule="exact"/>
        <w:rPr>
          <w:sz w:val="20"/>
          <w:szCs w:val="20"/>
          <w:color w:val="auto"/>
        </w:rPr>
      </w:pPr>
    </w:p>
    <w:p>
      <w:pPr>
        <w:ind w:left="480"/>
        <w:spacing w:after="0" w:line="271" w:lineRule="auto"/>
        <w:rPr>
          <w:sz w:val="20"/>
          <w:szCs w:val="20"/>
          <w:color w:val="auto"/>
        </w:rPr>
      </w:pPr>
      <w:r>
        <w:rPr>
          <w:rFonts w:ascii="Arial" w:cs="Arial" w:eastAsia="Arial" w:hAnsi="Arial"/>
          <w:sz w:val="17"/>
          <w:szCs w:val="17"/>
          <w:color w:val="auto"/>
        </w:rPr>
        <w:t>Maxim Integrated, and the other director will be selected by mutual agreement between us and Maxim Integrated. We have agreed to nominate both directors for election at the first annual meeting of our shareholders that occurs after the closing of the acquisition.</w:t>
      </w:r>
    </w:p>
    <w:p>
      <w:pPr>
        <w:spacing w:after="0" w:line="254"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Director Criteria, Qualifications and Experience</w:t>
      </w:r>
    </w:p>
    <w:p>
      <w:pPr>
        <w:spacing w:after="0" w:line="125" w:lineRule="exact"/>
        <w:rPr>
          <w:sz w:val="20"/>
          <w:szCs w:val="20"/>
          <w:color w:val="auto"/>
        </w:rPr>
      </w:pPr>
    </w:p>
    <w:p>
      <w:pPr>
        <w:ind w:left="480" w:right="100"/>
        <w:spacing w:after="0" w:line="263" w:lineRule="auto"/>
        <w:rPr>
          <w:sz w:val="20"/>
          <w:szCs w:val="20"/>
          <w:color w:val="auto"/>
        </w:rPr>
      </w:pPr>
      <w:r>
        <w:rPr>
          <w:rFonts w:ascii="Arial" w:cs="Arial" w:eastAsia="Arial" w:hAnsi="Arial"/>
          <w:sz w:val="17"/>
          <w:szCs w:val="17"/>
          <w:color w:val="auto"/>
        </w:rPr>
        <w:t>The Board of Directors is committed to ensuring that it is composed of a highly capable group of directors who collectively span a broad range of leadership skills and provide a significant breadth of experience, knowledge and abilities, relevant to the Company’s strategic vision, long-term objectives and business activities to effectively represent the interests of shareholders, exercise sound judgment and reflect our corporate values of integrity, honesty and adherence to high ethical standards. Key factors that the Board of Directors and the Nominating and Corporate Governance Committee consider when selecting directors include:</w:t>
      </w:r>
    </w:p>
    <w:p>
      <w:pPr>
        <w:spacing w:after="0" w:line="193" w:lineRule="exact"/>
        <w:rPr>
          <w:sz w:val="20"/>
          <w:szCs w:val="20"/>
          <w:color w:val="auto"/>
        </w:rPr>
      </w:pPr>
    </w:p>
    <w:p>
      <w:pPr>
        <w:ind w:left="480"/>
        <w:spacing w:after="0"/>
        <w:tabs>
          <w:tab w:leader="none" w:pos="2052" w:val="left"/>
        </w:tabs>
        <w:rPr>
          <w:sz w:val="20"/>
          <w:szCs w:val="20"/>
          <w:color w:val="auto"/>
        </w:rPr>
      </w:pPr>
      <w:r>
        <w:rPr>
          <w:rFonts w:ascii="Arial" w:cs="Arial" w:eastAsia="Arial" w:hAnsi="Arial"/>
          <w:sz w:val="17"/>
          <w:szCs w:val="17"/>
          <w:b w:val="1"/>
          <w:bCs w:val="1"/>
          <w:color w:val="auto"/>
        </w:rPr>
        <w:t>Diversity</w:t>
      </w:r>
      <w:r>
        <w:rPr>
          <w:sz w:val="20"/>
          <w:szCs w:val="20"/>
          <w:color w:val="auto"/>
        </w:rPr>
        <w:tab/>
      </w:r>
      <w:r>
        <w:rPr>
          <w:sz w:val="1"/>
          <w:szCs w:val="1"/>
          <w:color w:val="auto"/>
        </w:rPr>
        <w:drawing>
          <wp:inline distT="0" distB="0" distL="0" distR="0">
            <wp:extent cx="2147570" cy="12382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47570" cy="123825"/>
                    </a:xfrm>
                    <a:prstGeom prst="rect">
                      <a:avLst/>
                    </a:prstGeom>
                    <a:noFill/>
                    <a:ln>
                      <a:noFill/>
                    </a:ln>
                  </pic:spPr>
                </pic:pic>
              </a:graphicData>
            </a:graphic>
          </wp:inline>
        </w:drawing>
      </w:r>
      <w:r>
        <w:rPr>
          <w:rFonts w:ascii="Arial" w:cs="Arial" w:eastAsia="Arial" w:hAnsi="Arial"/>
          <w:sz w:val="17"/>
          <w:szCs w:val="17"/>
          <w:b w:val="1"/>
          <w:bCs w:val="1"/>
          <w:color w:val="auto"/>
        </w:rPr>
        <w:t xml:space="preserve">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4818380</wp:posOffset>
            </wp:positionH>
            <wp:positionV relativeFrom="paragraph">
              <wp:posOffset>-131445</wp:posOffset>
            </wp:positionV>
            <wp:extent cx="2015490" cy="1238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015490" cy="123825"/>
                    </a:xfrm>
                    <a:prstGeom prst="rect">
                      <a:avLst/>
                    </a:prstGeom>
                    <a:noFill/>
                  </pic:spPr>
                </pic:pic>
              </a:graphicData>
            </a:graphic>
          </wp:anchor>
        </w:drawing>
      </w:r>
    </w:p>
    <w:p>
      <w:pPr>
        <w:spacing w:after="0" w:line="30" w:lineRule="exact"/>
        <w:rPr>
          <w:sz w:val="20"/>
          <w:szCs w:val="20"/>
          <w:color w:val="auto"/>
        </w:rPr>
      </w:pPr>
    </w:p>
    <w:p>
      <w:pPr>
        <w:ind w:left="2160"/>
        <w:spacing w:after="0"/>
        <w:rPr>
          <w:sz w:val="20"/>
          <w:szCs w:val="20"/>
          <w:color w:val="auto"/>
        </w:rPr>
      </w:pPr>
      <w:r>
        <w:rPr>
          <w:rFonts w:ascii="Arial" w:cs="Arial" w:eastAsia="Arial" w:hAnsi="Arial"/>
          <w:sz w:val="33"/>
          <w:szCs w:val="33"/>
          <w:b w:val="1"/>
          <w:bCs w:val="1"/>
          <w:color w:val="0066BA"/>
        </w:rPr>
        <w:t>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-114935</wp:posOffset>
            </wp:positionV>
            <wp:extent cx="594995" cy="2476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4995" cy="24765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-65405</wp:posOffset>
            </wp:positionV>
            <wp:extent cx="1982470" cy="2311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982470" cy="231140"/>
                    </a:xfrm>
                    <a:prstGeom prst="rect">
                      <a:avLst/>
                    </a:prstGeom>
                    <a:noFill/>
                  </pic:spPr>
                </pic:pic>
              </a:graphicData>
            </a:graphic>
          </wp:anchor>
        </w:drawing>
      </w:r>
    </w:p>
    <w:p>
      <w:pPr>
        <w:spacing w:after="0" w:line="18" w:lineRule="exact"/>
        <w:rPr>
          <w:sz w:val="20"/>
          <w:szCs w:val="20"/>
          <w:color w:val="auto"/>
        </w:rPr>
      </w:pPr>
    </w:p>
    <w:p>
      <w:pPr>
        <w:ind w:left="2160"/>
        <w:spacing w:after="0"/>
        <w:rPr>
          <w:sz w:val="20"/>
          <w:szCs w:val="20"/>
          <w:color w:val="auto"/>
        </w:rPr>
      </w:pPr>
      <w:r>
        <w:rPr>
          <w:rFonts w:ascii="Arial" w:cs="Arial" w:eastAsia="Arial" w:hAnsi="Arial"/>
          <w:sz w:val="19"/>
          <w:szCs w:val="19"/>
          <w:color w:val="auto"/>
        </w:rPr>
        <w:t>Directors are female, or 27%</w:t>
      </w:r>
    </w:p>
    <w:p>
      <w:pPr>
        <w:spacing w:after="0" w:line="119" w:lineRule="exact"/>
        <w:rPr>
          <w:sz w:val="20"/>
          <w:szCs w:val="20"/>
          <w:color w:val="auto"/>
        </w:rPr>
      </w:pPr>
    </w:p>
    <w:p>
      <w:pPr>
        <w:ind w:left="2160"/>
        <w:spacing w:after="0"/>
        <w:tabs>
          <w:tab w:leader="none" w:pos="5640" w:val="left"/>
        </w:tabs>
        <w:rPr>
          <w:sz w:val="20"/>
          <w:szCs w:val="20"/>
          <w:color w:val="auto"/>
        </w:rPr>
      </w:pPr>
      <w:r>
        <w:rPr>
          <w:rFonts w:ascii="Arial" w:cs="Arial" w:eastAsia="Arial" w:hAnsi="Arial"/>
          <w:sz w:val="33"/>
          <w:szCs w:val="33"/>
          <w:b w:val="1"/>
          <w:bCs w:val="1"/>
          <w:color w:val="0066BA"/>
        </w:rPr>
        <w:t>2 of 11</w:t>
      </w:r>
      <w:r>
        <w:rPr>
          <w:sz w:val="20"/>
          <w:szCs w:val="20"/>
          <w:color w:val="auto"/>
        </w:rPr>
        <w:tab/>
      </w:r>
      <w:r>
        <w:rPr>
          <w:rFonts w:ascii="Arial" w:cs="Arial" w:eastAsia="Arial" w:hAnsi="Arial"/>
          <w:sz w:val="32"/>
          <w:szCs w:val="32"/>
          <w:b w:val="1"/>
          <w:bCs w:val="1"/>
          <w:color w:val="0066BA"/>
        </w:rPr>
        <w:t>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-213995</wp:posOffset>
            </wp:positionV>
            <wp:extent cx="445770" cy="255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45770" cy="255905"/>
                    </a:xfrm>
                    <a:prstGeom prst="rect">
                      <a:avLst/>
                    </a:prstGeom>
                    <a:noFill/>
                  </pic:spPr>
                </pic:pic>
              </a:graphicData>
            </a:graphic>
          </wp:anchor>
        </w:drawing>
      </w:r>
    </w:p>
    <w:p>
      <w:pPr>
        <w:spacing w:after="0" w:line="18" w:lineRule="exact"/>
        <w:rPr>
          <w:sz w:val="20"/>
          <w:szCs w:val="20"/>
          <w:color w:val="auto"/>
        </w:rPr>
      </w:pPr>
    </w:p>
    <w:p>
      <w:pPr>
        <w:ind w:left="2160"/>
        <w:spacing w:after="0"/>
        <w:tabs>
          <w:tab w:leader="none" w:pos="5640" w:val="left"/>
        </w:tabs>
        <w:rPr>
          <w:sz w:val="20"/>
          <w:szCs w:val="20"/>
          <w:color w:val="auto"/>
        </w:rPr>
      </w:pPr>
      <w:r>
        <w:rPr>
          <w:rFonts w:ascii="Arial" w:cs="Arial" w:eastAsia="Arial" w:hAnsi="Arial"/>
          <w:sz w:val="19"/>
          <w:szCs w:val="19"/>
          <w:color w:val="auto"/>
        </w:rPr>
        <w:t>Directors are ethnically</w:t>
      </w:r>
      <w:r>
        <w:rPr>
          <w:sz w:val="20"/>
          <w:szCs w:val="20"/>
          <w:color w:val="auto"/>
        </w:rPr>
        <w:tab/>
      </w:r>
      <w:r>
        <w:rPr>
          <w:rFonts w:ascii="Arial" w:cs="Arial" w:eastAsia="Arial" w:hAnsi="Arial"/>
          <w:sz w:val="17"/>
          <w:szCs w:val="17"/>
          <w:color w:val="auto"/>
        </w:rPr>
        <w:t>Directors are Independent, or 81%</w:t>
      </w:r>
    </w:p>
    <w:p>
      <w:pPr>
        <w:spacing w:after="0" w:line="3" w:lineRule="exact"/>
        <w:rPr>
          <w:sz w:val="20"/>
          <w:szCs w:val="20"/>
          <w:color w:val="auto"/>
        </w:rPr>
      </w:pPr>
    </w:p>
    <w:p>
      <w:pPr>
        <w:ind w:left="2160"/>
        <w:spacing w:after="0"/>
        <w:rPr>
          <w:sz w:val="20"/>
          <w:szCs w:val="20"/>
          <w:color w:val="auto"/>
        </w:rPr>
      </w:pPr>
      <w:r>
        <w:rPr>
          <w:rFonts w:ascii="Arial" w:cs="Arial" w:eastAsia="Arial" w:hAnsi="Arial"/>
          <w:sz w:val="19"/>
          <w:szCs w:val="19"/>
          <w:color w:val="auto"/>
        </w:rPr>
        <w:t>diverse, or 18%</w:t>
      </w:r>
    </w:p>
    <w:p>
      <w:pPr>
        <w:sectPr>
          <w:pgSz w:w="11900" w:h="16838" w:orient="portrait"/>
          <w:cols w:equalWidth="0" w:num="1">
            <w:col w:w="10740"/>
          </w:cols>
          <w:pgMar w:left="320" w:top="447" w:right="839" w:bottom="1440" w:gutter="0" w:footer="0" w:header="0"/>
        </w:sectPr>
      </w:pPr>
    </w:p>
    <w:p>
      <w:pPr>
        <w:spacing w:after="0" w:line="290" w:lineRule="exact"/>
        <w:rPr>
          <w:sz w:val="20"/>
          <w:szCs w:val="20"/>
          <w:color w:val="auto"/>
        </w:rPr>
      </w:pPr>
    </w:p>
    <w:p>
      <w:pPr>
        <w:ind w:left="480"/>
        <w:spacing w:after="0" w:line="263" w:lineRule="auto"/>
        <w:rPr>
          <w:sz w:val="20"/>
          <w:szCs w:val="20"/>
          <w:color w:val="auto"/>
        </w:rPr>
      </w:pPr>
      <w:r>
        <w:rPr>
          <w:rFonts w:ascii="Arial" w:cs="Arial" w:eastAsia="Arial" w:hAnsi="Arial"/>
          <w:sz w:val="17"/>
          <w:szCs w:val="17"/>
          <w:color w:val="auto"/>
        </w:rPr>
        <w:t>While the Board of Directors does not have a specific diversity policy, our Corporate Governance Guidelines provide that gender, racial, and ethnic diversity, consistent with the requirement for relevant and diverse experience, skills, and industry familiarity, are important search criteria.</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Under Nasdaq rules, a majority of the members of our Board must be independent directors. To be considered independent, a director must be independent as determined under applicable Nasdaq rules, and in the Board’s judgment, the director must not have a relationships with the Company that would interfere with the exercise of independent judgment in carrying out the responsibilities of a director.</w:t>
      </w:r>
    </w:p>
    <w:p>
      <w:pPr>
        <w:spacing w:after="0" w:line="200" w:lineRule="exact"/>
        <w:rPr>
          <w:sz w:val="20"/>
          <w:szCs w:val="20"/>
          <w:color w:val="auto"/>
        </w:rPr>
      </w:pPr>
    </w:p>
    <w:p>
      <w:pPr>
        <w:sectPr>
          <w:pgSz w:w="11900" w:h="16838" w:orient="portrait"/>
          <w:cols w:equalWidth="0" w:num="2">
            <w:col w:w="5360" w:space="360"/>
            <w:col w:w="5020"/>
          </w:cols>
          <w:pgMar w:left="320" w:top="447" w:right="8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740"/>
          </w:cols>
          <w:pgMar w:left="320" w:top="447" w:right="839" w:bottom="1440" w:gutter="0" w:footer="0" w:header="0"/>
          <w:type w:val="continuous"/>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Director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-109220</wp:posOffset>
            </wp:positionV>
            <wp:extent cx="4972685" cy="1238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72685" cy="123825"/>
                    </a:xfrm>
                    <a:prstGeom prst="rect">
                      <a:avLst/>
                    </a:prstGeom>
                    <a:noFill/>
                  </pic:spPr>
                </pic:pic>
              </a:graphicData>
            </a:graphic>
          </wp:anchor>
        </w:drawing>
      </w:r>
    </w:p>
    <w:p>
      <w:pPr>
        <w:spacing w:after="0" w:line="108" w:lineRule="exact"/>
        <w:rPr>
          <w:sz w:val="20"/>
          <w:szCs w:val="20"/>
          <w:color w:val="auto"/>
        </w:rPr>
      </w:pPr>
    </w:p>
    <w:p>
      <w:pPr>
        <w:ind w:left="480"/>
        <w:spacing w:after="0"/>
        <w:tabs>
          <w:tab w:leader="none" w:pos="5400" w:val="left"/>
        </w:tabs>
        <w:rPr>
          <w:sz w:val="20"/>
          <w:szCs w:val="20"/>
          <w:color w:val="auto"/>
        </w:rPr>
      </w:pPr>
      <w:r>
        <w:rPr>
          <w:rFonts w:ascii="Arial" w:cs="Arial" w:eastAsia="Arial" w:hAnsi="Arial"/>
          <w:sz w:val="14"/>
          <w:szCs w:val="14"/>
          <w:b w:val="1"/>
          <w:bCs w:val="1"/>
          <w:color w:val="0066BA"/>
        </w:rPr>
        <w:t>Experience/Expertise</w:t>
      </w:r>
      <w:r>
        <w:rPr>
          <w:sz w:val="20"/>
          <w:szCs w:val="20"/>
          <w:color w:val="auto"/>
        </w:rPr>
        <w:tab/>
      </w:r>
      <w:r>
        <w:rPr>
          <w:rFonts w:ascii="Arial" w:cs="Arial" w:eastAsia="Arial" w:hAnsi="Arial"/>
          <w:sz w:val="14"/>
          <w:szCs w:val="14"/>
          <w:b w:val="1"/>
          <w:bCs w:val="1"/>
          <w:color w:val="0066BA"/>
        </w:rPr>
        <w:t>Number of Directors</w:t>
      </w:r>
    </w:p>
    <w:p>
      <w:pPr>
        <w:spacing w:after="0" w:line="58"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CEO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3439160</wp:posOffset>
            </wp:positionH>
            <wp:positionV relativeFrom="paragraph">
              <wp:posOffset>-66040</wp:posOffset>
            </wp:positionV>
            <wp:extent cx="2089785" cy="214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89785" cy="21463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Experienced leadership of complex global businesses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3439160</wp:posOffset>
            </wp:positionH>
            <wp:positionV relativeFrom="paragraph">
              <wp:posOffset>-66040</wp:posOffset>
            </wp:positionV>
            <wp:extent cx="2089785" cy="2146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089785" cy="21463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Insight into key issues affecting our company</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Technology Leadership</w:t>
      </w:r>
    </w:p>
    <w:p>
      <w:pPr>
        <w:spacing w:after="0" w:line="19" w:lineRule="exact"/>
        <w:rPr>
          <w:sz w:val="20"/>
          <w:szCs w:val="20"/>
          <w:color w:val="auto"/>
        </w:rPr>
      </w:pPr>
    </w:p>
    <w:p>
      <w:pPr>
        <w:ind w:left="480" w:right="5740"/>
        <w:spacing w:after="0" w:line="269" w:lineRule="auto"/>
        <w:rPr>
          <w:sz w:val="20"/>
          <w:szCs w:val="20"/>
          <w:color w:val="auto"/>
        </w:rPr>
      </w:pPr>
      <w:r>
        <w:rPr>
          <w:rFonts w:ascii="Arial" w:cs="Arial" w:eastAsia="Arial" w:hAnsi="Arial"/>
          <w:sz w:val="16"/>
          <w:szCs w:val="16"/>
          <w:color w:val="auto"/>
        </w:rPr>
        <w:t>Expertise and thought leadership relating to technological innovation in our industry and our end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3439160</wp:posOffset>
            </wp:positionH>
            <wp:positionV relativeFrom="paragraph">
              <wp:posOffset>-215900</wp:posOffset>
            </wp:positionV>
            <wp:extent cx="2089785" cy="2146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89785" cy="214630"/>
                    </a:xfrm>
                    <a:prstGeom prst="rect">
                      <a:avLst/>
                    </a:prstGeom>
                    <a:noFill/>
                  </pic:spPr>
                </pic:pic>
              </a:graphicData>
            </a:graphic>
          </wp:anchor>
        </w:drawing>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Governance/Public Company Board Expertise</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Knowledge of public company governance issues and policies to enhance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3439160</wp:posOffset>
            </wp:positionH>
            <wp:positionV relativeFrom="paragraph">
              <wp:posOffset>-71120</wp:posOffset>
            </wp:positionV>
            <wp:extent cx="2089785" cy="2146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89785" cy="21463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Board practices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Financial Expertise</w:t>
      </w:r>
    </w:p>
    <w:p>
      <w:pPr>
        <w:spacing w:after="0" w:line="19" w:lineRule="exact"/>
        <w:rPr>
          <w:sz w:val="20"/>
          <w:szCs w:val="20"/>
          <w:color w:val="auto"/>
        </w:rPr>
      </w:pPr>
    </w:p>
    <w:p>
      <w:pPr>
        <w:ind w:left="480" w:right="6040"/>
        <w:spacing w:after="0" w:line="269" w:lineRule="auto"/>
        <w:rPr>
          <w:sz w:val="20"/>
          <w:szCs w:val="20"/>
          <w:color w:val="auto"/>
        </w:rPr>
      </w:pPr>
      <w:r>
        <w:rPr>
          <w:rFonts w:ascii="Arial" w:cs="Arial" w:eastAsia="Arial" w:hAnsi="Arial"/>
          <w:sz w:val="16"/>
          <w:szCs w:val="16"/>
          <w:color w:val="auto"/>
        </w:rPr>
        <w:t>Oversight of our company’s audit function and preparation of financial statements and capital market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3439160</wp:posOffset>
            </wp:positionH>
            <wp:positionV relativeFrom="paragraph">
              <wp:posOffset>-215900</wp:posOffset>
            </wp:positionV>
            <wp:extent cx="2089785" cy="2146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89785" cy="214630"/>
                    </a:xfrm>
                    <a:prstGeom prst="rect">
                      <a:avLst/>
                    </a:prstGeom>
                    <a:noFill/>
                  </pic:spPr>
                </pic:pic>
              </a:graphicData>
            </a:graphic>
          </wp:anchor>
        </w:drawing>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International Experience</w:t>
      </w:r>
    </w:p>
    <w:p>
      <w:pPr>
        <w:spacing w:after="0" w:line="19" w:lineRule="exact"/>
        <w:rPr>
          <w:sz w:val="20"/>
          <w:szCs w:val="20"/>
          <w:color w:val="auto"/>
        </w:rPr>
      </w:pPr>
    </w:p>
    <w:p>
      <w:pPr>
        <w:ind w:left="480" w:right="5960"/>
        <w:spacing w:after="0" w:line="269" w:lineRule="auto"/>
        <w:rPr>
          <w:sz w:val="20"/>
          <w:szCs w:val="20"/>
          <w:color w:val="auto"/>
        </w:rPr>
      </w:pPr>
      <w:r>
        <w:rPr>
          <w:rFonts w:ascii="Arial" w:cs="Arial" w:eastAsia="Arial" w:hAnsi="Arial"/>
          <w:sz w:val="16"/>
          <w:szCs w:val="16"/>
          <w:color w:val="auto"/>
        </w:rPr>
        <w:t>Insight into the many factors involved in overseeing management of our company’s global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3439160</wp:posOffset>
            </wp:positionH>
            <wp:positionV relativeFrom="paragraph">
              <wp:posOffset>-215900</wp:posOffset>
            </wp:positionV>
            <wp:extent cx="2089785" cy="2146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89785" cy="214630"/>
                    </a:xfrm>
                    <a:prstGeom prst="rect">
                      <a:avLst/>
                    </a:prstGeom>
                    <a:noFill/>
                  </pic:spPr>
                </pic:pic>
              </a:graphicData>
            </a:graphic>
          </wp:anchor>
        </w:drawing>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Strategy Experience</w:t>
      </w:r>
    </w:p>
    <w:p>
      <w:pPr>
        <w:spacing w:after="0" w:line="19" w:lineRule="exact"/>
        <w:rPr>
          <w:sz w:val="20"/>
          <w:szCs w:val="20"/>
          <w:color w:val="auto"/>
        </w:rPr>
      </w:pPr>
    </w:p>
    <w:p>
      <w:pPr>
        <w:ind w:left="480" w:right="5860"/>
        <w:spacing w:after="0" w:line="269" w:lineRule="auto"/>
        <w:rPr>
          <w:sz w:val="20"/>
          <w:szCs w:val="20"/>
          <w:color w:val="auto"/>
        </w:rPr>
      </w:pPr>
      <w:r>
        <w:rPr>
          <w:rFonts w:ascii="Arial" w:cs="Arial" w:eastAsia="Arial" w:hAnsi="Arial"/>
          <w:sz w:val="16"/>
          <w:szCs w:val="16"/>
          <w:color w:val="auto"/>
        </w:rPr>
        <w:t>Oversight of management’s development and implementation of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3439160</wp:posOffset>
            </wp:positionH>
            <wp:positionV relativeFrom="paragraph">
              <wp:posOffset>-215900</wp:posOffset>
            </wp:positionV>
            <wp:extent cx="2089785" cy="2146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89785" cy="214630"/>
                    </a:xfrm>
                    <a:prstGeom prst="rect">
                      <a:avLst/>
                    </a:prstGeom>
                    <a:noFill/>
                  </pic:spPr>
                </pic:pic>
              </a:graphicData>
            </a:graphic>
          </wp:anchor>
        </w:drawing>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Risk Management Expertise</w:t>
      </w:r>
    </w:p>
    <w:p>
      <w:pPr>
        <w:spacing w:after="0" w:line="19" w:lineRule="exact"/>
        <w:rPr>
          <w:sz w:val="20"/>
          <w:szCs w:val="20"/>
          <w:color w:val="auto"/>
        </w:rPr>
      </w:pPr>
    </w:p>
    <w:p>
      <w:pPr>
        <w:ind w:left="480" w:right="5920"/>
        <w:spacing w:after="0" w:line="269" w:lineRule="auto"/>
        <w:rPr>
          <w:sz w:val="20"/>
          <w:szCs w:val="20"/>
          <w:color w:val="auto"/>
        </w:rPr>
      </w:pPr>
      <w:r>
        <w:rPr>
          <w:rFonts w:ascii="Arial" w:cs="Arial" w:eastAsia="Arial" w:hAnsi="Arial"/>
          <w:sz w:val="16"/>
          <w:szCs w:val="16"/>
          <w:color w:val="auto"/>
        </w:rPr>
        <w:t>Oversight of risks facing our company and a comprehensive approach to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3439160</wp:posOffset>
            </wp:positionH>
            <wp:positionV relativeFrom="paragraph">
              <wp:posOffset>-215900</wp:posOffset>
            </wp:positionV>
            <wp:extent cx="2089785" cy="2146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089785" cy="214630"/>
                    </a:xfrm>
                    <a:prstGeom prst="rect">
                      <a:avLst/>
                    </a:prstGeom>
                    <a:noFill/>
                  </pic:spPr>
                </pic:pic>
              </a:graphicData>
            </a:graphic>
          </wp:anchor>
        </w:drawing>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Cybersecurity Expertise</w:t>
      </w:r>
    </w:p>
    <w:p>
      <w:pPr>
        <w:spacing w:after="0" w:line="19" w:lineRule="exact"/>
        <w:rPr>
          <w:sz w:val="20"/>
          <w:szCs w:val="20"/>
          <w:color w:val="auto"/>
        </w:rPr>
      </w:pPr>
    </w:p>
    <w:p>
      <w:pPr>
        <w:ind w:left="480" w:right="5980"/>
        <w:spacing w:after="0" w:line="269" w:lineRule="auto"/>
        <w:rPr>
          <w:sz w:val="20"/>
          <w:szCs w:val="20"/>
          <w:color w:val="auto"/>
        </w:rPr>
      </w:pPr>
      <w:r>
        <w:rPr>
          <w:rFonts w:ascii="Arial" w:cs="Arial" w:eastAsia="Arial" w:hAnsi="Arial"/>
          <w:sz w:val="16"/>
          <w:szCs w:val="16"/>
          <w:color w:val="auto"/>
        </w:rPr>
        <w:t>Oversight of our company’s efforts to maintain our customers’ trust and protect the security of their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3439160</wp:posOffset>
            </wp:positionH>
            <wp:positionV relativeFrom="paragraph">
              <wp:posOffset>-215900</wp:posOffset>
            </wp:positionV>
            <wp:extent cx="2089785" cy="2146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089785" cy="214630"/>
                    </a:xfrm>
                    <a:prstGeom prst="rect">
                      <a:avLst/>
                    </a:prstGeom>
                    <a:noFill/>
                  </pic:spPr>
                </pic:pic>
              </a:graphicData>
            </a:graphic>
          </wp:anchor>
        </w:drawing>
      </w:r>
    </w:p>
    <w:p>
      <w:pPr>
        <w:spacing w:after="0" w:line="69" w:lineRule="exact"/>
        <w:rPr>
          <w:sz w:val="20"/>
          <w:szCs w:val="20"/>
          <w:color w:val="auto"/>
        </w:rPr>
      </w:pPr>
    </w:p>
    <w:p>
      <w:pPr>
        <w:ind w:left="480" w:right="260"/>
        <w:spacing w:after="0" w:line="259" w:lineRule="auto"/>
        <w:rPr>
          <w:sz w:val="20"/>
          <w:szCs w:val="20"/>
          <w:color w:val="auto"/>
        </w:rPr>
      </w:pPr>
      <w:r>
        <w:rPr>
          <w:rFonts w:ascii="Arial" w:cs="Arial" w:eastAsia="Arial" w:hAnsi="Arial"/>
          <w:sz w:val="17"/>
          <w:szCs w:val="17"/>
          <w:color w:val="auto"/>
        </w:rPr>
        <w:t>The following paragraphs provide information as of the date of this proxy statement about each nominee. The information presented includes information each director has given us about his or her age, all positions he or she holds, his or her principal occupation and business experience, and the names of other publicly-held companies of which he or she currently serves as a director or has served as a director during the past five years. In addition to the information presented below regarding each nominee’s specific experience, qualifications, attributes and skills that led our Board of Directors to the conclusion that he or she should serve as a director, we also believe that all of our director nominees have a reputation for integrity, honesty and adherence to high ethical standards. They each have demonstrated business acumen and an ability to exercise sound judgment, as well as a commitment of service to ADI and our Board of Directors. Finally, we value their significant experience on other public company boards of directors and board committees.</w:t>
      </w:r>
    </w:p>
    <w:p>
      <w:pPr>
        <w:spacing w:after="0" w:line="82" w:lineRule="exact"/>
        <w:rPr>
          <w:sz w:val="20"/>
          <w:szCs w:val="20"/>
          <w:color w:val="auto"/>
        </w:rPr>
      </w:pPr>
    </w:p>
    <w:p>
      <w:pPr>
        <w:ind w:left="480" w:right="920"/>
        <w:spacing w:after="0" w:line="263" w:lineRule="auto"/>
        <w:rPr>
          <w:sz w:val="20"/>
          <w:szCs w:val="20"/>
          <w:color w:val="auto"/>
        </w:rPr>
      </w:pPr>
      <w:r>
        <w:rPr>
          <w:rFonts w:ascii="Arial" w:cs="Arial" w:eastAsia="Arial" w:hAnsi="Arial"/>
          <w:sz w:val="17"/>
          <w:szCs w:val="17"/>
          <w:color w:val="auto"/>
        </w:rPr>
        <w:t>Information about the number of shares of common stock beneficially owned by each director appears below under the heading “Security Ownership of Directors and Executive Officers.” See also “Certain</w:t>
      </w:r>
    </w:p>
    <w:p>
      <w:pPr>
        <w:ind w:left="480"/>
        <w:spacing w:after="0"/>
        <w:rPr>
          <w:sz w:val="20"/>
          <w:szCs w:val="20"/>
          <w:color w:val="auto"/>
        </w:rPr>
      </w:pPr>
      <w:r>
        <w:rPr>
          <w:rFonts w:ascii="Arial" w:cs="Arial" w:eastAsia="Arial" w:hAnsi="Arial"/>
          <w:sz w:val="17"/>
          <w:szCs w:val="17"/>
          <w:color w:val="auto"/>
        </w:rPr>
        <w:t>Relationships and Related Transactions.” There are no family relationships among any of the directors and executive officers of ADI.</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40"/>
          </w:cols>
          <w:pgMar w:left="320" w:top="447" w:right="6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201295</wp:posOffset>
            </wp:positionV>
            <wp:extent cx="6534150" cy="25031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34150" cy="2503170"/>
                    </a:xfrm>
                    <a:prstGeom prst="rect">
                      <a:avLst/>
                    </a:prstGeom>
                    <a:noFill/>
                  </pic:spPr>
                </pic:pic>
              </a:graphicData>
            </a:graphic>
          </wp:anchor>
        </w:drawing>
      </w:r>
    </w:p>
    <w:p>
      <w:pPr>
        <w:spacing w:after="0" w:line="303" w:lineRule="exact"/>
        <w:rPr>
          <w:sz w:val="20"/>
          <w:szCs w:val="20"/>
          <w:color w:val="auto"/>
        </w:rPr>
      </w:pPr>
    </w:p>
    <w:p>
      <w:pPr>
        <w:ind w:left="660"/>
        <w:spacing w:after="0"/>
        <w:rPr>
          <w:sz w:val="20"/>
          <w:szCs w:val="20"/>
          <w:color w:val="auto"/>
        </w:rPr>
      </w:pPr>
      <w:r>
        <w:rPr>
          <w:rFonts w:ascii="Arial" w:cs="Arial" w:eastAsia="Arial" w:hAnsi="Arial"/>
          <w:sz w:val="38"/>
          <w:szCs w:val="38"/>
          <w:color w:val="0066BA"/>
        </w:rPr>
        <w:t>Ray Stata</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Chairman of the Board of Directors</w:t>
      </w:r>
    </w:p>
    <w:p>
      <w:pPr>
        <w:spacing w:after="0" w:line="46" w:lineRule="exact"/>
        <w:rPr>
          <w:sz w:val="20"/>
          <w:szCs w:val="20"/>
          <w:color w:val="auto"/>
        </w:rPr>
      </w:pPr>
    </w:p>
    <w:p>
      <w:pPr>
        <w:ind w:left="660"/>
        <w:spacing w:after="0"/>
        <w:tabs>
          <w:tab w:leader="none" w:pos="2400" w:val="left"/>
          <w:tab w:leader="none" w:pos="3300" w:val="left"/>
        </w:tabs>
        <w:rPr>
          <w:sz w:val="20"/>
          <w:szCs w:val="20"/>
          <w:color w:val="auto"/>
        </w:rPr>
      </w:pPr>
      <w:r>
        <w:rPr>
          <w:rFonts w:ascii="Arial" w:cs="Arial" w:eastAsia="Arial" w:hAnsi="Arial"/>
          <w:sz w:val="17"/>
          <w:szCs w:val="17"/>
          <w:color w:val="0066BA"/>
        </w:rPr>
        <w:t xml:space="preserve">Director since: </w:t>
      </w:r>
      <w:r>
        <w:rPr>
          <w:rFonts w:ascii="Arial" w:cs="Arial" w:eastAsia="Arial" w:hAnsi="Arial"/>
          <w:sz w:val="17"/>
          <w:szCs w:val="17"/>
          <w:color w:val="000000"/>
        </w:rPr>
        <w:t>1965</w:t>
      </w:r>
      <w:r>
        <w:rPr>
          <w:sz w:val="20"/>
          <w:szCs w:val="20"/>
          <w:color w:val="auto"/>
        </w:rPr>
        <w:tab/>
      </w:r>
      <w:r>
        <w:rPr>
          <w:rFonts w:ascii="Arial" w:cs="Arial" w:eastAsia="Arial" w:hAnsi="Arial"/>
          <w:sz w:val="17"/>
          <w:szCs w:val="17"/>
          <w:color w:val="0066BA"/>
        </w:rPr>
        <w:t xml:space="preserve">Age: </w:t>
      </w:r>
      <w:r>
        <w:rPr>
          <w:rFonts w:ascii="Arial" w:cs="Arial" w:eastAsia="Arial" w:hAnsi="Arial"/>
          <w:sz w:val="17"/>
          <w:szCs w:val="17"/>
          <w:color w:val="000000"/>
        </w:rPr>
        <w:t>86</w:t>
      </w:r>
      <w:r>
        <w:rPr>
          <w:sz w:val="20"/>
          <w:szCs w:val="20"/>
          <w:color w:val="auto"/>
        </w:rPr>
        <w:tab/>
      </w:r>
      <w:r>
        <w:rPr>
          <w:rFonts w:ascii="Arial" w:cs="Arial" w:eastAsia="Arial" w:hAnsi="Arial"/>
          <w:sz w:val="15"/>
          <w:szCs w:val="15"/>
          <w:color w:val="0066BA"/>
        </w:rPr>
        <w:t xml:space="preserve">Committee(s): </w:t>
      </w:r>
      <w:r>
        <w:rPr>
          <w:rFonts w:ascii="Arial" w:cs="Arial" w:eastAsia="Arial" w:hAnsi="Arial"/>
          <w:sz w:val="15"/>
          <w:szCs w:val="15"/>
          <w:color w:val="000000"/>
        </w:rPr>
        <w:t>None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Professional Experience and Background</w:t>
      </w:r>
    </w:p>
    <w:p>
      <w:pPr>
        <w:spacing w:after="0" w:line="25" w:lineRule="exact"/>
        <w:rPr>
          <w:sz w:val="20"/>
          <w:szCs w:val="20"/>
          <w:color w:val="auto"/>
        </w:rPr>
      </w:pPr>
    </w:p>
    <w:p>
      <w:pPr>
        <w:ind w:left="660" w:right="2419"/>
        <w:spacing w:after="0" w:line="287" w:lineRule="auto"/>
        <w:rPr>
          <w:sz w:val="20"/>
          <w:szCs w:val="20"/>
          <w:color w:val="auto"/>
        </w:rPr>
      </w:pPr>
      <w:r>
        <w:rPr>
          <w:rFonts w:ascii="Arial" w:cs="Arial" w:eastAsia="Arial" w:hAnsi="Arial"/>
          <w:sz w:val="16"/>
          <w:szCs w:val="16"/>
          <w:color w:val="auto"/>
        </w:rPr>
        <w:t>Mr. Stata has served as our Chairman of the Board of Directors since 1973 and served as an executive officer of our Company from its inception until April 2012. Mr. Stata served as our Chief Executive Officer from 1973 to November 1996 and as our President from 1971 to November 1991.</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660" w:right="2159"/>
        <w:spacing w:after="0" w:line="260" w:lineRule="auto"/>
        <w:rPr>
          <w:sz w:val="20"/>
          <w:szCs w:val="20"/>
          <w:color w:val="auto"/>
        </w:rPr>
      </w:pPr>
      <w:r>
        <w:rPr>
          <w:rFonts w:ascii="Arial" w:cs="Arial" w:eastAsia="Arial" w:hAnsi="Arial"/>
          <w:sz w:val="17"/>
          <w:szCs w:val="17"/>
          <w:color w:val="auto"/>
        </w:rPr>
        <w:t>Mr. Stata has more than 50 years of experience and leadership in the semiconductor industry, including as our founder, our Chairman for 44 years and formerly as our President for 20 years. If re-elected, the Company expects that Mr. Stata will continue to serve as our Chairman of the Board of Directors in fiscal 2021.</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Other Public Company Boards:</w:t>
      </w:r>
    </w:p>
    <w:p>
      <w:pPr>
        <w:spacing w:after="0" w:line="25" w:lineRule="exact"/>
        <w:rPr>
          <w:sz w:val="20"/>
          <w:szCs w:val="20"/>
          <w:color w:val="auto"/>
        </w:rPr>
      </w:pPr>
    </w:p>
    <w:p>
      <w:pPr>
        <w:ind w:left="660"/>
        <w:spacing w:after="0"/>
        <w:tabs>
          <w:tab w:leader="none" w:pos="2400" w:val="left"/>
        </w:tabs>
        <w:rPr>
          <w:sz w:val="20"/>
          <w:szCs w:val="20"/>
          <w:color w:val="auto"/>
        </w:rPr>
      </w:pPr>
      <w:r>
        <w:rPr>
          <w:rFonts w:ascii="Arial" w:cs="Arial" w:eastAsia="Arial" w:hAnsi="Arial"/>
          <w:sz w:val="17"/>
          <w:szCs w:val="17"/>
          <w:color w:val="0066BA"/>
        </w:rPr>
        <w:t xml:space="preserve">Current: </w:t>
      </w:r>
      <w:r>
        <w:rPr>
          <w:rFonts w:ascii="Arial" w:cs="Arial" w:eastAsia="Arial" w:hAnsi="Arial"/>
          <w:sz w:val="17"/>
          <w:szCs w:val="17"/>
          <w:color w:val="000000"/>
        </w:rPr>
        <w:t>None</w:t>
      </w:r>
      <w:r>
        <w:rPr>
          <w:sz w:val="20"/>
          <w:szCs w:val="20"/>
          <w:color w:val="auto"/>
        </w:rPr>
        <w:tab/>
      </w:r>
      <w:r>
        <w:rPr>
          <w:rFonts w:ascii="Arial" w:cs="Arial" w:eastAsia="Arial" w:hAnsi="Arial"/>
          <w:sz w:val="15"/>
          <w:szCs w:val="15"/>
          <w:color w:val="0066BA"/>
        </w:rPr>
        <w:t xml:space="preserve">Past 5 Years: </w:t>
      </w:r>
      <w:r>
        <w:rPr>
          <w:rFonts w:ascii="Arial" w:cs="Arial" w:eastAsia="Arial" w:hAnsi="Arial"/>
          <w:sz w:val="15"/>
          <w:szCs w:val="15"/>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297180</wp:posOffset>
            </wp:positionV>
            <wp:extent cx="6534150" cy="25031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34150" cy="250317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38"/>
          <w:szCs w:val="38"/>
          <w:color w:val="0066BA"/>
        </w:rPr>
        <w:t>Vincent Roche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President and Chief Executive Officer</w:t>
      </w:r>
    </w:p>
    <w:p>
      <w:pPr>
        <w:spacing w:after="0" w:line="46" w:lineRule="exact"/>
        <w:rPr>
          <w:sz w:val="20"/>
          <w:szCs w:val="20"/>
          <w:color w:val="auto"/>
        </w:rPr>
      </w:pPr>
    </w:p>
    <w:p>
      <w:pPr>
        <w:ind w:left="660"/>
        <w:spacing w:after="0"/>
        <w:tabs>
          <w:tab w:leader="none" w:pos="2400" w:val="left"/>
          <w:tab w:leader="none" w:pos="3300" w:val="left"/>
        </w:tabs>
        <w:rPr>
          <w:sz w:val="20"/>
          <w:szCs w:val="20"/>
          <w:color w:val="auto"/>
        </w:rPr>
      </w:pPr>
      <w:r>
        <w:rPr>
          <w:rFonts w:ascii="Arial" w:cs="Arial" w:eastAsia="Arial" w:hAnsi="Arial"/>
          <w:sz w:val="17"/>
          <w:szCs w:val="17"/>
          <w:color w:val="0066BA"/>
        </w:rPr>
        <w:t xml:space="preserve">Director since: </w:t>
      </w:r>
      <w:r>
        <w:rPr>
          <w:rFonts w:ascii="Arial" w:cs="Arial" w:eastAsia="Arial" w:hAnsi="Arial"/>
          <w:sz w:val="17"/>
          <w:szCs w:val="17"/>
          <w:color w:val="000000"/>
        </w:rPr>
        <w:t>2013</w:t>
      </w:r>
      <w:r>
        <w:rPr>
          <w:sz w:val="20"/>
          <w:szCs w:val="20"/>
          <w:color w:val="auto"/>
        </w:rPr>
        <w:tab/>
      </w:r>
      <w:r>
        <w:rPr>
          <w:rFonts w:ascii="Arial" w:cs="Arial" w:eastAsia="Arial" w:hAnsi="Arial"/>
          <w:sz w:val="17"/>
          <w:szCs w:val="17"/>
          <w:color w:val="0066BA"/>
        </w:rPr>
        <w:t xml:space="preserve">Age: </w:t>
      </w:r>
      <w:r>
        <w:rPr>
          <w:rFonts w:ascii="Arial" w:cs="Arial" w:eastAsia="Arial" w:hAnsi="Arial"/>
          <w:sz w:val="17"/>
          <w:szCs w:val="17"/>
          <w:color w:val="000000"/>
        </w:rPr>
        <w:t>60</w:t>
      </w:r>
      <w:r>
        <w:rPr>
          <w:sz w:val="20"/>
          <w:szCs w:val="20"/>
          <w:color w:val="auto"/>
        </w:rPr>
        <w:tab/>
      </w:r>
      <w:r>
        <w:rPr>
          <w:rFonts w:ascii="Arial" w:cs="Arial" w:eastAsia="Arial" w:hAnsi="Arial"/>
          <w:sz w:val="15"/>
          <w:szCs w:val="15"/>
          <w:color w:val="0066BA"/>
        </w:rPr>
        <w:t xml:space="preserve">Committee(s): </w:t>
      </w:r>
      <w:r>
        <w:rPr>
          <w:rFonts w:ascii="Arial" w:cs="Arial" w:eastAsia="Arial" w:hAnsi="Arial"/>
          <w:sz w:val="15"/>
          <w:szCs w:val="15"/>
          <w:color w:val="000000"/>
        </w:rPr>
        <w:t>None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Professional Experience and Background</w:t>
      </w:r>
    </w:p>
    <w:p>
      <w:pPr>
        <w:spacing w:after="0" w:line="25" w:lineRule="exact"/>
        <w:rPr>
          <w:sz w:val="20"/>
          <w:szCs w:val="20"/>
          <w:color w:val="auto"/>
        </w:rPr>
      </w:pPr>
    </w:p>
    <w:p>
      <w:pPr>
        <w:ind w:left="660" w:right="2059"/>
        <w:spacing w:after="0" w:line="279" w:lineRule="auto"/>
        <w:rPr>
          <w:sz w:val="20"/>
          <w:szCs w:val="20"/>
          <w:color w:val="auto"/>
        </w:rPr>
      </w:pPr>
      <w:r>
        <w:rPr>
          <w:rFonts w:ascii="Arial" w:cs="Arial" w:eastAsia="Arial" w:hAnsi="Arial"/>
          <w:sz w:val="16"/>
          <w:szCs w:val="16"/>
          <w:color w:val="auto"/>
        </w:rPr>
        <w:t>Mr. Roche has served as President of Analog Devices since 2012 and was appointed Chief Executive Officer and elected as a director in 2013. Under his leadership, ADI has extended its market leadership and grown to approximately $5.6 billion in revenue in fiscal 2020. Mr. Roche began his career at ADI in 1988 and has served in key positions spanning corporate leadership, worldwide sales, strategic marketing, business development, and product management over his more than 30-year tenure at ADI.</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660" w:right="2119"/>
        <w:spacing w:after="0" w:line="271" w:lineRule="auto"/>
        <w:rPr>
          <w:sz w:val="20"/>
          <w:szCs w:val="20"/>
          <w:color w:val="auto"/>
        </w:rPr>
      </w:pPr>
      <w:r>
        <w:rPr>
          <w:rFonts w:ascii="Arial" w:cs="Arial" w:eastAsia="Arial" w:hAnsi="Arial"/>
          <w:sz w:val="17"/>
          <w:szCs w:val="17"/>
          <w:color w:val="auto"/>
        </w:rPr>
        <w:t>Mr. Roche’s leadership role in the Company and his deep knowledge of the Company’s products, markets, customers, culture and organization.</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Other Public Company Boards:</w:t>
      </w:r>
    </w:p>
    <w:p>
      <w:pPr>
        <w:spacing w:after="0" w:line="25" w:lineRule="exact"/>
        <w:rPr>
          <w:sz w:val="20"/>
          <w:szCs w:val="20"/>
          <w:color w:val="auto"/>
        </w:rPr>
      </w:pPr>
    </w:p>
    <w:p>
      <w:pPr>
        <w:ind w:left="660"/>
        <w:spacing w:after="0"/>
        <w:tabs>
          <w:tab w:leader="none" w:pos="3660" w:val="left"/>
        </w:tabs>
        <w:rPr>
          <w:sz w:val="20"/>
          <w:szCs w:val="20"/>
          <w:color w:val="auto"/>
        </w:rPr>
      </w:pPr>
      <w:r>
        <w:rPr>
          <w:rFonts w:ascii="Arial" w:cs="Arial" w:eastAsia="Arial" w:hAnsi="Arial"/>
          <w:sz w:val="17"/>
          <w:szCs w:val="17"/>
          <w:color w:val="0066BA"/>
        </w:rPr>
        <w:t xml:space="preserve">Current: </w:t>
      </w:r>
      <w:r>
        <w:rPr>
          <w:rFonts w:ascii="Arial" w:cs="Arial" w:eastAsia="Arial" w:hAnsi="Arial"/>
          <w:sz w:val="17"/>
          <w:szCs w:val="17"/>
          <w:color w:val="000000"/>
        </w:rPr>
        <w:t>Acacia Communications, Inc.</w:t>
      </w:r>
      <w:r>
        <w:rPr>
          <w:sz w:val="20"/>
          <w:szCs w:val="20"/>
          <w:color w:val="auto"/>
        </w:rPr>
        <w:tab/>
      </w:r>
      <w:r>
        <w:rPr>
          <w:rFonts w:ascii="Arial" w:cs="Arial" w:eastAsia="Arial" w:hAnsi="Arial"/>
          <w:sz w:val="15"/>
          <w:szCs w:val="15"/>
          <w:color w:val="0066BA"/>
        </w:rPr>
        <w:t xml:space="preserve">Past 5 Years: </w:t>
      </w:r>
      <w:r>
        <w:rPr>
          <w:rFonts w:ascii="Arial" w:cs="Arial" w:eastAsia="Arial" w:hAnsi="Arial"/>
          <w:sz w:val="15"/>
          <w:szCs w:val="15"/>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297180</wp:posOffset>
            </wp:positionV>
            <wp:extent cx="6534150" cy="26352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34150" cy="263525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38"/>
          <w:szCs w:val="38"/>
          <w:color w:val="0066BA"/>
        </w:rPr>
        <w:t>James A. Champy</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Presiding Director</w:t>
      </w:r>
    </w:p>
    <w:p>
      <w:pPr>
        <w:spacing w:after="0" w:line="46" w:lineRule="exact"/>
        <w:rPr>
          <w:sz w:val="20"/>
          <w:szCs w:val="20"/>
          <w:color w:val="auto"/>
        </w:rPr>
      </w:pPr>
    </w:p>
    <w:p>
      <w:pPr>
        <w:ind w:left="660"/>
        <w:spacing w:after="0"/>
        <w:tabs>
          <w:tab w:leader="none" w:pos="3300" w:val="left"/>
        </w:tabs>
        <w:rPr>
          <w:sz w:val="20"/>
          <w:szCs w:val="20"/>
          <w:color w:val="auto"/>
        </w:rPr>
      </w:pPr>
      <w:r>
        <w:rPr>
          <w:rFonts w:ascii="Arial" w:cs="Arial" w:eastAsia="Arial" w:hAnsi="Arial"/>
          <w:sz w:val="17"/>
          <w:szCs w:val="17"/>
          <w:color w:val="0066BA"/>
        </w:rPr>
        <w:t xml:space="preserve">Independent Director since: </w:t>
      </w:r>
      <w:r>
        <w:rPr>
          <w:rFonts w:ascii="Arial" w:cs="Arial" w:eastAsia="Arial" w:hAnsi="Arial"/>
          <w:sz w:val="17"/>
          <w:szCs w:val="17"/>
          <w:color w:val="000000"/>
        </w:rPr>
        <w:t>2003</w:t>
      </w:r>
      <w:r>
        <w:rPr>
          <w:sz w:val="20"/>
          <w:szCs w:val="20"/>
          <w:color w:val="auto"/>
        </w:rPr>
        <w:tab/>
      </w:r>
      <w:r>
        <w:rPr>
          <w:rFonts w:ascii="Arial" w:cs="Arial" w:eastAsia="Arial" w:hAnsi="Arial"/>
          <w:sz w:val="15"/>
          <w:szCs w:val="15"/>
          <w:color w:val="0066BA"/>
        </w:rPr>
        <w:t xml:space="preserve">Age: </w:t>
      </w:r>
      <w:r>
        <w:rPr>
          <w:rFonts w:ascii="Arial" w:cs="Arial" w:eastAsia="Arial" w:hAnsi="Arial"/>
          <w:sz w:val="15"/>
          <w:szCs w:val="15"/>
          <w:color w:val="000000"/>
        </w:rPr>
        <w:t>78</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 xml:space="preserve">Committee(s): </w:t>
      </w:r>
      <w:r>
        <w:rPr>
          <w:rFonts w:ascii="Arial" w:cs="Arial" w:eastAsia="Arial" w:hAnsi="Arial"/>
          <w:sz w:val="17"/>
          <w:szCs w:val="17"/>
          <w:color w:val="000000"/>
        </w:rPr>
        <w:t>Nominating and Corporate Governance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Professional Experience and Background</w:t>
      </w:r>
    </w:p>
    <w:p>
      <w:pPr>
        <w:spacing w:after="0" w:line="25" w:lineRule="exact"/>
        <w:rPr>
          <w:sz w:val="20"/>
          <w:szCs w:val="20"/>
          <w:color w:val="auto"/>
        </w:rPr>
      </w:pPr>
    </w:p>
    <w:p>
      <w:pPr>
        <w:ind w:left="660" w:right="2199"/>
        <w:spacing w:after="0" w:line="277" w:lineRule="auto"/>
        <w:rPr>
          <w:sz w:val="20"/>
          <w:szCs w:val="20"/>
          <w:color w:val="auto"/>
        </w:rPr>
      </w:pPr>
      <w:r>
        <w:rPr>
          <w:rFonts w:ascii="Arial" w:cs="Arial" w:eastAsia="Arial" w:hAnsi="Arial"/>
          <w:sz w:val="16"/>
          <w:szCs w:val="16"/>
          <w:color w:val="auto"/>
        </w:rPr>
        <w:t>Mr. Champy retired in 2010 as Vice President of the Dell/Perot Systems business unit of Dell, Inc., a computer and technology services company. He was previously a Vice President and the Chairman of Consulting at Perot Systems Corporation, a technology services company, from 1996 to November 2009. He served as a director of Perot Systems Corporation from 1996 to 2004. Mr. Champy is the author of several business books and is a Life Member of the MIT Corporation, the governing body of the Massachusetts Institute of Technology, or MIT, a private research university.</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Mr. Champy’s expertise in corporate strategy development and his organizational acumen.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Other Public Company Boards:</w:t>
      </w:r>
    </w:p>
    <w:p>
      <w:pPr>
        <w:spacing w:after="0" w:line="25" w:lineRule="exact"/>
        <w:rPr>
          <w:sz w:val="20"/>
          <w:szCs w:val="20"/>
          <w:color w:val="auto"/>
        </w:rPr>
      </w:pPr>
    </w:p>
    <w:p>
      <w:pPr>
        <w:ind w:left="660"/>
        <w:spacing w:after="0"/>
        <w:tabs>
          <w:tab w:leader="none" w:pos="2400" w:val="left"/>
        </w:tabs>
        <w:rPr>
          <w:sz w:val="20"/>
          <w:szCs w:val="20"/>
          <w:color w:val="auto"/>
        </w:rPr>
      </w:pPr>
      <w:r>
        <w:rPr>
          <w:rFonts w:ascii="Arial" w:cs="Arial" w:eastAsia="Arial" w:hAnsi="Arial"/>
          <w:sz w:val="17"/>
          <w:szCs w:val="17"/>
          <w:color w:val="0066BA"/>
        </w:rPr>
        <w:t xml:space="preserve">Current: </w:t>
      </w:r>
      <w:r>
        <w:rPr>
          <w:rFonts w:ascii="Arial" w:cs="Arial" w:eastAsia="Arial" w:hAnsi="Arial"/>
          <w:sz w:val="17"/>
          <w:szCs w:val="17"/>
          <w:color w:val="000000"/>
        </w:rPr>
        <w:t>None</w:t>
      </w:r>
      <w:r>
        <w:rPr>
          <w:sz w:val="20"/>
          <w:szCs w:val="20"/>
          <w:color w:val="auto"/>
        </w:rPr>
        <w:tab/>
      </w:r>
      <w:r>
        <w:rPr>
          <w:rFonts w:ascii="Arial" w:cs="Arial" w:eastAsia="Arial" w:hAnsi="Arial"/>
          <w:sz w:val="15"/>
          <w:szCs w:val="15"/>
          <w:color w:val="0066BA"/>
        </w:rPr>
        <w:t xml:space="preserve">Past 5 Years: </w:t>
      </w:r>
      <w:r>
        <w:rPr>
          <w:rFonts w:ascii="Arial" w:cs="Arial" w:eastAsia="Arial" w:hAnsi="Arial"/>
          <w:sz w:val="15"/>
          <w:szCs w:val="15"/>
          <w:color w:val="000000"/>
        </w:rPr>
        <w:t>None</w:t>
      </w:r>
    </w:p>
    <w:p>
      <w:pPr>
        <w:sectPr>
          <w:pgSz w:w="11900" w:h="16838" w:orient="portrait"/>
          <w:cols w:equalWidth="0" w:num="1">
            <w:col w:w="10139"/>
          </w:cols>
          <w:pgMar w:left="320" w:top="4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139"/>
          </w:cols>
          <w:pgMar w:left="320" w:top="447" w:right="1440" w:bottom="1440" w:gutter="0" w:footer="0" w:header="0"/>
          <w:type w:val="continuous"/>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201295</wp:posOffset>
            </wp:positionV>
            <wp:extent cx="6534150" cy="24784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34150" cy="2478405"/>
                    </a:xfrm>
                    <a:prstGeom prst="rect">
                      <a:avLst/>
                    </a:prstGeom>
                    <a:noFill/>
                  </pic:spPr>
                </pic:pic>
              </a:graphicData>
            </a:graphic>
          </wp:anchor>
        </w:drawing>
      </w:r>
    </w:p>
    <w:p>
      <w:pPr>
        <w:spacing w:after="0" w:line="303" w:lineRule="exact"/>
        <w:rPr>
          <w:sz w:val="20"/>
          <w:szCs w:val="20"/>
          <w:color w:val="auto"/>
        </w:rPr>
      </w:pPr>
    </w:p>
    <w:p>
      <w:pPr>
        <w:ind w:left="660"/>
        <w:spacing w:after="0"/>
        <w:rPr>
          <w:sz w:val="20"/>
          <w:szCs w:val="20"/>
          <w:color w:val="auto"/>
        </w:rPr>
      </w:pPr>
      <w:r>
        <w:rPr>
          <w:rFonts w:ascii="Arial" w:cs="Arial" w:eastAsia="Arial" w:hAnsi="Arial"/>
          <w:sz w:val="38"/>
          <w:szCs w:val="38"/>
          <w:color w:val="0066BA"/>
        </w:rPr>
        <w:t>Anantha P. Chandrakasan</w:t>
      </w:r>
    </w:p>
    <w:p>
      <w:pPr>
        <w:spacing w:after="0" w:line="126" w:lineRule="exact"/>
        <w:rPr>
          <w:sz w:val="20"/>
          <w:szCs w:val="20"/>
          <w:color w:val="auto"/>
        </w:rPr>
      </w:pPr>
    </w:p>
    <w:p>
      <w:pPr>
        <w:ind w:left="660"/>
        <w:spacing w:after="0"/>
        <w:tabs>
          <w:tab w:leader="none" w:pos="3560" w:val="left"/>
        </w:tabs>
        <w:rPr>
          <w:sz w:val="20"/>
          <w:szCs w:val="20"/>
          <w:color w:val="auto"/>
        </w:rPr>
      </w:pPr>
      <w:r>
        <w:rPr>
          <w:rFonts w:ascii="Arial" w:cs="Arial" w:eastAsia="Arial" w:hAnsi="Arial"/>
          <w:sz w:val="19"/>
          <w:szCs w:val="19"/>
          <w:color w:val="0066BA"/>
        </w:rPr>
        <w:t xml:space="preserve">Independent Director since: </w:t>
      </w:r>
      <w:r>
        <w:rPr>
          <w:rFonts w:ascii="Arial" w:cs="Arial" w:eastAsia="Arial" w:hAnsi="Arial"/>
          <w:sz w:val="19"/>
          <w:szCs w:val="19"/>
          <w:color w:val="000000"/>
        </w:rPr>
        <w:t>2019</w:t>
      </w:r>
      <w:r>
        <w:rPr>
          <w:sz w:val="20"/>
          <w:szCs w:val="20"/>
          <w:color w:val="auto"/>
        </w:rPr>
        <w:tab/>
      </w:r>
      <w:r>
        <w:rPr>
          <w:rFonts w:ascii="Arial" w:cs="Arial" w:eastAsia="Arial" w:hAnsi="Arial"/>
          <w:sz w:val="17"/>
          <w:szCs w:val="17"/>
          <w:color w:val="0066BA"/>
        </w:rPr>
        <w:t xml:space="preserve">Age: </w:t>
      </w:r>
      <w:r>
        <w:rPr>
          <w:rFonts w:ascii="Arial" w:cs="Arial" w:eastAsia="Arial" w:hAnsi="Arial"/>
          <w:sz w:val="17"/>
          <w:szCs w:val="17"/>
          <w:color w:val="000000"/>
        </w:rPr>
        <w:t>52</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9"/>
          <w:szCs w:val="19"/>
          <w:color w:val="0066BA"/>
        </w:rPr>
        <w:t xml:space="preserve">Committee(s): </w:t>
      </w:r>
      <w:r>
        <w:rPr>
          <w:rFonts w:ascii="Arial" w:cs="Arial" w:eastAsia="Arial" w:hAnsi="Arial"/>
          <w:sz w:val="19"/>
          <w:szCs w:val="19"/>
          <w:color w:val="000000"/>
        </w:rPr>
        <w:t>Nominating and Corporate Governance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Professional Experience and Background</w:t>
      </w:r>
    </w:p>
    <w:p>
      <w:pPr>
        <w:spacing w:after="0" w:line="25" w:lineRule="exact"/>
        <w:rPr>
          <w:sz w:val="20"/>
          <w:szCs w:val="20"/>
          <w:color w:val="auto"/>
        </w:rPr>
      </w:pPr>
    </w:p>
    <w:p>
      <w:pPr>
        <w:ind w:left="660" w:right="2940"/>
        <w:spacing w:after="0" w:line="299" w:lineRule="auto"/>
        <w:rPr>
          <w:sz w:val="20"/>
          <w:szCs w:val="20"/>
          <w:color w:val="auto"/>
        </w:rPr>
      </w:pPr>
      <w:r>
        <w:rPr>
          <w:rFonts w:ascii="Arial" w:cs="Arial" w:eastAsia="Arial" w:hAnsi="Arial"/>
          <w:sz w:val="15"/>
          <w:szCs w:val="15"/>
          <w:color w:val="auto"/>
        </w:rPr>
        <w:t>Dr. Chandrakasan has served as the Dean of the School of Engineering at Massachusetts Institute of Technology, or MIT, a private research university, since July 2017, and as the Vannevar Bush Professor of Electrical Engineering and Computer Science since 2003. He also co-chairs the MIT-IBM Watson AI Lab and the MIT-Takeda Program. From July 2011 to June 2017, Dr. Chandrakasan was the head of MIT’s Department of Electrical Engineering and Computer Science (EECS). He is an Institute of Electrical and Electronics Engineers fellow, and in 2015 he was elected to the National Academy of Engineering.</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Dr. Chandrakasan’s deep understanding of complex technologies and experience driving innovation.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Other Public Company Boards:</w:t>
      </w:r>
    </w:p>
    <w:p>
      <w:pPr>
        <w:spacing w:after="0" w:line="25" w:lineRule="exact"/>
        <w:rPr>
          <w:sz w:val="20"/>
          <w:szCs w:val="20"/>
          <w:color w:val="auto"/>
        </w:rPr>
      </w:pPr>
    </w:p>
    <w:p>
      <w:pPr>
        <w:ind w:left="660"/>
        <w:spacing w:after="0"/>
        <w:tabs>
          <w:tab w:leader="none" w:pos="2400" w:val="left"/>
        </w:tabs>
        <w:rPr>
          <w:sz w:val="20"/>
          <w:szCs w:val="20"/>
          <w:color w:val="auto"/>
        </w:rPr>
      </w:pPr>
      <w:r>
        <w:rPr>
          <w:rFonts w:ascii="Arial" w:cs="Arial" w:eastAsia="Arial" w:hAnsi="Arial"/>
          <w:sz w:val="17"/>
          <w:szCs w:val="17"/>
          <w:color w:val="0066BA"/>
        </w:rPr>
        <w:t xml:space="preserve">Current: </w:t>
      </w:r>
      <w:r>
        <w:rPr>
          <w:rFonts w:ascii="Arial" w:cs="Arial" w:eastAsia="Arial" w:hAnsi="Arial"/>
          <w:sz w:val="17"/>
          <w:szCs w:val="17"/>
          <w:color w:val="000000"/>
        </w:rPr>
        <w:t>None</w:t>
      </w:r>
      <w:r>
        <w:rPr>
          <w:sz w:val="20"/>
          <w:szCs w:val="20"/>
          <w:color w:val="auto"/>
        </w:rPr>
        <w:tab/>
      </w:r>
      <w:r>
        <w:rPr>
          <w:rFonts w:ascii="Arial" w:cs="Arial" w:eastAsia="Arial" w:hAnsi="Arial"/>
          <w:sz w:val="15"/>
          <w:szCs w:val="15"/>
          <w:color w:val="0066BA"/>
        </w:rPr>
        <w:t xml:space="preserve">Past 5 Years: </w:t>
      </w:r>
      <w:r>
        <w:rPr>
          <w:rFonts w:ascii="Arial" w:cs="Arial" w:eastAsia="Arial" w:hAnsi="Arial"/>
          <w:sz w:val="15"/>
          <w:szCs w:val="15"/>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297180</wp:posOffset>
            </wp:positionV>
            <wp:extent cx="6534150" cy="29902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534150" cy="299021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38"/>
          <w:szCs w:val="38"/>
          <w:color w:val="0066BA"/>
        </w:rPr>
        <w:t>Bruce R. Evans</w:t>
      </w:r>
    </w:p>
    <w:p>
      <w:pPr>
        <w:spacing w:after="0" w:line="130" w:lineRule="exact"/>
        <w:rPr>
          <w:sz w:val="20"/>
          <w:szCs w:val="20"/>
          <w:color w:val="auto"/>
        </w:rPr>
      </w:pPr>
    </w:p>
    <w:p>
      <w:pPr>
        <w:ind w:left="660"/>
        <w:spacing w:after="0"/>
        <w:tabs>
          <w:tab w:leader="none" w:pos="3300" w:val="left"/>
          <w:tab w:leader="none" w:pos="4200" w:val="left"/>
        </w:tabs>
        <w:rPr>
          <w:sz w:val="20"/>
          <w:szCs w:val="20"/>
          <w:color w:val="auto"/>
        </w:rPr>
      </w:pPr>
      <w:r>
        <w:rPr>
          <w:rFonts w:ascii="Arial" w:cs="Arial" w:eastAsia="Arial" w:hAnsi="Arial"/>
          <w:sz w:val="17"/>
          <w:szCs w:val="17"/>
          <w:color w:val="0066BA"/>
        </w:rPr>
        <w:t xml:space="preserve">Independent Director since: </w:t>
      </w:r>
      <w:r>
        <w:rPr>
          <w:rFonts w:ascii="Arial" w:cs="Arial" w:eastAsia="Arial" w:hAnsi="Arial"/>
          <w:sz w:val="17"/>
          <w:szCs w:val="17"/>
          <w:color w:val="000000"/>
        </w:rPr>
        <w:t>2015</w:t>
      </w:r>
      <w:r>
        <w:rPr>
          <w:sz w:val="20"/>
          <w:szCs w:val="20"/>
          <w:color w:val="auto"/>
        </w:rPr>
        <w:tab/>
      </w:r>
      <w:r>
        <w:rPr>
          <w:rFonts w:ascii="Arial" w:cs="Arial" w:eastAsia="Arial" w:hAnsi="Arial"/>
          <w:sz w:val="17"/>
          <w:szCs w:val="17"/>
          <w:color w:val="0066BA"/>
        </w:rPr>
        <w:t xml:space="preserve">Age: </w:t>
      </w:r>
      <w:r>
        <w:rPr>
          <w:rFonts w:ascii="Arial" w:cs="Arial" w:eastAsia="Arial" w:hAnsi="Arial"/>
          <w:sz w:val="17"/>
          <w:szCs w:val="17"/>
          <w:color w:val="000000"/>
        </w:rPr>
        <w:t>61</w:t>
      </w:r>
      <w:r>
        <w:rPr>
          <w:sz w:val="20"/>
          <w:szCs w:val="20"/>
          <w:color w:val="auto"/>
        </w:rPr>
        <w:tab/>
      </w:r>
      <w:r>
        <w:rPr>
          <w:rFonts w:ascii="Arial" w:cs="Arial" w:eastAsia="Arial" w:hAnsi="Arial"/>
          <w:sz w:val="16"/>
          <w:szCs w:val="16"/>
          <w:color w:val="0066BA"/>
        </w:rPr>
        <w:t xml:space="preserve">Committee(s): </w:t>
      </w:r>
      <w:r>
        <w:rPr>
          <w:rFonts w:ascii="Arial" w:cs="Arial" w:eastAsia="Arial" w:hAnsi="Arial"/>
          <w:sz w:val="16"/>
          <w:szCs w:val="16"/>
          <w:color w:val="000000"/>
        </w:rPr>
        <w:t>Audit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Professional Experience and Background</w:t>
      </w:r>
    </w:p>
    <w:p>
      <w:pPr>
        <w:spacing w:after="0" w:line="25" w:lineRule="exact"/>
        <w:rPr>
          <w:sz w:val="20"/>
          <w:szCs w:val="20"/>
          <w:color w:val="auto"/>
        </w:rPr>
      </w:pPr>
    </w:p>
    <w:p>
      <w:pPr>
        <w:ind w:left="660" w:right="2920"/>
        <w:spacing w:after="0" w:line="275" w:lineRule="auto"/>
        <w:rPr>
          <w:sz w:val="20"/>
          <w:szCs w:val="20"/>
          <w:color w:val="auto"/>
        </w:rPr>
      </w:pPr>
      <w:r>
        <w:rPr>
          <w:rFonts w:ascii="Arial" w:cs="Arial" w:eastAsia="Arial" w:hAnsi="Arial"/>
          <w:sz w:val="16"/>
          <w:szCs w:val="16"/>
          <w:color w:val="auto"/>
        </w:rPr>
        <w:t>Mr. Evans has served as president of Evans Capital LLC, a private investment fund, since March 2019. Mr. Evans has also served in various positions with Summit Partners, a growth equity, venture capital and credit investment firm, since 1986, including most recently as Senior Advisor to the firm, a role he has held since January 2018. From 2011 to March 2019, he served as Chairman of Summit Partners’ Board. From 2011 to December 2017, he served as Managing Director and Chairman of Summit Partners’ Board. From 1999 to 2011, he was one of Summit Partners’ Co- Managing Partners. During his 34 years with Summit Partners, Mr. Evans has served as a member of the boards of directors of over 35 technology and other growth industry companies in the U.S. and Europe, including 14 public companies. In addition, Mr. Evans is Chairman of the Vanderbilt University Board of Trust and the former Chairman of Vanderbilt’s Investment Committee.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660" w:right="3260"/>
        <w:spacing w:after="0" w:line="271" w:lineRule="auto"/>
        <w:rPr>
          <w:sz w:val="20"/>
          <w:szCs w:val="20"/>
          <w:color w:val="auto"/>
        </w:rPr>
      </w:pPr>
      <w:r>
        <w:rPr>
          <w:rFonts w:ascii="Arial" w:cs="Arial" w:eastAsia="Arial" w:hAnsi="Arial"/>
          <w:sz w:val="17"/>
          <w:szCs w:val="17"/>
          <w:color w:val="auto"/>
        </w:rPr>
        <w:t>Mr. Evans’ financial and management expertise, including his investing experience in the technology sector and his experience with acquisitions and other transactions.</w:t>
      </w:r>
    </w:p>
    <w:p>
      <w:pPr>
        <w:sectPr>
          <w:pgSz w:w="11900" w:h="16838" w:orient="portrait"/>
          <w:cols w:equalWidth="0" w:num="1">
            <w:col w:w="10940"/>
          </w:cols>
          <w:pgMar w:left="320" w:top="447" w:right="639" w:bottom="1440" w:gutter="0" w:footer="0" w:header="0"/>
        </w:sectPr>
      </w:pPr>
    </w:p>
    <w:p>
      <w:pPr>
        <w:spacing w:after="0" w:line="106" w:lineRule="exact"/>
        <w:rPr>
          <w:sz w:val="20"/>
          <w:szCs w:val="20"/>
          <w:color w:val="auto"/>
        </w:rPr>
      </w:pPr>
    </w:p>
    <w:p>
      <w:pPr>
        <w:ind w:left="660"/>
        <w:spacing w:after="0"/>
        <w:rPr>
          <w:sz w:val="20"/>
          <w:szCs w:val="20"/>
          <w:color w:val="auto"/>
        </w:rPr>
      </w:pPr>
      <w:r>
        <w:rPr>
          <w:rFonts w:ascii="Arial" w:cs="Arial" w:eastAsia="Arial" w:hAnsi="Arial"/>
          <w:sz w:val="15"/>
          <w:szCs w:val="15"/>
          <w:color w:val="0066BA"/>
        </w:rPr>
        <w:t>Other Public Company Boards:</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 xml:space="preserve">Current: </w:t>
      </w:r>
      <w:r>
        <w:rPr>
          <w:rFonts w:ascii="Arial" w:cs="Arial" w:eastAsia="Arial" w:hAnsi="Arial"/>
          <w:sz w:val="17"/>
          <w:szCs w:val="17"/>
          <w:color w:val="000000"/>
        </w:rPr>
        <w:t>Casa Systems, Inc.</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66BA"/>
        </w:rPr>
        <w:t xml:space="preserve">Past 5 Years: </w:t>
      </w:r>
      <w:r>
        <w:rPr>
          <w:rFonts w:ascii="Arial" w:cs="Arial" w:eastAsia="Arial" w:hAnsi="Arial"/>
          <w:sz w:val="15"/>
          <w:szCs w:val="15"/>
          <w:color w:val="000000"/>
        </w:rPr>
        <w:t>None</w:t>
      </w:r>
    </w:p>
    <w:p>
      <w:pPr>
        <w:spacing w:after="0" w:line="235" w:lineRule="exact"/>
        <w:rPr>
          <w:sz w:val="20"/>
          <w:szCs w:val="20"/>
          <w:color w:val="auto"/>
        </w:rPr>
      </w:pPr>
    </w:p>
    <w:p>
      <w:pPr>
        <w:sectPr>
          <w:pgSz w:w="11900" w:h="16838" w:orient="portrait"/>
          <w:cols w:equalWidth="0" w:num="2">
            <w:col w:w="2840" w:space="520"/>
            <w:col w:w="7580"/>
          </w:cols>
          <w:pgMar w:left="320" w:top="447" w:right="63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40"/>
          </w:cols>
          <w:pgMar w:left="320" w:top="447" w:right="639" w:bottom="1440" w:gutter="0" w:footer="0" w:header="0"/>
          <w:type w:val="continuous"/>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201295</wp:posOffset>
            </wp:positionV>
            <wp:extent cx="6534150" cy="35604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534150" cy="3560445"/>
                    </a:xfrm>
                    <a:prstGeom prst="rect">
                      <a:avLst/>
                    </a:prstGeom>
                    <a:noFill/>
                  </pic:spPr>
                </pic:pic>
              </a:graphicData>
            </a:graphic>
          </wp:anchor>
        </w:drawing>
      </w:r>
    </w:p>
    <w:p>
      <w:pPr>
        <w:spacing w:after="0" w:line="303" w:lineRule="exact"/>
        <w:rPr>
          <w:sz w:val="20"/>
          <w:szCs w:val="20"/>
          <w:color w:val="auto"/>
        </w:rPr>
      </w:pPr>
    </w:p>
    <w:p>
      <w:pPr>
        <w:ind w:left="660"/>
        <w:spacing w:after="0"/>
        <w:rPr>
          <w:sz w:val="20"/>
          <w:szCs w:val="20"/>
          <w:color w:val="auto"/>
        </w:rPr>
      </w:pPr>
      <w:r>
        <w:rPr>
          <w:rFonts w:ascii="Arial" w:cs="Arial" w:eastAsia="Arial" w:hAnsi="Arial"/>
          <w:sz w:val="38"/>
          <w:szCs w:val="38"/>
          <w:color w:val="0066BA"/>
        </w:rPr>
        <w:t>Edward H. Frank</w:t>
      </w:r>
    </w:p>
    <w:p>
      <w:pPr>
        <w:spacing w:after="0" w:line="143" w:lineRule="exact"/>
        <w:rPr>
          <w:sz w:val="20"/>
          <w:szCs w:val="20"/>
          <w:color w:val="auto"/>
        </w:rPr>
      </w:pPr>
    </w:p>
    <w:p>
      <w:pPr>
        <w:ind w:left="660"/>
        <w:spacing w:after="0"/>
        <w:tabs>
          <w:tab w:leader="none" w:pos="3300" w:val="left"/>
          <w:tab w:leader="none" w:pos="4060" w:val="left"/>
        </w:tabs>
        <w:rPr>
          <w:sz w:val="20"/>
          <w:szCs w:val="20"/>
          <w:color w:val="auto"/>
        </w:rPr>
      </w:pPr>
      <w:r>
        <w:rPr>
          <w:rFonts w:ascii="Arial" w:cs="Arial" w:eastAsia="Arial" w:hAnsi="Arial"/>
          <w:sz w:val="17"/>
          <w:szCs w:val="17"/>
          <w:color w:val="0066BA"/>
        </w:rPr>
        <w:t xml:space="preserve">Independent Director since: </w:t>
      </w:r>
      <w:r>
        <w:rPr>
          <w:rFonts w:ascii="Arial" w:cs="Arial" w:eastAsia="Arial" w:hAnsi="Arial"/>
          <w:sz w:val="17"/>
          <w:szCs w:val="17"/>
          <w:color w:val="000000"/>
        </w:rPr>
        <w:t>2014</w:t>
      </w:r>
      <w:r>
        <w:rPr>
          <w:sz w:val="20"/>
          <w:szCs w:val="20"/>
          <w:color w:val="auto"/>
        </w:rPr>
        <w:tab/>
      </w:r>
      <w:r>
        <w:rPr>
          <w:rFonts w:ascii="Arial" w:cs="Arial" w:eastAsia="Arial" w:hAnsi="Arial"/>
          <w:sz w:val="17"/>
          <w:szCs w:val="17"/>
          <w:color w:val="0066BA"/>
        </w:rPr>
        <w:t xml:space="preserve">Age: </w:t>
      </w:r>
      <w:r>
        <w:rPr>
          <w:rFonts w:ascii="Arial" w:cs="Arial" w:eastAsia="Arial" w:hAnsi="Arial"/>
          <w:sz w:val="17"/>
          <w:szCs w:val="17"/>
          <w:color w:val="000000"/>
        </w:rPr>
        <w:t>64</w:t>
      </w:r>
      <w:r>
        <w:rPr>
          <w:sz w:val="20"/>
          <w:szCs w:val="20"/>
          <w:color w:val="auto"/>
        </w:rPr>
        <w:tab/>
      </w:r>
      <w:r>
        <w:rPr>
          <w:rFonts w:ascii="Arial" w:cs="Arial" w:eastAsia="Arial" w:hAnsi="Arial"/>
          <w:sz w:val="15"/>
          <w:szCs w:val="15"/>
          <w:color w:val="0066BA"/>
        </w:rPr>
        <w:t xml:space="preserve">Committee(s): </w:t>
      </w:r>
      <w:r>
        <w:rPr>
          <w:rFonts w:ascii="Arial" w:cs="Arial" w:eastAsia="Arial" w:hAnsi="Arial"/>
          <w:sz w:val="15"/>
          <w:szCs w:val="15"/>
          <w:color w:val="000000"/>
        </w:rPr>
        <w:t>Compensation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Professional Experience and Background</w:t>
      </w:r>
    </w:p>
    <w:p>
      <w:pPr>
        <w:spacing w:after="0" w:line="25" w:lineRule="exact"/>
        <w:rPr>
          <w:sz w:val="20"/>
          <w:szCs w:val="20"/>
          <w:color w:val="auto"/>
        </w:rPr>
      </w:pPr>
    </w:p>
    <w:p>
      <w:pPr>
        <w:ind w:left="660" w:right="2159"/>
        <w:spacing w:after="0" w:line="295" w:lineRule="auto"/>
        <w:rPr>
          <w:sz w:val="20"/>
          <w:szCs w:val="20"/>
          <w:color w:val="auto"/>
        </w:rPr>
      </w:pPr>
      <w:r>
        <w:rPr>
          <w:rFonts w:ascii="Arial" w:cs="Arial" w:eastAsia="Arial" w:hAnsi="Arial"/>
          <w:sz w:val="15"/>
          <w:szCs w:val="15"/>
          <w:color w:val="auto"/>
        </w:rPr>
        <w:t>Dr. Frank was most recently co-founder and CEO of Cloud Parity Social Networking, a voice of the customer startup, from January 2014 through August 2016. From May 2009 to October 2013, Dr. Frank held the position of Vice President, Macintosh Hardware Systems Engineering at Apple Inc., a company that designs, manufactures and markets electronic devices. Prior to his tenure at Apple, Dr. Frank served as Corporate Vice President, Research and Development, of Broadcom Corp. Dr. Frank was founding CEO of Epigram, Inc., a developer of integrated circuits and software for home networking, which Broadcom acquired in 1999, and was a Distinguished Engineer at Sun Microsystems, Inc. Dr. Frank is vice-chair of Carnegie Mellon University Board of Trustees, where he has been a Trustee since 2000, and since July 2017, has been Executive Director (pro bono) of Metallica’s All Within My Hands Foundation. He is a member of the National Academy of Engineering and a Fellow of the IEEE.</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660" w:right="2179"/>
        <w:spacing w:after="0" w:line="263" w:lineRule="auto"/>
        <w:rPr>
          <w:sz w:val="20"/>
          <w:szCs w:val="20"/>
          <w:color w:val="auto"/>
        </w:rPr>
      </w:pPr>
      <w:r>
        <w:rPr>
          <w:rFonts w:ascii="Arial" w:cs="Arial" w:eastAsia="Arial" w:hAnsi="Arial"/>
          <w:sz w:val="17"/>
          <w:szCs w:val="17"/>
          <w:color w:val="auto"/>
        </w:rPr>
        <w:t>Dr. Frank’s substantial experience in the design, manufacture, sale and marketing of semi- conductors for a broad set of markets, including many of the markets serviced by the Company and his extensive executive leadership experience.</w:t>
      </w:r>
    </w:p>
    <w:p>
      <w:pPr>
        <w:sectPr>
          <w:pgSz w:w="11900" w:h="16838" w:orient="portrait"/>
          <w:cols w:equalWidth="0" w:num="1">
            <w:col w:w="10139"/>
          </w:cols>
          <w:pgMar w:left="320" w:top="447" w:right="1440" w:bottom="1440" w:gutter="0" w:footer="0" w:header="0"/>
        </w:sectPr>
      </w:pPr>
    </w:p>
    <w:p>
      <w:pPr>
        <w:spacing w:after="0" w:line="126"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Other Public Company Boards:</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6"/>
          <w:szCs w:val="16"/>
          <w:color w:val="0066BA"/>
        </w:rPr>
        <w:t xml:space="preserve">Current: </w:t>
      </w:r>
      <w:r>
        <w:rPr>
          <w:rFonts w:ascii="Arial" w:cs="Arial" w:eastAsia="Arial" w:hAnsi="Arial"/>
          <w:sz w:val="16"/>
          <w:szCs w:val="16"/>
          <w:color w:val="000000"/>
        </w:rPr>
        <w:t>Marvell Technology Group, Ltd.</w:t>
      </w:r>
    </w:p>
    <w:p>
      <w:pPr>
        <w:spacing w:after="0" w:line="2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SiTime Corp.</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0066BA"/>
        </w:rPr>
        <w:t xml:space="preserve">Past 5 Years: </w:t>
      </w:r>
      <w:r>
        <w:rPr>
          <w:rFonts w:ascii="Arial" w:cs="Arial" w:eastAsia="Arial" w:hAnsi="Arial"/>
          <w:sz w:val="16"/>
          <w:szCs w:val="16"/>
          <w:color w:val="000000"/>
        </w:rPr>
        <w:t>Cavium, Inc. (until 2018)</w:t>
      </w:r>
    </w:p>
    <w:p>
      <w:pPr>
        <w:spacing w:after="0" w:line="3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Amesite, Inc. (until 2020)</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Quantenna Communications, Inc.</w:t>
      </w:r>
    </w:p>
    <w:p>
      <w:pPr>
        <w:spacing w:after="0" w:line="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(until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305435</wp:posOffset>
            </wp:positionV>
            <wp:extent cx="6534150" cy="3568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34150" cy="35687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40" w:space="520"/>
            <w:col w:w="6079"/>
          </w:cols>
          <w:pgMar w:left="320" w:top="447" w:right="1440" w:bottom="1440" w:gutter="0" w:footer="0" w:header="0"/>
          <w:type w:val="continuous"/>
        </w:sect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38"/>
          <w:szCs w:val="38"/>
          <w:color w:val="0066BA"/>
        </w:rPr>
        <w:t>Laurie H. Glimcher</w:t>
      </w:r>
    </w:p>
    <w:p>
      <w:pPr>
        <w:spacing w:after="0" w:line="139" w:lineRule="exact"/>
        <w:rPr>
          <w:sz w:val="20"/>
          <w:szCs w:val="20"/>
          <w:color w:val="auto"/>
        </w:rPr>
      </w:pPr>
    </w:p>
    <w:p>
      <w:pPr>
        <w:ind w:left="660"/>
        <w:spacing w:after="0"/>
        <w:tabs>
          <w:tab w:leader="none" w:pos="3560" w:val="left"/>
          <w:tab w:leader="none" w:pos="4600" w:val="left"/>
        </w:tabs>
        <w:rPr>
          <w:sz w:val="20"/>
          <w:szCs w:val="20"/>
          <w:color w:val="auto"/>
        </w:rPr>
      </w:pPr>
      <w:r>
        <w:rPr>
          <w:rFonts w:ascii="Arial" w:cs="Arial" w:eastAsia="Arial" w:hAnsi="Arial"/>
          <w:sz w:val="19"/>
          <w:szCs w:val="19"/>
          <w:color w:val="0066BA"/>
        </w:rPr>
        <w:t xml:space="preserve">Independent Director since: </w:t>
      </w:r>
      <w:r>
        <w:rPr>
          <w:rFonts w:ascii="Arial" w:cs="Arial" w:eastAsia="Arial" w:hAnsi="Arial"/>
          <w:sz w:val="19"/>
          <w:szCs w:val="19"/>
          <w:color w:val="000000"/>
        </w:rPr>
        <w:t>2020</w:t>
      </w:r>
      <w:r>
        <w:rPr>
          <w:sz w:val="20"/>
          <w:szCs w:val="20"/>
          <w:color w:val="auto"/>
        </w:rPr>
        <w:tab/>
      </w:r>
      <w:r>
        <w:rPr>
          <w:rFonts w:ascii="Arial" w:cs="Arial" w:eastAsia="Arial" w:hAnsi="Arial"/>
          <w:sz w:val="19"/>
          <w:szCs w:val="19"/>
          <w:color w:val="0066BA"/>
        </w:rPr>
        <w:t xml:space="preserve">Age: </w:t>
      </w:r>
      <w:r>
        <w:rPr>
          <w:rFonts w:ascii="Arial" w:cs="Arial" w:eastAsia="Arial" w:hAnsi="Arial"/>
          <w:sz w:val="19"/>
          <w:szCs w:val="19"/>
          <w:color w:val="000000"/>
        </w:rPr>
        <w:t>69</w:t>
      </w:r>
      <w:r>
        <w:rPr>
          <w:sz w:val="20"/>
          <w:szCs w:val="20"/>
          <w:color w:val="auto"/>
        </w:rPr>
        <w:tab/>
      </w:r>
      <w:r>
        <w:rPr>
          <w:rFonts w:ascii="Arial" w:cs="Arial" w:eastAsia="Arial" w:hAnsi="Arial"/>
          <w:sz w:val="17"/>
          <w:szCs w:val="17"/>
          <w:color w:val="0066BA"/>
        </w:rPr>
        <w:t xml:space="preserve">Committee(s): </w:t>
      </w:r>
      <w:r>
        <w:rPr>
          <w:rFonts w:ascii="Arial" w:cs="Arial" w:eastAsia="Arial" w:hAnsi="Arial"/>
          <w:sz w:val="17"/>
          <w:szCs w:val="17"/>
          <w:color w:val="000000"/>
        </w:rPr>
        <w:t>Compensation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Professional Experience and Background</w:t>
      </w:r>
    </w:p>
    <w:p>
      <w:pPr>
        <w:spacing w:after="0" w:line="25" w:lineRule="exact"/>
        <w:rPr>
          <w:sz w:val="20"/>
          <w:szCs w:val="20"/>
          <w:color w:val="auto"/>
        </w:rPr>
      </w:pPr>
    </w:p>
    <w:p>
      <w:pPr>
        <w:ind w:left="660" w:right="2199"/>
        <w:spacing w:after="0" w:line="256" w:lineRule="auto"/>
        <w:rPr>
          <w:sz w:val="20"/>
          <w:szCs w:val="20"/>
          <w:color w:val="auto"/>
        </w:rPr>
      </w:pPr>
      <w:r>
        <w:rPr>
          <w:rFonts w:ascii="Arial" w:cs="Arial" w:eastAsia="Arial" w:hAnsi="Arial"/>
          <w:sz w:val="17"/>
          <w:szCs w:val="17"/>
          <w:color w:val="auto"/>
        </w:rPr>
        <w:t>Dr. Glimcher has served as a Professor of Microbiology and Immunology at Harvard Medical School since May 2017, the Richard and Susan Smith Professor of Medicine at Harvard Medical School and Dana-Farber Cancer Institute since October 2016, an Attending Physician, Department of Cancer Immunology and Virology at Dana-Farber Cancer Institute since October 2016 and the President and Chief Executive Officer of the Dana-Farber Cancer Institute since September 2016. In addition to a number of senior leadership roles held at both Harvard Medical School and Harvard School of Public Health from 1984 to 2011 and from October 2016 to present, she also served as the Stephen and Suzanne Weiss Dean and Professor of Medicine of Weill Cornell Medicine and as Provost for Medical Affairs of Cornell University from January 2012 to August 2016. She is a member of the Board of Trustees at the Dana-Farber Cancer Institute and a member of the US National Academy of Sciences, the National Academy of Medicine, the American Academy of Arts and Sciences and the American Philosophical Society.</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660" w:right="2139"/>
        <w:spacing w:after="0" w:line="271" w:lineRule="auto"/>
        <w:rPr>
          <w:sz w:val="20"/>
          <w:szCs w:val="20"/>
          <w:color w:val="auto"/>
        </w:rPr>
      </w:pPr>
      <w:r>
        <w:rPr>
          <w:rFonts w:ascii="Arial" w:cs="Arial" w:eastAsia="Arial" w:hAnsi="Arial"/>
          <w:sz w:val="17"/>
          <w:szCs w:val="17"/>
          <w:color w:val="auto"/>
        </w:rPr>
        <w:t>Dr. Glimcher’s scientific and public health expertise as well as diversity of technical skills and experience as a physician, scientist and professor.</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Other Public Company Boards:</w:t>
      </w:r>
    </w:p>
    <w:p>
      <w:pPr>
        <w:spacing w:after="0" w:line="25"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7"/>
          <w:szCs w:val="17"/>
          <w:color w:val="0066BA"/>
        </w:rPr>
        <w:t>Current:</w:t>
      </w:r>
      <w:r>
        <w:rPr>
          <w:sz w:val="20"/>
          <w:szCs w:val="20"/>
          <w:color w:val="auto"/>
        </w:rPr>
        <w:tab/>
      </w:r>
      <w:r>
        <w:rPr>
          <w:rFonts w:ascii="Arial" w:cs="Arial" w:eastAsia="Arial" w:hAnsi="Arial"/>
          <w:sz w:val="17"/>
          <w:szCs w:val="17"/>
          <w:color w:val="auto"/>
        </w:rPr>
        <w:t>GlaxoSmithKline plc</w:t>
      </w:r>
    </w:p>
    <w:p>
      <w:pPr>
        <w:spacing w:after="0" w:line="13" w:lineRule="exact"/>
        <w:rPr>
          <w:sz w:val="20"/>
          <w:szCs w:val="20"/>
          <w:color w:val="auto"/>
        </w:rPr>
      </w:pPr>
    </w:p>
    <w:p>
      <w:pPr>
        <w:jc w:val="center"/>
        <w:ind w:right="4639"/>
        <w:spacing w:after="0"/>
        <w:rPr>
          <w:sz w:val="20"/>
          <w:szCs w:val="20"/>
          <w:color w:val="auto"/>
        </w:rPr>
      </w:pPr>
      <w:r>
        <w:rPr>
          <w:rFonts w:ascii="Arial" w:cs="Arial" w:eastAsia="Arial" w:hAnsi="Arial"/>
          <w:sz w:val="17"/>
          <w:szCs w:val="17"/>
          <w:color w:val="0066BA"/>
        </w:rPr>
        <w:t xml:space="preserve">Past 5 Years: </w:t>
      </w:r>
      <w:r>
        <w:rPr>
          <w:rFonts w:ascii="Arial" w:cs="Arial" w:eastAsia="Arial" w:hAnsi="Arial"/>
          <w:sz w:val="17"/>
          <w:szCs w:val="17"/>
          <w:color w:val="000000"/>
        </w:rPr>
        <w:t>Bristol-Myers Squibb Company (until 2017)</w:t>
      </w:r>
    </w:p>
    <w:p>
      <w:pPr>
        <w:spacing w:after="0" w:line="13"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Waters Corporation (until 2020)</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139"/>
          </w:cols>
          <w:pgMar w:left="320" w:top="447" w:right="1440" w:bottom="1440" w:gutter="0" w:footer="0" w:header="0"/>
          <w:type w:val="continuous"/>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201295</wp:posOffset>
            </wp:positionV>
            <wp:extent cx="6534150" cy="30314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34150" cy="3031490"/>
                    </a:xfrm>
                    <a:prstGeom prst="rect">
                      <a:avLst/>
                    </a:prstGeom>
                    <a:noFill/>
                  </pic:spPr>
                </pic:pic>
              </a:graphicData>
            </a:graphic>
          </wp:anchor>
        </w:drawing>
      </w:r>
    </w:p>
    <w:p>
      <w:pPr>
        <w:spacing w:after="0" w:line="303" w:lineRule="exact"/>
        <w:rPr>
          <w:sz w:val="20"/>
          <w:szCs w:val="20"/>
          <w:color w:val="auto"/>
        </w:rPr>
      </w:pPr>
    </w:p>
    <w:p>
      <w:pPr>
        <w:ind w:left="660"/>
        <w:spacing w:after="0"/>
        <w:rPr>
          <w:sz w:val="20"/>
          <w:szCs w:val="20"/>
          <w:color w:val="auto"/>
        </w:rPr>
      </w:pPr>
      <w:r>
        <w:rPr>
          <w:rFonts w:ascii="Arial" w:cs="Arial" w:eastAsia="Arial" w:hAnsi="Arial"/>
          <w:sz w:val="38"/>
          <w:szCs w:val="38"/>
          <w:color w:val="0066BA"/>
        </w:rPr>
        <w:t>Karen M. Golz</w:t>
      </w:r>
    </w:p>
    <w:p>
      <w:pPr>
        <w:spacing w:after="0" w:line="143" w:lineRule="exact"/>
        <w:rPr>
          <w:sz w:val="20"/>
          <w:szCs w:val="20"/>
          <w:color w:val="auto"/>
        </w:rPr>
      </w:pPr>
    </w:p>
    <w:p>
      <w:pPr>
        <w:ind w:left="660"/>
        <w:spacing w:after="0"/>
        <w:tabs>
          <w:tab w:leader="none" w:pos="3300" w:val="left"/>
          <w:tab w:leader="none" w:pos="4240" w:val="left"/>
        </w:tabs>
        <w:rPr>
          <w:sz w:val="20"/>
          <w:szCs w:val="20"/>
          <w:color w:val="auto"/>
        </w:rPr>
      </w:pPr>
      <w:r>
        <w:rPr>
          <w:rFonts w:ascii="Arial" w:cs="Arial" w:eastAsia="Arial" w:hAnsi="Arial"/>
          <w:sz w:val="17"/>
          <w:szCs w:val="17"/>
          <w:color w:val="0066BA"/>
        </w:rPr>
        <w:t xml:space="preserve">Independent Director since: </w:t>
      </w:r>
      <w:r>
        <w:rPr>
          <w:rFonts w:ascii="Arial" w:cs="Arial" w:eastAsia="Arial" w:hAnsi="Arial"/>
          <w:sz w:val="17"/>
          <w:szCs w:val="17"/>
          <w:color w:val="000000"/>
        </w:rPr>
        <w:t>2018</w:t>
      </w:r>
      <w:r>
        <w:rPr>
          <w:sz w:val="20"/>
          <w:szCs w:val="20"/>
          <w:color w:val="auto"/>
        </w:rPr>
        <w:tab/>
      </w:r>
      <w:r>
        <w:rPr>
          <w:rFonts w:ascii="Arial" w:cs="Arial" w:eastAsia="Arial" w:hAnsi="Arial"/>
          <w:sz w:val="17"/>
          <w:szCs w:val="17"/>
          <w:color w:val="0066BA"/>
        </w:rPr>
        <w:t xml:space="preserve">Age: </w:t>
      </w:r>
      <w:r>
        <w:rPr>
          <w:rFonts w:ascii="Arial" w:cs="Arial" w:eastAsia="Arial" w:hAnsi="Arial"/>
          <w:sz w:val="17"/>
          <w:szCs w:val="17"/>
          <w:color w:val="000000"/>
        </w:rPr>
        <w:t>66</w:t>
      </w:r>
      <w:r>
        <w:rPr>
          <w:sz w:val="20"/>
          <w:szCs w:val="20"/>
          <w:color w:val="auto"/>
        </w:rPr>
        <w:tab/>
      </w:r>
      <w:r>
        <w:rPr>
          <w:rFonts w:ascii="Arial" w:cs="Arial" w:eastAsia="Arial" w:hAnsi="Arial"/>
          <w:sz w:val="16"/>
          <w:szCs w:val="16"/>
          <w:color w:val="0066BA"/>
        </w:rPr>
        <w:t xml:space="preserve">Committee(s): </w:t>
      </w:r>
      <w:r>
        <w:rPr>
          <w:rFonts w:ascii="Arial" w:cs="Arial" w:eastAsia="Arial" w:hAnsi="Arial"/>
          <w:sz w:val="16"/>
          <w:szCs w:val="16"/>
          <w:color w:val="000000"/>
        </w:rPr>
        <w:t>Audit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Professional Experience and Background</w:t>
      </w:r>
    </w:p>
    <w:p>
      <w:pPr>
        <w:spacing w:after="0" w:line="25" w:lineRule="exact"/>
        <w:rPr>
          <w:sz w:val="20"/>
          <w:szCs w:val="20"/>
          <w:color w:val="auto"/>
        </w:rPr>
      </w:pPr>
    </w:p>
    <w:p>
      <w:pPr>
        <w:ind w:left="660" w:right="3020"/>
        <w:spacing w:after="0" w:line="257" w:lineRule="auto"/>
        <w:rPr>
          <w:sz w:val="20"/>
          <w:szCs w:val="20"/>
          <w:color w:val="auto"/>
        </w:rPr>
      </w:pPr>
      <w:r>
        <w:rPr>
          <w:rFonts w:ascii="Arial" w:cs="Arial" w:eastAsia="Arial" w:hAnsi="Arial"/>
          <w:sz w:val="17"/>
          <w:szCs w:val="17"/>
          <w:color w:val="auto"/>
        </w:rPr>
        <w:t>Ms. Golz is a retired partner from Ernst &amp; Young (EY), a public accounting firm, where she held various senior leadership positions during her tenure at the firm, including most recently as Global Vice Chair, Japan from July 2016 to June 2017 and prior thereto, from July 2010 to June 2016, as Global Vice Chair, Professional Practice. Ms. Golz also served on EY’s Global Risk Management Executive Committee, which was charged with risk management across EY’s global network, from 2008 to 2016. Ms. Golz currently serves as senior advisor to The Boston Consulting Group’s Audit and Risk Committee, a role she has held since August 2017, and as a principal for K.M. Golz Associates, LLC, a consulting services company, since August 2017. She also sits on the Board of Trustees of the University of Illinois Foundation. Ms. Golz is also a National Association of Corporate Directors (NACD) Board Leadership Fellow.</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660" w:right="3660"/>
        <w:spacing w:after="0" w:line="303" w:lineRule="auto"/>
        <w:rPr>
          <w:sz w:val="20"/>
          <w:szCs w:val="20"/>
          <w:color w:val="auto"/>
        </w:rPr>
      </w:pPr>
      <w:r>
        <w:rPr>
          <w:rFonts w:ascii="Arial" w:cs="Arial" w:eastAsia="Arial" w:hAnsi="Arial"/>
          <w:sz w:val="16"/>
          <w:szCs w:val="16"/>
          <w:color w:val="auto"/>
        </w:rPr>
        <w:t>Ms. Golz’s accounting and audit expertise and extensive experience helping large organizations successfully navigate the complexities of international trade and regulation.</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Other Public Company Boards:</w:t>
      </w:r>
    </w:p>
    <w:p>
      <w:pPr>
        <w:spacing w:after="0" w:line="25"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7"/>
          <w:szCs w:val="17"/>
          <w:color w:val="0066BA"/>
        </w:rPr>
        <w:t xml:space="preserve">Current: </w:t>
      </w:r>
      <w:r>
        <w:rPr>
          <w:rFonts w:ascii="Arial" w:cs="Arial" w:eastAsia="Arial" w:hAnsi="Arial"/>
          <w:sz w:val="17"/>
          <w:szCs w:val="17"/>
          <w:color w:val="000000"/>
        </w:rPr>
        <w:t>None</w:t>
      </w:r>
      <w:r>
        <w:rPr>
          <w:sz w:val="20"/>
          <w:szCs w:val="20"/>
          <w:color w:val="auto"/>
        </w:rPr>
        <w:tab/>
      </w:r>
      <w:r>
        <w:rPr>
          <w:rFonts w:ascii="Arial" w:cs="Arial" w:eastAsia="Arial" w:hAnsi="Arial"/>
          <w:sz w:val="15"/>
          <w:szCs w:val="15"/>
          <w:color w:val="0066BA"/>
        </w:rPr>
        <w:t xml:space="preserve">Past 5 Years: </w:t>
      </w:r>
      <w:r>
        <w:rPr>
          <w:rFonts w:ascii="Arial" w:cs="Arial" w:eastAsia="Arial" w:hAnsi="Arial"/>
          <w:sz w:val="15"/>
          <w:szCs w:val="15"/>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305435</wp:posOffset>
            </wp:positionV>
            <wp:extent cx="6534150" cy="25031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34150" cy="250317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Arial" w:cs="Arial" w:eastAsia="Arial" w:hAnsi="Arial"/>
          <w:sz w:val="38"/>
          <w:szCs w:val="38"/>
          <w:color w:val="0066BA"/>
        </w:rPr>
        <w:t>Mark M. Little</w:t>
      </w:r>
    </w:p>
    <w:p>
      <w:pPr>
        <w:spacing w:after="0" w:line="143" w:lineRule="exact"/>
        <w:rPr>
          <w:sz w:val="20"/>
          <w:szCs w:val="20"/>
          <w:color w:val="auto"/>
        </w:rPr>
      </w:pPr>
    </w:p>
    <w:p>
      <w:pPr>
        <w:ind w:left="660"/>
        <w:spacing w:after="0"/>
        <w:tabs>
          <w:tab w:leader="none" w:pos="3300" w:val="left"/>
          <w:tab w:leader="none" w:pos="4240" w:val="left"/>
        </w:tabs>
        <w:rPr>
          <w:sz w:val="20"/>
          <w:szCs w:val="20"/>
          <w:color w:val="auto"/>
        </w:rPr>
      </w:pPr>
      <w:r>
        <w:rPr>
          <w:rFonts w:ascii="Arial" w:cs="Arial" w:eastAsia="Arial" w:hAnsi="Arial"/>
          <w:sz w:val="17"/>
          <w:szCs w:val="17"/>
          <w:color w:val="0066BA"/>
        </w:rPr>
        <w:t xml:space="preserve">Independent Director since: </w:t>
      </w:r>
      <w:r>
        <w:rPr>
          <w:rFonts w:ascii="Arial" w:cs="Arial" w:eastAsia="Arial" w:hAnsi="Arial"/>
          <w:sz w:val="17"/>
          <w:szCs w:val="17"/>
          <w:color w:val="000000"/>
        </w:rPr>
        <w:t>2017</w:t>
      </w:r>
      <w:r>
        <w:rPr>
          <w:sz w:val="20"/>
          <w:szCs w:val="20"/>
          <w:color w:val="auto"/>
        </w:rPr>
        <w:tab/>
      </w:r>
      <w:r>
        <w:rPr>
          <w:rFonts w:ascii="Arial" w:cs="Arial" w:eastAsia="Arial" w:hAnsi="Arial"/>
          <w:sz w:val="17"/>
          <w:szCs w:val="17"/>
          <w:color w:val="0066BA"/>
        </w:rPr>
        <w:t xml:space="preserve">Age: </w:t>
      </w:r>
      <w:r>
        <w:rPr>
          <w:rFonts w:ascii="Arial" w:cs="Arial" w:eastAsia="Arial" w:hAnsi="Arial"/>
          <w:sz w:val="17"/>
          <w:szCs w:val="17"/>
          <w:color w:val="000000"/>
        </w:rPr>
        <w:t>68</w:t>
      </w:r>
      <w:r>
        <w:rPr>
          <w:sz w:val="20"/>
          <w:szCs w:val="20"/>
          <w:color w:val="auto"/>
        </w:rPr>
        <w:tab/>
      </w:r>
      <w:r>
        <w:rPr>
          <w:rFonts w:ascii="Arial" w:cs="Arial" w:eastAsia="Arial" w:hAnsi="Arial"/>
          <w:sz w:val="15"/>
          <w:szCs w:val="15"/>
          <w:color w:val="0066BA"/>
        </w:rPr>
        <w:t xml:space="preserve">Committee(s): </w:t>
      </w:r>
      <w:r>
        <w:rPr>
          <w:rFonts w:ascii="Arial" w:cs="Arial" w:eastAsia="Arial" w:hAnsi="Arial"/>
          <w:sz w:val="15"/>
          <w:szCs w:val="15"/>
          <w:color w:val="000000"/>
        </w:rPr>
        <w:t>Compensation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Professional Experience and Background</w:t>
      </w:r>
    </w:p>
    <w:p>
      <w:pPr>
        <w:spacing w:after="0" w:line="25" w:lineRule="exact"/>
        <w:rPr>
          <w:sz w:val="20"/>
          <w:szCs w:val="20"/>
          <w:color w:val="auto"/>
        </w:rPr>
      </w:pPr>
    </w:p>
    <w:p>
      <w:pPr>
        <w:ind w:left="660" w:right="3080"/>
        <w:spacing w:after="0" w:line="258" w:lineRule="auto"/>
        <w:rPr>
          <w:sz w:val="20"/>
          <w:szCs w:val="20"/>
          <w:color w:val="auto"/>
        </w:rPr>
      </w:pPr>
      <w:r>
        <w:rPr>
          <w:rFonts w:ascii="Arial" w:cs="Arial" w:eastAsia="Arial" w:hAnsi="Arial"/>
          <w:sz w:val="17"/>
          <w:szCs w:val="17"/>
          <w:color w:val="auto"/>
        </w:rPr>
        <w:t>Dr. Little is the former Senior Vice President, GE Global Research and Chief Technology Officer of General Electric Company, or GE, a global digital industrial company. Dr. Little joined GE in 1978, and during his 37-year tenure, held management positions in engineering and business, culminating with his most recent position, which he held from November 2005 until his retirement in December 2015. In addition to his technology leadership, Dr. Little led several multi-billion dollar business units at GE, including GE Energy’s power-generation segment.</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660" w:right="3420"/>
        <w:spacing w:after="0" w:line="339" w:lineRule="auto"/>
        <w:rPr>
          <w:sz w:val="20"/>
          <w:szCs w:val="20"/>
          <w:color w:val="auto"/>
        </w:rPr>
      </w:pPr>
      <w:r>
        <w:rPr>
          <w:rFonts w:ascii="Arial" w:cs="Arial" w:eastAsia="Arial" w:hAnsi="Arial"/>
          <w:sz w:val="15"/>
          <w:szCs w:val="15"/>
          <w:color w:val="auto"/>
        </w:rPr>
        <w:t>Dr. Little’s extensive leadership experience in a global technology company, combined with his experience driving change and innovation through GE’s various phases of business transformation.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Other Public Company Boards:</w:t>
      </w:r>
    </w:p>
    <w:p>
      <w:pPr>
        <w:spacing w:after="0" w:line="25"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7"/>
          <w:szCs w:val="17"/>
          <w:color w:val="0066BA"/>
        </w:rPr>
        <w:t xml:space="preserve">Current: </w:t>
      </w:r>
      <w:r>
        <w:rPr>
          <w:rFonts w:ascii="Arial" w:cs="Arial" w:eastAsia="Arial" w:hAnsi="Arial"/>
          <w:sz w:val="17"/>
          <w:szCs w:val="17"/>
          <w:color w:val="000000"/>
        </w:rPr>
        <w:t>None</w:t>
      </w:r>
      <w:r>
        <w:rPr>
          <w:sz w:val="20"/>
          <w:szCs w:val="20"/>
          <w:color w:val="auto"/>
        </w:rPr>
        <w:tab/>
      </w:r>
      <w:r>
        <w:rPr>
          <w:rFonts w:ascii="Arial" w:cs="Arial" w:eastAsia="Arial" w:hAnsi="Arial"/>
          <w:sz w:val="15"/>
          <w:szCs w:val="15"/>
          <w:color w:val="0066BA"/>
        </w:rPr>
        <w:t xml:space="preserve">Past 5 Years: </w:t>
      </w:r>
      <w:r>
        <w:rPr>
          <w:rFonts w:ascii="Arial" w:cs="Arial" w:eastAsia="Arial" w:hAnsi="Arial"/>
          <w:sz w:val="15"/>
          <w:szCs w:val="15"/>
          <w:color w:val="000000"/>
        </w:rPr>
        <w:t>None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940"/>
          </w:cols>
          <w:pgMar w:left="320" w:top="447" w:right="6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201295</wp:posOffset>
            </wp:positionV>
            <wp:extent cx="6534150" cy="24371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34150" cy="2437130"/>
                    </a:xfrm>
                    <a:prstGeom prst="rect">
                      <a:avLst/>
                    </a:prstGeom>
                    <a:noFill/>
                  </pic:spPr>
                </pic:pic>
              </a:graphicData>
            </a:graphic>
          </wp:anchor>
        </w:drawing>
      </w:r>
    </w:p>
    <w:p>
      <w:pPr>
        <w:spacing w:after="0" w:line="303" w:lineRule="exact"/>
        <w:rPr>
          <w:sz w:val="20"/>
          <w:szCs w:val="20"/>
          <w:color w:val="auto"/>
        </w:rPr>
      </w:pPr>
    </w:p>
    <w:p>
      <w:pPr>
        <w:ind w:left="660"/>
        <w:spacing w:after="0"/>
        <w:rPr>
          <w:sz w:val="20"/>
          <w:szCs w:val="20"/>
          <w:color w:val="auto"/>
        </w:rPr>
      </w:pPr>
      <w:r>
        <w:rPr>
          <w:rFonts w:ascii="Arial" w:cs="Arial" w:eastAsia="Arial" w:hAnsi="Arial"/>
          <w:sz w:val="38"/>
          <w:szCs w:val="38"/>
          <w:color w:val="0066BA"/>
        </w:rPr>
        <w:t>Kenton J. Sicchitano</w:t>
      </w:r>
    </w:p>
    <w:p>
      <w:pPr>
        <w:spacing w:after="0" w:line="104" w:lineRule="exact"/>
        <w:rPr>
          <w:sz w:val="20"/>
          <w:szCs w:val="20"/>
          <w:color w:val="auto"/>
        </w:rPr>
      </w:pPr>
    </w:p>
    <w:p>
      <w:pPr>
        <w:ind w:left="660"/>
        <w:spacing w:after="0"/>
        <w:tabs>
          <w:tab w:leader="none" w:pos="3300" w:val="left"/>
          <w:tab w:leader="none" w:pos="4200" w:val="left"/>
        </w:tabs>
        <w:rPr>
          <w:sz w:val="20"/>
          <w:szCs w:val="20"/>
          <w:color w:val="auto"/>
        </w:rPr>
      </w:pPr>
      <w:r>
        <w:rPr>
          <w:rFonts w:ascii="Arial" w:cs="Arial" w:eastAsia="Arial" w:hAnsi="Arial"/>
          <w:sz w:val="17"/>
          <w:szCs w:val="17"/>
          <w:color w:val="0066BA"/>
        </w:rPr>
        <w:t xml:space="preserve">Independent Director since: </w:t>
      </w:r>
      <w:r>
        <w:rPr>
          <w:rFonts w:ascii="Arial" w:cs="Arial" w:eastAsia="Arial" w:hAnsi="Arial"/>
          <w:sz w:val="17"/>
          <w:szCs w:val="17"/>
          <w:color w:val="000000"/>
        </w:rPr>
        <w:t>2003</w:t>
      </w:r>
      <w:r>
        <w:rPr>
          <w:sz w:val="20"/>
          <w:szCs w:val="20"/>
          <w:color w:val="auto"/>
        </w:rPr>
        <w:tab/>
      </w:r>
      <w:r>
        <w:rPr>
          <w:rFonts w:ascii="Arial" w:cs="Arial" w:eastAsia="Arial" w:hAnsi="Arial"/>
          <w:sz w:val="17"/>
          <w:szCs w:val="17"/>
          <w:color w:val="0066BA"/>
        </w:rPr>
        <w:t xml:space="preserve">Age: </w:t>
      </w:r>
      <w:r>
        <w:rPr>
          <w:rFonts w:ascii="Arial" w:cs="Arial" w:eastAsia="Arial" w:hAnsi="Arial"/>
          <w:sz w:val="17"/>
          <w:szCs w:val="17"/>
          <w:color w:val="000000"/>
        </w:rPr>
        <w:t>76</w:t>
      </w:r>
      <w:r>
        <w:rPr>
          <w:sz w:val="20"/>
          <w:szCs w:val="20"/>
          <w:color w:val="auto"/>
        </w:rPr>
        <w:tab/>
      </w:r>
      <w:r>
        <w:rPr>
          <w:rFonts w:ascii="Arial" w:cs="Arial" w:eastAsia="Arial" w:hAnsi="Arial"/>
          <w:sz w:val="16"/>
          <w:szCs w:val="16"/>
          <w:color w:val="0066BA"/>
        </w:rPr>
        <w:t xml:space="preserve">Committee(s): </w:t>
      </w:r>
      <w:r>
        <w:rPr>
          <w:rFonts w:ascii="Arial" w:cs="Arial" w:eastAsia="Arial" w:hAnsi="Arial"/>
          <w:sz w:val="16"/>
          <w:szCs w:val="16"/>
          <w:color w:val="000000"/>
        </w:rPr>
        <w:t>Audit</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Professional Experience and Background</w:t>
      </w:r>
    </w:p>
    <w:p>
      <w:pPr>
        <w:spacing w:after="0" w:line="25" w:lineRule="exact"/>
        <w:rPr>
          <w:sz w:val="20"/>
          <w:szCs w:val="20"/>
          <w:color w:val="auto"/>
        </w:rPr>
      </w:pPr>
    </w:p>
    <w:p>
      <w:pPr>
        <w:ind w:left="660" w:right="2179"/>
        <w:spacing w:after="0" w:line="299" w:lineRule="auto"/>
        <w:rPr>
          <w:sz w:val="20"/>
          <w:szCs w:val="20"/>
          <w:color w:val="auto"/>
        </w:rPr>
      </w:pPr>
      <w:r>
        <w:rPr>
          <w:rFonts w:ascii="Arial" w:cs="Arial" w:eastAsia="Arial" w:hAnsi="Arial"/>
          <w:sz w:val="15"/>
          <w:szCs w:val="15"/>
          <w:color w:val="auto"/>
        </w:rPr>
        <w:t>Mr. Sicchitano retired from PricewaterhouseCoopers LLP, or PwC, a public accounting firm, in July 2001. At the time of his retirement, Mr. Sicchitano was the Global Managing Partner of Independence and Regulatory Matters for PwC. Mr. Sicchitano joined Price Waterhouse LLP, a predecessor firm of PwC, in 1970 and became a partner in 1979. During his 31-year tenure with PwC, Mr. Sicchitano held various positions including the Global Managing Partner of Audit/Business Advisory Services and the Global Managing Partner responsible for Audit/Business Advisory, Tax and Financial Advisory Services.</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660" w:right="2359"/>
        <w:spacing w:after="0" w:line="271" w:lineRule="auto"/>
        <w:rPr>
          <w:sz w:val="20"/>
          <w:szCs w:val="20"/>
          <w:color w:val="auto"/>
        </w:rPr>
      </w:pPr>
      <w:r>
        <w:rPr>
          <w:rFonts w:ascii="Arial" w:cs="Arial" w:eastAsia="Arial" w:hAnsi="Arial"/>
          <w:sz w:val="17"/>
          <w:szCs w:val="17"/>
          <w:color w:val="auto"/>
        </w:rPr>
        <w:t>Mr. Sicchitano’s extensive experience with public and financial accounting matters for complex global organizations.</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Other Public Company Boards:</w:t>
      </w:r>
    </w:p>
    <w:p>
      <w:pPr>
        <w:spacing w:after="0" w:line="25"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7"/>
          <w:szCs w:val="17"/>
          <w:color w:val="0066BA"/>
        </w:rPr>
        <w:t xml:space="preserve">Current: </w:t>
      </w:r>
      <w:r>
        <w:rPr>
          <w:rFonts w:ascii="Arial" w:cs="Arial" w:eastAsia="Arial" w:hAnsi="Arial"/>
          <w:sz w:val="17"/>
          <w:szCs w:val="17"/>
          <w:color w:val="000000"/>
        </w:rPr>
        <w:t>None</w:t>
      </w:r>
      <w:r>
        <w:rPr>
          <w:sz w:val="20"/>
          <w:szCs w:val="20"/>
          <w:color w:val="auto"/>
        </w:rPr>
        <w:tab/>
      </w:r>
      <w:r>
        <w:rPr>
          <w:rFonts w:ascii="Arial" w:cs="Arial" w:eastAsia="Arial" w:hAnsi="Arial"/>
          <w:sz w:val="15"/>
          <w:szCs w:val="15"/>
          <w:color w:val="0066BA"/>
        </w:rPr>
        <w:t xml:space="preserve">Past 5 Years: </w:t>
      </w:r>
      <w:r>
        <w:rPr>
          <w:rFonts w:ascii="Arial" w:cs="Arial" w:eastAsia="Arial" w:hAnsi="Arial"/>
          <w:sz w:val="15"/>
          <w:szCs w:val="15"/>
          <w:color w:val="000000"/>
        </w:rPr>
        <w:t>PerkinElmer, Inc. (until 2017)</w:t>
      </w:r>
    </w:p>
    <w:p>
      <w:pPr>
        <w:spacing w:after="0" w:line="13"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Metlife, Inc. (until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305435</wp:posOffset>
            </wp:positionV>
            <wp:extent cx="6534150" cy="36264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34150" cy="362648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Arial" w:cs="Arial" w:eastAsia="Arial" w:hAnsi="Arial"/>
          <w:sz w:val="38"/>
          <w:szCs w:val="38"/>
          <w:color w:val="0066BA"/>
        </w:rPr>
        <w:t>Susie Wee</w:t>
      </w:r>
    </w:p>
    <w:p>
      <w:pPr>
        <w:spacing w:after="0" w:line="104" w:lineRule="exact"/>
        <w:rPr>
          <w:sz w:val="20"/>
          <w:szCs w:val="20"/>
          <w:color w:val="auto"/>
        </w:rPr>
      </w:pPr>
    </w:p>
    <w:p>
      <w:pPr>
        <w:ind w:left="660"/>
        <w:spacing w:after="0"/>
        <w:tabs>
          <w:tab w:leader="none" w:pos="3300" w:val="left"/>
          <w:tab w:leader="none" w:pos="4200" w:val="left"/>
        </w:tabs>
        <w:rPr>
          <w:sz w:val="20"/>
          <w:szCs w:val="20"/>
          <w:color w:val="auto"/>
        </w:rPr>
      </w:pPr>
      <w:r>
        <w:rPr>
          <w:rFonts w:ascii="Arial" w:cs="Arial" w:eastAsia="Arial" w:hAnsi="Arial"/>
          <w:sz w:val="17"/>
          <w:szCs w:val="17"/>
          <w:color w:val="0066BA"/>
        </w:rPr>
        <w:t xml:space="preserve">Independent Director since: </w:t>
      </w:r>
      <w:r>
        <w:rPr>
          <w:rFonts w:ascii="Arial" w:cs="Arial" w:eastAsia="Arial" w:hAnsi="Arial"/>
          <w:sz w:val="17"/>
          <w:szCs w:val="17"/>
          <w:color w:val="000000"/>
        </w:rPr>
        <w:t>2019</w:t>
      </w:r>
      <w:r>
        <w:rPr>
          <w:sz w:val="20"/>
          <w:szCs w:val="20"/>
          <w:color w:val="auto"/>
        </w:rPr>
        <w:tab/>
      </w:r>
      <w:r>
        <w:rPr>
          <w:rFonts w:ascii="Arial" w:cs="Arial" w:eastAsia="Arial" w:hAnsi="Arial"/>
          <w:sz w:val="17"/>
          <w:szCs w:val="17"/>
          <w:color w:val="0066BA"/>
        </w:rPr>
        <w:t xml:space="preserve">Age: </w:t>
      </w:r>
      <w:r>
        <w:rPr>
          <w:rFonts w:ascii="Arial" w:cs="Arial" w:eastAsia="Arial" w:hAnsi="Arial"/>
          <w:sz w:val="17"/>
          <w:szCs w:val="17"/>
          <w:color w:val="000000"/>
        </w:rPr>
        <w:t>51</w:t>
      </w:r>
      <w:r>
        <w:rPr>
          <w:sz w:val="20"/>
          <w:szCs w:val="20"/>
          <w:color w:val="auto"/>
        </w:rPr>
        <w:tab/>
      </w:r>
      <w:r>
        <w:rPr>
          <w:rFonts w:ascii="Arial" w:cs="Arial" w:eastAsia="Arial" w:hAnsi="Arial"/>
          <w:sz w:val="15"/>
          <w:szCs w:val="15"/>
          <w:color w:val="0066BA"/>
        </w:rPr>
        <w:t xml:space="preserve">Committee(s): </w:t>
      </w:r>
      <w:r>
        <w:rPr>
          <w:rFonts w:ascii="Arial" w:cs="Arial" w:eastAsia="Arial" w:hAnsi="Arial"/>
          <w:sz w:val="15"/>
          <w:szCs w:val="15"/>
          <w:color w:val="000000"/>
        </w:rPr>
        <w:t>Compensation</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Professional Experience and Background</w:t>
      </w:r>
    </w:p>
    <w:p>
      <w:pPr>
        <w:spacing w:after="0" w:line="25" w:lineRule="exact"/>
        <w:rPr>
          <w:sz w:val="20"/>
          <w:szCs w:val="20"/>
          <w:color w:val="auto"/>
        </w:rPr>
      </w:pPr>
    </w:p>
    <w:p>
      <w:pPr>
        <w:ind w:left="660" w:right="2199"/>
        <w:spacing w:after="0" w:line="273" w:lineRule="auto"/>
        <w:rPr>
          <w:sz w:val="20"/>
          <w:szCs w:val="20"/>
          <w:color w:val="auto"/>
        </w:rPr>
      </w:pPr>
      <w:r>
        <w:rPr>
          <w:rFonts w:ascii="Arial" w:cs="Arial" w:eastAsia="Arial" w:hAnsi="Arial"/>
          <w:sz w:val="16"/>
          <w:szCs w:val="16"/>
          <w:color w:val="auto"/>
        </w:rPr>
        <w:t>Dr. Wee has served as the Senior Vice President and General Manager of DevNet and CX Ecosystem Success at Cisco Systems Inc., or Cisco, a technology company, since October 2019. She founded and has led DevNet, Cisco’s developer program, since October 2013. DevNet is a key pillar of Cisco’s software transformation strategy, has grown to a global community of over 500,000 developers and includes Cisco DevNet professional career certifications and business specializations for the partner ecosystem. Dr. Wee has been with Cisco since April 2011, and has held leadership roles including Senior Vice President &amp; Chief Technology Officer of DevNet from October 2018 to October 2019, Vice President &amp; Chief Technology Officer of DevNet from October 2013 to October 2018, Vice President &amp; Chief Technology Officer of Networked Experiences from October 2012 to October 2013, and Vice President &amp; Chief Technology and Experience Officer of Cisco’s Collaboration Technology Group from April 2011 to October 2012. Previously, Dr. Wee had a 15-year career at Hewlett Packard Enterprise Company, a technology company, where she held a number of technical and leadership roles, including Vice President and General Manager of the HP Experience Software Business and Lab Director at HP Labs. Dr. Wee is an Institute of Electrical and Electronics Engineers fellow and serves on the visiting committee of the Massachusetts Institute of Technology Electrical Engineering and Computer Science department and the board of Girls in Tech.</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660" w:right="2139"/>
        <w:spacing w:after="0" w:line="271" w:lineRule="auto"/>
        <w:rPr>
          <w:sz w:val="20"/>
          <w:szCs w:val="20"/>
          <w:color w:val="auto"/>
        </w:rPr>
      </w:pPr>
      <w:r>
        <w:rPr>
          <w:rFonts w:ascii="Arial" w:cs="Arial" w:eastAsia="Arial" w:hAnsi="Arial"/>
          <w:sz w:val="17"/>
          <w:szCs w:val="17"/>
          <w:color w:val="auto"/>
        </w:rPr>
        <w:t>Dr. Wee’s extensive experience in information technology and application development, together with her established track record of driving software innovation at global technology companies.</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17"/>
          <w:szCs w:val="17"/>
          <w:color w:val="0066BA"/>
        </w:rPr>
        <w:t>Other Public Company Boards:</w:t>
      </w:r>
    </w:p>
    <w:p>
      <w:pPr>
        <w:spacing w:after="0" w:line="25"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7"/>
          <w:szCs w:val="17"/>
          <w:color w:val="0066BA"/>
        </w:rPr>
        <w:t xml:space="preserve">Current: </w:t>
      </w:r>
      <w:r>
        <w:rPr>
          <w:rFonts w:ascii="Arial" w:cs="Arial" w:eastAsia="Arial" w:hAnsi="Arial"/>
          <w:sz w:val="17"/>
          <w:szCs w:val="17"/>
          <w:color w:val="000000"/>
        </w:rPr>
        <w:t>None</w:t>
      </w:r>
      <w:r>
        <w:rPr>
          <w:sz w:val="20"/>
          <w:szCs w:val="20"/>
          <w:color w:val="auto"/>
        </w:rPr>
        <w:tab/>
      </w:r>
      <w:r>
        <w:rPr>
          <w:rFonts w:ascii="Arial" w:cs="Arial" w:eastAsia="Arial" w:hAnsi="Arial"/>
          <w:sz w:val="15"/>
          <w:szCs w:val="15"/>
          <w:color w:val="0066BA"/>
        </w:rPr>
        <w:t>Past 5 Years</w:t>
      </w:r>
      <w:r>
        <w:rPr>
          <w:rFonts w:ascii="Arial" w:cs="Arial" w:eastAsia="Arial" w:hAnsi="Arial"/>
          <w:sz w:val="15"/>
          <w:szCs w:val="15"/>
          <w:color w:val="000000"/>
        </w:rPr>
        <w:t>: None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139"/>
          </w:cols>
          <w:pgMar w:left="320" w:top="447" w:right="1440"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480"/>
        <w:spacing w:after="0"/>
        <w:rPr>
          <w:sz w:val="20"/>
          <w:szCs w:val="20"/>
          <w:color w:val="auto"/>
        </w:rPr>
      </w:pPr>
      <w:r>
        <w:rPr>
          <w:rFonts w:ascii="Arial" w:cs="Arial" w:eastAsia="Arial" w:hAnsi="Arial"/>
          <w:sz w:val="55"/>
          <w:szCs w:val="55"/>
          <w:color w:val="auto"/>
        </w:rPr>
        <w:t>Corporate Governance</w:t>
      </w:r>
    </w:p>
    <w:p>
      <w:pPr>
        <w:spacing w:after="0" w:line="385"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Board Policies &amp; Practices</w:t>
      </w:r>
    </w:p>
    <w:p>
      <w:pPr>
        <w:spacing w:after="0" w:line="125" w:lineRule="exact"/>
        <w:rPr>
          <w:sz w:val="20"/>
          <w:szCs w:val="20"/>
          <w:color w:val="auto"/>
        </w:rPr>
      </w:pPr>
    </w:p>
    <w:p>
      <w:pPr>
        <w:ind w:left="480" w:right="1680"/>
        <w:spacing w:after="0" w:line="263" w:lineRule="auto"/>
        <w:rPr>
          <w:sz w:val="20"/>
          <w:szCs w:val="20"/>
          <w:color w:val="auto"/>
        </w:rPr>
      </w:pPr>
      <w:r>
        <w:rPr>
          <w:rFonts w:ascii="Arial" w:cs="Arial" w:eastAsia="Arial" w:hAnsi="Arial"/>
          <w:sz w:val="17"/>
          <w:szCs w:val="17"/>
          <w:color w:val="auto"/>
        </w:rPr>
        <w:t>We have long believed that good corporate governance is important to ensure that Analog Devices is managed for the long-term benefit of our shareholders. We periodically review our corporate governance policies and practices and compare them to those suggested by various authorities in corporate governance and the practices of other public companies. As a result, we have adopted the following policies and procedures that we believe are in the best interests of Analog Devices and our shareholders:</w:t>
      </w:r>
    </w:p>
    <w:p>
      <w:pPr>
        <w:spacing w:after="0" w:line="216" w:lineRule="exact"/>
        <w:rPr>
          <w:sz w:val="20"/>
          <w:szCs w:val="20"/>
          <w:color w:val="auto"/>
        </w:rPr>
      </w:pPr>
    </w:p>
    <w:tbl>
      <w:tblPr>
        <w:tblLayout w:type="fixed"/>
        <w:tblInd w:w="480" w:type="dxa"/>
        <w:tblCellMar>
          <w:top w:w="0" w:type="dxa"/>
          <w:left w:w="0" w:type="dxa"/>
          <w:bottom w:w="0" w:type="dxa"/>
          <w:right w:w="0" w:type="dxa"/>
        </w:tblCellMar>
      </w:tblPr>
      <w:tr>
        <w:trPr>
          <w:trHeight w:val="279"/>
        </w:trPr>
        <w:tc>
          <w:tcPr>
            <w:tcW w:w="1140" w:type="dxa"/>
            <w:vAlign w:val="bottom"/>
            <w:tcBorders>
              <w:bottom w:val="single" w:sz="8" w:color="0066BA"/>
            </w:tcBorders>
            <w:shd w:val="clear" w:color="auto" w:fill="0066BA"/>
          </w:tcPr>
          <w:p>
            <w:pPr>
              <w:ind w:left="60"/>
              <w:spacing w:after="0"/>
              <w:rPr>
                <w:sz w:val="20"/>
                <w:szCs w:val="20"/>
                <w:color w:val="auto"/>
              </w:rPr>
            </w:pPr>
            <w:r>
              <w:rPr>
                <w:rFonts w:ascii="Arial" w:cs="Arial" w:eastAsia="Arial" w:hAnsi="Arial"/>
                <w:sz w:val="14"/>
                <w:szCs w:val="14"/>
                <w:b w:val="1"/>
                <w:bCs w:val="1"/>
                <w:color w:val="FFFFFF"/>
              </w:rPr>
              <w:t>Policy/Practice</w:t>
            </w:r>
          </w:p>
        </w:tc>
        <w:tc>
          <w:tcPr>
            <w:tcW w:w="9140" w:type="dxa"/>
            <w:vAlign w:val="bottom"/>
            <w:tcBorders>
              <w:bottom w:val="single" w:sz="8" w:color="0066BA"/>
            </w:tcBorders>
            <w:shd w:val="clear" w:color="auto" w:fill="0066BA"/>
          </w:tcPr>
          <w:p>
            <w:pPr>
              <w:ind w:left="20"/>
              <w:spacing w:after="0"/>
              <w:rPr>
                <w:sz w:val="20"/>
                <w:szCs w:val="20"/>
                <w:color w:val="auto"/>
              </w:rPr>
            </w:pPr>
            <w:r>
              <w:rPr>
                <w:rFonts w:ascii="Arial" w:cs="Arial" w:eastAsia="Arial" w:hAnsi="Arial"/>
                <w:sz w:val="14"/>
                <w:szCs w:val="14"/>
                <w:b w:val="1"/>
                <w:bCs w:val="1"/>
                <w:color w:val="FFFFFF"/>
              </w:rPr>
              <w:t>Summary</w:t>
            </w:r>
          </w:p>
        </w:tc>
        <w:tc>
          <w:tcPr>
            <w:tcW w:w="0" w:type="dxa"/>
            <w:vAlign w:val="bottom"/>
          </w:tcPr>
          <w:p>
            <w:pPr>
              <w:spacing w:after="0"/>
              <w:rPr>
                <w:sz w:val="1"/>
                <w:szCs w:val="1"/>
                <w:color w:val="auto"/>
              </w:rPr>
            </w:pPr>
          </w:p>
        </w:tc>
      </w:tr>
      <w:tr>
        <w:trPr>
          <w:trHeight w:val="248"/>
        </w:trPr>
        <w:tc>
          <w:tcPr>
            <w:tcW w:w="1140" w:type="dxa"/>
            <w:vAlign w:val="bottom"/>
          </w:tcPr>
          <w:p>
            <w:pPr>
              <w:ind w:left="60"/>
              <w:spacing w:after="0"/>
              <w:rPr>
                <w:sz w:val="20"/>
                <w:szCs w:val="20"/>
                <w:color w:val="auto"/>
              </w:rPr>
            </w:pPr>
            <w:r>
              <w:rPr>
                <w:rFonts w:ascii="Arial" w:cs="Arial" w:eastAsia="Arial" w:hAnsi="Arial"/>
                <w:sz w:val="17"/>
                <w:szCs w:val="17"/>
                <w:color w:val="auto"/>
              </w:rPr>
              <w:t>Corporate</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rPr>
              <w:t>Our Board of Directors has adopted Corporate Governance Guidelines for our Company that establish a common set of</w:t>
            </w:r>
          </w:p>
        </w:tc>
        <w:tc>
          <w:tcPr>
            <w:tcW w:w="0" w:type="dxa"/>
            <w:vAlign w:val="bottom"/>
          </w:tcPr>
          <w:p>
            <w:pPr>
              <w:spacing w:after="0"/>
              <w:rPr>
                <w:sz w:val="1"/>
                <w:szCs w:val="1"/>
                <w:color w:val="auto"/>
              </w:rPr>
            </w:pPr>
          </w:p>
        </w:tc>
      </w:tr>
      <w:tr>
        <w:trPr>
          <w:trHeight w:val="208"/>
        </w:trPr>
        <w:tc>
          <w:tcPr>
            <w:tcW w:w="1140" w:type="dxa"/>
            <w:vAlign w:val="bottom"/>
          </w:tcPr>
          <w:p>
            <w:pPr>
              <w:ind w:left="60"/>
              <w:spacing w:after="0"/>
              <w:rPr>
                <w:sz w:val="20"/>
                <w:szCs w:val="20"/>
                <w:color w:val="auto"/>
              </w:rPr>
            </w:pPr>
            <w:r>
              <w:rPr>
                <w:rFonts w:ascii="Arial" w:cs="Arial" w:eastAsia="Arial" w:hAnsi="Arial"/>
                <w:sz w:val="17"/>
                <w:szCs w:val="17"/>
                <w:color w:val="auto"/>
              </w:rPr>
              <w:t>Governance</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w w:val="98"/>
              </w:rPr>
              <w:t>expectations to assist the Board and its committees in performing their duties. The Board reviews these Guidelines at least</w:t>
            </w:r>
          </w:p>
        </w:tc>
        <w:tc>
          <w:tcPr>
            <w:tcW w:w="0" w:type="dxa"/>
            <w:vAlign w:val="bottom"/>
          </w:tcPr>
          <w:p>
            <w:pPr>
              <w:spacing w:after="0"/>
              <w:rPr>
                <w:sz w:val="1"/>
                <w:szCs w:val="1"/>
                <w:color w:val="auto"/>
              </w:rPr>
            </w:pPr>
          </w:p>
        </w:tc>
      </w:tr>
      <w:tr>
        <w:trPr>
          <w:trHeight w:val="234"/>
        </w:trPr>
        <w:tc>
          <w:tcPr>
            <w:tcW w:w="1140" w:type="dxa"/>
            <w:vAlign w:val="bottom"/>
          </w:tcPr>
          <w:p>
            <w:pPr>
              <w:ind w:left="60"/>
              <w:spacing w:after="0"/>
              <w:rPr>
                <w:sz w:val="20"/>
                <w:szCs w:val="20"/>
                <w:color w:val="auto"/>
              </w:rPr>
            </w:pPr>
            <w:r>
              <w:rPr>
                <w:rFonts w:ascii="Arial" w:cs="Arial" w:eastAsia="Arial" w:hAnsi="Arial"/>
                <w:sz w:val="17"/>
                <w:szCs w:val="17"/>
                <w:color w:val="auto"/>
              </w:rPr>
              <w:t>Guidelines</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rPr>
              <w:t>annually, and updates them as necessary to reflect changing regulatory requirements and evolving practices.</w:t>
            </w:r>
          </w:p>
        </w:tc>
        <w:tc>
          <w:tcPr>
            <w:tcW w:w="0" w:type="dxa"/>
            <w:vAlign w:val="bottom"/>
          </w:tcPr>
          <w:p>
            <w:pPr>
              <w:spacing w:after="0"/>
              <w:rPr>
                <w:sz w:val="1"/>
                <w:szCs w:val="1"/>
                <w:color w:val="auto"/>
              </w:rPr>
            </w:pPr>
          </w:p>
        </w:tc>
      </w:tr>
      <w:tr>
        <w:trPr>
          <w:trHeight w:val="65"/>
        </w:trPr>
        <w:tc>
          <w:tcPr>
            <w:tcW w:w="1140" w:type="dxa"/>
            <w:vAlign w:val="bottom"/>
            <w:tcBorders>
              <w:bottom w:val="single" w:sz="8" w:color="0066BA"/>
            </w:tcBorders>
          </w:tcPr>
          <w:p>
            <w:pPr>
              <w:spacing w:after="0"/>
              <w:rPr>
                <w:sz w:val="5"/>
                <w:szCs w:val="5"/>
                <w:color w:val="auto"/>
              </w:rPr>
            </w:pPr>
          </w:p>
        </w:tc>
        <w:tc>
          <w:tcPr>
            <w:tcW w:w="9140" w:type="dxa"/>
            <w:vAlign w:val="bottom"/>
            <w:tcBorders>
              <w:bottom w:val="single" w:sz="8" w:color="0066BA"/>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140" w:type="dxa"/>
            <w:vAlign w:val="bottom"/>
          </w:tcPr>
          <w:p>
            <w:pPr>
              <w:ind w:left="60"/>
              <w:spacing w:after="0"/>
              <w:rPr>
                <w:sz w:val="20"/>
                <w:szCs w:val="20"/>
                <w:color w:val="auto"/>
              </w:rPr>
            </w:pPr>
            <w:r>
              <w:rPr>
                <w:rFonts w:ascii="Arial" w:cs="Arial" w:eastAsia="Arial" w:hAnsi="Arial"/>
                <w:sz w:val="17"/>
                <w:szCs w:val="17"/>
                <w:color w:val="auto"/>
              </w:rPr>
              <w:t>Declassified</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w w:val="93"/>
              </w:rPr>
              <w:t>We have a declassified Board of Directors and our bylaws provide that each director will serve for a term ending on the date of the</w:t>
            </w:r>
          </w:p>
        </w:tc>
        <w:tc>
          <w:tcPr>
            <w:tcW w:w="0" w:type="dxa"/>
            <w:vAlign w:val="bottom"/>
          </w:tcPr>
          <w:p>
            <w:pPr>
              <w:spacing w:after="0"/>
              <w:rPr>
                <w:sz w:val="1"/>
                <w:szCs w:val="1"/>
                <w:color w:val="auto"/>
              </w:rPr>
            </w:pPr>
          </w:p>
        </w:tc>
      </w:tr>
      <w:tr>
        <w:trPr>
          <w:trHeight w:val="208"/>
        </w:trPr>
        <w:tc>
          <w:tcPr>
            <w:tcW w:w="1140" w:type="dxa"/>
            <w:vAlign w:val="bottom"/>
          </w:tcPr>
          <w:p>
            <w:pPr>
              <w:ind w:left="60"/>
              <w:spacing w:after="0"/>
              <w:rPr>
                <w:sz w:val="20"/>
                <w:szCs w:val="20"/>
                <w:color w:val="auto"/>
              </w:rPr>
            </w:pPr>
            <w:r>
              <w:rPr>
                <w:rFonts w:ascii="Arial" w:cs="Arial" w:eastAsia="Arial" w:hAnsi="Arial"/>
                <w:sz w:val="17"/>
                <w:szCs w:val="17"/>
                <w:color w:val="auto"/>
              </w:rPr>
              <w:t>Board of</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w w:val="95"/>
              </w:rPr>
              <w:t>annual meeting following the one at which such director was elected. All of our directors will stand for election for terms expiring</w:t>
            </w:r>
          </w:p>
        </w:tc>
        <w:tc>
          <w:tcPr>
            <w:tcW w:w="0" w:type="dxa"/>
            <w:vAlign w:val="bottom"/>
          </w:tcPr>
          <w:p>
            <w:pPr>
              <w:spacing w:after="0"/>
              <w:rPr>
                <w:sz w:val="1"/>
                <w:szCs w:val="1"/>
                <w:color w:val="auto"/>
              </w:rPr>
            </w:pPr>
          </w:p>
        </w:tc>
      </w:tr>
      <w:tr>
        <w:trPr>
          <w:trHeight w:val="234"/>
        </w:trPr>
        <w:tc>
          <w:tcPr>
            <w:tcW w:w="1140" w:type="dxa"/>
            <w:vAlign w:val="bottom"/>
          </w:tcPr>
          <w:p>
            <w:pPr>
              <w:ind w:left="60"/>
              <w:spacing w:after="0"/>
              <w:rPr>
                <w:sz w:val="20"/>
                <w:szCs w:val="20"/>
                <w:color w:val="auto"/>
              </w:rPr>
            </w:pPr>
            <w:r>
              <w:rPr>
                <w:rFonts w:ascii="Arial" w:cs="Arial" w:eastAsia="Arial" w:hAnsi="Arial"/>
                <w:sz w:val="17"/>
                <w:szCs w:val="17"/>
                <w:color w:val="auto"/>
              </w:rPr>
              <w:t>Directors</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rPr>
              <w:t>at the next annual meeting of shareholders.</w:t>
            </w:r>
          </w:p>
        </w:tc>
        <w:tc>
          <w:tcPr>
            <w:tcW w:w="0" w:type="dxa"/>
            <w:vAlign w:val="bottom"/>
          </w:tcPr>
          <w:p>
            <w:pPr>
              <w:spacing w:after="0"/>
              <w:rPr>
                <w:sz w:val="1"/>
                <w:szCs w:val="1"/>
                <w:color w:val="auto"/>
              </w:rPr>
            </w:pPr>
          </w:p>
        </w:tc>
      </w:tr>
      <w:tr>
        <w:trPr>
          <w:trHeight w:val="65"/>
        </w:trPr>
        <w:tc>
          <w:tcPr>
            <w:tcW w:w="1140" w:type="dxa"/>
            <w:vAlign w:val="bottom"/>
            <w:tcBorders>
              <w:bottom w:val="single" w:sz="8" w:color="0066BA"/>
            </w:tcBorders>
          </w:tcPr>
          <w:p>
            <w:pPr>
              <w:spacing w:after="0"/>
              <w:rPr>
                <w:sz w:val="5"/>
                <w:szCs w:val="5"/>
                <w:color w:val="auto"/>
              </w:rPr>
            </w:pPr>
          </w:p>
        </w:tc>
        <w:tc>
          <w:tcPr>
            <w:tcW w:w="9140" w:type="dxa"/>
            <w:vAlign w:val="bottom"/>
            <w:tcBorders>
              <w:bottom w:val="single" w:sz="8" w:color="0066BA"/>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140" w:type="dxa"/>
            <w:vAlign w:val="bottom"/>
          </w:tcPr>
          <w:p>
            <w:pPr>
              <w:ind w:left="60"/>
              <w:spacing w:after="0"/>
              <w:rPr>
                <w:sz w:val="20"/>
                <w:szCs w:val="20"/>
                <w:color w:val="auto"/>
              </w:rPr>
            </w:pPr>
            <w:r>
              <w:rPr>
                <w:rFonts w:ascii="Arial" w:cs="Arial" w:eastAsia="Arial" w:hAnsi="Arial"/>
                <w:sz w:val="17"/>
                <w:szCs w:val="17"/>
                <w:color w:val="auto"/>
              </w:rPr>
              <w:t>Majority</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w w:val="98"/>
              </w:rPr>
              <w:t>Our bylaws provide for a majority voting standard in uncontested director elections, so a nominee is elected to the Board of</w:t>
            </w:r>
          </w:p>
        </w:tc>
        <w:tc>
          <w:tcPr>
            <w:tcW w:w="0" w:type="dxa"/>
            <w:vAlign w:val="bottom"/>
          </w:tcPr>
          <w:p>
            <w:pPr>
              <w:spacing w:after="0"/>
              <w:rPr>
                <w:sz w:val="1"/>
                <w:szCs w:val="1"/>
                <w:color w:val="auto"/>
              </w:rPr>
            </w:pPr>
          </w:p>
        </w:tc>
      </w:tr>
      <w:tr>
        <w:trPr>
          <w:trHeight w:val="208"/>
        </w:trPr>
        <w:tc>
          <w:tcPr>
            <w:tcW w:w="1140" w:type="dxa"/>
            <w:vAlign w:val="bottom"/>
          </w:tcPr>
          <w:p>
            <w:pPr>
              <w:ind w:left="60"/>
              <w:spacing w:after="0"/>
              <w:rPr>
                <w:sz w:val="20"/>
                <w:szCs w:val="20"/>
                <w:color w:val="auto"/>
              </w:rPr>
            </w:pPr>
            <w:r>
              <w:rPr>
                <w:rFonts w:ascii="Arial" w:cs="Arial" w:eastAsia="Arial" w:hAnsi="Arial"/>
                <w:sz w:val="17"/>
                <w:szCs w:val="17"/>
                <w:color w:val="auto"/>
              </w:rPr>
              <w:t>Voting for</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w w:val="96"/>
              </w:rPr>
              <w:t>Directors if the votes “for” that director exceed the votes “against” (with abstentions and broker non-votes not counted as for or</w:t>
            </w:r>
          </w:p>
        </w:tc>
        <w:tc>
          <w:tcPr>
            <w:tcW w:w="0" w:type="dxa"/>
            <w:vAlign w:val="bottom"/>
          </w:tcPr>
          <w:p>
            <w:pPr>
              <w:spacing w:after="0"/>
              <w:rPr>
                <w:sz w:val="1"/>
                <w:szCs w:val="1"/>
                <w:color w:val="auto"/>
              </w:rPr>
            </w:pPr>
          </w:p>
        </w:tc>
      </w:tr>
      <w:tr>
        <w:trPr>
          <w:trHeight w:val="208"/>
        </w:trPr>
        <w:tc>
          <w:tcPr>
            <w:tcW w:w="1140" w:type="dxa"/>
            <w:vAlign w:val="bottom"/>
          </w:tcPr>
          <w:p>
            <w:pPr>
              <w:ind w:left="60"/>
              <w:spacing w:after="0"/>
              <w:rPr>
                <w:sz w:val="20"/>
                <w:szCs w:val="20"/>
                <w:color w:val="auto"/>
              </w:rPr>
            </w:pPr>
            <w:r>
              <w:rPr>
                <w:rFonts w:ascii="Arial" w:cs="Arial" w:eastAsia="Arial" w:hAnsi="Arial"/>
                <w:sz w:val="17"/>
                <w:szCs w:val="17"/>
                <w:color w:val="auto"/>
              </w:rPr>
              <w:t>Election</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w w:val="99"/>
              </w:rPr>
              <w:t>against the election). If a nominee does not receive more “for” votes than “against” votes, the director must offer his or her</w:t>
            </w:r>
          </w:p>
        </w:tc>
        <w:tc>
          <w:tcPr>
            <w:tcW w:w="0" w:type="dxa"/>
            <w:vAlign w:val="bottom"/>
          </w:tcPr>
          <w:p>
            <w:pPr>
              <w:spacing w:after="0"/>
              <w:rPr>
                <w:sz w:val="1"/>
                <w:szCs w:val="1"/>
                <w:color w:val="auto"/>
              </w:rPr>
            </w:pPr>
          </w:p>
        </w:tc>
      </w:tr>
      <w:tr>
        <w:trPr>
          <w:trHeight w:val="221"/>
        </w:trPr>
        <w:tc>
          <w:tcPr>
            <w:tcW w:w="1140" w:type="dxa"/>
            <w:vAlign w:val="bottom"/>
          </w:tcPr>
          <w:p>
            <w:pPr>
              <w:ind w:left="60"/>
              <w:spacing w:after="0"/>
              <w:rPr>
                <w:sz w:val="20"/>
                <w:szCs w:val="20"/>
                <w:color w:val="auto"/>
              </w:rPr>
            </w:pPr>
            <w:r>
              <w:rPr>
                <w:rFonts w:ascii="Arial" w:cs="Arial" w:eastAsia="Arial" w:hAnsi="Arial"/>
                <w:sz w:val="17"/>
                <w:szCs w:val="17"/>
                <w:color w:val="auto"/>
              </w:rPr>
              <w:t>of Directors</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rPr>
              <w:t>resignation, which the Board of Directors must determine whether to accept and publicly disclose that determination.</w:t>
            </w:r>
          </w:p>
        </w:tc>
        <w:tc>
          <w:tcPr>
            <w:tcW w:w="0" w:type="dxa"/>
            <w:vAlign w:val="bottom"/>
          </w:tcPr>
          <w:p>
            <w:pPr>
              <w:spacing w:after="0"/>
              <w:rPr>
                <w:sz w:val="1"/>
                <w:szCs w:val="1"/>
                <w:color w:val="auto"/>
              </w:rPr>
            </w:pPr>
          </w:p>
        </w:tc>
      </w:tr>
      <w:tr>
        <w:trPr>
          <w:trHeight w:val="65"/>
        </w:trPr>
        <w:tc>
          <w:tcPr>
            <w:tcW w:w="1140" w:type="dxa"/>
            <w:vAlign w:val="bottom"/>
            <w:tcBorders>
              <w:bottom w:val="single" w:sz="8" w:color="0066BA"/>
            </w:tcBorders>
          </w:tcPr>
          <w:p>
            <w:pPr>
              <w:spacing w:after="0"/>
              <w:rPr>
                <w:sz w:val="5"/>
                <w:szCs w:val="5"/>
                <w:color w:val="auto"/>
              </w:rPr>
            </w:pPr>
          </w:p>
        </w:tc>
        <w:tc>
          <w:tcPr>
            <w:tcW w:w="9140" w:type="dxa"/>
            <w:vAlign w:val="bottom"/>
            <w:tcBorders>
              <w:bottom w:val="single" w:sz="8" w:color="0066BA"/>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w w:val="95"/>
              </w:rPr>
              <w:t>At least twice per year, our Board of Directors holds executive sessions of non-employee directors, who are all independent as</w:t>
            </w:r>
          </w:p>
        </w:tc>
        <w:tc>
          <w:tcPr>
            <w:tcW w:w="0" w:type="dxa"/>
            <w:vAlign w:val="bottom"/>
          </w:tcPr>
          <w:p>
            <w:pPr>
              <w:spacing w:after="0"/>
              <w:rPr>
                <w:sz w:val="1"/>
                <w:szCs w:val="1"/>
                <w:color w:val="auto"/>
              </w:rPr>
            </w:pPr>
          </w:p>
        </w:tc>
      </w:tr>
      <w:tr>
        <w:trPr>
          <w:trHeight w:val="208"/>
        </w:trPr>
        <w:tc>
          <w:tcPr>
            <w:tcW w:w="1140" w:type="dxa"/>
            <w:vAlign w:val="bottom"/>
          </w:tcPr>
          <w:p>
            <w:pPr>
              <w:ind w:left="60"/>
              <w:spacing w:after="0"/>
              <w:rPr>
                <w:sz w:val="20"/>
                <w:szCs w:val="20"/>
                <w:color w:val="auto"/>
              </w:rPr>
            </w:pPr>
            <w:r>
              <w:rPr>
                <w:rFonts w:ascii="Arial" w:cs="Arial" w:eastAsia="Arial" w:hAnsi="Arial"/>
                <w:sz w:val="17"/>
                <w:szCs w:val="17"/>
                <w:color w:val="auto"/>
              </w:rPr>
              <w:t>Executive</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w w:val="95"/>
              </w:rPr>
              <w:t>defined under The Nasdaq Stock Market, Inc. Marketplace Rules, or Nasdaq Rules. Our Presiding Director, James A. Champy,</w:t>
            </w:r>
          </w:p>
        </w:tc>
        <w:tc>
          <w:tcPr>
            <w:tcW w:w="0" w:type="dxa"/>
            <w:vAlign w:val="bottom"/>
          </w:tcPr>
          <w:p>
            <w:pPr>
              <w:spacing w:after="0"/>
              <w:rPr>
                <w:sz w:val="1"/>
                <w:szCs w:val="1"/>
                <w:color w:val="auto"/>
              </w:rPr>
            </w:pPr>
          </w:p>
        </w:tc>
      </w:tr>
      <w:tr>
        <w:trPr>
          <w:trHeight w:val="208"/>
        </w:trPr>
        <w:tc>
          <w:tcPr>
            <w:tcW w:w="1140" w:type="dxa"/>
            <w:vAlign w:val="bottom"/>
          </w:tcPr>
          <w:p>
            <w:pPr>
              <w:ind w:left="60"/>
              <w:spacing w:after="0"/>
              <w:rPr>
                <w:sz w:val="20"/>
                <w:szCs w:val="20"/>
                <w:color w:val="auto"/>
              </w:rPr>
            </w:pPr>
            <w:r>
              <w:rPr>
                <w:rFonts w:ascii="Arial" w:cs="Arial" w:eastAsia="Arial" w:hAnsi="Arial"/>
                <w:sz w:val="17"/>
                <w:szCs w:val="17"/>
                <w:color w:val="auto"/>
              </w:rPr>
              <w:t>Sessions</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w w:val="93"/>
              </w:rPr>
              <w:t>presides at these executive sessions. In addition, the committees of our Board of Directors also regularly hold executive sessions</w:t>
            </w: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rPr>
              <w:t>with their advisors without management present.</w:t>
            </w:r>
          </w:p>
        </w:tc>
        <w:tc>
          <w:tcPr>
            <w:tcW w:w="0" w:type="dxa"/>
            <w:vAlign w:val="bottom"/>
          </w:tcPr>
          <w:p>
            <w:pPr>
              <w:spacing w:after="0"/>
              <w:rPr>
                <w:sz w:val="1"/>
                <w:szCs w:val="1"/>
                <w:color w:val="auto"/>
              </w:rPr>
            </w:pPr>
          </w:p>
        </w:tc>
      </w:tr>
      <w:tr>
        <w:trPr>
          <w:trHeight w:val="65"/>
        </w:trPr>
        <w:tc>
          <w:tcPr>
            <w:tcW w:w="1140" w:type="dxa"/>
            <w:vAlign w:val="bottom"/>
            <w:tcBorders>
              <w:bottom w:val="single" w:sz="8" w:color="0066BA"/>
            </w:tcBorders>
          </w:tcPr>
          <w:p>
            <w:pPr>
              <w:spacing w:after="0"/>
              <w:rPr>
                <w:sz w:val="5"/>
                <w:szCs w:val="5"/>
                <w:color w:val="auto"/>
              </w:rPr>
            </w:pPr>
          </w:p>
        </w:tc>
        <w:tc>
          <w:tcPr>
            <w:tcW w:w="9140" w:type="dxa"/>
            <w:vAlign w:val="bottom"/>
            <w:tcBorders>
              <w:bottom w:val="single" w:sz="8" w:color="0066BA"/>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140" w:type="dxa"/>
            <w:vAlign w:val="bottom"/>
          </w:tcPr>
          <w:p>
            <w:pPr>
              <w:ind w:left="60"/>
              <w:spacing w:after="0"/>
              <w:rPr>
                <w:sz w:val="20"/>
                <w:szCs w:val="20"/>
                <w:color w:val="auto"/>
              </w:rPr>
            </w:pPr>
            <w:r>
              <w:rPr>
                <w:rFonts w:ascii="Arial" w:cs="Arial" w:eastAsia="Arial" w:hAnsi="Arial"/>
                <w:sz w:val="17"/>
                <w:szCs w:val="17"/>
                <w:color w:val="auto"/>
              </w:rPr>
              <w:t>No Hedging</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w w:val="95"/>
              </w:rPr>
              <w:t>We prohibit all hedging transactions or short sales involving Company securities by our directors and employees, including our</w:t>
            </w:r>
          </w:p>
        </w:tc>
        <w:tc>
          <w:tcPr>
            <w:tcW w:w="0" w:type="dxa"/>
            <w:vAlign w:val="bottom"/>
          </w:tcPr>
          <w:p>
            <w:pPr>
              <w:spacing w:after="0"/>
              <w:rPr>
                <w:sz w:val="1"/>
                <w:szCs w:val="1"/>
                <w:color w:val="auto"/>
              </w:rPr>
            </w:pPr>
          </w:p>
        </w:tc>
      </w:tr>
      <w:tr>
        <w:trPr>
          <w:trHeight w:val="221"/>
        </w:trPr>
        <w:tc>
          <w:tcPr>
            <w:tcW w:w="1140" w:type="dxa"/>
            <w:vAlign w:val="bottom"/>
          </w:tcPr>
          <w:p>
            <w:pPr>
              <w:ind w:left="60"/>
              <w:spacing w:after="0"/>
              <w:rPr>
                <w:sz w:val="20"/>
                <w:szCs w:val="20"/>
                <w:color w:val="auto"/>
              </w:rPr>
            </w:pPr>
            <w:r>
              <w:rPr>
                <w:rFonts w:ascii="Arial" w:cs="Arial" w:eastAsia="Arial" w:hAnsi="Arial"/>
                <w:sz w:val="17"/>
                <w:szCs w:val="17"/>
                <w:color w:val="auto"/>
              </w:rPr>
              <w:t>Policy</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rPr>
              <w:t>executive officers.</w:t>
            </w:r>
          </w:p>
        </w:tc>
        <w:tc>
          <w:tcPr>
            <w:tcW w:w="0" w:type="dxa"/>
            <w:vAlign w:val="bottom"/>
          </w:tcPr>
          <w:p>
            <w:pPr>
              <w:spacing w:after="0"/>
              <w:rPr>
                <w:sz w:val="1"/>
                <w:szCs w:val="1"/>
                <w:color w:val="auto"/>
              </w:rPr>
            </w:pPr>
          </w:p>
        </w:tc>
      </w:tr>
      <w:tr>
        <w:trPr>
          <w:trHeight w:val="65"/>
        </w:trPr>
        <w:tc>
          <w:tcPr>
            <w:tcW w:w="1140" w:type="dxa"/>
            <w:vAlign w:val="bottom"/>
            <w:tcBorders>
              <w:bottom w:val="single" w:sz="8" w:color="0066BA"/>
            </w:tcBorders>
          </w:tcPr>
          <w:p>
            <w:pPr>
              <w:spacing w:after="0"/>
              <w:rPr>
                <w:sz w:val="5"/>
                <w:szCs w:val="5"/>
                <w:color w:val="auto"/>
              </w:rPr>
            </w:pPr>
          </w:p>
        </w:tc>
        <w:tc>
          <w:tcPr>
            <w:tcW w:w="9140" w:type="dxa"/>
            <w:vAlign w:val="bottom"/>
            <w:tcBorders>
              <w:bottom w:val="single" w:sz="8" w:color="0066BA"/>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140" w:type="dxa"/>
            <w:vAlign w:val="bottom"/>
          </w:tcPr>
          <w:p>
            <w:pPr>
              <w:ind w:left="60"/>
              <w:spacing w:after="0"/>
              <w:rPr>
                <w:sz w:val="20"/>
                <w:szCs w:val="20"/>
                <w:color w:val="auto"/>
              </w:rPr>
            </w:pPr>
            <w:r>
              <w:rPr>
                <w:rFonts w:ascii="Arial" w:cs="Arial" w:eastAsia="Arial" w:hAnsi="Arial"/>
                <w:sz w:val="17"/>
                <w:szCs w:val="17"/>
                <w:color w:val="auto"/>
              </w:rPr>
              <w:t>No Pledging</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w w:val="96"/>
              </w:rPr>
              <w:t>Since January 2013, we have prohibited our directors and executive officers from holding any Company securities in a margin</w:t>
            </w:r>
          </w:p>
        </w:tc>
        <w:tc>
          <w:tcPr>
            <w:tcW w:w="0" w:type="dxa"/>
            <w:vAlign w:val="bottom"/>
          </w:tcPr>
          <w:p>
            <w:pPr>
              <w:spacing w:after="0"/>
              <w:rPr>
                <w:sz w:val="1"/>
                <w:szCs w:val="1"/>
                <w:color w:val="auto"/>
              </w:rPr>
            </w:pPr>
          </w:p>
        </w:tc>
      </w:tr>
      <w:tr>
        <w:trPr>
          <w:trHeight w:val="221"/>
        </w:trPr>
        <w:tc>
          <w:tcPr>
            <w:tcW w:w="1140" w:type="dxa"/>
            <w:vAlign w:val="bottom"/>
          </w:tcPr>
          <w:p>
            <w:pPr>
              <w:ind w:left="60"/>
              <w:spacing w:after="0"/>
              <w:rPr>
                <w:sz w:val="20"/>
                <w:szCs w:val="20"/>
                <w:color w:val="auto"/>
              </w:rPr>
            </w:pPr>
            <w:r>
              <w:rPr>
                <w:rFonts w:ascii="Arial" w:cs="Arial" w:eastAsia="Arial" w:hAnsi="Arial"/>
                <w:sz w:val="17"/>
                <w:szCs w:val="17"/>
                <w:color w:val="auto"/>
              </w:rPr>
              <w:t>Policy</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rPr>
              <w:t>account, and from any future pledging of their Company securities as collateral for a loan.</w:t>
            </w:r>
          </w:p>
        </w:tc>
        <w:tc>
          <w:tcPr>
            <w:tcW w:w="0" w:type="dxa"/>
            <w:vAlign w:val="bottom"/>
          </w:tcPr>
          <w:p>
            <w:pPr>
              <w:spacing w:after="0"/>
              <w:rPr>
                <w:sz w:val="1"/>
                <w:szCs w:val="1"/>
                <w:color w:val="auto"/>
              </w:rPr>
            </w:pPr>
          </w:p>
        </w:tc>
      </w:tr>
      <w:tr>
        <w:trPr>
          <w:trHeight w:val="65"/>
        </w:trPr>
        <w:tc>
          <w:tcPr>
            <w:tcW w:w="1140" w:type="dxa"/>
            <w:vAlign w:val="bottom"/>
            <w:tcBorders>
              <w:bottom w:val="single" w:sz="8" w:color="0066BA"/>
            </w:tcBorders>
          </w:tcPr>
          <w:p>
            <w:pPr>
              <w:spacing w:after="0"/>
              <w:rPr>
                <w:sz w:val="5"/>
                <w:szCs w:val="5"/>
                <w:color w:val="auto"/>
              </w:rPr>
            </w:pPr>
          </w:p>
        </w:tc>
        <w:tc>
          <w:tcPr>
            <w:tcW w:w="9140" w:type="dxa"/>
            <w:vAlign w:val="bottom"/>
            <w:tcBorders>
              <w:bottom w:val="single" w:sz="8" w:color="0066BA"/>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w w:val="95"/>
              </w:rPr>
              <w:t>We do not time or select the grant dates of any stock options or stock-based awards in coordination with our release of material</w:t>
            </w:r>
          </w:p>
        </w:tc>
        <w:tc>
          <w:tcPr>
            <w:tcW w:w="0" w:type="dxa"/>
            <w:vAlign w:val="bottom"/>
          </w:tcPr>
          <w:p>
            <w:pPr>
              <w:spacing w:after="0"/>
              <w:rPr>
                <w:sz w:val="1"/>
                <w:szCs w:val="1"/>
                <w:color w:val="auto"/>
              </w:rPr>
            </w:pPr>
          </w:p>
        </w:tc>
      </w:tr>
      <w:tr>
        <w:trPr>
          <w:trHeight w:val="208"/>
        </w:trPr>
        <w:tc>
          <w:tcPr>
            <w:tcW w:w="1140" w:type="dxa"/>
            <w:vAlign w:val="bottom"/>
          </w:tcPr>
          <w:p>
            <w:pPr>
              <w:ind w:left="60"/>
              <w:spacing w:after="0"/>
              <w:rPr>
                <w:sz w:val="20"/>
                <w:szCs w:val="20"/>
                <w:color w:val="auto"/>
              </w:rPr>
            </w:pPr>
            <w:r>
              <w:rPr>
                <w:rFonts w:ascii="Arial" w:cs="Arial" w:eastAsia="Arial" w:hAnsi="Arial"/>
                <w:sz w:val="17"/>
                <w:szCs w:val="17"/>
                <w:color w:val="auto"/>
              </w:rPr>
              <w:t>Equity Award</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w w:val="96"/>
              </w:rPr>
              <w:t>non-public information, nor do we have any program, plan or practice to do so. In addition, the Compensation Committee has</w:t>
            </w:r>
          </w:p>
        </w:tc>
        <w:tc>
          <w:tcPr>
            <w:tcW w:w="0" w:type="dxa"/>
            <w:vAlign w:val="bottom"/>
          </w:tcPr>
          <w:p>
            <w:pPr>
              <w:spacing w:after="0"/>
              <w:rPr>
                <w:sz w:val="1"/>
                <w:szCs w:val="1"/>
                <w:color w:val="auto"/>
              </w:rPr>
            </w:pPr>
          </w:p>
        </w:tc>
      </w:tr>
      <w:tr>
        <w:trPr>
          <w:trHeight w:val="208"/>
        </w:trPr>
        <w:tc>
          <w:tcPr>
            <w:tcW w:w="1140" w:type="dxa"/>
            <w:vAlign w:val="bottom"/>
          </w:tcPr>
          <w:p>
            <w:pPr>
              <w:ind w:left="60"/>
              <w:spacing w:after="0"/>
              <w:rPr>
                <w:sz w:val="20"/>
                <w:szCs w:val="20"/>
                <w:color w:val="auto"/>
              </w:rPr>
            </w:pPr>
            <w:r>
              <w:rPr>
                <w:rFonts w:ascii="Arial" w:cs="Arial" w:eastAsia="Arial" w:hAnsi="Arial"/>
                <w:sz w:val="17"/>
                <w:szCs w:val="17"/>
                <w:color w:val="auto"/>
              </w:rPr>
              <w:t>Grant Date</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w w:val="92"/>
              </w:rPr>
              <w:t>adopted specific written policies regarding the grant dates of stock option and stock-based awards made to our directors, executive</w:t>
            </w:r>
          </w:p>
        </w:tc>
        <w:tc>
          <w:tcPr>
            <w:tcW w:w="0" w:type="dxa"/>
            <w:vAlign w:val="bottom"/>
          </w:tcPr>
          <w:p>
            <w:pPr>
              <w:spacing w:after="0"/>
              <w:rPr>
                <w:sz w:val="1"/>
                <w:szCs w:val="1"/>
                <w:color w:val="auto"/>
              </w:rPr>
            </w:pPr>
          </w:p>
        </w:tc>
      </w:tr>
      <w:tr>
        <w:trPr>
          <w:trHeight w:val="208"/>
        </w:trPr>
        <w:tc>
          <w:tcPr>
            <w:tcW w:w="1140" w:type="dxa"/>
            <w:vAlign w:val="bottom"/>
          </w:tcPr>
          <w:p>
            <w:pPr>
              <w:ind w:left="60"/>
              <w:spacing w:after="0"/>
              <w:rPr>
                <w:sz w:val="20"/>
                <w:szCs w:val="20"/>
                <w:color w:val="auto"/>
              </w:rPr>
            </w:pPr>
            <w:r>
              <w:rPr>
                <w:rFonts w:ascii="Arial" w:cs="Arial" w:eastAsia="Arial" w:hAnsi="Arial"/>
                <w:sz w:val="17"/>
                <w:szCs w:val="17"/>
                <w:color w:val="auto"/>
              </w:rPr>
              <w:t>Policy</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w w:val="99"/>
              </w:rPr>
              <w:t>officers and employees. See “—Director Compensation” and “Information About Executive Compensation—Compensation</w:t>
            </w: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rPr>
              <w:t>Discussion and Analysis—Equity Award Grant Date Policy” below for more information.</w:t>
            </w:r>
          </w:p>
        </w:tc>
        <w:tc>
          <w:tcPr>
            <w:tcW w:w="0" w:type="dxa"/>
            <w:vAlign w:val="bottom"/>
          </w:tcPr>
          <w:p>
            <w:pPr>
              <w:spacing w:after="0"/>
              <w:rPr>
                <w:sz w:val="1"/>
                <w:szCs w:val="1"/>
                <w:color w:val="auto"/>
              </w:rPr>
            </w:pPr>
          </w:p>
        </w:tc>
      </w:tr>
      <w:tr>
        <w:trPr>
          <w:trHeight w:val="65"/>
        </w:trPr>
        <w:tc>
          <w:tcPr>
            <w:tcW w:w="1140" w:type="dxa"/>
            <w:vAlign w:val="bottom"/>
            <w:tcBorders>
              <w:bottom w:val="single" w:sz="8" w:color="0066BA"/>
            </w:tcBorders>
          </w:tcPr>
          <w:p>
            <w:pPr>
              <w:spacing w:after="0"/>
              <w:rPr>
                <w:sz w:val="5"/>
                <w:szCs w:val="5"/>
                <w:color w:val="auto"/>
              </w:rPr>
            </w:pPr>
          </w:p>
        </w:tc>
        <w:tc>
          <w:tcPr>
            <w:tcW w:w="9140" w:type="dxa"/>
            <w:vAlign w:val="bottom"/>
            <w:tcBorders>
              <w:bottom w:val="single" w:sz="8" w:color="0066BA"/>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w w:val="94"/>
              </w:rPr>
              <w:t>Under our guidelines, the target stock ownership levels are two times annual base salary for the Chief Executive Officer and one</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w w:val="93"/>
              </w:rPr>
              <w:t>times annual base salary for other executive officers. The Chief Executive Officer has four years from the date of his appointment</w:t>
            </w:r>
          </w:p>
        </w:tc>
        <w:tc>
          <w:tcPr>
            <w:tcW w:w="0" w:type="dxa"/>
            <w:vAlign w:val="bottom"/>
          </w:tcPr>
          <w:p>
            <w:pPr>
              <w:spacing w:after="0"/>
              <w:rPr>
                <w:sz w:val="1"/>
                <w:szCs w:val="1"/>
                <w:color w:val="auto"/>
              </w:rPr>
            </w:pPr>
          </w:p>
        </w:tc>
      </w:tr>
      <w:tr>
        <w:trPr>
          <w:trHeight w:val="208"/>
        </w:trPr>
        <w:tc>
          <w:tcPr>
            <w:tcW w:w="1140" w:type="dxa"/>
            <w:vAlign w:val="bottom"/>
            <w:vMerge w:val="restart"/>
          </w:tcPr>
          <w:p>
            <w:pPr>
              <w:ind w:left="60"/>
              <w:spacing w:after="0"/>
              <w:rPr>
                <w:sz w:val="20"/>
                <w:szCs w:val="20"/>
                <w:color w:val="auto"/>
              </w:rPr>
            </w:pPr>
            <w:r>
              <w:rPr>
                <w:rFonts w:ascii="Arial" w:cs="Arial" w:eastAsia="Arial" w:hAnsi="Arial"/>
                <w:sz w:val="17"/>
                <w:szCs w:val="17"/>
                <w:color w:val="auto"/>
              </w:rPr>
              <w:t>Executive</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w w:val="94"/>
              </w:rPr>
              <w:t>as CEO to achieve his targeted level. Executive officers other than the CEO have five years from the date he or she becomes an</w:t>
            </w:r>
          </w:p>
        </w:tc>
        <w:tc>
          <w:tcPr>
            <w:tcW w:w="0" w:type="dxa"/>
            <w:vAlign w:val="bottom"/>
          </w:tcPr>
          <w:p>
            <w:pPr>
              <w:spacing w:after="0"/>
              <w:rPr>
                <w:sz w:val="1"/>
                <w:szCs w:val="1"/>
                <w:color w:val="auto"/>
              </w:rPr>
            </w:pPr>
          </w:p>
        </w:tc>
      </w:tr>
      <w:tr>
        <w:trPr>
          <w:trHeight w:val="104"/>
        </w:trPr>
        <w:tc>
          <w:tcPr>
            <w:tcW w:w="1140" w:type="dxa"/>
            <w:vAlign w:val="bottom"/>
            <w:vMerge w:val="continue"/>
          </w:tcPr>
          <w:p>
            <w:pPr>
              <w:spacing w:after="0"/>
              <w:rPr>
                <w:sz w:val="9"/>
                <w:szCs w:val="9"/>
                <w:color w:val="auto"/>
              </w:rPr>
            </w:pPr>
          </w:p>
        </w:tc>
        <w:tc>
          <w:tcPr>
            <w:tcW w:w="9140" w:type="dxa"/>
            <w:vAlign w:val="bottom"/>
            <w:vMerge w:val="restart"/>
            <w:shd w:val="clear" w:color="auto" w:fill="EAEAEA"/>
          </w:tcPr>
          <w:p>
            <w:pPr>
              <w:ind w:left="20"/>
              <w:spacing w:after="0"/>
              <w:rPr>
                <w:sz w:val="20"/>
                <w:szCs w:val="20"/>
                <w:color w:val="auto"/>
              </w:rPr>
            </w:pPr>
            <w:r>
              <w:rPr>
                <w:rFonts w:ascii="Arial" w:cs="Arial" w:eastAsia="Arial" w:hAnsi="Arial"/>
                <w:sz w:val="17"/>
                <w:szCs w:val="17"/>
                <w:color w:val="auto"/>
                <w:w w:val="97"/>
              </w:rPr>
              <w:t>executive officer to achieve their targeted level. Shares subject to unexercised options, whether or not vested, and unvested</w:t>
            </w:r>
          </w:p>
        </w:tc>
        <w:tc>
          <w:tcPr>
            <w:tcW w:w="0" w:type="dxa"/>
            <w:vAlign w:val="bottom"/>
          </w:tcPr>
          <w:p>
            <w:pPr>
              <w:spacing w:after="0"/>
              <w:rPr>
                <w:sz w:val="1"/>
                <w:szCs w:val="1"/>
                <w:color w:val="auto"/>
              </w:rPr>
            </w:pPr>
          </w:p>
        </w:tc>
      </w:tr>
      <w:tr>
        <w:trPr>
          <w:trHeight w:val="104"/>
        </w:trPr>
        <w:tc>
          <w:tcPr>
            <w:tcW w:w="1140" w:type="dxa"/>
            <w:vAlign w:val="bottom"/>
            <w:vMerge w:val="restart"/>
          </w:tcPr>
          <w:p>
            <w:pPr>
              <w:ind w:left="60"/>
              <w:spacing w:after="0"/>
              <w:rPr>
                <w:sz w:val="20"/>
                <w:szCs w:val="20"/>
                <w:color w:val="auto"/>
              </w:rPr>
            </w:pPr>
            <w:r>
              <w:rPr>
                <w:rFonts w:ascii="Arial" w:cs="Arial" w:eastAsia="Arial" w:hAnsi="Arial"/>
                <w:sz w:val="17"/>
                <w:szCs w:val="17"/>
                <w:color w:val="auto"/>
              </w:rPr>
              <w:t>Stock</w:t>
            </w:r>
          </w:p>
        </w:tc>
        <w:tc>
          <w:tcPr>
            <w:tcW w:w="914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140" w:type="dxa"/>
            <w:vAlign w:val="bottom"/>
            <w:vMerge w:val="continue"/>
          </w:tcPr>
          <w:p>
            <w:pPr>
              <w:spacing w:after="0"/>
              <w:rPr>
                <w:sz w:val="9"/>
                <w:szCs w:val="9"/>
                <w:color w:val="auto"/>
              </w:rPr>
            </w:pPr>
          </w:p>
        </w:tc>
        <w:tc>
          <w:tcPr>
            <w:tcW w:w="9140" w:type="dxa"/>
            <w:vAlign w:val="bottom"/>
            <w:vMerge w:val="restart"/>
            <w:shd w:val="clear" w:color="auto" w:fill="EAEAEA"/>
          </w:tcPr>
          <w:p>
            <w:pPr>
              <w:ind w:left="20"/>
              <w:spacing w:after="0"/>
              <w:rPr>
                <w:sz w:val="20"/>
                <w:szCs w:val="20"/>
                <w:color w:val="auto"/>
              </w:rPr>
            </w:pPr>
            <w:r>
              <w:rPr>
                <w:rFonts w:ascii="Arial" w:cs="Arial" w:eastAsia="Arial" w:hAnsi="Arial"/>
                <w:sz w:val="17"/>
                <w:szCs w:val="17"/>
                <w:color w:val="auto"/>
                <w:w w:val="94"/>
              </w:rPr>
              <w:t>performance-based RSUs whose performance has not yet been certified by the Compensation Committee will not be counted for</w:t>
            </w:r>
          </w:p>
        </w:tc>
        <w:tc>
          <w:tcPr>
            <w:tcW w:w="0" w:type="dxa"/>
            <w:vAlign w:val="bottom"/>
          </w:tcPr>
          <w:p>
            <w:pPr>
              <w:spacing w:after="0"/>
              <w:rPr>
                <w:sz w:val="1"/>
                <w:szCs w:val="1"/>
                <w:color w:val="auto"/>
              </w:rPr>
            </w:pPr>
          </w:p>
        </w:tc>
      </w:tr>
      <w:tr>
        <w:trPr>
          <w:trHeight w:val="104"/>
        </w:trPr>
        <w:tc>
          <w:tcPr>
            <w:tcW w:w="1140" w:type="dxa"/>
            <w:vAlign w:val="bottom"/>
            <w:vMerge w:val="restart"/>
          </w:tcPr>
          <w:p>
            <w:pPr>
              <w:ind w:left="60"/>
              <w:spacing w:after="0"/>
              <w:rPr>
                <w:sz w:val="20"/>
                <w:szCs w:val="20"/>
                <w:color w:val="auto"/>
              </w:rPr>
            </w:pPr>
            <w:r>
              <w:rPr>
                <w:rFonts w:ascii="Arial" w:cs="Arial" w:eastAsia="Arial" w:hAnsi="Arial"/>
                <w:sz w:val="17"/>
                <w:szCs w:val="17"/>
                <w:color w:val="auto"/>
              </w:rPr>
              <w:t>Ownership</w:t>
            </w:r>
          </w:p>
        </w:tc>
        <w:tc>
          <w:tcPr>
            <w:tcW w:w="914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140" w:type="dxa"/>
            <w:vAlign w:val="bottom"/>
            <w:vMerge w:val="continue"/>
          </w:tcPr>
          <w:p>
            <w:pPr>
              <w:spacing w:after="0"/>
              <w:rPr>
                <w:sz w:val="9"/>
                <w:szCs w:val="9"/>
                <w:color w:val="auto"/>
              </w:rPr>
            </w:pPr>
          </w:p>
        </w:tc>
        <w:tc>
          <w:tcPr>
            <w:tcW w:w="9140" w:type="dxa"/>
            <w:vAlign w:val="bottom"/>
            <w:vMerge w:val="restart"/>
            <w:shd w:val="clear" w:color="auto" w:fill="EAEAEA"/>
          </w:tcPr>
          <w:p>
            <w:pPr>
              <w:ind w:left="20"/>
              <w:spacing w:after="0"/>
              <w:rPr>
                <w:sz w:val="20"/>
                <w:szCs w:val="20"/>
                <w:color w:val="auto"/>
              </w:rPr>
            </w:pPr>
            <w:r>
              <w:rPr>
                <w:rFonts w:ascii="Arial" w:cs="Arial" w:eastAsia="Arial" w:hAnsi="Arial"/>
                <w:sz w:val="17"/>
                <w:szCs w:val="17"/>
                <w:color w:val="auto"/>
                <w:w w:val="92"/>
              </w:rPr>
              <w:t>purposes of satisfying these guidelines. RSUs and restricted stock (whether or not vested) and unvested performance-based RSUs</w:t>
            </w:r>
          </w:p>
        </w:tc>
        <w:tc>
          <w:tcPr>
            <w:tcW w:w="0" w:type="dxa"/>
            <w:vAlign w:val="bottom"/>
          </w:tcPr>
          <w:p>
            <w:pPr>
              <w:spacing w:after="0"/>
              <w:rPr>
                <w:sz w:val="1"/>
                <w:szCs w:val="1"/>
                <w:color w:val="auto"/>
              </w:rPr>
            </w:pPr>
          </w:p>
        </w:tc>
      </w:tr>
      <w:tr>
        <w:trPr>
          <w:trHeight w:val="104"/>
        </w:trPr>
        <w:tc>
          <w:tcPr>
            <w:tcW w:w="1140" w:type="dxa"/>
            <w:vAlign w:val="bottom"/>
            <w:vMerge w:val="restart"/>
          </w:tcPr>
          <w:p>
            <w:pPr>
              <w:ind w:left="60"/>
              <w:spacing w:after="0"/>
              <w:rPr>
                <w:sz w:val="20"/>
                <w:szCs w:val="20"/>
                <w:color w:val="auto"/>
              </w:rPr>
            </w:pPr>
            <w:r>
              <w:rPr>
                <w:rFonts w:ascii="Arial" w:cs="Arial" w:eastAsia="Arial" w:hAnsi="Arial"/>
                <w:sz w:val="17"/>
                <w:szCs w:val="17"/>
                <w:color w:val="auto"/>
              </w:rPr>
              <w:t>Guidelines</w:t>
            </w:r>
          </w:p>
        </w:tc>
        <w:tc>
          <w:tcPr>
            <w:tcW w:w="914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140" w:type="dxa"/>
            <w:vAlign w:val="bottom"/>
            <w:vMerge w:val="continue"/>
          </w:tcPr>
          <w:p>
            <w:pPr>
              <w:spacing w:after="0"/>
              <w:rPr>
                <w:sz w:val="10"/>
                <w:szCs w:val="10"/>
                <w:color w:val="auto"/>
              </w:rPr>
            </w:pPr>
          </w:p>
        </w:tc>
        <w:tc>
          <w:tcPr>
            <w:tcW w:w="9140" w:type="dxa"/>
            <w:vAlign w:val="bottom"/>
            <w:vMerge w:val="restart"/>
            <w:shd w:val="clear" w:color="auto" w:fill="EAEAEA"/>
          </w:tcPr>
          <w:p>
            <w:pPr>
              <w:ind w:left="20"/>
              <w:spacing w:after="0"/>
              <w:rPr>
                <w:sz w:val="20"/>
                <w:szCs w:val="20"/>
                <w:color w:val="auto"/>
              </w:rPr>
            </w:pPr>
            <w:r>
              <w:rPr>
                <w:rFonts w:ascii="Arial" w:cs="Arial" w:eastAsia="Arial" w:hAnsi="Arial"/>
                <w:sz w:val="17"/>
                <w:szCs w:val="17"/>
                <w:color w:val="auto"/>
                <w:w w:val="94"/>
              </w:rPr>
              <w:t>whose performance has been certified by the Compensation Committee are counted for purposes of satisfying the guidelines. All</w:t>
            </w:r>
          </w:p>
        </w:tc>
        <w:tc>
          <w:tcPr>
            <w:tcW w:w="0" w:type="dxa"/>
            <w:vAlign w:val="bottom"/>
          </w:tcPr>
          <w:p>
            <w:pPr>
              <w:spacing w:after="0"/>
              <w:rPr>
                <w:sz w:val="1"/>
                <w:szCs w:val="1"/>
                <w:color w:val="auto"/>
              </w:rPr>
            </w:pPr>
          </w:p>
        </w:tc>
      </w:tr>
      <w:tr>
        <w:trPr>
          <w:trHeight w:val="92"/>
        </w:trPr>
        <w:tc>
          <w:tcPr>
            <w:tcW w:w="1140" w:type="dxa"/>
            <w:vAlign w:val="bottom"/>
          </w:tcPr>
          <w:p>
            <w:pPr>
              <w:spacing w:after="0"/>
              <w:rPr>
                <w:sz w:val="7"/>
                <w:szCs w:val="7"/>
                <w:color w:val="auto"/>
              </w:rPr>
            </w:pPr>
          </w:p>
        </w:tc>
        <w:tc>
          <w:tcPr>
            <w:tcW w:w="9140" w:type="dxa"/>
            <w:vAlign w:val="bottom"/>
            <w:vMerge w:val="continue"/>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w w:val="92"/>
              </w:rPr>
              <w:t>of our executive officers were in compliance with our stock ownership guidelines as of the end of the fiscal year ended October 31,</w:t>
            </w: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rPr>
              <w:t>2020, or fiscal 2020.</w:t>
            </w:r>
          </w:p>
        </w:tc>
        <w:tc>
          <w:tcPr>
            <w:tcW w:w="0" w:type="dxa"/>
            <w:vAlign w:val="bottom"/>
          </w:tcPr>
          <w:p>
            <w:pPr>
              <w:spacing w:after="0"/>
              <w:rPr>
                <w:sz w:val="1"/>
                <w:szCs w:val="1"/>
                <w:color w:val="auto"/>
              </w:rPr>
            </w:pPr>
          </w:p>
        </w:tc>
      </w:tr>
      <w:tr>
        <w:trPr>
          <w:trHeight w:val="65"/>
        </w:trPr>
        <w:tc>
          <w:tcPr>
            <w:tcW w:w="1140" w:type="dxa"/>
            <w:vAlign w:val="bottom"/>
            <w:tcBorders>
              <w:bottom w:val="single" w:sz="8" w:color="0066BA"/>
            </w:tcBorders>
          </w:tcPr>
          <w:p>
            <w:pPr>
              <w:spacing w:after="0"/>
              <w:rPr>
                <w:sz w:val="5"/>
                <w:szCs w:val="5"/>
                <w:color w:val="auto"/>
              </w:rPr>
            </w:pPr>
          </w:p>
        </w:tc>
        <w:tc>
          <w:tcPr>
            <w:tcW w:w="9140" w:type="dxa"/>
            <w:vAlign w:val="bottom"/>
            <w:tcBorders>
              <w:bottom w:val="single" w:sz="8" w:color="0066BA"/>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140" w:type="dxa"/>
            <w:vAlign w:val="bottom"/>
            <w:vMerge w:val="restart"/>
          </w:tcPr>
          <w:p>
            <w:pPr>
              <w:ind w:left="60"/>
              <w:spacing w:after="0"/>
              <w:rPr>
                <w:sz w:val="20"/>
                <w:szCs w:val="20"/>
                <w:color w:val="auto"/>
              </w:rPr>
            </w:pPr>
            <w:r>
              <w:rPr>
                <w:rFonts w:ascii="Arial" w:cs="Arial" w:eastAsia="Arial" w:hAnsi="Arial"/>
                <w:sz w:val="17"/>
                <w:szCs w:val="17"/>
                <w:color w:val="auto"/>
              </w:rPr>
              <w:t>Adoption of</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rPr>
              <w:t>Our recently adopted clawback policy provides that in the event of a material restatement of our financial results, the</w:t>
            </w:r>
          </w:p>
        </w:tc>
        <w:tc>
          <w:tcPr>
            <w:tcW w:w="0" w:type="dxa"/>
            <w:vAlign w:val="bottom"/>
          </w:tcPr>
          <w:p>
            <w:pPr>
              <w:spacing w:after="0"/>
              <w:rPr>
                <w:sz w:val="1"/>
                <w:szCs w:val="1"/>
                <w:color w:val="auto"/>
              </w:rPr>
            </w:pPr>
          </w:p>
        </w:tc>
      </w:tr>
      <w:tr>
        <w:trPr>
          <w:trHeight w:val="104"/>
        </w:trPr>
        <w:tc>
          <w:tcPr>
            <w:tcW w:w="1140" w:type="dxa"/>
            <w:vAlign w:val="bottom"/>
            <w:vMerge w:val="continue"/>
          </w:tcPr>
          <w:p>
            <w:pPr>
              <w:spacing w:after="0"/>
              <w:rPr>
                <w:sz w:val="9"/>
                <w:szCs w:val="9"/>
                <w:color w:val="auto"/>
              </w:rPr>
            </w:pPr>
          </w:p>
        </w:tc>
        <w:tc>
          <w:tcPr>
            <w:tcW w:w="9140" w:type="dxa"/>
            <w:vAlign w:val="bottom"/>
            <w:vMerge w:val="restart"/>
            <w:shd w:val="clear" w:color="auto" w:fill="EAEAEA"/>
          </w:tcPr>
          <w:p>
            <w:pPr>
              <w:ind w:left="20"/>
              <w:spacing w:after="0"/>
              <w:rPr>
                <w:sz w:val="20"/>
                <w:szCs w:val="20"/>
                <w:color w:val="auto"/>
              </w:rPr>
            </w:pPr>
            <w:r>
              <w:rPr>
                <w:rFonts w:ascii="Arial" w:cs="Arial" w:eastAsia="Arial" w:hAnsi="Arial"/>
                <w:sz w:val="17"/>
                <w:szCs w:val="17"/>
                <w:color w:val="auto"/>
                <w:w w:val="97"/>
              </w:rPr>
              <w:t>Compensation Committee may, as appropriate, seek to recover from any executive officer whose fraud or willful misconduct</w:t>
            </w:r>
          </w:p>
        </w:tc>
        <w:tc>
          <w:tcPr>
            <w:tcW w:w="0" w:type="dxa"/>
            <w:vAlign w:val="bottom"/>
          </w:tcPr>
          <w:p>
            <w:pPr>
              <w:spacing w:after="0"/>
              <w:rPr>
                <w:sz w:val="1"/>
                <w:szCs w:val="1"/>
                <w:color w:val="auto"/>
              </w:rPr>
            </w:pPr>
          </w:p>
        </w:tc>
      </w:tr>
      <w:tr>
        <w:trPr>
          <w:trHeight w:val="104"/>
        </w:trPr>
        <w:tc>
          <w:tcPr>
            <w:tcW w:w="1140" w:type="dxa"/>
            <w:vAlign w:val="bottom"/>
            <w:vMerge w:val="restart"/>
          </w:tcPr>
          <w:p>
            <w:pPr>
              <w:ind w:left="60"/>
              <w:spacing w:after="0"/>
              <w:rPr>
                <w:sz w:val="20"/>
                <w:szCs w:val="20"/>
                <w:color w:val="auto"/>
              </w:rPr>
            </w:pPr>
            <w:r>
              <w:rPr>
                <w:rFonts w:ascii="Arial" w:cs="Arial" w:eastAsia="Arial" w:hAnsi="Arial"/>
                <w:sz w:val="17"/>
                <w:szCs w:val="17"/>
                <w:color w:val="auto"/>
              </w:rPr>
              <w:t>Clawback</w:t>
            </w:r>
          </w:p>
        </w:tc>
        <w:tc>
          <w:tcPr>
            <w:tcW w:w="914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140" w:type="dxa"/>
            <w:vAlign w:val="bottom"/>
            <w:vMerge w:val="continue"/>
          </w:tcPr>
          <w:p>
            <w:pPr>
              <w:spacing w:after="0"/>
              <w:rPr>
                <w:sz w:val="9"/>
                <w:szCs w:val="9"/>
                <w:color w:val="auto"/>
              </w:rPr>
            </w:pPr>
          </w:p>
        </w:tc>
        <w:tc>
          <w:tcPr>
            <w:tcW w:w="9140" w:type="dxa"/>
            <w:vAlign w:val="bottom"/>
            <w:vMerge w:val="restart"/>
            <w:shd w:val="clear" w:color="auto" w:fill="EAEAEA"/>
          </w:tcPr>
          <w:p>
            <w:pPr>
              <w:ind w:left="20"/>
              <w:spacing w:after="0"/>
              <w:rPr>
                <w:sz w:val="20"/>
                <w:szCs w:val="20"/>
                <w:color w:val="auto"/>
              </w:rPr>
            </w:pPr>
            <w:r>
              <w:rPr>
                <w:rFonts w:ascii="Arial" w:cs="Arial" w:eastAsia="Arial" w:hAnsi="Arial"/>
                <w:sz w:val="17"/>
                <w:szCs w:val="17"/>
                <w:color w:val="auto"/>
                <w:w w:val="94"/>
              </w:rPr>
              <w:t>caused or partially caused such restatement, all or a portion of the performance-based compensation awarded to such executive</w:t>
            </w:r>
          </w:p>
        </w:tc>
        <w:tc>
          <w:tcPr>
            <w:tcW w:w="0" w:type="dxa"/>
            <w:vAlign w:val="bottom"/>
          </w:tcPr>
          <w:p>
            <w:pPr>
              <w:spacing w:after="0"/>
              <w:rPr>
                <w:sz w:val="1"/>
                <w:szCs w:val="1"/>
                <w:color w:val="auto"/>
              </w:rPr>
            </w:pPr>
          </w:p>
        </w:tc>
      </w:tr>
      <w:tr>
        <w:trPr>
          <w:trHeight w:val="104"/>
        </w:trPr>
        <w:tc>
          <w:tcPr>
            <w:tcW w:w="1140" w:type="dxa"/>
            <w:vAlign w:val="bottom"/>
            <w:vMerge w:val="restart"/>
          </w:tcPr>
          <w:p>
            <w:pPr>
              <w:ind w:left="60"/>
              <w:spacing w:after="0"/>
              <w:rPr>
                <w:sz w:val="20"/>
                <w:szCs w:val="20"/>
                <w:color w:val="auto"/>
              </w:rPr>
            </w:pPr>
            <w:r>
              <w:rPr>
                <w:rFonts w:ascii="Arial" w:cs="Arial" w:eastAsia="Arial" w:hAnsi="Arial"/>
                <w:sz w:val="17"/>
                <w:szCs w:val="17"/>
                <w:color w:val="auto"/>
              </w:rPr>
              <w:t>Policy</w:t>
            </w:r>
          </w:p>
        </w:tc>
        <w:tc>
          <w:tcPr>
            <w:tcW w:w="914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140" w:type="dxa"/>
            <w:vAlign w:val="bottom"/>
            <w:vMerge w:val="continue"/>
          </w:tcPr>
          <w:p>
            <w:pPr>
              <w:spacing w:after="0"/>
              <w:rPr>
                <w:sz w:val="10"/>
                <w:szCs w:val="10"/>
                <w:color w:val="auto"/>
              </w:rPr>
            </w:pPr>
          </w:p>
        </w:tc>
        <w:tc>
          <w:tcPr>
            <w:tcW w:w="9140" w:type="dxa"/>
            <w:vAlign w:val="bottom"/>
            <w:vMerge w:val="restart"/>
            <w:shd w:val="clear" w:color="auto" w:fill="EAEAEA"/>
          </w:tcPr>
          <w:p>
            <w:pPr>
              <w:ind w:left="20"/>
              <w:spacing w:after="0"/>
              <w:rPr>
                <w:sz w:val="20"/>
                <w:szCs w:val="20"/>
                <w:color w:val="auto"/>
              </w:rPr>
            </w:pPr>
            <w:r>
              <w:rPr>
                <w:rFonts w:ascii="Arial" w:cs="Arial" w:eastAsia="Arial" w:hAnsi="Arial"/>
                <w:sz w:val="17"/>
                <w:szCs w:val="17"/>
                <w:color w:val="auto"/>
              </w:rPr>
              <w:t>officer that was in excess of the amount that would have been awarded based on the restated financial results.</w:t>
            </w:r>
          </w:p>
        </w:tc>
        <w:tc>
          <w:tcPr>
            <w:tcW w:w="0" w:type="dxa"/>
            <w:vAlign w:val="bottom"/>
          </w:tcPr>
          <w:p>
            <w:pPr>
              <w:spacing w:after="0"/>
              <w:rPr>
                <w:sz w:val="1"/>
                <w:szCs w:val="1"/>
                <w:color w:val="auto"/>
              </w:rPr>
            </w:pPr>
          </w:p>
        </w:tc>
      </w:tr>
      <w:tr>
        <w:trPr>
          <w:trHeight w:val="104"/>
        </w:trPr>
        <w:tc>
          <w:tcPr>
            <w:tcW w:w="1140" w:type="dxa"/>
            <w:vAlign w:val="bottom"/>
          </w:tcPr>
          <w:p>
            <w:pPr>
              <w:spacing w:after="0"/>
              <w:rPr>
                <w:sz w:val="9"/>
                <w:szCs w:val="9"/>
                <w:color w:val="auto"/>
              </w:rPr>
            </w:pPr>
          </w:p>
        </w:tc>
        <w:tc>
          <w:tcPr>
            <w:tcW w:w="914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140" w:type="dxa"/>
            <w:vAlign w:val="bottom"/>
            <w:tcBorders>
              <w:bottom w:val="single" w:sz="8" w:color="0066BA"/>
            </w:tcBorders>
          </w:tcPr>
          <w:p>
            <w:pPr>
              <w:spacing w:after="0"/>
              <w:rPr>
                <w:sz w:val="5"/>
                <w:szCs w:val="5"/>
                <w:color w:val="auto"/>
              </w:rPr>
            </w:pPr>
          </w:p>
        </w:tc>
        <w:tc>
          <w:tcPr>
            <w:tcW w:w="9140" w:type="dxa"/>
            <w:vAlign w:val="bottom"/>
            <w:tcBorders>
              <w:bottom w:val="single" w:sz="8" w:color="0066BA"/>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140" w:type="dxa"/>
            <w:vAlign w:val="bottom"/>
          </w:tcPr>
          <w:p>
            <w:pPr>
              <w:ind w:left="60"/>
              <w:spacing w:after="0"/>
              <w:rPr>
                <w:sz w:val="20"/>
                <w:szCs w:val="20"/>
                <w:color w:val="auto"/>
              </w:rPr>
            </w:pPr>
            <w:r>
              <w:rPr>
                <w:rFonts w:ascii="Arial" w:cs="Arial" w:eastAsia="Arial" w:hAnsi="Arial"/>
                <w:sz w:val="17"/>
                <w:szCs w:val="17"/>
                <w:color w:val="auto"/>
              </w:rPr>
              <w:t>Adoption of</w:t>
            </w:r>
          </w:p>
        </w:tc>
        <w:tc>
          <w:tcPr>
            <w:tcW w:w="914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40" w:type="dxa"/>
            <w:vAlign w:val="bottom"/>
          </w:tcPr>
          <w:p>
            <w:pPr>
              <w:ind w:left="60"/>
              <w:spacing w:after="0"/>
              <w:rPr>
                <w:sz w:val="20"/>
                <w:szCs w:val="20"/>
                <w:color w:val="auto"/>
              </w:rPr>
            </w:pPr>
            <w:r>
              <w:rPr>
                <w:rFonts w:ascii="Arial" w:cs="Arial" w:eastAsia="Arial" w:hAnsi="Arial"/>
                <w:sz w:val="17"/>
                <w:szCs w:val="17"/>
                <w:color w:val="auto"/>
              </w:rPr>
              <w:t>Proxy Access</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w w:val="94"/>
              </w:rPr>
              <w:t>Our Board of Directors approved a bylaw amendment implementing proxy access, which allows shareholders that meet standard</w:t>
            </w:r>
          </w:p>
        </w:tc>
        <w:tc>
          <w:tcPr>
            <w:tcW w:w="0" w:type="dxa"/>
            <w:vAlign w:val="bottom"/>
          </w:tcPr>
          <w:p>
            <w:pPr>
              <w:spacing w:after="0"/>
              <w:rPr>
                <w:sz w:val="1"/>
                <w:szCs w:val="1"/>
                <w:color w:val="auto"/>
              </w:rPr>
            </w:pPr>
          </w:p>
        </w:tc>
      </w:tr>
      <w:tr>
        <w:trPr>
          <w:trHeight w:val="221"/>
        </w:trPr>
        <w:tc>
          <w:tcPr>
            <w:tcW w:w="1140" w:type="dxa"/>
            <w:vAlign w:val="bottom"/>
          </w:tcPr>
          <w:p>
            <w:pPr>
              <w:ind w:left="60"/>
              <w:spacing w:after="0"/>
              <w:rPr>
                <w:sz w:val="20"/>
                <w:szCs w:val="20"/>
                <w:color w:val="auto"/>
              </w:rPr>
            </w:pPr>
            <w:r>
              <w:rPr>
                <w:rFonts w:ascii="Arial" w:cs="Arial" w:eastAsia="Arial" w:hAnsi="Arial"/>
                <w:sz w:val="17"/>
                <w:szCs w:val="17"/>
                <w:color w:val="auto"/>
              </w:rPr>
              <w:t>Right</w:t>
            </w:r>
          </w:p>
        </w:tc>
        <w:tc>
          <w:tcPr>
            <w:tcW w:w="9140" w:type="dxa"/>
            <w:vAlign w:val="bottom"/>
            <w:shd w:val="clear" w:color="auto" w:fill="EAEAEA"/>
          </w:tcPr>
          <w:p>
            <w:pPr>
              <w:ind w:left="20"/>
              <w:spacing w:after="0"/>
              <w:rPr>
                <w:sz w:val="20"/>
                <w:szCs w:val="20"/>
                <w:color w:val="auto"/>
              </w:rPr>
            </w:pPr>
            <w:r>
              <w:rPr>
                <w:rFonts w:ascii="Arial" w:cs="Arial" w:eastAsia="Arial" w:hAnsi="Arial"/>
                <w:sz w:val="17"/>
                <w:szCs w:val="17"/>
                <w:color w:val="auto"/>
              </w:rPr>
              <w:t>eligibility requirements to submit director candidates for election in the Company’s proxy statement.</w:t>
            </w:r>
          </w:p>
        </w:tc>
        <w:tc>
          <w:tcPr>
            <w:tcW w:w="0" w:type="dxa"/>
            <w:vAlign w:val="bottom"/>
          </w:tcPr>
          <w:p>
            <w:pPr>
              <w:spacing w:after="0"/>
              <w:rPr>
                <w:sz w:val="1"/>
                <w:szCs w:val="1"/>
                <w:color w:val="auto"/>
              </w:rPr>
            </w:pPr>
          </w:p>
        </w:tc>
      </w:tr>
      <w:tr>
        <w:trPr>
          <w:trHeight w:val="65"/>
        </w:trPr>
        <w:tc>
          <w:tcPr>
            <w:tcW w:w="1140" w:type="dxa"/>
            <w:vAlign w:val="bottom"/>
            <w:tcBorders>
              <w:bottom w:val="single" w:sz="8" w:color="0066BA"/>
            </w:tcBorders>
          </w:tcPr>
          <w:p>
            <w:pPr>
              <w:spacing w:after="0"/>
              <w:rPr>
                <w:sz w:val="5"/>
                <w:szCs w:val="5"/>
                <w:color w:val="auto"/>
              </w:rPr>
            </w:pPr>
          </w:p>
        </w:tc>
        <w:tc>
          <w:tcPr>
            <w:tcW w:w="9140" w:type="dxa"/>
            <w:vAlign w:val="bottom"/>
            <w:tcBorders>
              <w:bottom w:val="single" w:sz="8" w:color="0066BA"/>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320" w:top="447" w:right="639" w:bottom="1440" w:gutter="0" w:footer="0" w:header="0"/>
        </w:sectPr>
      </w:pPr>
    </w:p>
    <w:p>
      <w:pPr>
        <w:spacing w:after="0" w:line="322" w:lineRule="exact"/>
        <w:rPr>
          <w:sz w:val="20"/>
          <w:szCs w:val="20"/>
          <w:color w:val="auto"/>
        </w:rPr>
      </w:pPr>
    </w:p>
    <w:p>
      <w:pPr>
        <w:ind w:left="1076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940"/>
          </w:cols>
          <w:pgMar w:left="320" w:top="447" w:right="639" w:bottom="1440" w:gutter="0" w:footer="0" w:header="0"/>
          <w:type w:val="continuous"/>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240"/>
        <w:spacing w:after="0" w:line="270" w:lineRule="auto"/>
        <w:rPr>
          <w:sz w:val="20"/>
          <w:szCs w:val="20"/>
          <w:color w:val="auto"/>
        </w:rPr>
      </w:pPr>
      <w:r>
        <w:rPr>
          <w:rFonts w:ascii="Arial" w:cs="Arial" w:eastAsia="Arial" w:hAnsi="Arial"/>
          <w:sz w:val="17"/>
          <w:szCs w:val="17"/>
          <w:color w:val="auto"/>
        </w:rPr>
        <w:t>You can access our bylaws, the current charters for our Audit Committee, Compensation Committee and Nominating and Corporate Governance Committee, our Corporate Governance Guidelines, our Code of Business Conduct and Ethics, our Related Person Transaction Policy and our Equity Award Grant Date Policy at investor.analog.com/corporate-governance.cfm or by writing to:</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Investor Relations Department</w:t>
      </w:r>
    </w:p>
    <w:p>
      <w:pPr>
        <w:spacing w:after="0" w:line="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Analog Devices, Inc.</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One Analog Way</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Wilmington, Massachusetts 01887</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Phone: 781-461-3282</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Email: investor.relations@analog.com</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Board of Directors Leadership Structure</w:t>
      </w:r>
    </w:p>
    <w:p>
      <w:pPr>
        <w:spacing w:after="0" w:line="125" w:lineRule="exact"/>
        <w:rPr>
          <w:sz w:val="20"/>
          <w:szCs w:val="20"/>
          <w:color w:val="auto"/>
        </w:rPr>
      </w:pPr>
    </w:p>
    <w:p>
      <w:pPr>
        <w:ind w:left="480" w:right="20"/>
        <w:spacing w:after="0" w:line="279" w:lineRule="auto"/>
        <w:rPr>
          <w:sz w:val="20"/>
          <w:szCs w:val="20"/>
          <w:color w:val="auto"/>
        </w:rPr>
      </w:pPr>
      <w:r>
        <w:rPr>
          <w:rFonts w:ascii="Arial" w:cs="Arial" w:eastAsia="Arial" w:hAnsi="Arial"/>
          <w:sz w:val="16"/>
          <w:szCs w:val="16"/>
          <w:color w:val="auto"/>
        </w:rPr>
        <w:t>Our Corporate Governance Guidelines provide that the roles of Chief Executive Officer and Chairman of the Board of Directors should be separate, unless otherwise determined by a majority of the Board of Directors, and we currently separate these roles. Our Chief Executive Officer is responsible for setting the strategic direction for the Company and the day-to-day leadership and performance of the Company, while our Chairman of the Board of Directors provides guidance to the Chief Executive Officer, sets the agenda for Board meetings and presides over meetings of the full Board of Directors. Because our Board of Directors has determined that Mr. Stata, our Chairman and founder, is not an independent director under the Nasdaq Rules, our Board of Directors has appointed James A. Champy as Presiding Director to preside at all executive sessions of directors without management present. The Board of Directors meets in executive session at each regular meeting.</w:t>
      </w:r>
    </w:p>
    <w:p>
      <w:pPr>
        <w:spacing w:after="0" w:line="251"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Board of Directors Meetings and Committees</w:t>
      </w:r>
    </w:p>
    <w:p>
      <w:pPr>
        <w:spacing w:after="0" w:line="125" w:lineRule="exact"/>
        <w:rPr>
          <w:sz w:val="20"/>
          <w:szCs w:val="20"/>
          <w:color w:val="auto"/>
        </w:rPr>
      </w:pPr>
    </w:p>
    <w:p>
      <w:pPr>
        <w:ind w:left="480" w:right="40"/>
        <w:spacing w:after="0" w:line="279" w:lineRule="auto"/>
        <w:rPr>
          <w:sz w:val="20"/>
          <w:szCs w:val="20"/>
          <w:color w:val="auto"/>
        </w:rPr>
      </w:pPr>
      <w:r>
        <w:rPr>
          <w:rFonts w:ascii="Arial" w:cs="Arial" w:eastAsia="Arial" w:hAnsi="Arial"/>
          <w:sz w:val="16"/>
          <w:szCs w:val="16"/>
          <w:color w:val="auto"/>
        </w:rPr>
        <w:t>The Board of Directors has responsibility for reviewing our overall performance, rather than day-to-day operations. The Board of Directors’ primary responsibility is to oversee the management of the Company and, in doing so, serve the best interests of the Company and its shareholders. The Board of Directors provides for the succession of the Chief Executive Officer, nominates for election at annual shareholder meetings individuals to serve as directors of Analog Devices, and elects individuals to fill any vacancies on the Board of Directors. It reviews corporate objectives and strategies, and evaluates and approves significant policies and proposed major commitments of corporate 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64" w:lineRule="exact"/>
        <w:rPr>
          <w:sz w:val="20"/>
          <w:szCs w:val="20"/>
          <w:color w:val="auto"/>
        </w:rPr>
      </w:pPr>
    </w:p>
    <w:p>
      <w:pPr>
        <w:ind w:left="480"/>
        <w:spacing w:after="0" w:line="275" w:lineRule="auto"/>
        <w:rPr>
          <w:sz w:val="20"/>
          <w:szCs w:val="20"/>
          <w:color w:val="auto"/>
        </w:rPr>
      </w:pPr>
      <w:r>
        <w:rPr>
          <w:rFonts w:ascii="Arial" w:cs="Arial" w:eastAsia="Arial" w:hAnsi="Arial"/>
          <w:sz w:val="16"/>
          <w:szCs w:val="16"/>
          <w:color w:val="auto"/>
        </w:rPr>
        <w:t>The Board of Directors met ten times and its committees collectively held 21 meetings in fiscal 2020 (including by telephone conference). During fiscal 2020, overall attendance at Board and committee meetings was 97% and each of our incumbent directors attended 75% or more of the total number of meetings of the Board of Directors and the committees on which he or she served. The Board of Directors has standing Audit, Compensation, and Nominating and Corporate Governance Committees. All members of all three committees are independent, non-employee directors. Each committee has a charter that has been approved by the Board of Directors and is reviewed annually. In addition, each committee conducts an annual self-evaluation of its own performance and the performance of its members in accordance with its respective Committee charter. Each director also undertakes an evaluation of the Board more generally. Our Presiding Director, who is also currently the Chair of our Nominating and Corporate Governance Committee, working with outside counsel, also has conversations with each Board member designed to assess the competencies and skills each director brings to the Board. Summaries of the evaluations are presented to the Board. Mr. Roche is the only current director who is, or has been in the past three years, an employee of Analog Devices. Messrs. Roche and Stata do not serve on any standing Board committee and do not participate in the portion of any Board or committee meeting during which their compensation is evaluated. The independent directors met in executive session without Messrs. Stata or Roche at each in-person Board meeting in fiscal 2020.</w:t>
      </w:r>
    </w:p>
    <w:p>
      <w:pPr>
        <w:spacing w:after="0" w:line="72" w:lineRule="exact"/>
        <w:rPr>
          <w:sz w:val="20"/>
          <w:szCs w:val="20"/>
          <w:color w:val="auto"/>
        </w:rPr>
      </w:pPr>
    </w:p>
    <w:p>
      <w:pPr>
        <w:ind w:left="480" w:right="80"/>
        <w:spacing w:after="0" w:line="270" w:lineRule="auto"/>
        <w:rPr>
          <w:sz w:val="20"/>
          <w:szCs w:val="20"/>
          <w:color w:val="auto"/>
        </w:rPr>
      </w:pPr>
      <w:r>
        <w:rPr>
          <w:rFonts w:ascii="Arial" w:cs="Arial" w:eastAsia="Arial" w:hAnsi="Arial"/>
          <w:sz w:val="17"/>
          <w:szCs w:val="17"/>
          <w:color w:val="auto"/>
        </w:rPr>
        <w:t>Our Corporate Governance Guidelines set forth our policy that directors are expected to attend annual meetings of shareholders. Due to unforeseen circumstances relating to the COVID-19 pandemic, only one of our then-serving directors attended our in-person 2020 Annual Meeting of Shareholders.</w:t>
      </w:r>
    </w:p>
    <w:p>
      <w:pPr>
        <w:spacing w:after="0" w:line="200" w:lineRule="exact"/>
        <w:rPr>
          <w:sz w:val="20"/>
          <w:szCs w:val="20"/>
          <w:color w:val="auto"/>
        </w:rPr>
      </w:pPr>
    </w:p>
    <w:p>
      <w:pPr>
        <w:spacing w:after="0" w:line="29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760"/>
          </w:cols>
          <w:pgMar w:left="320" w:top="447" w:right="81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Audit Committee</w:t>
      </w:r>
    </w:p>
    <w:p>
      <w:pPr>
        <w:spacing w:after="0" w:line="124" w:lineRule="exact"/>
        <w:rPr>
          <w:sz w:val="20"/>
          <w:szCs w:val="20"/>
          <w:color w:val="auto"/>
        </w:rPr>
      </w:pPr>
    </w:p>
    <w:p>
      <w:pPr>
        <w:ind w:left="480" w:right="240"/>
        <w:spacing w:after="0" w:line="278" w:lineRule="auto"/>
        <w:rPr>
          <w:sz w:val="20"/>
          <w:szCs w:val="20"/>
          <w:color w:val="auto"/>
        </w:rPr>
      </w:pPr>
      <w:r>
        <w:rPr>
          <w:rFonts w:ascii="Arial" w:cs="Arial" w:eastAsia="Arial" w:hAnsi="Arial"/>
          <w:sz w:val="16"/>
          <w:szCs w:val="16"/>
          <w:color w:val="auto"/>
        </w:rPr>
        <w:t>The current members of our Audit Committee are Messrs. Sicchitano (Chair) and Evans and Ms. Golz. The Board of Directors has determined that each of Messrs. Sicchitano and Evans and Ms. Golz qualifies as an “audit committee financial expert” under the rules of the U.S. Securities and Exchange Commission, or SEC, and is independent as defined under the Nasdaq Rules and the independence requirements under Rule 10A-3(b)(1) of the Exchange Act. In addition, our Board of Directors has determined that each member of the Audit Committee is able to read and understand financial statements, including the Company’s consolidated balance sheet and its consolidated statements of income, comprehensive income, shareholders’ equity and cash flows and related notes as required under the Nasdaq Rules. The Board of Directors has certified that it has at least one member of the Audit Committee who has past employment experience in finance or accounting as required by the Nasdaq Rules. None of Messrs. Sicchitano and Evans or Ms. Golz serves on the audit committees of more than two other public companies.</w:t>
      </w:r>
    </w:p>
    <w:p>
      <w:pPr>
        <w:spacing w:after="0" w:line="64" w:lineRule="exact"/>
        <w:rPr>
          <w:sz w:val="20"/>
          <w:szCs w:val="20"/>
          <w:color w:val="auto"/>
        </w:rPr>
      </w:pPr>
    </w:p>
    <w:p>
      <w:pPr>
        <w:ind w:left="480" w:right="180"/>
        <w:spacing w:after="0" w:line="297" w:lineRule="auto"/>
        <w:rPr>
          <w:sz w:val="20"/>
          <w:szCs w:val="20"/>
          <w:color w:val="auto"/>
        </w:rPr>
      </w:pPr>
      <w:r>
        <w:rPr>
          <w:rFonts w:ascii="Arial" w:cs="Arial" w:eastAsia="Arial" w:hAnsi="Arial"/>
          <w:sz w:val="15"/>
          <w:szCs w:val="15"/>
          <w:color w:val="auto"/>
        </w:rPr>
        <w:t>The primary purpose of the Audit Committee is to assist the Board of Directors’ oversight of (i) the integrity of our financial statements and the Company’s systems of internal control over financial reporting and disclosure controls and procedures, (ii) the qualifications and independence of our independent registered public accounting firm, and (iii) the performance of our internal audit function and independent registered public accounting firm. The Audit Committee has the authority to engage any independent legal, accounting and other advisors that it deems necessary or appropriate to carry out its responsibilities. These independent advisors may be the regular advisors to the Company. The Audit Committee is empowered, without further action by the Board of Directors, to cause the Company to pay the compensation of those advisors as established by the Audit Committee. The Audit Committee selected and appointed Ernst &amp; Young LLP, our independent registered public accounting firm, and did not retain any other advisors during fiscal 2020. The Audit Committee met eleven times during fiscal 2020 (including by telephone conference). The responsibilities of our Audit Committee and its activities during fiscal 2020 are described in the Report of the Audit Committee below.</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Compensation Committee</w:t>
      </w:r>
    </w:p>
    <w:p>
      <w:pPr>
        <w:spacing w:after="0" w:line="124" w:lineRule="exact"/>
        <w:rPr>
          <w:sz w:val="20"/>
          <w:szCs w:val="20"/>
          <w:color w:val="auto"/>
        </w:rPr>
      </w:pPr>
    </w:p>
    <w:p>
      <w:pPr>
        <w:ind w:left="480" w:right="180"/>
        <w:spacing w:after="0" w:line="275" w:lineRule="auto"/>
        <w:rPr>
          <w:sz w:val="20"/>
          <w:szCs w:val="20"/>
          <w:color w:val="auto"/>
        </w:rPr>
      </w:pPr>
      <w:r>
        <w:rPr>
          <w:rFonts w:ascii="Arial" w:cs="Arial" w:eastAsia="Arial" w:hAnsi="Arial"/>
          <w:sz w:val="16"/>
          <w:szCs w:val="16"/>
          <w:color w:val="auto"/>
        </w:rPr>
        <w:t>The current members of our Compensation Committee are Drs. Frank (Chair), Glimcher, Little and Wee. Dr. Lisa Su also served on the Compensation Committee during fiscal 2020. The Board of Directors has determined that each of Drs. Frank, Glimcher Little and Wee is independent as defined under the Nasdaq Rules and the independence requirements under Rule 10C-1 of the Exchange Act. The Compensation Committee evaluates and sets the compensation of our Chief Executive Officer and our other executive officers, and makes recommendations to our Board of Directors regarding the compensation of our directors. The Compensation Committee oversees the evaluation of senior management. In connection with its oversight and administration of ADI’s cash and equity incentive plans, the Compensation Committee authorizes the granting of stock options, RSUs and other stock incentives (within guidelines established by our Board of Directors and in accordance with our Stock Option and Stock-Based Award Grant Date Policies) to our officers. In accordance with the terms of our 2020 Equity Incentive Plan, which we refer to as the 2020 Plan, the Compensation Committee has delegated to our Chief Executive Officer the power to grant and modify options, RSUs and other stock awards to employees who are not executive officers, other senior vice presidents who report to the Chief Executive Officer or directors, subject to specified thresholds, parameters and applicable law. Additionally, the Compensation Committee oversees our newly adopted clawback policy, as well as any clawback policy the Company may adopt in the future. Our Compensation Committee held eight meetings (including by telephone conference) during fiscal 2020.</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940"/>
          </w:cols>
          <w:pgMar w:left="320" w:top="447" w:right="6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480"/>
        <w:spacing w:after="0" w:line="280" w:lineRule="auto"/>
        <w:rPr>
          <w:sz w:val="20"/>
          <w:szCs w:val="20"/>
          <w:color w:val="auto"/>
        </w:rPr>
      </w:pPr>
      <w:r>
        <w:rPr>
          <w:rFonts w:ascii="Arial" w:cs="Arial" w:eastAsia="Arial" w:hAnsi="Arial"/>
          <w:sz w:val="16"/>
          <w:szCs w:val="16"/>
          <w:b w:val="1"/>
          <w:bCs w:val="1"/>
          <w:color w:val="auto"/>
        </w:rPr>
        <w:t xml:space="preserve">Compensation Committee Consultants. </w:t>
      </w:r>
      <w:r>
        <w:rPr>
          <w:rFonts w:ascii="Arial" w:cs="Arial" w:eastAsia="Arial" w:hAnsi="Arial"/>
          <w:sz w:val="16"/>
          <w:szCs w:val="16"/>
          <w:color w:val="auto"/>
        </w:rPr>
        <w:t>The Compensation Committee has the authority, in its sole discretion, to retain or obtain the advice of</w:t>
      </w:r>
      <w:r>
        <w:rPr>
          <w:rFonts w:ascii="Arial" w:cs="Arial" w:eastAsia="Arial" w:hAnsi="Arial"/>
          <w:sz w:val="16"/>
          <w:szCs w:val="16"/>
          <w:b w:val="1"/>
          <w:bCs w:val="1"/>
          <w:color w:val="auto"/>
        </w:rPr>
        <w:t xml:space="preserve"> </w:t>
      </w:r>
      <w:r>
        <w:rPr>
          <w:rFonts w:ascii="Arial" w:cs="Arial" w:eastAsia="Arial" w:hAnsi="Arial"/>
          <w:sz w:val="16"/>
          <w:szCs w:val="16"/>
          <w:color w:val="auto"/>
        </w:rPr>
        <w:t>any independent legal, accounting or other advisors it deems necessary or appropriate to carry out its responsibilities. The Compensation Committee is empowered, without further action by the Board of Directors, to cause the Company to pay the compensation of these advisors as established by the Compensation Committee. The Compensation Committee retained Pearl Meyer and Partners, or Pearl Meyer, an independent compensation consultant, during fiscal 2020. Pearl Meyer reports directly to the Compensation Committee and assists the Compensation Committee in evaluating and designing our executive and director compensation program and policies. For fiscal 2020, the Compensation Committee instructed Pearl Meyer to assist in the following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139700</wp:posOffset>
            </wp:positionV>
            <wp:extent cx="654240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42405" cy="8255"/>
                    </a:xfrm>
                    <a:prstGeom prst="rect">
                      <a:avLst/>
                    </a:prstGeom>
                    <a:noFill/>
                  </pic:spPr>
                </pic:pic>
              </a:graphicData>
            </a:graphic>
          </wp:anchor>
        </w:drawing>
      </w:r>
    </w:p>
    <w:p>
      <w:pPr>
        <w:sectPr>
          <w:pgSz w:w="11900" w:h="16838" w:orient="portrait"/>
          <w:cols w:equalWidth="0" w:num="1">
            <w:col w:w="10760"/>
          </w:cols>
          <w:pgMar w:left="320" w:top="447" w:right="819" w:bottom="1440" w:gutter="0" w:footer="0" w:header="0"/>
        </w:sectPr>
      </w:pPr>
    </w:p>
    <w:p>
      <w:pPr>
        <w:spacing w:after="0" w:line="312" w:lineRule="exact"/>
        <w:rPr>
          <w:sz w:val="20"/>
          <w:szCs w:val="20"/>
          <w:color w:val="auto"/>
        </w:rPr>
      </w:pPr>
    </w:p>
    <w:p>
      <w:pPr>
        <w:ind w:left="640" w:hanging="165"/>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defining a peer group of companies;</w:t>
      </w:r>
    </w:p>
    <w:p>
      <w:pPr>
        <w:spacing w:after="0" w:line="77" w:lineRule="exact"/>
        <w:rPr>
          <w:rFonts w:ascii="Arial" w:cs="Arial" w:eastAsia="Arial" w:hAnsi="Arial"/>
          <w:sz w:val="17"/>
          <w:szCs w:val="17"/>
          <w:color w:val="auto"/>
        </w:rPr>
      </w:pPr>
    </w:p>
    <w:p>
      <w:pPr>
        <w:ind w:left="640" w:hanging="165"/>
        <w:spacing w:after="0" w:line="286"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reviewing and validating the appropriateness of executive incentive plan goals;</w:t>
      </w:r>
    </w:p>
    <w:p>
      <w:pPr>
        <w:spacing w:after="0" w:line="15" w:lineRule="exact"/>
        <w:rPr>
          <w:rFonts w:ascii="Arial" w:cs="Arial" w:eastAsia="Arial" w:hAnsi="Arial"/>
          <w:sz w:val="17"/>
          <w:szCs w:val="17"/>
          <w:color w:val="auto"/>
        </w:rPr>
      </w:pPr>
    </w:p>
    <w:p>
      <w:pPr>
        <w:jc w:val="both"/>
        <w:ind w:left="640" w:right="180" w:hanging="165"/>
        <w:spacing w:after="0" w:line="270"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assisting the Compensation Committee in defining a comparator group of companies for the 2020 relative total shareholder return performance-based RSUs;</w:t>
      </w:r>
    </w:p>
    <w:p>
      <w:pPr>
        <w:spacing w:after="0" w:line="29" w:lineRule="exact"/>
        <w:rPr>
          <w:rFonts w:ascii="Arial" w:cs="Arial" w:eastAsia="Arial" w:hAnsi="Arial"/>
          <w:sz w:val="17"/>
          <w:szCs w:val="17"/>
          <w:color w:val="auto"/>
        </w:rPr>
      </w:pPr>
    </w:p>
    <w:p>
      <w:pPr>
        <w:ind w:left="640" w:right="60" w:hanging="165"/>
        <w:spacing w:after="0" w:line="263"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providing market data and advice regarding executive and director compensation plan design, design of the executive performance incentive plan and equity incentive mix and design, including a market update relating to the effects of COVID-19 on executive compensation;</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left="173" w:right="440" w:hanging="173"/>
        <w:spacing w:after="0" w:line="265" w:lineRule="auto"/>
        <w:tabs>
          <w:tab w:leader="none" w:pos="173"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conducting a detailed analysis of the competitiveness and appropriateness of the Company’s total executive compensation opportunity and total director compensation opportunity in comparison to our defined peer group; and</w:t>
      </w:r>
    </w:p>
    <w:p>
      <w:pPr>
        <w:spacing w:after="0" w:line="34" w:lineRule="exact"/>
        <w:rPr>
          <w:rFonts w:ascii="Arial" w:cs="Arial" w:eastAsia="Arial" w:hAnsi="Arial"/>
          <w:sz w:val="17"/>
          <w:szCs w:val="17"/>
          <w:color w:val="auto"/>
        </w:rPr>
      </w:pPr>
    </w:p>
    <w:p>
      <w:pPr>
        <w:ind w:left="173" w:hanging="173"/>
        <w:spacing w:after="0"/>
        <w:tabs>
          <w:tab w:leader="none" w:pos="173"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conducting a risk assessment of our executive compensation program.</w:t>
      </w:r>
    </w:p>
    <w:p>
      <w:pPr>
        <w:spacing w:after="0" w:line="1644" w:lineRule="exact"/>
        <w:rPr>
          <w:sz w:val="20"/>
          <w:szCs w:val="20"/>
          <w:color w:val="auto"/>
        </w:rPr>
      </w:pPr>
    </w:p>
    <w:p>
      <w:pPr>
        <w:sectPr>
          <w:pgSz w:w="11900" w:h="16838" w:orient="portrait"/>
          <w:cols w:equalWidth="0" w:num="2">
            <w:col w:w="5320" w:space="407"/>
            <w:col w:w="5033"/>
          </w:cols>
          <w:pgMar w:left="320" w:top="447" w:right="819" w:bottom="1440" w:gutter="0" w:footer="0" w:header="0"/>
          <w:type w:val="continuous"/>
        </w:sectPr>
      </w:pPr>
    </w:p>
    <w:p>
      <w:pPr>
        <w:spacing w:after="0" w:line="30" w:lineRule="exact"/>
        <w:rPr>
          <w:sz w:val="20"/>
          <w:szCs w:val="20"/>
          <w:color w:val="auto"/>
        </w:rPr>
      </w:pPr>
    </w:p>
    <w:p>
      <w:pPr>
        <w:ind w:left="480" w:right="20"/>
        <w:spacing w:after="0" w:line="276" w:lineRule="auto"/>
        <w:rPr>
          <w:sz w:val="20"/>
          <w:szCs w:val="20"/>
          <w:color w:val="auto"/>
        </w:rPr>
      </w:pPr>
      <w:r>
        <w:rPr>
          <w:rFonts w:ascii="Arial" w:cs="Arial" w:eastAsia="Arial" w:hAnsi="Arial"/>
          <w:sz w:val="16"/>
          <w:szCs w:val="16"/>
          <w:color w:val="auto"/>
        </w:rPr>
        <w:t>In connection with its work for the Compensation Committee, Pearl Meyer is invited to attend the Compensation Committee’s meetings and, upon request of the Compensation Committee, attends executive sessions of the Compensation Committee. Pearl Meyer is retained only by the Compensation Committee and does not provide any other consulting services to Analog Devices. The Compensation Committee also solicits advice from time to time from our outside counsel, WilmerHale. The Compensation Committee assesses the independence of its advisors on an annual basis. The Compensation Committee requested and received an independence letter from each of Pearl Meyer and WilmerHale providing information to assist the Compensation Committee in selecting and receiving advice from such advisor after considering the independence factors that are identified in the Nasdaq rules. The Compensation Committee determined that the engagement of these advisors did not raise any conflicts of interest for all work performed for the Compensation Committee during fiscal 2020. The activities of our Compensation Committee and the services Pearl Meyer performed for the Compensation Committee during fiscal 2020 are further described in “INFORMATION ABOUT EXECUTIVE COMPENSATION—Compensation Discussion and Analysis” below.</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Nominating and Corporate Governance Committee</w:t>
      </w:r>
    </w:p>
    <w:p>
      <w:pPr>
        <w:spacing w:after="0" w:line="124" w:lineRule="exact"/>
        <w:rPr>
          <w:sz w:val="20"/>
          <w:szCs w:val="20"/>
          <w:color w:val="auto"/>
        </w:rPr>
      </w:pPr>
    </w:p>
    <w:p>
      <w:pPr>
        <w:ind w:left="480" w:right="20"/>
        <w:spacing w:after="0" w:line="297" w:lineRule="auto"/>
        <w:rPr>
          <w:sz w:val="20"/>
          <w:szCs w:val="20"/>
          <w:color w:val="auto"/>
        </w:rPr>
      </w:pPr>
      <w:r>
        <w:rPr>
          <w:rFonts w:ascii="Arial" w:cs="Arial" w:eastAsia="Arial" w:hAnsi="Arial"/>
          <w:sz w:val="15"/>
          <w:szCs w:val="15"/>
          <w:color w:val="auto"/>
        </w:rPr>
        <w:t>The current members of our Nominating and Corporate Governance Committee are Mr. Champy (Chair) and Dr. Chandrakasan. The Board of Directors has determined that each of Mr. Champy and Dr. Chandrakasan is independent as defined under the Nasdaq Rules. The primary responsibility of the Nominating and Corporate Governance Committee is to identify individuals qualified to become Board members consistent with criteria approved by the Board of Directors, recommend to the Board of Directors the persons to be nominated by the Board of Directors for election as directors at any meeting of shareholders and the persons to be elected by the Board to fill any vacancies on the Board, recommend to the Board of Directors the directors to be appointed to each committee of the Board of Directors, develop and recommend to the Board of Directors a set of corporate governance principles and oversee the evaluation of the Board of Directors. The Nominating and Corporate Governance Committee also leads the Board of Directors’ succession planning efforts with respect to senior executives and oversight of our Code of Business Conduct and Ethics, and oversees and periodically reviews the Company’s environmental, social and governance policies, goals and programs.</w:t>
      </w:r>
    </w:p>
    <w:p>
      <w:pPr>
        <w:spacing w:after="0" w:line="56" w:lineRule="exact"/>
        <w:rPr>
          <w:sz w:val="20"/>
          <w:szCs w:val="20"/>
          <w:color w:val="auto"/>
        </w:rPr>
      </w:pPr>
    </w:p>
    <w:p>
      <w:pPr>
        <w:ind w:left="480" w:right="100"/>
        <w:spacing w:after="0" w:line="265" w:lineRule="auto"/>
        <w:rPr>
          <w:sz w:val="20"/>
          <w:szCs w:val="20"/>
          <w:color w:val="auto"/>
        </w:rPr>
      </w:pPr>
      <w:r>
        <w:rPr>
          <w:rFonts w:ascii="Arial" w:cs="Arial" w:eastAsia="Arial" w:hAnsi="Arial"/>
          <w:sz w:val="17"/>
          <w:szCs w:val="17"/>
          <w:color w:val="auto"/>
        </w:rPr>
        <w:t>The Nominating and Corporate Governance Committee has the authority to engage any independent legal and other advisors it deems necessary or appropriate to carry out its responsibilities. These independent advisors may be the regular advisors to the Company. The Nominating and Corporate Governance Committee is empowered, without further action by the Board of Directors, to cause the Company to pay the compensation of</w:t>
      </w: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760"/>
          </w:cols>
          <w:pgMar w:left="320" w:top="447" w:right="819" w:bottom="1440" w:gutter="0" w:footer="0" w:header="0"/>
          <w:type w:val="continuous"/>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240"/>
        <w:spacing w:after="0" w:line="270" w:lineRule="auto"/>
        <w:rPr>
          <w:sz w:val="20"/>
          <w:szCs w:val="20"/>
          <w:color w:val="auto"/>
        </w:rPr>
      </w:pPr>
      <w:r>
        <w:rPr>
          <w:rFonts w:ascii="Arial" w:cs="Arial" w:eastAsia="Arial" w:hAnsi="Arial"/>
          <w:sz w:val="17"/>
          <w:szCs w:val="17"/>
          <w:color w:val="auto"/>
        </w:rPr>
        <w:t>these advisors as established by the Nominating and Corporate Governance Committee. For information relating to nominations of directors by our shareholders, see “—Director Candidates” above. Our Nominating and Corporate Governance Committee held six meetings during fiscal 2020 (including by telephone conference).</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Determination of Independence</w:t>
      </w:r>
    </w:p>
    <w:p>
      <w:pPr>
        <w:spacing w:after="0" w:line="125" w:lineRule="exact"/>
        <w:rPr>
          <w:sz w:val="20"/>
          <w:szCs w:val="20"/>
          <w:color w:val="auto"/>
        </w:rPr>
      </w:pPr>
    </w:p>
    <w:p>
      <w:pPr>
        <w:ind w:left="480" w:right="180"/>
        <w:spacing w:after="0" w:line="291" w:lineRule="auto"/>
        <w:rPr>
          <w:sz w:val="20"/>
          <w:szCs w:val="20"/>
          <w:color w:val="auto"/>
        </w:rPr>
      </w:pPr>
      <w:r>
        <w:rPr>
          <w:rFonts w:ascii="Arial" w:cs="Arial" w:eastAsia="Arial" w:hAnsi="Arial"/>
          <w:sz w:val="15"/>
          <w:szCs w:val="15"/>
          <w:color w:val="auto"/>
        </w:rPr>
        <w:t>Under applicable Nasdaq Rules, a director of Analog Devices will only qualify as an “independent director” if, in the opinion of our Board of Directors, that person does not have a relationship which would interfere with the exercise of independent judgment in carrying out the responsibilities of a director. Our Board of Directors has established guidelines (within our Corporate Governance Guidelines) to assist it in determining whether a director has a relationship with Analog Devices that would interfere with the exercise of independent judgment in carrying out the responsibilities of a director. These guidelines are posted on our website under investor.analog.com/corporate-governance.cfm. For relationships not covered by the guidelines, the determination of whether such a relationship exists is made by the members of our Board of Directors who are independent (as defined above). Our Board of Directors has determined that none of Messrs. Champy, Evans and Sicchitano, Ms. Golz and Drs. Chandrakasan, Frank, Glimcher, Little and Wee has a relationship which would interfere with the exercise of independent judgment in carrying out the responsibilities of a director and that each of these directors is an “independent director” as defined under Rule 5605(a)</w:t>
      </w:r>
    </w:p>
    <w:p>
      <w:pPr>
        <w:spacing w:after="0" w:line="3" w:lineRule="exact"/>
        <w:rPr>
          <w:sz w:val="20"/>
          <w:szCs w:val="20"/>
          <w:color w:val="auto"/>
        </w:rPr>
      </w:pPr>
    </w:p>
    <w:p>
      <w:pPr>
        <w:ind w:left="480" w:right="220" w:hanging="5"/>
        <w:spacing w:after="0" w:line="276" w:lineRule="auto"/>
        <w:tabs>
          <w:tab w:leader="none" w:pos="726" w:val="left"/>
        </w:tabs>
        <w:numPr>
          <w:ilvl w:val="0"/>
          <w:numId w:val="24"/>
        </w:numPr>
        <w:rPr>
          <w:rFonts w:ascii="Arial" w:cs="Arial" w:eastAsia="Arial" w:hAnsi="Arial"/>
          <w:sz w:val="16"/>
          <w:szCs w:val="16"/>
          <w:color w:val="auto"/>
        </w:rPr>
      </w:pPr>
      <w:r>
        <w:rPr>
          <w:rFonts w:ascii="Arial" w:cs="Arial" w:eastAsia="Arial" w:hAnsi="Arial"/>
          <w:sz w:val="16"/>
          <w:szCs w:val="16"/>
          <w:color w:val="auto"/>
        </w:rPr>
        <w:t>of the Nasdaq Rules. The Board also determined that Lisa Su and Neil Novich, both former directors, were each an “independent director” prior to their retirements from the Board on March 11, 2020. The Board of Directors has determined that Mr. Roche, our President and Chief Executive Officer, and Mr. Stata, our Chairman and founder, are not “independent” under the Nasdaq Rules because Mr. Roche is a current employee and Mr. Stata is our founder. The Board of Directors considered the Company’s annual laboratory membership and sponsorship of university research projects with MIT (of which Anantha P. Chandrakasan is the Dean of the School of Engineering and James A. Champy is a board member) and Karen Golz’s former affiliation with Ernst &amp; Young and determined that those relationships would not interfere with the exercise of independent judgment in carrying out the responsibilities of a director.</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Director Candidates</w:t>
      </w:r>
    </w:p>
    <w:p>
      <w:pPr>
        <w:spacing w:after="0" w:line="125" w:lineRule="exact"/>
        <w:rPr>
          <w:sz w:val="20"/>
          <w:szCs w:val="20"/>
          <w:color w:val="auto"/>
        </w:rPr>
      </w:pPr>
    </w:p>
    <w:p>
      <w:pPr>
        <w:ind w:left="480" w:right="240"/>
        <w:spacing w:after="0" w:line="263" w:lineRule="auto"/>
        <w:rPr>
          <w:sz w:val="20"/>
          <w:szCs w:val="20"/>
          <w:color w:val="auto"/>
        </w:rPr>
      </w:pPr>
      <w:r>
        <w:rPr>
          <w:rFonts w:ascii="Arial" w:cs="Arial" w:eastAsia="Arial" w:hAnsi="Arial"/>
          <w:sz w:val="17"/>
          <w:szCs w:val="17"/>
          <w:color w:val="auto"/>
        </w:rPr>
        <w:t>Shareholders of record of Analog Devices may recommend director candidates for inclusion by the Board of Directors in the slate of nominees that the Board of Directors recommends to our shareholders for election. The qualifications of recommended candidates will be reviewed by the Nominating and Corporate Governance Committee. If the Board of Directors determines to nominate a shareholder-recommended candidate and recommends his or her election as a director by the shareholders, the name will be included in Analog Devices’ proxy card for the shareholders’ meeting at which his or her election is recommended.</w:t>
      </w:r>
    </w:p>
    <w:p>
      <w:pPr>
        <w:spacing w:after="0" w:line="74" w:lineRule="exact"/>
        <w:rPr>
          <w:sz w:val="20"/>
          <w:szCs w:val="20"/>
          <w:color w:val="auto"/>
        </w:rPr>
      </w:pPr>
    </w:p>
    <w:p>
      <w:pPr>
        <w:ind w:left="480" w:right="220"/>
        <w:spacing w:after="0" w:line="261" w:lineRule="auto"/>
        <w:rPr>
          <w:sz w:val="20"/>
          <w:szCs w:val="20"/>
          <w:color w:val="auto"/>
        </w:rPr>
      </w:pPr>
      <w:r>
        <w:rPr>
          <w:rFonts w:ascii="Arial" w:cs="Arial" w:eastAsia="Arial" w:hAnsi="Arial"/>
          <w:sz w:val="17"/>
          <w:szCs w:val="17"/>
          <w:color w:val="auto"/>
        </w:rPr>
        <w:t>Shareholders may recommend individuals for the Nominating and Corporate Governance Committee to consider as potential director candidates by submitting their names and background and a statement as to whether the shareholder or group of shareholders making the recommendation has beneficially owned more than 5% of Analog Devices’ common stock for at least one year as of the date the recommendation is made, to the “Analog Devices Nominating and Corporate Governance Committee,” c/o Yoon Ah Oh, Secretary, Analog Devices, Inc., One Analog Way, Wilmington, Massachusetts 01887. The Nominating and Corporate Governance Committee will consider a recommendation only if appropriate biographical information and background material is provided on a timely basis.</w:t>
      </w:r>
    </w:p>
    <w:p>
      <w:pPr>
        <w:spacing w:after="0" w:line="77" w:lineRule="exact"/>
        <w:rPr>
          <w:sz w:val="20"/>
          <w:szCs w:val="20"/>
          <w:color w:val="auto"/>
        </w:rPr>
      </w:pPr>
    </w:p>
    <w:p>
      <w:pPr>
        <w:ind w:left="480" w:right="320"/>
        <w:spacing w:after="0" w:line="261" w:lineRule="auto"/>
        <w:rPr>
          <w:sz w:val="20"/>
          <w:szCs w:val="20"/>
          <w:color w:val="auto"/>
        </w:rPr>
      </w:pPr>
      <w:r>
        <w:rPr>
          <w:rFonts w:ascii="Arial" w:cs="Arial" w:eastAsia="Arial" w:hAnsi="Arial"/>
          <w:sz w:val="17"/>
          <w:szCs w:val="17"/>
          <w:color w:val="auto"/>
        </w:rPr>
        <w:t>The process followed by the Nominating and Corporate Governance Committee to identify and evaluate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the Board of Directors. From time to time, the Nominating and Corporate Governance Committee may also seek input from director search firms for identification and evaluation of candidates. Laurie H. Glimcher, who joined our Board of Directors in August 2020, was recommended by a non-management director.</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940"/>
          </w:cols>
          <w:pgMar w:left="320" w:top="447" w:right="6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both"/>
        <w:ind w:left="480" w:right="140"/>
        <w:spacing w:after="0" w:line="295" w:lineRule="auto"/>
        <w:rPr>
          <w:sz w:val="20"/>
          <w:szCs w:val="20"/>
          <w:color w:val="auto"/>
        </w:rPr>
      </w:pPr>
      <w:r>
        <w:rPr>
          <w:rFonts w:ascii="Arial" w:cs="Arial" w:eastAsia="Arial" w:hAnsi="Arial"/>
          <w:sz w:val="16"/>
          <w:szCs w:val="16"/>
          <w:color w:val="auto"/>
        </w:rPr>
        <w:t>Assuming that appropriate biographical and background material is provided for candidates recommended by shareholders on a timely basis, the Nominating and Corporate Governance Committee will evaluate director candidates recommended by shareholders by following substantially the same process, and applying substantially the same criteria, as it follows for director candidates submitted by Board members.</w:t>
      </w:r>
    </w:p>
    <w:p>
      <w:pPr>
        <w:spacing w:after="0" w:line="50" w:lineRule="exact"/>
        <w:rPr>
          <w:sz w:val="20"/>
          <w:szCs w:val="20"/>
          <w:color w:val="auto"/>
        </w:rPr>
      </w:pPr>
    </w:p>
    <w:p>
      <w:pPr>
        <w:ind w:left="480" w:right="80"/>
        <w:spacing w:after="0" w:line="265" w:lineRule="auto"/>
        <w:rPr>
          <w:sz w:val="20"/>
          <w:szCs w:val="20"/>
          <w:color w:val="auto"/>
        </w:rPr>
      </w:pPr>
      <w:r>
        <w:rPr>
          <w:rFonts w:ascii="Arial" w:cs="Arial" w:eastAsia="Arial" w:hAnsi="Arial"/>
          <w:sz w:val="17"/>
          <w:szCs w:val="17"/>
          <w:color w:val="auto"/>
        </w:rPr>
        <w:t xml:space="preserve">Shareholders also have the right to directly nominate director candidates, without any action or recommendation on the part of the Nominating and Corporate Governance Committee or the Board of Directors, by following the procedures set forth in our bylaws and described in the response to the question </w:t>
      </w:r>
      <w:r>
        <w:rPr>
          <w:rFonts w:ascii="Arial" w:cs="Arial" w:eastAsia="Arial" w:hAnsi="Arial"/>
          <w:sz w:val="17"/>
          <w:szCs w:val="17"/>
          <w:b w:val="1"/>
          <w:bCs w:val="1"/>
          <w:color w:val="auto"/>
        </w:rPr>
        <w:t>“How and when may I submit a shareholder proposal, including a shareholder nomination for director, for the 2022 annual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meeting of shareholders?” </w:t>
      </w:r>
      <w:r>
        <w:rPr>
          <w:rFonts w:ascii="Arial" w:cs="Arial" w:eastAsia="Arial" w:hAnsi="Arial"/>
          <w:sz w:val="17"/>
          <w:szCs w:val="17"/>
          <w:color w:val="auto"/>
        </w:rPr>
        <w:t>below.</w:t>
      </w:r>
    </w:p>
    <w:p>
      <w:pPr>
        <w:spacing w:after="0" w:line="73" w:lineRule="exact"/>
        <w:rPr>
          <w:sz w:val="20"/>
          <w:szCs w:val="20"/>
          <w:color w:val="auto"/>
        </w:rPr>
      </w:pPr>
    </w:p>
    <w:p>
      <w:pPr>
        <w:ind w:left="480" w:right="40"/>
        <w:spacing w:after="0" w:line="297" w:lineRule="auto"/>
        <w:rPr>
          <w:sz w:val="20"/>
          <w:szCs w:val="20"/>
          <w:color w:val="auto"/>
        </w:rPr>
      </w:pPr>
      <w:r>
        <w:rPr>
          <w:rFonts w:ascii="Arial" w:cs="Arial" w:eastAsia="Arial" w:hAnsi="Arial"/>
          <w:sz w:val="15"/>
          <w:szCs w:val="15"/>
          <w:color w:val="auto"/>
        </w:rPr>
        <w:t>In considering whether to recommend any candidate for inclusion in the Board of Directors’ slate of recommended director nominees, including candidates recommended by shareholders, the Nominating and Corporate Governance Committee will apply the criteria set forth in our Corporate Governance Guidelines. These criteria include the candidate’s integrity, business acumen, experience, commitment, and diligence; the presence of any conflicts of interest and the ability of the candidate to act in the interests of all shareholders.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Analog Devices believes that the backgrounds and qualifications of the directors, considered as a group, should provide a significant composite mix of experience, knowledge and abilities that will allow the Board of Directors to fulfill its responsibilities. While we do not have a policy regarding Board diversity, the Nominating and Corporate Governance Committee includes gender, racial and ethnic diversity as part of its search criteria, consistent with the requirement for relevant and diverse experience, skills and industry familiarity.</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Communications from Shareholders and Other Interested Parties</w:t>
      </w:r>
    </w:p>
    <w:p>
      <w:pPr>
        <w:spacing w:after="0" w:line="125" w:lineRule="exact"/>
        <w:rPr>
          <w:sz w:val="20"/>
          <w:szCs w:val="20"/>
          <w:color w:val="auto"/>
        </w:rPr>
      </w:pPr>
    </w:p>
    <w:p>
      <w:pPr>
        <w:ind w:left="480" w:right="60"/>
        <w:spacing w:after="0" w:line="263" w:lineRule="auto"/>
        <w:rPr>
          <w:sz w:val="20"/>
          <w:szCs w:val="20"/>
          <w:color w:val="auto"/>
        </w:rPr>
      </w:pPr>
      <w:r>
        <w:rPr>
          <w:rFonts w:ascii="Arial" w:cs="Arial" w:eastAsia="Arial" w:hAnsi="Arial"/>
          <w:sz w:val="17"/>
          <w:szCs w:val="17"/>
          <w:color w:val="auto"/>
        </w:rPr>
        <w:t>The Board of Directors will give appropriate attention to written communications on issues that are submitted by shareholders and other interested parties, and will respond if and as appropriate. Absent unusual circumstances or as contemplated by committee charters, the Chairman of the Nominating and Corporate Governance Committee will, with the assistance of Analog Devices’ internal legal counsel, (1) be primarily responsible for monitoring communications from shareholders and other interested parties and (2) provide copies or summaries of such communications to the other directors as he considers appropriate.</w:t>
      </w:r>
    </w:p>
    <w:p>
      <w:pPr>
        <w:spacing w:after="0" w:line="74" w:lineRule="exact"/>
        <w:rPr>
          <w:sz w:val="20"/>
          <w:szCs w:val="20"/>
          <w:color w:val="auto"/>
        </w:rPr>
      </w:pPr>
    </w:p>
    <w:p>
      <w:pPr>
        <w:ind w:left="480" w:right="60"/>
        <w:spacing w:after="0" w:line="287" w:lineRule="auto"/>
        <w:rPr>
          <w:sz w:val="20"/>
          <w:szCs w:val="20"/>
          <w:color w:val="auto"/>
        </w:rPr>
      </w:pPr>
      <w:r>
        <w:rPr>
          <w:rFonts w:ascii="Arial" w:cs="Arial" w:eastAsia="Arial" w:hAnsi="Arial"/>
          <w:sz w:val="16"/>
          <w:szCs w:val="16"/>
          <w:color w:val="auto"/>
        </w:rPr>
        <w:t>Communications will be forwarded to all directors if they relate to substantive matters and include suggestions or comments that the Chairman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commercial solicitations and matters as to which Analog Devices tends to receive repetitive or duplicative communications.</w:t>
      </w:r>
    </w:p>
    <w:p>
      <w:pPr>
        <w:spacing w:after="0" w:line="57" w:lineRule="exact"/>
        <w:rPr>
          <w:sz w:val="20"/>
          <w:szCs w:val="20"/>
          <w:color w:val="auto"/>
        </w:rPr>
      </w:pPr>
    </w:p>
    <w:p>
      <w:pPr>
        <w:ind w:left="480"/>
        <w:spacing w:after="0" w:line="270" w:lineRule="auto"/>
        <w:rPr>
          <w:sz w:val="20"/>
          <w:szCs w:val="20"/>
          <w:color w:val="auto"/>
        </w:rPr>
      </w:pPr>
      <w:r>
        <w:rPr>
          <w:rFonts w:ascii="Arial" w:cs="Arial" w:eastAsia="Arial" w:hAnsi="Arial"/>
          <w:sz w:val="17"/>
          <w:szCs w:val="17"/>
          <w:color w:val="auto"/>
        </w:rPr>
        <w:t>Shareholders and other interested parties who wish to send communications on any topic to the Board of Directors (including the Presiding Director or the independent directors as a group) should address such communications to James A. Champy, Presiding Director, c/o Secretary, Analog Devices, Inc., One Analog Way, Wilmington, Massachusetts 01887.</w:t>
      </w:r>
    </w:p>
    <w:p>
      <w:pPr>
        <w:spacing w:after="0" w:line="200" w:lineRule="exact"/>
        <w:rPr>
          <w:sz w:val="20"/>
          <w:szCs w:val="20"/>
          <w:color w:val="auto"/>
        </w:rPr>
      </w:pPr>
    </w:p>
    <w:p>
      <w:pPr>
        <w:spacing w:after="0" w:line="29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740"/>
          </w:cols>
          <w:pgMar w:left="320" w:top="447" w:right="8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The Board of Directors’ Role in Risk Oversight</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management’s and the Board of Directors’ role in risk management and oversight:</w:t>
      </w:r>
    </w:p>
    <w:p>
      <w:pPr>
        <w:spacing w:after="0" w:line="239" w:lineRule="exact"/>
        <w:rPr>
          <w:sz w:val="20"/>
          <w:szCs w:val="20"/>
          <w:color w:val="auto"/>
        </w:rPr>
      </w:pPr>
    </w:p>
    <w:tbl>
      <w:tblPr>
        <w:tblLayout w:type="fixed"/>
        <w:tblInd w:w="480" w:type="dxa"/>
        <w:tblCellMar>
          <w:top w:w="0" w:type="dxa"/>
          <w:left w:w="0" w:type="dxa"/>
          <w:bottom w:w="0" w:type="dxa"/>
          <w:right w:w="0" w:type="dxa"/>
        </w:tblCellMar>
      </w:tblPr>
      <w:tr>
        <w:trPr>
          <w:trHeight w:val="248"/>
        </w:trPr>
        <w:tc>
          <w:tcPr>
            <w:tcW w:w="1640" w:type="dxa"/>
            <w:vAlign w:val="bottom"/>
            <w:tcBorders>
              <w:top w:val="single" w:sz="8" w:color="0066BA"/>
            </w:tcBorders>
          </w:tcPr>
          <w:p>
            <w:pPr>
              <w:spacing w:after="0"/>
              <w:rPr>
                <w:sz w:val="21"/>
                <w:szCs w:val="21"/>
                <w:color w:val="auto"/>
              </w:rPr>
            </w:pPr>
          </w:p>
        </w:tc>
        <w:tc>
          <w:tcPr>
            <w:tcW w:w="8640" w:type="dxa"/>
            <w:vAlign w:val="bottom"/>
            <w:tcBorders>
              <w:top w:val="single" w:sz="8" w:color="0066BA"/>
            </w:tcBorders>
            <w:shd w:val="clear" w:color="auto" w:fill="EAEAEA"/>
          </w:tcPr>
          <w:p>
            <w:pPr>
              <w:ind w:left="220"/>
              <w:spacing w:after="0"/>
              <w:rPr>
                <w:sz w:val="20"/>
                <w:szCs w:val="20"/>
                <w:color w:val="auto"/>
              </w:rPr>
            </w:pPr>
            <w:r>
              <w:rPr>
                <w:rFonts w:ascii="Arial" w:cs="Arial" w:eastAsia="Arial" w:hAnsi="Arial"/>
                <w:sz w:val="17"/>
                <w:szCs w:val="17"/>
                <w:color w:val="auto"/>
                <w:w w:val="97"/>
              </w:rPr>
              <w:t>Our Risk Management Framework defines how we identify, manage and govern risk throughout our organization to</w:t>
            </w:r>
          </w:p>
        </w:tc>
        <w:tc>
          <w:tcPr>
            <w:tcW w:w="0" w:type="dxa"/>
            <w:vAlign w:val="bottom"/>
          </w:tcPr>
          <w:p>
            <w:pPr>
              <w:spacing w:after="0"/>
              <w:rPr>
                <w:sz w:val="1"/>
                <w:szCs w:val="1"/>
                <w:color w:val="auto"/>
              </w:rPr>
            </w:pPr>
          </w:p>
        </w:tc>
      </w:tr>
      <w:tr>
        <w:trPr>
          <w:trHeight w:val="208"/>
        </w:trPr>
        <w:tc>
          <w:tcPr>
            <w:tcW w:w="1640" w:type="dxa"/>
            <w:vAlign w:val="bottom"/>
          </w:tcPr>
          <w:p>
            <w:pPr>
              <w:spacing w:after="0"/>
              <w:rPr>
                <w:sz w:val="18"/>
                <w:szCs w:val="18"/>
                <w:color w:val="auto"/>
              </w:rPr>
            </w:pPr>
          </w:p>
        </w:tc>
        <w:tc>
          <w:tcPr>
            <w:tcW w:w="8640" w:type="dxa"/>
            <w:vAlign w:val="bottom"/>
            <w:shd w:val="clear" w:color="auto" w:fill="EAEAEA"/>
          </w:tcPr>
          <w:p>
            <w:pPr>
              <w:ind w:left="220"/>
              <w:spacing w:after="0"/>
              <w:rPr>
                <w:sz w:val="20"/>
                <w:szCs w:val="20"/>
                <w:color w:val="auto"/>
              </w:rPr>
            </w:pPr>
            <w:r>
              <w:rPr>
                <w:rFonts w:ascii="Arial" w:cs="Arial" w:eastAsia="Arial" w:hAnsi="Arial"/>
                <w:sz w:val="17"/>
                <w:szCs w:val="17"/>
                <w:color w:val="auto"/>
                <w:w w:val="94"/>
              </w:rPr>
              <w:t>promote the achievement of our financial and operational goals in a compliant manner. It assigns accountability for risk</w:t>
            </w:r>
          </w:p>
        </w:tc>
        <w:tc>
          <w:tcPr>
            <w:tcW w:w="0" w:type="dxa"/>
            <w:vAlign w:val="bottom"/>
          </w:tcPr>
          <w:p>
            <w:pPr>
              <w:spacing w:after="0"/>
              <w:rPr>
                <w:sz w:val="1"/>
                <w:szCs w:val="1"/>
                <w:color w:val="auto"/>
              </w:rPr>
            </w:pPr>
          </w:p>
        </w:tc>
      </w:tr>
      <w:tr>
        <w:trPr>
          <w:trHeight w:val="208"/>
        </w:trPr>
        <w:tc>
          <w:tcPr>
            <w:tcW w:w="1640" w:type="dxa"/>
            <w:vAlign w:val="bottom"/>
          </w:tcPr>
          <w:p>
            <w:pPr>
              <w:spacing w:after="0"/>
              <w:rPr>
                <w:sz w:val="18"/>
                <w:szCs w:val="18"/>
                <w:color w:val="auto"/>
              </w:rPr>
            </w:pPr>
          </w:p>
        </w:tc>
        <w:tc>
          <w:tcPr>
            <w:tcW w:w="8640" w:type="dxa"/>
            <w:vAlign w:val="bottom"/>
            <w:shd w:val="clear" w:color="auto" w:fill="EAEAEA"/>
          </w:tcPr>
          <w:p>
            <w:pPr>
              <w:ind w:left="220"/>
              <w:spacing w:after="0"/>
              <w:rPr>
                <w:sz w:val="20"/>
                <w:szCs w:val="20"/>
                <w:color w:val="auto"/>
              </w:rPr>
            </w:pPr>
            <w:r>
              <w:rPr>
                <w:rFonts w:ascii="Arial" w:cs="Arial" w:eastAsia="Arial" w:hAnsi="Arial"/>
                <w:sz w:val="17"/>
                <w:szCs w:val="17"/>
                <w:color w:val="auto"/>
                <w:w w:val="97"/>
              </w:rPr>
              <w:t>management to every business unit, based on the risks they encounter as part of their day-to-day operations. Risk</w:t>
            </w:r>
          </w:p>
        </w:tc>
        <w:tc>
          <w:tcPr>
            <w:tcW w:w="0" w:type="dxa"/>
            <w:vAlign w:val="bottom"/>
          </w:tcPr>
          <w:p>
            <w:pPr>
              <w:spacing w:after="0"/>
              <w:rPr>
                <w:sz w:val="1"/>
                <w:szCs w:val="1"/>
                <w:color w:val="auto"/>
              </w:rPr>
            </w:pPr>
          </w:p>
        </w:tc>
      </w:tr>
      <w:tr>
        <w:trPr>
          <w:trHeight w:val="208"/>
        </w:trPr>
        <w:tc>
          <w:tcPr>
            <w:tcW w:w="1640" w:type="dxa"/>
            <w:vAlign w:val="bottom"/>
          </w:tcPr>
          <w:p>
            <w:pPr>
              <w:ind w:left="60"/>
              <w:spacing w:after="0"/>
              <w:rPr>
                <w:sz w:val="20"/>
                <w:szCs w:val="20"/>
                <w:color w:val="auto"/>
              </w:rPr>
            </w:pPr>
            <w:r>
              <w:rPr>
                <w:rFonts w:ascii="Arial" w:cs="Arial" w:eastAsia="Arial" w:hAnsi="Arial"/>
                <w:sz w:val="17"/>
                <w:szCs w:val="17"/>
                <w:color w:val="auto"/>
              </w:rPr>
              <w:t>Management</w:t>
            </w:r>
          </w:p>
        </w:tc>
        <w:tc>
          <w:tcPr>
            <w:tcW w:w="8640" w:type="dxa"/>
            <w:vAlign w:val="bottom"/>
            <w:shd w:val="clear" w:color="auto" w:fill="EAEAEA"/>
          </w:tcPr>
          <w:p>
            <w:pPr>
              <w:ind w:left="220"/>
              <w:spacing w:after="0"/>
              <w:rPr>
                <w:sz w:val="20"/>
                <w:szCs w:val="20"/>
                <w:color w:val="auto"/>
              </w:rPr>
            </w:pPr>
            <w:r>
              <w:rPr>
                <w:rFonts w:ascii="Arial" w:cs="Arial" w:eastAsia="Arial" w:hAnsi="Arial"/>
                <w:sz w:val="17"/>
                <w:szCs w:val="17"/>
                <w:color w:val="auto"/>
                <w:w w:val="94"/>
              </w:rPr>
              <w:t>governance is managed by our Chief Legal Officer and Chief Financial Officer in partnership with the senior leadership</w:t>
            </w:r>
          </w:p>
        </w:tc>
        <w:tc>
          <w:tcPr>
            <w:tcW w:w="0" w:type="dxa"/>
            <w:vAlign w:val="bottom"/>
          </w:tcPr>
          <w:p>
            <w:pPr>
              <w:spacing w:after="0"/>
              <w:rPr>
                <w:sz w:val="1"/>
                <w:szCs w:val="1"/>
                <w:color w:val="auto"/>
              </w:rPr>
            </w:pPr>
          </w:p>
        </w:tc>
      </w:tr>
      <w:tr>
        <w:trPr>
          <w:trHeight w:val="208"/>
        </w:trPr>
        <w:tc>
          <w:tcPr>
            <w:tcW w:w="1640" w:type="dxa"/>
            <w:vAlign w:val="bottom"/>
          </w:tcPr>
          <w:p>
            <w:pPr>
              <w:spacing w:after="0"/>
              <w:rPr>
                <w:sz w:val="18"/>
                <w:szCs w:val="18"/>
                <w:color w:val="auto"/>
              </w:rPr>
            </w:pPr>
          </w:p>
        </w:tc>
        <w:tc>
          <w:tcPr>
            <w:tcW w:w="8640" w:type="dxa"/>
            <w:vAlign w:val="bottom"/>
            <w:shd w:val="clear" w:color="auto" w:fill="EAEAEA"/>
          </w:tcPr>
          <w:p>
            <w:pPr>
              <w:ind w:left="220"/>
              <w:spacing w:after="0"/>
              <w:rPr>
                <w:sz w:val="20"/>
                <w:szCs w:val="20"/>
                <w:color w:val="auto"/>
              </w:rPr>
            </w:pPr>
            <w:r>
              <w:rPr>
                <w:rFonts w:ascii="Arial" w:cs="Arial" w:eastAsia="Arial" w:hAnsi="Arial"/>
                <w:sz w:val="17"/>
                <w:szCs w:val="17"/>
                <w:color w:val="auto"/>
                <w:w w:val="91"/>
              </w:rPr>
              <w:t>team. Members of management report to the Board of Directors (or the appropriate committee in the case of risks that are</w:t>
            </w:r>
          </w:p>
        </w:tc>
        <w:tc>
          <w:tcPr>
            <w:tcW w:w="0" w:type="dxa"/>
            <w:vAlign w:val="bottom"/>
          </w:tcPr>
          <w:p>
            <w:pPr>
              <w:spacing w:after="0"/>
              <w:rPr>
                <w:sz w:val="1"/>
                <w:szCs w:val="1"/>
                <w:color w:val="auto"/>
              </w:rPr>
            </w:pPr>
          </w:p>
        </w:tc>
      </w:tr>
      <w:tr>
        <w:trPr>
          <w:trHeight w:val="208"/>
        </w:trPr>
        <w:tc>
          <w:tcPr>
            <w:tcW w:w="1640" w:type="dxa"/>
            <w:vAlign w:val="bottom"/>
          </w:tcPr>
          <w:p>
            <w:pPr>
              <w:spacing w:after="0"/>
              <w:rPr>
                <w:sz w:val="18"/>
                <w:szCs w:val="18"/>
                <w:color w:val="auto"/>
              </w:rPr>
            </w:pPr>
          </w:p>
        </w:tc>
        <w:tc>
          <w:tcPr>
            <w:tcW w:w="8640" w:type="dxa"/>
            <w:vAlign w:val="bottom"/>
            <w:shd w:val="clear" w:color="auto" w:fill="EAEAEA"/>
          </w:tcPr>
          <w:p>
            <w:pPr>
              <w:ind w:left="220"/>
              <w:spacing w:after="0"/>
              <w:rPr>
                <w:sz w:val="20"/>
                <w:szCs w:val="20"/>
                <w:color w:val="auto"/>
              </w:rPr>
            </w:pPr>
            <w:r>
              <w:rPr>
                <w:rFonts w:ascii="Arial" w:cs="Arial" w:eastAsia="Arial" w:hAnsi="Arial"/>
                <w:sz w:val="17"/>
                <w:szCs w:val="17"/>
                <w:color w:val="auto"/>
              </w:rPr>
              <w:t>under the purview of a particular committee) regarding risk identification, risk management and risk mitigation</w:t>
            </w:r>
          </w:p>
        </w:tc>
        <w:tc>
          <w:tcPr>
            <w:tcW w:w="0" w:type="dxa"/>
            <w:vAlign w:val="bottom"/>
          </w:tcPr>
          <w:p>
            <w:pPr>
              <w:spacing w:after="0"/>
              <w:rPr>
                <w:sz w:val="1"/>
                <w:szCs w:val="1"/>
                <w:color w:val="auto"/>
              </w:rPr>
            </w:pPr>
          </w:p>
        </w:tc>
      </w:tr>
      <w:tr>
        <w:trPr>
          <w:trHeight w:val="221"/>
        </w:trPr>
        <w:tc>
          <w:tcPr>
            <w:tcW w:w="1640" w:type="dxa"/>
            <w:vAlign w:val="bottom"/>
          </w:tcPr>
          <w:p>
            <w:pPr>
              <w:spacing w:after="0"/>
              <w:rPr>
                <w:sz w:val="19"/>
                <w:szCs w:val="19"/>
                <w:color w:val="auto"/>
              </w:rPr>
            </w:pPr>
          </w:p>
        </w:tc>
        <w:tc>
          <w:tcPr>
            <w:tcW w:w="8640" w:type="dxa"/>
            <w:vAlign w:val="bottom"/>
            <w:shd w:val="clear" w:color="auto" w:fill="EAEAEA"/>
          </w:tcPr>
          <w:p>
            <w:pPr>
              <w:ind w:left="220"/>
              <w:spacing w:after="0"/>
              <w:rPr>
                <w:sz w:val="20"/>
                <w:szCs w:val="20"/>
                <w:color w:val="auto"/>
              </w:rPr>
            </w:pPr>
            <w:r>
              <w:rPr>
                <w:rFonts w:ascii="Arial" w:cs="Arial" w:eastAsia="Arial" w:hAnsi="Arial"/>
                <w:sz w:val="17"/>
                <w:szCs w:val="17"/>
                <w:color w:val="auto"/>
              </w:rPr>
              <w:t>strategies.</w:t>
            </w:r>
          </w:p>
        </w:tc>
        <w:tc>
          <w:tcPr>
            <w:tcW w:w="0" w:type="dxa"/>
            <w:vAlign w:val="bottom"/>
          </w:tcPr>
          <w:p>
            <w:pPr>
              <w:spacing w:after="0"/>
              <w:rPr>
                <w:sz w:val="1"/>
                <w:szCs w:val="1"/>
                <w:color w:val="auto"/>
              </w:rPr>
            </w:pPr>
          </w:p>
        </w:tc>
      </w:tr>
      <w:tr>
        <w:trPr>
          <w:trHeight w:val="65"/>
        </w:trPr>
        <w:tc>
          <w:tcPr>
            <w:tcW w:w="1640" w:type="dxa"/>
            <w:vAlign w:val="bottom"/>
            <w:tcBorders>
              <w:bottom w:val="single" w:sz="8" w:color="0066BA"/>
            </w:tcBorders>
          </w:tcPr>
          <w:p>
            <w:pPr>
              <w:spacing w:after="0"/>
              <w:rPr>
                <w:sz w:val="5"/>
                <w:szCs w:val="5"/>
                <w:color w:val="auto"/>
              </w:rPr>
            </w:pPr>
          </w:p>
        </w:tc>
        <w:tc>
          <w:tcPr>
            <w:tcW w:w="8640" w:type="dxa"/>
            <w:vAlign w:val="bottom"/>
            <w:tcBorders>
              <w:bottom w:val="single" w:sz="8" w:color="0066BA"/>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640" w:type="dxa"/>
            <w:vAlign w:val="bottom"/>
          </w:tcPr>
          <w:p>
            <w:pPr>
              <w:spacing w:after="0"/>
              <w:rPr>
                <w:sz w:val="19"/>
                <w:szCs w:val="19"/>
                <w:color w:val="auto"/>
              </w:rPr>
            </w:pPr>
          </w:p>
        </w:tc>
        <w:tc>
          <w:tcPr>
            <w:tcW w:w="8640" w:type="dxa"/>
            <w:vAlign w:val="bottom"/>
            <w:shd w:val="clear" w:color="auto" w:fill="EAEAEA"/>
          </w:tcPr>
          <w:p>
            <w:pPr>
              <w:ind w:left="220"/>
              <w:spacing w:after="0"/>
              <w:rPr>
                <w:sz w:val="20"/>
                <w:szCs w:val="20"/>
                <w:color w:val="auto"/>
              </w:rPr>
            </w:pPr>
            <w:r>
              <w:rPr>
                <w:rFonts w:ascii="Arial" w:cs="Arial" w:eastAsia="Arial" w:hAnsi="Arial"/>
                <w:sz w:val="17"/>
                <w:szCs w:val="17"/>
                <w:color w:val="auto"/>
                <w:w w:val="93"/>
              </w:rPr>
              <w:t>The Board of Directors’ role in the Company’s risk oversight process includes receiving regular reports from members of</w:t>
            </w:r>
          </w:p>
        </w:tc>
        <w:tc>
          <w:tcPr>
            <w:tcW w:w="0" w:type="dxa"/>
            <w:vAlign w:val="bottom"/>
          </w:tcPr>
          <w:p>
            <w:pPr>
              <w:spacing w:after="0"/>
              <w:rPr>
                <w:sz w:val="1"/>
                <w:szCs w:val="1"/>
                <w:color w:val="auto"/>
              </w:rPr>
            </w:pPr>
          </w:p>
        </w:tc>
      </w:tr>
      <w:tr>
        <w:trPr>
          <w:trHeight w:val="208"/>
        </w:trPr>
        <w:tc>
          <w:tcPr>
            <w:tcW w:w="1640" w:type="dxa"/>
            <w:vAlign w:val="bottom"/>
          </w:tcPr>
          <w:p>
            <w:pPr>
              <w:spacing w:after="0"/>
              <w:rPr>
                <w:sz w:val="18"/>
                <w:szCs w:val="18"/>
                <w:color w:val="auto"/>
              </w:rPr>
            </w:pPr>
          </w:p>
        </w:tc>
        <w:tc>
          <w:tcPr>
            <w:tcW w:w="8640" w:type="dxa"/>
            <w:vAlign w:val="bottom"/>
            <w:shd w:val="clear" w:color="auto" w:fill="EAEAEA"/>
          </w:tcPr>
          <w:p>
            <w:pPr>
              <w:ind w:left="220"/>
              <w:spacing w:after="0"/>
              <w:rPr>
                <w:sz w:val="20"/>
                <w:szCs w:val="20"/>
                <w:color w:val="auto"/>
              </w:rPr>
            </w:pPr>
            <w:r>
              <w:rPr>
                <w:rFonts w:ascii="Arial" w:cs="Arial" w:eastAsia="Arial" w:hAnsi="Arial"/>
                <w:sz w:val="17"/>
                <w:szCs w:val="17"/>
                <w:color w:val="auto"/>
                <w:w w:val="96"/>
              </w:rPr>
              <w:t>senior management on areas of material risk to the Company. Specifically, our Chief Legal Officer reports to our full</w:t>
            </w:r>
          </w:p>
        </w:tc>
        <w:tc>
          <w:tcPr>
            <w:tcW w:w="0" w:type="dxa"/>
            <w:vAlign w:val="bottom"/>
          </w:tcPr>
          <w:p>
            <w:pPr>
              <w:spacing w:after="0"/>
              <w:rPr>
                <w:sz w:val="1"/>
                <w:szCs w:val="1"/>
                <w:color w:val="auto"/>
              </w:rPr>
            </w:pPr>
          </w:p>
        </w:tc>
      </w:tr>
      <w:tr>
        <w:trPr>
          <w:trHeight w:val="208"/>
        </w:trPr>
        <w:tc>
          <w:tcPr>
            <w:tcW w:w="1640" w:type="dxa"/>
            <w:vAlign w:val="bottom"/>
          </w:tcPr>
          <w:p>
            <w:pPr>
              <w:ind w:left="60"/>
              <w:spacing w:after="0"/>
              <w:rPr>
                <w:sz w:val="20"/>
                <w:szCs w:val="20"/>
                <w:color w:val="auto"/>
              </w:rPr>
            </w:pPr>
            <w:r>
              <w:rPr>
                <w:rFonts w:ascii="Arial" w:cs="Arial" w:eastAsia="Arial" w:hAnsi="Arial"/>
                <w:sz w:val="17"/>
                <w:szCs w:val="17"/>
                <w:color w:val="auto"/>
              </w:rPr>
              <w:t>Board of</w:t>
            </w:r>
          </w:p>
        </w:tc>
        <w:tc>
          <w:tcPr>
            <w:tcW w:w="8640" w:type="dxa"/>
            <w:vAlign w:val="bottom"/>
            <w:shd w:val="clear" w:color="auto" w:fill="EAEAEA"/>
          </w:tcPr>
          <w:p>
            <w:pPr>
              <w:ind w:left="220"/>
              <w:spacing w:after="0"/>
              <w:rPr>
                <w:sz w:val="20"/>
                <w:szCs w:val="20"/>
                <w:color w:val="auto"/>
              </w:rPr>
            </w:pPr>
            <w:r>
              <w:rPr>
                <w:rFonts w:ascii="Arial" w:cs="Arial" w:eastAsia="Arial" w:hAnsi="Arial"/>
                <w:sz w:val="17"/>
                <w:szCs w:val="17"/>
                <w:color w:val="auto"/>
              </w:rPr>
              <w:t>Board of Directors regarding our management of all enterprise and operational risks and our Risk Management</w:t>
            </w:r>
          </w:p>
        </w:tc>
        <w:tc>
          <w:tcPr>
            <w:tcW w:w="0" w:type="dxa"/>
            <w:vAlign w:val="bottom"/>
          </w:tcPr>
          <w:p>
            <w:pPr>
              <w:spacing w:after="0"/>
              <w:rPr>
                <w:sz w:val="1"/>
                <w:szCs w:val="1"/>
                <w:color w:val="auto"/>
              </w:rPr>
            </w:pPr>
          </w:p>
        </w:tc>
      </w:tr>
      <w:tr>
        <w:trPr>
          <w:trHeight w:val="208"/>
        </w:trPr>
        <w:tc>
          <w:tcPr>
            <w:tcW w:w="1640" w:type="dxa"/>
            <w:vAlign w:val="bottom"/>
          </w:tcPr>
          <w:p>
            <w:pPr>
              <w:ind w:left="60"/>
              <w:spacing w:after="0"/>
              <w:rPr>
                <w:sz w:val="20"/>
                <w:szCs w:val="20"/>
                <w:color w:val="auto"/>
              </w:rPr>
            </w:pPr>
            <w:r>
              <w:rPr>
                <w:rFonts w:ascii="Arial" w:cs="Arial" w:eastAsia="Arial" w:hAnsi="Arial"/>
                <w:sz w:val="17"/>
                <w:szCs w:val="17"/>
                <w:color w:val="auto"/>
              </w:rPr>
              <w:t>Directors</w:t>
            </w:r>
          </w:p>
        </w:tc>
        <w:tc>
          <w:tcPr>
            <w:tcW w:w="8640" w:type="dxa"/>
            <w:vAlign w:val="bottom"/>
            <w:shd w:val="clear" w:color="auto" w:fill="EAEAEA"/>
          </w:tcPr>
          <w:p>
            <w:pPr>
              <w:ind w:left="220"/>
              <w:spacing w:after="0"/>
              <w:rPr>
                <w:sz w:val="20"/>
                <w:szCs w:val="20"/>
                <w:color w:val="auto"/>
              </w:rPr>
            </w:pPr>
            <w:r>
              <w:rPr>
                <w:rFonts w:ascii="Arial" w:cs="Arial" w:eastAsia="Arial" w:hAnsi="Arial"/>
                <w:sz w:val="17"/>
                <w:szCs w:val="17"/>
                <w:color w:val="auto"/>
                <w:w w:val="97"/>
              </w:rPr>
              <w:t>Framework annually, with periodic updates on focus areas, such as cybersecurity. The Board also receives regular</w:t>
            </w:r>
          </w:p>
        </w:tc>
        <w:tc>
          <w:tcPr>
            <w:tcW w:w="0" w:type="dxa"/>
            <w:vAlign w:val="bottom"/>
          </w:tcPr>
          <w:p>
            <w:pPr>
              <w:spacing w:after="0"/>
              <w:rPr>
                <w:sz w:val="1"/>
                <w:szCs w:val="1"/>
                <w:color w:val="auto"/>
              </w:rPr>
            </w:pPr>
          </w:p>
        </w:tc>
      </w:tr>
      <w:tr>
        <w:trPr>
          <w:trHeight w:val="208"/>
        </w:trPr>
        <w:tc>
          <w:tcPr>
            <w:tcW w:w="1640" w:type="dxa"/>
            <w:vAlign w:val="bottom"/>
          </w:tcPr>
          <w:p>
            <w:pPr>
              <w:spacing w:after="0"/>
              <w:rPr>
                <w:sz w:val="18"/>
                <w:szCs w:val="18"/>
                <w:color w:val="auto"/>
              </w:rPr>
            </w:pPr>
          </w:p>
        </w:tc>
        <w:tc>
          <w:tcPr>
            <w:tcW w:w="8640" w:type="dxa"/>
            <w:vAlign w:val="bottom"/>
            <w:shd w:val="clear" w:color="auto" w:fill="EAEAEA"/>
          </w:tcPr>
          <w:p>
            <w:pPr>
              <w:ind w:left="220"/>
              <w:spacing w:after="0"/>
              <w:rPr>
                <w:sz w:val="20"/>
                <w:szCs w:val="20"/>
                <w:color w:val="auto"/>
              </w:rPr>
            </w:pPr>
            <w:r>
              <w:rPr>
                <w:rFonts w:ascii="Arial" w:cs="Arial" w:eastAsia="Arial" w:hAnsi="Arial"/>
                <w:sz w:val="17"/>
                <w:szCs w:val="17"/>
                <w:color w:val="auto"/>
                <w:w w:val="94"/>
              </w:rPr>
              <w:t>updates from our Audit Committee, Compensation Committee and Nominating and Corporate Governance Committee,</w:t>
            </w:r>
          </w:p>
        </w:tc>
        <w:tc>
          <w:tcPr>
            <w:tcW w:w="0" w:type="dxa"/>
            <w:vAlign w:val="bottom"/>
          </w:tcPr>
          <w:p>
            <w:pPr>
              <w:spacing w:after="0"/>
              <w:rPr>
                <w:sz w:val="1"/>
                <w:szCs w:val="1"/>
                <w:color w:val="auto"/>
              </w:rPr>
            </w:pPr>
          </w:p>
        </w:tc>
      </w:tr>
      <w:tr>
        <w:trPr>
          <w:trHeight w:val="221"/>
        </w:trPr>
        <w:tc>
          <w:tcPr>
            <w:tcW w:w="1640" w:type="dxa"/>
            <w:vAlign w:val="bottom"/>
          </w:tcPr>
          <w:p>
            <w:pPr>
              <w:spacing w:after="0"/>
              <w:rPr>
                <w:sz w:val="19"/>
                <w:szCs w:val="19"/>
                <w:color w:val="auto"/>
              </w:rPr>
            </w:pPr>
          </w:p>
        </w:tc>
        <w:tc>
          <w:tcPr>
            <w:tcW w:w="8640" w:type="dxa"/>
            <w:vAlign w:val="bottom"/>
            <w:shd w:val="clear" w:color="auto" w:fill="EAEAEA"/>
          </w:tcPr>
          <w:p>
            <w:pPr>
              <w:ind w:left="220"/>
              <w:spacing w:after="0"/>
              <w:rPr>
                <w:sz w:val="20"/>
                <w:szCs w:val="20"/>
                <w:color w:val="auto"/>
              </w:rPr>
            </w:pPr>
            <w:r>
              <w:rPr>
                <w:rFonts w:ascii="Arial" w:cs="Arial" w:eastAsia="Arial" w:hAnsi="Arial"/>
                <w:sz w:val="17"/>
                <w:szCs w:val="17"/>
                <w:color w:val="auto"/>
              </w:rPr>
              <w:t>which provide our Board with thorough insight about how ADI manages risk.</w:t>
            </w:r>
          </w:p>
        </w:tc>
        <w:tc>
          <w:tcPr>
            <w:tcW w:w="0" w:type="dxa"/>
            <w:vAlign w:val="bottom"/>
          </w:tcPr>
          <w:p>
            <w:pPr>
              <w:spacing w:after="0"/>
              <w:rPr>
                <w:sz w:val="1"/>
                <w:szCs w:val="1"/>
                <w:color w:val="auto"/>
              </w:rPr>
            </w:pPr>
          </w:p>
        </w:tc>
      </w:tr>
      <w:tr>
        <w:trPr>
          <w:trHeight w:val="65"/>
        </w:trPr>
        <w:tc>
          <w:tcPr>
            <w:tcW w:w="1640" w:type="dxa"/>
            <w:vAlign w:val="bottom"/>
            <w:tcBorders>
              <w:bottom w:val="single" w:sz="8" w:color="0066BA"/>
            </w:tcBorders>
          </w:tcPr>
          <w:p>
            <w:pPr>
              <w:spacing w:after="0"/>
              <w:rPr>
                <w:sz w:val="5"/>
                <w:szCs w:val="5"/>
                <w:color w:val="auto"/>
              </w:rPr>
            </w:pPr>
          </w:p>
        </w:tc>
        <w:tc>
          <w:tcPr>
            <w:tcW w:w="8640" w:type="dxa"/>
            <w:vAlign w:val="bottom"/>
            <w:tcBorders>
              <w:bottom w:val="single" w:sz="8" w:color="0066BA"/>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640" w:type="dxa"/>
            <w:vAlign w:val="bottom"/>
          </w:tcPr>
          <w:p>
            <w:pPr>
              <w:spacing w:after="0"/>
              <w:rPr>
                <w:sz w:val="19"/>
                <w:szCs w:val="19"/>
                <w:color w:val="auto"/>
              </w:rPr>
            </w:pPr>
          </w:p>
        </w:tc>
        <w:tc>
          <w:tcPr>
            <w:tcW w:w="8640" w:type="dxa"/>
            <w:vAlign w:val="bottom"/>
            <w:shd w:val="clear" w:color="auto" w:fill="EAEAEA"/>
          </w:tcPr>
          <w:p>
            <w:pPr>
              <w:ind w:left="220"/>
              <w:spacing w:after="0"/>
              <w:rPr>
                <w:sz w:val="20"/>
                <w:szCs w:val="20"/>
                <w:color w:val="auto"/>
              </w:rPr>
            </w:pPr>
            <w:r>
              <w:rPr>
                <w:rFonts w:ascii="Arial" w:cs="Arial" w:eastAsia="Arial" w:hAnsi="Arial"/>
                <w:sz w:val="17"/>
                <w:szCs w:val="17"/>
                <w:color w:val="auto"/>
                <w:w w:val="95"/>
              </w:rPr>
              <w:t>The Audit Committee discusses ADI’s policies with respect to risk assessment and risk management as they apply to</w:t>
            </w:r>
          </w:p>
        </w:tc>
        <w:tc>
          <w:tcPr>
            <w:tcW w:w="0" w:type="dxa"/>
            <w:vAlign w:val="bottom"/>
          </w:tcPr>
          <w:p>
            <w:pPr>
              <w:spacing w:after="0"/>
              <w:rPr>
                <w:sz w:val="1"/>
                <w:szCs w:val="1"/>
                <w:color w:val="auto"/>
              </w:rPr>
            </w:pPr>
          </w:p>
        </w:tc>
      </w:tr>
      <w:tr>
        <w:trPr>
          <w:trHeight w:val="208"/>
        </w:trPr>
        <w:tc>
          <w:tcPr>
            <w:tcW w:w="1640" w:type="dxa"/>
            <w:vAlign w:val="bottom"/>
            <w:vMerge w:val="restart"/>
          </w:tcPr>
          <w:p>
            <w:pPr>
              <w:ind w:left="60"/>
              <w:spacing w:after="0"/>
              <w:rPr>
                <w:sz w:val="20"/>
                <w:szCs w:val="20"/>
                <w:color w:val="auto"/>
              </w:rPr>
            </w:pPr>
            <w:r>
              <w:rPr>
                <w:rFonts w:ascii="Arial" w:cs="Arial" w:eastAsia="Arial" w:hAnsi="Arial"/>
                <w:sz w:val="17"/>
                <w:szCs w:val="17"/>
                <w:color w:val="auto"/>
              </w:rPr>
              <w:t>Audit</w:t>
            </w:r>
          </w:p>
        </w:tc>
        <w:tc>
          <w:tcPr>
            <w:tcW w:w="8640" w:type="dxa"/>
            <w:vAlign w:val="bottom"/>
            <w:shd w:val="clear" w:color="auto" w:fill="EAEAEA"/>
          </w:tcPr>
          <w:p>
            <w:pPr>
              <w:ind w:left="220"/>
              <w:spacing w:after="0"/>
              <w:rPr>
                <w:sz w:val="20"/>
                <w:szCs w:val="20"/>
                <w:color w:val="auto"/>
              </w:rPr>
            </w:pPr>
            <w:r>
              <w:rPr>
                <w:rFonts w:ascii="Arial" w:cs="Arial" w:eastAsia="Arial" w:hAnsi="Arial"/>
                <w:sz w:val="17"/>
                <w:szCs w:val="17"/>
                <w:color w:val="auto"/>
                <w:w w:val="99"/>
              </w:rPr>
              <w:t>ADI’s financial statement integrity and reporting and internal controls. The Audit Committee also receives regular</w:t>
            </w:r>
          </w:p>
        </w:tc>
        <w:tc>
          <w:tcPr>
            <w:tcW w:w="0" w:type="dxa"/>
            <w:vAlign w:val="bottom"/>
          </w:tcPr>
          <w:p>
            <w:pPr>
              <w:spacing w:after="0"/>
              <w:rPr>
                <w:sz w:val="1"/>
                <w:szCs w:val="1"/>
                <w:color w:val="auto"/>
              </w:rPr>
            </w:pPr>
          </w:p>
        </w:tc>
      </w:tr>
      <w:tr>
        <w:trPr>
          <w:trHeight w:val="104"/>
        </w:trPr>
        <w:tc>
          <w:tcPr>
            <w:tcW w:w="1640" w:type="dxa"/>
            <w:vAlign w:val="bottom"/>
            <w:vMerge w:val="continue"/>
          </w:tcPr>
          <w:p>
            <w:pPr>
              <w:spacing w:after="0"/>
              <w:rPr>
                <w:sz w:val="9"/>
                <w:szCs w:val="9"/>
                <w:color w:val="auto"/>
              </w:rPr>
            </w:pPr>
          </w:p>
        </w:tc>
        <w:tc>
          <w:tcPr>
            <w:tcW w:w="8640" w:type="dxa"/>
            <w:vAlign w:val="bottom"/>
            <w:vMerge w:val="restart"/>
            <w:shd w:val="clear" w:color="auto" w:fill="EAEAEA"/>
          </w:tcPr>
          <w:p>
            <w:pPr>
              <w:ind w:left="220"/>
              <w:spacing w:after="0"/>
              <w:rPr>
                <w:sz w:val="20"/>
                <w:szCs w:val="20"/>
                <w:color w:val="auto"/>
              </w:rPr>
            </w:pPr>
            <w:r>
              <w:rPr>
                <w:rFonts w:ascii="Arial" w:cs="Arial" w:eastAsia="Arial" w:hAnsi="Arial"/>
                <w:sz w:val="17"/>
                <w:szCs w:val="17"/>
                <w:color w:val="auto"/>
                <w:w w:val="93"/>
              </w:rPr>
              <w:t>reports from our Director of Internal Audit on internal audit matters and receives reports at least annually from our Chief</w:t>
            </w:r>
          </w:p>
        </w:tc>
        <w:tc>
          <w:tcPr>
            <w:tcW w:w="0" w:type="dxa"/>
            <w:vAlign w:val="bottom"/>
          </w:tcPr>
          <w:p>
            <w:pPr>
              <w:spacing w:after="0"/>
              <w:rPr>
                <w:sz w:val="1"/>
                <w:szCs w:val="1"/>
                <w:color w:val="auto"/>
              </w:rPr>
            </w:pPr>
          </w:p>
        </w:tc>
      </w:tr>
      <w:tr>
        <w:trPr>
          <w:trHeight w:val="104"/>
        </w:trPr>
        <w:tc>
          <w:tcPr>
            <w:tcW w:w="1640" w:type="dxa"/>
            <w:vAlign w:val="bottom"/>
            <w:vMerge w:val="restart"/>
          </w:tcPr>
          <w:p>
            <w:pPr>
              <w:ind w:left="60"/>
              <w:spacing w:after="0"/>
              <w:rPr>
                <w:sz w:val="20"/>
                <w:szCs w:val="20"/>
                <w:color w:val="auto"/>
              </w:rPr>
            </w:pPr>
            <w:r>
              <w:rPr>
                <w:rFonts w:ascii="Arial" w:cs="Arial" w:eastAsia="Arial" w:hAnsi="Arial"/>
                <w:sz w:val="17"/>
                <w:szCs w:val="17"/>
                <w:color w:val="auto"/>
              </w:rPr>
              <w:t>Committee</w:t>
            </w:r>
          </w:p>
        </w:tc>
        <w:tc>
          <w:tcPr>
            <w:tcW w:w="864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640" w:type="dxa"/>
            <w:vAlign w:val="bottom"/>
            <w:vMerge w:val="continue"/>
          </w:tcPr>
          <w:p>
            <w:pPr>
              <w:spacing w:after="0"/>
              <w:rPr>
                <w:sz w:val="10"/>
                <w:szCs w:val="10"/>
                <w:color w:val="auto"/>
              </w:rPr>
            </w:pPr>
          </w:p>
        </w:tc>
        <w:tc>
          <w:tcPr>
            <w:tcW w:w="8640" w:type="dxa"/>
            <w:vAlign w:val="bottom"/>
            <w:vMerge w:val="restart"/>
            <w:shd w:val="clear" w:color="auto" w:fill="EAEAEA"/>
          </w:tcPr>
          <w:p>
            <w:pPr>
              <w:ind w:left="220"/>
              <w:spacing w:after="0"/>
              <w:rPr>
                <w:sz w:val="20"/>
                <w:szCs w:val="20"/>
                <w:color w:val="auto"/>
              </w:rPr>
            </w:pPr>
            <w:r>
              <w:rPr>
                <w:rFonts w:ascii="Arial" w:cs="Arial" w:eastAsia="Arial" w:hAnsi="Arial"/>
                <w:sz w:val="17"/>
                <w:szCs w:val="17"/>
                <w:color w:val="auto"/>
                <w:w w:val="95"/>
              </w:rPr>
              <w:t>Information Officer on information security, technology and data privacy and protection. The Chief Information Officer</w:t>
            </w:r>
          </w:p>
        </w:tc>
        <w:tc>
          <w:tcPr>
            <w:tcW w:w="0" w:type="dxa"/>
            <w:vAlign w:val="bottom"/>
          </w:tcPr>
          <w:p>
            <w:pPr>
              <w:spacing w:after="0"/>
              <w:rPr>
                <w:sz w:val="1"/>
                <w:szCs w:val="1"/>
                <w:color w:val="auto"/>
              </w:rPr>
            </w:pPr>
          </w:p>
        </w:tc>
      </w:tr>
      <w:tr>
        <w:trPr>
          <w:trHeight w:val="92"/>
        </w:trPr>
        <w:tc>
          <w:tcPr>
            <w:tcW w:w="1640" w:type="dxa"/>
            <w:vAlign w:val="bottom"/>
          </w:tcPr>
          <w:p>
            <w:pPr>
              <w:spacing w:after="0"/>
              <w:rPr>
                <w:sz w:val="7"/>
                <w:szCs w:val="7"/>
                <w:color w:val="auto"/>
              </w:rPr>
            </w:pPr>
          </w:p>
        </w:tc>
        <w:tc>
          <w:tcPr>
            <w:tcW w:w="8640" w:type="dxa"/>
            <w:vAlign w:val="bottom"/>
            <w:vMerge w:val="continue"/>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640" w:type="dxa"/>
            <w:vAlign w:val="bottom"/>
          </w:tcPr>
          <w:p>
            <w:pPr>
              <w:spacing w:after="0"/>
              <w:rPr>
                <w:sz w:val="19"/>
                <w:szCs w:val="19"/>
                <w:color w:val="auto"/>
              </w:rPr>
            </w:pPr>
          </w:p>
        </w:tc>
        <w:tc>
          <w:tcPr>
            <w:tcW w:w="8640" w:type="dxa"/>
            <w:vAlign w:val="bottom"/>
            <w:shd w:val="clear" w:color="auto" w:fill="EAEAEA"/>
          </w:tcPr>
          <w:p>
            <w:pPr>
              <w:ind w:left="220"/>
              <w:spacing w:after="0"/>
              <w:rPr>
                <w:sz w:val="20"/>
                <w:szCs w:val="20"/>
                <w:color w:val="auto"/>
              </w:rPr>
            </w:pPr>
            <w:r>
              <w:rPr>
                <w:rFonts w:ascii="Arial" w:cs="Arial" w:eastAsia="Arial" w:hAnsi="Arial"/>
                <w:sz w:val="17"/>
                <w:szCs w:val="17"/>
                <w:color w:val="auto"/>
              </w:rPr>
              <w:t>also provides an annual report to the full Board of Directors regarding cybersecurity risk.</w:t>
            </w:r>
          </w:p>
        </w:tc>
        <w:tc>
          <w:tcPr>
            <w:tcW w:w="0" w:type="dxa"/>
            <w:vAlign w:val="bottom"/>
          </w:tcPr>
          <w:p>
            <w:pPr>
              <w:spacing w:after="0"/>
              <w:rPr>
                <w:sz w:val="1"/>
                <w:szCs w:val="1"/>
                <w:color w:val="auto"/>
              </w:rPr>
            </w:pPr>
          </w:p>
        </w:tc>
      </w:tr>
      <w:tr>
        <w:trPr>
          <w:trHeight w:val="65"/>
        </w:trPr>
        <w:tc>
          <w:tcPr>
            <w:tcW w:w="1640" w:type="dxa"/>
            <w:vAlign w:val="bottom"/>
            <w:tcBorders>
              <w:bottom w:val="single" w:sz="8" w:color="0066BA"/>
            </w:tcBorders>
          </w:tcPr>
          <w:p>
            <w:pPr>
              <w:spacing w:after="0"/>
              <w:rPr>
                <w:sz w:val="5"/>
                <w:szCs w:val="5"/>
                <w:color w:val="auto"/>
              </w:rPr>
            </w:pPr>
          </w:p>
        </w:tc>
        <w:tc>
          <w:tcPr>
            <w:tcW w:w="8640" w:type="dxa"/>
            <w:vAlign w:val="bottom"/>
            <w:tcBorders>
              <w:bottom w:val="single" w:sz="8" w:color="0066BA"/>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640" w:type="dxa"/>
            <w:vAlign w:val="bottom"/>
          </w:tcPr>
          <w:p>
            <w:pPr>
              <w:ind w:left="60"/>
              <w:spacing w:after="0"/>
              <w:rPr>
                <w:sz w:val="20"/>
                <w:szCs w:val="20"/>
                <w:color w:val="auto"/>
              </w:rPr>
            </w:pPr>
            <w:r>
              <w:rPr>
                <w:rFonts w:ascii="Arial" w:cs="Arial" w:eastAsia="Arial" w:hAnsi="Arial"/>
                <w:sz w:val="17"/>
                <w:szCs w:val="17"/>
                <w:color w:val="auto"/>
              </w:rPr>
              <w:t>Compensation</w:t>
            </w:r>
          </w:p>
        </w:tc>
        <w:tc>
          <w:tcPr>
            <w:tcW w:w="8640" w:type="dxa"/>
            <w:vAlign w:val="bottom"/>
            <w:shd w:val="clear" w:color="auto" w:fill="EAEAEA"/>
          </w:tcPr>
          <w:p>
            <w:pPr>
              <w:ind w:left="220"/>
              <w:spacing w:after="0"/>
              <w:rPr>
                <w:sz w:val="20"/>
                <w:szCs w:val="20"/>
                <w:color w:val="auto"/>
              </w:rPr>
            </w:pPr>
            <w:r>
              <w:rPr>
                <w:rFonts w:ascii="Arial" w:cs="Arial" w:eastAsia="Arial" w:hAnsi="Arial"/>
                <w:sz w:val="17"/>
                <w:szCs w:val="17"/>
                <w:color w:val="auto"/>
                <w:w w:val="95"/>
              </w:rPr>
              <w:t>The Compensation Committee considers whether ADI’s executive compensation program and non- executive director</w:t>
            </w:r>
          </w:p>
        </w:tc>
        <w:tc>
          <w:tcPr>
            <w:tcW w:w="0" w:type="dxa"/>
            <w:vAlign w:val="bottom"/>
          </w:tcPr>
          <w:p>
            <w:pPr>
              <w:spacing w:after="0"/>
              <w:rPr>
                <w:sz w:val="1"/>
                <w:szCs w:val="1"/>
                <w:color w:val="auto"/>
              </w:rPr>
            </w:pPr>
          </w:p>
        </w:tc>
      </w:tr>
      <w:tr>
        <w:trPr>
          <w:trHeight w:val="221"/>
        </w:trPr>
        <w:tc>
          <w:tcPr>
            <w:tcW w:w="1640" w:type="dxa"/>
            <w:vAlign w:val="bottom"/>
          </w:tcPr>
          <w:p>
            <w:pPr>
              <w:ind w:left="60"/>
              <w:spacing w:after="0"/>
              <w:rPr>
                <w:sz w:val="20"/>
                <w:szCs w:val="20"/>
                <w:color w:val="auto"/>
              </w:rPr>
            </w:pPr>
            <w:r>
              <w:rPr>
                <w:rFonts w:ascii="Arial" w:cs="Arial" w:eastAsia="Arial" w:hAnsi="Arial"/>
                <w:sz w:val="17"/>
                <w:szCs w:val="17"/>
                <w:color w:val="auto"/>
              </w:rPr>
              <w:t>Committee</w:t>
            </w:r>
          </w:p>
        </w:tc>
        <w:tc>
          <w:tcPr>
            <w:tcW w:w="8640" w:type="dxa"/>
            <w:vAlign w:val="bottom"/>
            <w:shd w:val="clear" w:color="auto" w:fill="EAEAEA"/>
          </w:tcPr>
          <w:p>
            <w:pPr>
              <w:ind w:left="220"/>
              <w:spacing w:after="0"/>
              <w:rPr>
                <w:sz w:val="20"/>
                <w:szCs w:val="20"/>
                <w:color w:val="auto"/>
              </w:rPr>
            </w:pPr>
            <w:r>
              <w:rPr>
                <w:rFonts w:ascii="Arial" w:cs="Arial" w:eastAsia="Arial" w:hAnsi="Arial"/>
                <w:sz w:val="17"/>
                <w:szCs w:val="17"/>
                <w:color w:val="auto"/>
              </w:rPr>
              <w:t>compensation practices encourage excessive or inappropriate risk taking.</w:t>
            </w:r>
          </w:p>
        </w:tc>
        <w:tc>
          <w:tcPr>
            <w:tcW w:w="0" w:type="dxa"/>
            <w:vAlign w:val="bottom"/>
          </w:tcPr>
          <w:p>
            <w:pPr>
              <w:spacing w:after="0"/>
              <w:rPr>
                <w:sz w:val="1"/>
                <w:szCs w:val="1"/>
                <w:color w:val="auto"/>
              </w:rPr>
            </w:pPr>
          </w:p>
        </w:tc>
      </w:tr>
      <w:tr>
        <w:trPr>
          <w:trHeight w:val="65"/>
        </w:trPr>
        <w:tc>
          <w:tcPr>
            <w:tcW w:w="1640" w:type="dxa"/>
            <w:vAlign w:val="bottom"/>
            <w:tcBorders>
              <w:bottom w:val="single" w:sz="8" w:color="0066BA"/>
            </w:tcBorders>
          </w:tcPr>
          <w:p>
            <w:pPr>
              <w:spacing w:after="0"/>
              <w:rPr>
                <w:sz w:val="5"/>
                <w:szCs w:val="5"/>
                <w:color w:val="auto"/>
              </w:rPr>
            </w:pPr>
          </w:p>
        </w:tc>
        <w:tc>
          <w:tcPr>
            <w:tcW w:w="8640" w:type="dxa"/>
            <w:vAlign w:val="bottom"/>
            <w:tcBorders>
              <w:bottom w:val="single" w:sz="8" w:color="0066BA"/>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640" w:type="dxa"/>
            <w:vAlign w:val="bottom"/>
            <w:vMerge w:val="restart"/>
          </w:tcPr>
          <w:p>
            <w:pPr>
              <w:ind w:left="60"/>
              <w:spacing w:after="0"/>
              <w:rPr>
                <w:sz w:val="20"/>
                <w:szCs w:val="20"/>
                <w:color w:val="auto"/>
              </w:rPr>
            </w:pPr>
            <w:r>
              <w:rPr>
                <w:rFonts w:ascii="Arial" w:cs="Arial" w:eastAsia="Arial" w:hAnsi="Arial"/>
                <w:sz w:val="17"/>
                <w:szCs w:val="17"/>
                <w:color w:val="auto"/>
              </w:rPr>
              <w:t>Nominating</w:t>
            </w:r>
          </w:p>
        </w:tc>
        <w:tc>
          <w:tcPr>
            <w:tcW w:w="8640" w:type="dxa"/>
            <w:vAlign w:val="bottom"/>
            <w:shd w:val="clear" w:color="auto" w:fill="EAEAEA"/>
          </w:tcPr>
          <w:p>
            <w:pPr>
              <w:ind w:left="220"/>
              <w:spacing w:after="0"/>
              <w:rPr>
                <w:sz w:val="20"/>
                <w:szCs w:val="20"/>
                <w:color w:val="auto"/>
              </w:rPr>
            </w:pPr>
            <w:r>
              <w:rPr>
                <w:rFonts w:ascii="Arial" w:cs="Arial" w:eastAsia="Arial" w:hAnsi="Arial"/>
                <w:sz w:val="17"/>
                <w:szCs w:val="17"/>
                <w:color w:val="auto"/>
                <w:w w:val="93"/>
              </w:rPr>
              <w:t>The Nominating and Corporate Governance Committee leads the Board with respect to the adequacy of the Company’s</w:t>
            </w:r>
          </w:p>
        </w:tc>
        <w:tc>
          <w:tcPr>
            <w:tcW w:w="0" w:type="dxa"/>
            <w:vAlign w:val="bottom"/>
          </w:tcPr>
          <w:p>
            <w:pPr>
              <w:spacing w:after="0"/>
              <w:rPr>
                <w:sz w:val="1"/>
                <w:szCs w:val="1"/>
                <w:color w:val="auto"/>
              </w:rPr>
            </w:pPr>
          </w:p>
        </w:tc>
      </w:tr>
      <w:tr>
        <w:trPr>
          <w:trHeight w:val="104"/>
        </w:trPr>
        <w:tc>
          <w:tcPr>
            <w:tcW w:w="1640" w:type="dxa"/>
            <w:vAlign w:val="bottom"/>
            <w:vMerge w:val="continue"/>
          </w:tcPr>
          <w:p>
            <w:pPr>
              <w:spacing w:after="0"/>
              <w:rPr>
                <w:sz w:val="9"/>
                <w:szCs w:val="9"/>
                <w:color w:val="auto"/>
              </w:rPr>
            </w:pPr>
          </w:p>
        </w:tc>
        <w:tc>
          <w:tcPr>
            <w:tcW w:w="8640" w:type="dxa"/>
            <w:vAlign w:val="bottom"/>
            <w:vMerge w:val="restart"/>
            <w:shd w:val="clear" w:color="auto" w:fill="EAEAEA"/>
          </w:tcPr>
          <w:p>
            <w:pPr>
              <w:ind w:left="220"/>
              <w:spacing w:after="0"/>
              <w:rPr>
                <w:sz w:val="20"/>
                <w:szCs w:val="20"/>
                <w:color w:val="auto"/>
              </w:rPr>
            </w:pPr>
            <w:r>
              <w:rPr>
                <w:rFonts w:ascii="Arial" w:cs="Arial" w:eastAsia="Arial" w:hAnsi="Arial"/>
                <w:sz w:val="17"/>
                <w:szCs w:val="17"/>
                <w:color w:val="auto"/>
                <w:w w:val="95"/>
              </w:rPr>
              <w:t>governance structure and process and of succession planning for the Company’s Board of Directors, Chief Executive</w:t>
            </w:r>
          </w:p>
        </w:tc>
        <w:tc>
          <w:tcPr>
            <w:tcW w:w="0" w:type="dxa"/>
            <w:vAlign w:val="bottom"/>
          </w:tcPr>
          <w:p>
            <w:pPr>
              <w:spacing w:after="0"/>
              <w:rPr>
                <w:sz w:val="1"/>
                <w:szCs w:val="1"/>
                <w:color w:val="auto"/>
              </w:rPr>
            </w:pPr>
          </w:p>
        </w:tc>
      </w:tr>
      <w:tr>
        <w:trPr>
          <w:trHeight w:val="104"/>
        </w:trPr>
        <w:tc>
          <w:tcPr>
            <w:tcW w:w="1640" w:type="dxa"/>
            <w:vAlign w:val="bottom"/>
            <w:vMerge w:val="restart"/>
          </w:tcPr>
          <w:p>
            <w:pPr>
              <w:ind w:left="60"/>
              <w:spacing w:after="0"/>
              <w:rPr>
                <w:sz w:val="20"/>
                <w:szCs w:val="20"/>
                <w:color w:val="auto"/>
              </w:rPr>
            </w:pPr>
            <w:r>
              <w:rPr>
                <w:rFonts w:ascii="Arial" w:cs="Arial" w:eastAsia="Arial" w:hAnsi="Arial"/>
                <w:sz w:val="17"/>
                <w:szCs w:val="17"/>
                <w:color w:val="auto"/>
              </w:rPr>
              <w:t>and Corporate</w:t>
            </w:r>
          </w:p>
        </w:tc>
        <w:tc>
          <w:tcPr>
            <w:tcW w:w="864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vMerge w:val="continue"/>
          </w:tcPr>
          <w:p>
            <w:pPr>
              <w:spacing w:after="0"/>
              <w:rPr>
                <w:sz w:val="9"/>
                <w:szCs w:val="9"/>
                <w:color w:val="auto"/>
              </w:rPr>
            </w:pPr>
          </w:p>
        </w:tc>
        <w:tc>
          <w:tcPr>
            <w:tcW w:w="8640" w:type="dxa"/>
            <w:vAlign w:val="bottom"/>
            <w:vMerge w:val="restart"/>
            <w:shd w:val="clear" w:color="auto" w:fill="EAEAEA"/>
          </w:tcPr>
          <w:p>
            <w:pPr>
              <w:ind w:left="220"/>
              <w:spacing w:after="0"/>
              <w:rPr>
                <w:sz w:val="20"/>
                <w:szCs w:val="20"/>
                <w:color w:val="auto"/>
              </w:rPr>
            </w:pPr>
            <w:r>
              <w:rPr>
                <w:rFonts w:ascii="Arial" w:cs="Arial" w:eastAsia="Arial" w:hAnsi="Arial"/>
                <w:sz w:val="17"/>
                <w:szCs w:val="17"/>
                <w:color w:val="auto"/>
                <w:w w:val="96"/>
              </w:rPr>
              <w:t>Officer and other executive officers. The Committee oversees the Company’s environmental, social and governance</w:t>
            </w:r>
          </w:p>
        </w:tc>
        <w:tc>
          <w:tcPr>
            <w:tcW w:w="0" w:type="dxa"/>
            <w:vAlign w:val="bottom"/>
          </w:tcPr>
          <w:p>
            <w:pPr>
              <w:spacing w:after="0"/>
              <w:rPr>
                <w:sz w:val="1"/>
                <w:szCs w:val="1"/>
                <w:color w:val="auto"/>
              </w:rPr>
            </w:pPr>
          </w:p>
        </w:tc>
      </w:tr>
      <w:tr>
        <w:trPr>
          <w:trHeight w:val="104"/>
        </w:trPr>
        <w:tc>
          <w:tcPr>
            <w:tcW w:w="1640" w:type="dxa"/>
            <w:vAlign w:val="bottom"/>
            <w:vMerge w:val="restart"/>
          </w:tcPr>
          <w:p>
            <w:pPr>
              <w:ind w:left="60"/>
              <w:spacing w:after="0"/>
              <w:rPr>
                <w:sz w:val="20"/>
                <w:szCs w:val="20"/>
                <w:color w:val="auto"/>
              </w:rPr>
            </w:pPr>
            <w:r>
              <w:rPr>
                <w:rFonts w:ascii="Arial" w:cs="Arial" w:eastAsia="Arial" w:hAnsi="Arial"/>
                <w:sz w:val="17"/>
                <w:szCs w:val="17"/>
                <w:color w:val="auto"/>
              </w:rPr>
              <w:t>Governance</w:t>
            </w:r>
          </w:p>
        </w:tc>
        <w:tc>
          <w:tcPr>
            <w:tcW w:w="864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vMerge w:val="continue"/>
          </w:tcPr>
          <w:p>
            <w:pPr>
              <w:spacing w:after="0"/>
              <w:rPr>
                <w:sz w:val="9"/>
                <w:szCs w:val="9"/>
                <w:color w:val="auto"/>
              </w:rPr>
            </w:pPr>
          </w:p>
        </w:tc>
        <w:tc>
          <w:tcPr>
            <w:tcW w:w="8640" w:type="dxa"/>
            <w:vAlign w:val="bottom"/>
            <w:vMerge w:val="restart"/>
            <w:shd w:val="clear" w:color="auto" w:fill="EAEAEA"/>
          </w:tcPr>
          <w:p>
            <w:pPr>
              <w:ind w:left="220"/>
              <w:spacing w:after="0"/>
              <w:rPr>
                <w:sz w:val="20"/>
                <w:szCs w:val="20"/>
                <w:color w:val="auto"/>
              </w:rPr>
            </w:pPr>
            <w:r>
              <w:rPr>
                <w:rFonts w:ascii="Arial" w:cs="Arial" w:eastAsia="Arial" w:hAnsi="Arial"/>
                <w:sz w:val="17"/>
                <w:szCs w:val="17"/>
                <w:color w:val="auto"/>
                <w:w w:val="93"/>
              </w:rPr>
              <w:t>policies, goals and programs, including reviewing the Company’s sustainability initiatives and goals and the Company’s</w:t>
            </w:r>
          </w:p>
        </w:tc>
        <w:tc>
          <w:tcPr>
            <w:tcW w:w="0" w:type="dxa"/>
            <w:vAlign w:val="bottom"/>
          </w:tcPr>
          <w:p>
            <w:pPr>
              <w:spacing w:after="0"/>
              <w:rPr>
                <w:sz w:val="1"/>
                <w:szCs w:val="1"/>
                <w:color w:val="auto"/>
              </w:rPr>
            </w:pPr>
          </w:p>
        </w:tc>
      </w:tr>
      <w:tr>
        <w:trPr>
          <w:trHeight w:val="104"/>
        </w:trPr>
        <w:tc>
          <w:tcPr>
            <w:tcW w:w="1640" w:type="dxa"/>
            <w:vAlign w:val="bottom"/>
            <w:vMerge w:val="restart"/>
          </w:tcPr>
          <w:p>
            <w:pPr>
              <w:ind w:left="60"/>
              <w:spacing w:after="0"/>
              <w:rPr>
                <w:sz w:val="20"/>
                <w:szCs w:val="20"/>
                <w:color w:val="auto"/>
              </w:rPr>
            </w:pPr>
            <w:r>
              <w:rPr>
                <w:rFonts w:ascii="Arial" w:cs="Arial" w:eastAsia="Arial" w:hAnsi="Arial"/>
                <w:sz w:val="17"/>
                <w:szCs w:val="17"/>
                <w:color w:val="auto"/>
              </w:rPr>
              <w:t>Committee</w:t>
            </w:r>
          </w:p>
        </w:tc>
        <w:tc>
          <w:tcPr>
            <w:tcW w:w="864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640" w:type="dxa"/>
            <w:vAlign w:val="bottom"/>
            <w:vMerge w:val="continue"/>
          </w:tcPr>
          <w:p>
            <w:pPr>
              <w:spacing w:after="0"/>
              <w:rPr>
                <w:sz w:val="10"/>
                <w:szCs w:val="10"/>
                <w:color w:val="auto"/>
              </w:rPr>
            </w:pPr>
          </w:p>
        </w:tc>
        <w:tc>
          <w:tcPr>
            <w:tcW w:w="8640" w:type="dxa"/>
            <w:vAlign w:val="bottom"/>
            <w:vMerge w:val="restart"/>
            <w:shd w:val="clear" w:color="auto" w:fill="EAEAEA"/>
          </w:tcPr>
          <w:p>
            <w:pPr>
              <w:ind w:left="220"/>
              <w:spacing w:after="0"/>
              <w:rPr>
                <w:sz w:val="20"/>
                <w:szCs w:val="20"/>
                <w:color w:val="auto"/>
              </w:rPr>
            </w:pPr>
            <w:r>
              <w:rPr>
                <w:rFonts w:ascii="Arial" w:cs="Arial" w:eastAsia="Arial" w:hAnsi="Arial"/>
                <w:sz w:val="17"/>
                <w:szCs w:val="17"/>
                <w:color w:val="auto"/>
              </w:rPr>
              <w:t>progress toward achieving those goals.</w:t>
            </w: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864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640" w:type="dxa"/>
            <w:vAlign w:val="bottom"/>
            <w:tcBorders>
              <w:bottom w:val="single" w:sz="8" w:color="0066BA"/>
            </w:tcBorders>
          </w:tcPr>
          <w:p>
            <w:pPr>
              <w:spacing w:after="0"/>
              <w:rPr>
                <w:sz w:val="5"/>
                <w:szCs w:val="5"/>
                <w:color w:val="auto"/>
              </w:rPr>
            </w:pPr>
          </w:p>
        </w:tc>
        <w:tc>
          <w:tcPr>
            <w:tcW w:w="8640" w:type="dxa"/>
            <w:vAlign w:val="bottom"/>
            <w:tcBorders>
              <w:bottom w:val="single" w:sz="8" w:color="0066BA"/>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Engagement with Our Shareholders</w:t>
      </w:r>
    </w:p>
    <w:p>
      <w:pPr>
        <w:spacing w:after="0" w:line="125" w:lineRule="exact"/>
        <w:rPr>
          <w:sz w:val="20"/>
          <w:szCs w:val="20"/>
          <w:color w:val="auto"/>
        </w:rPr>
      </w:pPr>
    </w:p>
    <w:p>
      <w:pPr>
        <w:ind w:left="480" w:right="180"/>
        <w:spacing w:after="0" w:line="260" w:lineRule="auto"/>
        <w:rPr>
          <w:sz w:val="20"/>
          <w:szCs w:val="20"/>
          <w:color w:val="auto"/>
        </w:rPr>
      </w:pPr>
      <w:r>
        <w:rPr>
          <w:rFonts w:ascii="Arial" w:cs="Arial" w:eastAsia="Arial" w:hAnsi="Arial"/>
          <w:sz w:val="17"/>
          <w:szCs w:val="17"/>
          <w:color w:val="auto"/>
        </w:rPr>
        <w:t>Since our inception as a public company, we have maintained an active engagement program with our shareholders, meeting with them extensively throughout the year as part of our investor outreach efforts. In fiscal 2020, we held more than 400 meetings with our shareholders, including the majority of our top 25 shareholders, to discuss the Company’s performance and prospects, as well as trends affecting the semiconductor industry. We also continued our specific outreach effort with our institutional investors to discuss corporate governance issues affecting the Company. During fiscal 2020, we reached out to our top 25 shareholders, representing approximately 55% of our outstanding shares, with an invitation to have discussions with their corporate governance teams. Of the shareholders who accepted our engagement invitation, topics covered in these meetings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148590</wp:posOffset>
            </wp:positionV>
            <wp:extent cx="654240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42405" cy="8255"/>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sectPr>
      </w:pPr>
    </w:p>
    <w:p>
      <w:pPr>
        <w:spacing w:after="0" w:line="326" w:lineRule="exact"/>
        <w:rPr>
          <w:sz w:val="20"/>
          <w:szCs w:val="20"/>
          <w:color w:val="auto"/>
        </w:rPr>
      </w:pPr>
    </w:p>
    <w:p>
      <w:pPr>
        <w:ind w:left="640" w:hanging="165"/>
        <w:spacing w:after="0"/>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Board composition and risk oversight</w:t>
      </w:r>
    </w:p>
    <w:p>
      <w:pPr>
        <w:spacing w:after="0" w:line="100" w:lineRule="exact"/>
        <w:rPr>
          <w:rFonts w:ascii="Arial" w:cs="Arial" w:eastAsia="Arial" w:hAnsi="Arial"/>
          <w:sz w:val="15"/>
          <w:szCs w:val="15"/>
          <w:color w:val="auto"/>
        </w:rPr>
      </w:pPr>
    </w:p>
    <w:p>
      <w:pPr>
        <w:ind w:left="640" w:hanging="165"/>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Board evaluations and refreshment</w:t>
      </w:r>
    </w:p>
    <w:p>
      <w:pPr>
        <w:spacing w:after="0" w:line="89" w:lineRule="exact"/>
        <w:rPr>
          <w:rFonts w:ascii="Arial" w:cs="Arial" w:eastAsia="Arial" w:hAnsi="Arial"/>
          <w:sz w:val="16"/>
          <w:szCs w:val="16"/>
          <w:color w:val="auto"/>
        </w:rPr>
      </w:pPr>
    </w:p>
    <w:p>
      <w:pPr>
        <w:ind w:left="640" w:hanging="165"/>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Corporate governance trends</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left="173" w:right="600" w:hanging="173"/>
        <w:spacing w:after="0" w:line="334" w:lineRule="auto"/>
        <w:tabs>
          <w:tab w:leader="none" w:pos="173" w:val="left"/>
        </w:tabs>
        <w:numPr>
          <w:ilvl w:val="0"/>
          <w:numId w:val="26"/>
        </w:numPr>
        <w:rPr>
          <w:rFonts w:ascii="Arial" w:cs="Arial" w:eastAsia="Arial" w:hAnsi="Arial"/>
          <w:sz w:val="15"/>
          <w:szCs w:val="15"/>
          <w:color w:val="auto"/>
        </w:rPr>
      </w:pPr>
      <w:r>
        <w:rPr>
          <w:rFonts w:ascii="Arial" w:cs="Arial" w:eastAsia="Arial" w:hAnsi="Arial"/>
          <w:sz w:val="15"/>
          <w:szCs w:val="15"/>
          <w:color w:val="auto"/>
        </w:rPr>
        <w:t>Environmental, social and governance considerations, including diversity and inclusion and human capital management</w:t>
      </w:r>
    </w:p>
    <w:p>
      <w:pPr>
        <w:spacing w:after="0" w:line="1" w:lineRule="exact"/>
        <w:rPr>
          <w:rFonts w:ascii="Arial" w:cs="Arial" w:eastAsia="Arial" w:hAnsi="Arial"/>
          <w:sz w:val="15"/>
          <w:szCs w:val="15"/>
          <w:color w:val="auto"/>
        </w:rPr>
      </w:pPr>
    </w:p>
    <w:p>
      <w:pPr>
        <w:ind w:left="173" w:hanging="173"/>
        <w:spacing w:after="0"/>
        <w:tabs>
          <w:tab w:leader="none" w:pos="173"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Executive compensation practices and design</w:t>
      </w:r>
    </w:p>
    <w:p>
      <w:pPr>
        <w:spacing w:after="0" w:line="265" w:lineRule="exact"/>
        <w:rPr>
          <w:sz w:val="20"/>
          <w:szCs w:val="20"/>
          <w:color w:val="auto"/>
        </w:rPr>
      </w:pPr>
    </w:p>
    <w:p>
      <w:pPr>
        <w:sectPr>
          <w:pgSz w:w="11900" w:h="16838" w:orient="portrait"/>
          <w:cols w:equalWidth="0" w:num="2">
            <w:col w:w="5007" w:space="720"/>
            <w:col w:w="5213"/>
          </w:cols>
          <w:pgMar w:left="320" w:top="447" w:right="63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1076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940"/>
          </w:cols>
          <w:pgMar w:left="320" w:top="447" w:right="639" w:bottom="1440" w:gutter="0" w:footer="0" w:header="0"/>
          <w:type w:val="continuous"/>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60"/>
        <w:spacing w:after="0" w:line="265" w:lineRule="auto"/>
        <w:rPr>
          <w:sz w:val="20"/>
          <w:szCs w:val="20"/>
          <w:color w:val="auto"/>
        </w:rPr>
      </w:pPr>
      <w:r>
        <w:rPr>
          <w:rFonts w:ascii="Arial" w:cs="Arial" w:eastAsia="Arial" w:hAnsi="Arial"/>
          <w:sz w:val="17"/>
          <w:szCs w:val="17"/>
          <w:color w:val="auto"/>
        </w:rPr>
        <w:t>In the spirit of continuous improvement, we have reviewed with our Board of Directors the key takeaways from these meetings with our shareholders with the goal of continuing to evolve our corporate governance practices to best meet the needs of the Company and our shareholders. Our dialogue has led to enhancements to our practices and disclosure, which our Board believes is in the best interests of our company and our shareholders. For example:</w:t>
      </w:r>
    </w:p>
    <w:p>
      <w:pPr>
        <w:spacing w:after="0" w:line="99"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272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Topics of</w:t>
            </w:r>
          </w:p>
        </w:tc>
        <w:tc>
          <w:tcPr>
            <w:tcW w:w="7560" w:type="dxa"/>
            <w:vAlign w:val="bottom"/>
            <w:gridSpan w:val="2"/>
            <w:shd w:val="clear" w:color="auto" w:fill="0066BA"/>
          </w:tcPr>
          <w:p>
            <w:pPr>
              <w:ind w:left="200"/>
              <w:spacing w:after="0"/>
              <w:rPr>
                <w:sz w:val="20"/>
                <w:szCs w:val="20"/>
                <w:color w:val="auto"/>
              </w:rPr>
            </w:pPr>
            <w:r>
              <w:rPr>
                <w:rFonts w:ascii="Arial" w:cs="Arial" w:eastAsia="Arial" w:hAnsi="Arial"/>
                <w:sz w:val="14"/>
                <w:szCs w:val="14"/>
                <w:b w:val="1"/>
                <w:bCs w:val="1"/>
                <w:color w:val="FFFFFF"/>
              </w:rPr>
              <w:t>Recent Outcomes of Engagement</w:t>
            </w:r>
          </w:p>
        </w:tc>
      </w:tr>
      <w:tr>
        <w:trPr>
          <w:trHeight w:val="181"/>
        </w:trPr>
        <w:tc>
          <w:tcPr>
            <w:tcW w:w="272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Discussion</w:t>
            </w:r>
          </w:p>
        </w:tc>
        <w:tc>
          <w:tcPr>
            <w:tcW w:w="300" w:type="dxa"/>
            <w:vAlign w:val="bottom"/>
            <w:shd w:val="clear" w:color="auto" w:fill="0066BA"/>
          </w:tcPr>
          <w:p>
            <w:pPr>
              <w:spacing w:after="0"/>
              <w:rPr>
                <w:sz w:val="15"/>
                <w:szCs w:val="15"/>
                <w:color w:val="auto"/>
              </w:rPr>
            </w:pPr>
          </w:p>
        </w:tc>
        <w:tc>
          <w:tcPr>
            <w:tcW w:w="7260" w:type="dxa"/>
            <w:vAlign w:val="bottom"/>
            <w:shd w:val="clear" w:color="auto" w:fill="0066BA"/>
          </w:tcPr>
          <w:p>
            <w:pPr>
              <w:spacing w:after="0"/>
              <w:rPr>
                <w:sz w:val="15"/>
                <w:szCs w:val="15"/>
                <w:color w:val="auto"/>
              </w:rPr>
            </w:pPr>
          </w:p>
        </w:tc>
      </w:tr>
      <w:tr>
        <w:trPr>
          <w:trHeight w:val="196"/>
        </w:trPr>
        <w:tc>
          <w:tcPr>
            <w:tcW w:w="2720" w:type="dxa"/>
            <w:vAlign w:val="bottom"/>
          </w:tcPr>
          <w:p>
            <w:pPr>
              <w:spacing w:after="0"/>
              <w:rPr>
                <w:sz w:val="17"/>
                <w:szCs w:val="17"/>
                <w:color w:val="auto"/>
              </w:rPr>
            </w:pPr>
          </w:p>
        </w:tc>
        <w:tc>
          <w:tcPr>
            <w:tcW w:w="300" w:type="dxa"/>
            <w:vAlign w:val="bottom"/>
            <w:shd w:val="clear" w:color="auto" w:fill="EAEAEA"/>
          </w:tcPr>
          <w:p>
            <w:pPr>
              <w:ind w:left="200"/>
              <w:spacing w:after="0"/>
              <w:rPr>
                <w:sz w:val="20"/>
                <w:szCs w:val="20"/>
                <w:color w:val="auto"/>
              </w:rPr>
            </w:pPr>
            <w:r>
              <w:rPr>
                <w:rFonts w:ascii="Arial" w:cs="Arial" w:eastAsia="Arial" w:hAnsi="Arial"/>
                <w:sz w:val="17"/>
                <w:szCs w:val="17"/>
                <w:color w:val="auto"/>
              </w:rPr>
              <w:t>•</w:t>
            </w:r>
          </w:p>
        </w:tc>
        <w:tc>
          <w:tcPr>
            <w:tcW w:w="7260" w:type="dxa"/>
            <w:vAlign w:val="bottom"/>
            <w:shd w:val="clear" w:color="auto" w:fill="EAEAEA"/>
          </w:tcPr>
          <w:p>
            <w:pPr>
              <w:ind w:left="40"/>
              <w:spacing w:after="0"/>
              <w:rPr>
                <w:sz w:val="20"/>
                <w:szCs w:val="20"/>
                <w:color w:val="auto"/>
              </w:rPr>
            </w:pPr>
            <w:r>
              <w:rPr>
                <w:rFonts w:ascii="Arial" w:cs="Arial" w:eastAsia="Arial" w:hAnsi="Arial"/>
                <w:sz w:val="17"/>
                <w:szCs w:val="17"/>
                <w:color w:val="auto"/>
                <w:w w:val="97"/>
              </w:rPr>
              <w:t>Continued focus on active Board refreshment and diversity, adding two new female directors to the</w:t>
            </w:r>
          </w:p>
        </w:tc>
      </w:tr>
      <w:tr>
        <w:trPr>
          <w:trHeight w:val="221"/>
        </w:trPr>
        <w:tc>
          <w:tcPr>
            <w:tcW w:w="2720" w:type="dxa"/>
            <w:vAlign w:val="bottom"/>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7260" w:type="dxa"/>
            <w:vAlign w:val="bottom"/>
            <w:shd w:val="clear" w:color="auto" w:fill="EAEAEA"/>
          </w:tcPr>
          <w:p>
            <w:pPr>
              <w:ind w:left="40"/>
              <w:spacing w:after="0"/>
              <w:rPr>
                <w:sz w:val="20"/>
                <w:szCs w:val="20"/>
                <w:color w:val="auto"/>
              </w:rPr>
            </w:pPr>
            <w:r>
              <w:rPr>
                <w:rFonts w:ascii="Arial" w:cs="Arial" w:eastAsia="Arial" w:hAnsi="Arial"/>
                <w:sz w:val="17"/>
                <w:szCs w:val="17"/>
                <w:color w:val="auto"/>
              </w:rPr>
              <w:t>Board</w:t>
            </w:r>
          </w:p>
        </w:tc>
      </w:tr>
      <w:tr>
        <w:trPr>
          <w:trHeight w:val="248"/>
        </w:trPr>
        <w:tc>
          <w:tcPr>
            <w:tcW w:w="2720" w:type="dxa"/>
            <w:vAlign w:val="bottom"/>
          </w:tcPr>
          <w:p>
            <w:pPr>
              <w:ind w:left="60"/>
              <w:spacing w:after="0"/>
              <w:rPr>
                <w:sz w:val="20"/>
                <w:szCs w:val="20"/>
                <w:color w:val="auto"/>
              </w:rPr>
            </w:pPr>
            <w:r>
              <w:rPr>
                <w:rFonts w:ascii="Arial" w:cs="Arial" w:eastAsia="Arial" w:hAnsi="Arial"/>
                <w:sz w:val="16"/>
                <w:szCs w:val="16"/>
                <w:color w:val="auto"/>
              </w:rPr>
              <w:t>Corporate</w:t>
            </w:r>
          </w:p>
        </w:tc>
        <w:tc>
          <w:tcPr>
            <w:tcW w:w="300" w:type="dxa"/>
            <w:vAlign w:val="bottom"/>
            <w:shd w:val="clear" w:color="auto" w:fill="EAEAEA"/>
          </w:tcPr>
          <w:p>
            <w:pPr>
              <w:ind w:left="200"/>
              <w:spacing w:after="0"/>
              <w:rPr>
                <w:sz w:val="20"/>
                <w:szCs w:val="20"/>
                <w:color w:val="auto"/>
              </w:rPr>
            </w:pPr>
            <w:r>
              <w:rPr>
                <w:rFonts w:ascii="Arial" w:cs="Arial" w:eastAsia="Arial" w:hAnsi="Arial"/>
                <w:sz w:val="17"/>
                <w:szCs w:val="17"/>
                <w:color w:val="auto"/>
              </w:rPr>
              <w:t>•</w:t>
            </w:r>
          </w:p>
        </w:tc>
        <w:tc>
          <w:tcPr>
            <w:tcW w:w="7260" w:type="dxa"/>
            <w:vAlign w:val="bottom"/>
            <w:shd w:val="clear" w:color="auto" w:fill="EAEAEA"/>
          </w:tcPr>
          <w:p>
            <w:pPr>
              <w:ind w:left="40"/>
              <w:spacing w:after="0"/>
              <w:rPr>
                <w:sz w:val="20"/>
                <w:szCs w:val="20"/>
                <w:color w:val="auto"/>
              </w:rPr>
            </w:pPr>
            <w:r>
              <w:rPr>
                <w:rFonts w:ascii="Arial" w:cs="Arial" w:eastAsia="Arial" w:hAnsi="Arial"/>
                <w:sz w:val="17"/>
                <w:szCs w:val="17"/>
                <w:color w:val="auto"/>
                <w:w w:val="95"/>
              </w:rPr>
              <w:t>Enhanced risk oversight practices for our Board, including cybersecurity at the Board level and ESG</w:t>
            </w:r>
          </w:p>
        </w:tc>
      </w:tr>
      <w:tr>
        <w:trPr>
          <w:trHeight w:val="221"/>
        </w:trPr>
        <w:tc>
          <w:tcPr>
            <w:tcW w:w="2720" w:type="dxa"/>
            <w:vAlign w:val="bottom"/>
          </w:tcPr>
          <w:p>
            <w:pPr>
              <w:ind w:left="60"/>
              <w:spacing w:after="0"/>
              <w:rPr>
                <w:sz w:val="20"/>
                <w:szCs w:val="20"/>
                <w:color w:val="auto"/>
              </w:rPr>
            </w:pPr>
            <w:r>
              <w:rPr>
                <w:rFonts w:ascii="Arial" w:cs="Arial" w:eastAsia="Arial" w:hAnsi="Arial"/>
                <w:sz w:val="16"/>
                <w:szCs w:val="16"/>
                <w:color w:val="auto"/>
              </w:rPr>
              <w:t>Governance</w:t>
            </w:r>
          </w:p>
        </w:tc>
        <w:tc>
          <w:tcPr>
            <w:tcW w:w="300" w:type="dxa"/>
            <w:vAlign w:val="bottom"/>
            <w:shd w:val="clear" w:color="auto" w:fill="EAEAEA"/>
          </w:tcPr>
          <w:p>
            <w:pPr>
              <w:spacing w:after="0"/>
              <w:rPr>
                <w:sz w:val="19"/>
                <w:szCs w:val="19"/>
                <w:color w:val="auto"/>
              </w:rPr>
            </w:pPr>
          </w:p>
        </w:tc>
        <w:tc>
          <w:tcPr>
            <w:tcW w:w="7260" w:type="dxa"/>
            <w:vAlign w:val="bottom"/>
            <w:shd w:val="clear" w:color="auto" w:fill="EAEAEA"/>
          </w:tcPr>
          <w:p>
            <w:pPr>
              <w:ind w:left="40"/>
              <w:spacing w:after="0"/>
              <w:rPr>
                <w:sz w:val="20"/>
                <w:szCs w:val="20"/>
                <w:color w:val="auto"/>
              </w:rPr>
            </w:pPr>
            <w:r>
              <w:rPr>
                <w:rFonts w:ascii="Arial" w:cs="Arial" w:eastAsia="Arial" w:hAnsi="Arial"/>
                <w:sz w:val="17"/>
                <w:szCs w:val="17"/>
                <w:color w:val="auto"/>
              </w:rPr>
              <w:t>under the Nominating and Corporate Governance Committee</w:t>
            </w:r>
          </w:p>
        </w:tc>
      </w:tr>
      <w:tr>
        <w:trPr>
          <w:trHeight w:val="248"/>
        </w:trPr>
        <w:tc>
          <w:tcPr>
            <w:tcW w:w="2720" w:type="dxa"/>
            <w:vAlign w:val="bottom"/>
          </w:tcPr>
          <w:p>
            <w:pPr>
              <w:spacing w:after="0"/>
              <w:rPr>
                <w:sz w:val="21"/>
                <w:szCs w:val="21"/>
                <w:color w:val="auto"/>
              </w:rPr>
            </w:pPr>
          </w:p>
        </w:tc>
        <w:tc>
          <w:tcPr>
            <w:tcW w:w="7560" w:type="dxa"/>
            <w:vAlign w:val="bottom"/>
            <w:gridSpan w:val="2"/>
            <w:shd w:val="clear" w:color="auto" w:fill="EAEAEA"/>
          </w:tcPr>
          <w:p>
            <w:pPr>
              <w:ind w:left="200"/>
              <w:spacing w:after="0"/>
              <w:rPr>
                <w:sz w:val="20"/>
                <w:szCs w:val="20"/>
                <w:color w:val="auto"/>
              </w:rPr>
            </w:pPr>
            <w:r>
              <w:rPr>
                <w:rFonts w:ascii="Arial" w:cs="Arial" w:eastAsia="Arial" w:hAnsi="Arial"/>
                <w:sz w:val="17"/>
                <w:szCs w:val="17"/>
                <w:color w:val="auto"/>
                <w:w w:val="94"/>
              </w:rPr>
              <w:t>• Adopted a new clawback policy for all executive officers with respect to cash and equity incentives that</w:t>
            </w:r>
          </w:p>
        </w:tc>
      </w:tr>
      <w:tr>
        <w:trPr>
          <w:trHeight w:val="221"/>
        </w:trPr>
        <w:tc>
          <w:tcPr>
            <w:tcW w:w="2720" w:type="dxa"/>
            <w:vAlign w:val="bottom"/>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7260" w:type="dxa"/>
            <w:vAlign w:val="bottom"/>
            <w:shd w:val="clear" w:color="auto" w:fill="EAEAEA"/>
          </w:tcPr>
          <w:p>
            <w:pPr>
              <w:ind w:left="40"/>
              <w:spacing w:after="0"/>
              <w:rPr>
                <w:sz w:val="20"/>
                <w:szCs w:val="20"/>
                <w:color w:val="auto"/>
              </w:rPr>
            </w:pPr>
            <w:r>
              <w:rPr>
                <w:rFonts w:ascii="Arial" w:cs="Arial" w:eastAsia="Arial" w:hAnsi="Arial"/>
                <w:sz w:val="17"/>
                <w:szCs w:val="17"/>
                <w:color w:val="auto"/>
              </w:rPr>
              <w:t>is applicable in the event of a material financial restatement due to fraud or willful misconduct</w:t>
            </w:r>
          </w:p>
        </w:tc>
      </w:tr>
      <w:tr>
        <w:trPr>
          <w:trHeight w:val="65"/>
        </w:trPr>
        <w:tc>
          <w:tcPr>
            <w:tcW w:w="2720" w:type="dxa"/>
            <w:vAlign w:val="bottom"/>
            <w:tcBorders>
              <w:bottom w:val="single" w:sz="8" w:color="0066BA"/>
            </w:tcBorders>
          </w:tcPr>
          <w:p>
            <w:pPr>
              <w:spacing w:after="0"/>
              <w:rPr>
                <w:sz w:val="5"/>
                <w:szCs w:val="5"/>
                <w:color w:val="auto"/>
              </w:rPr>
            </w:pPr>
          </w:p>
        </w:tc>
        <w:tc>
          <w:tcPr>
            <w:tcW w:w="300" w:type="dxa"/>
            <w:vAlign w:val="bottom"/>
            <w:tcBorders>
              <w:bottom w:val="single" w:sz="8" w:color="0066BA"/>
            </w:tcBorders>
            <w:shd w:val="clear" w:color="auto" w:fill="EAEAEA"/>
          </w:tcPr>
          <w:p>
            <w:pPr>
              <w:spacing w:after="0"/>
              <w:rPr>
                <w:sz w:val="5"/>
                <w:szCs w:val="5"/>
                <w:color w:val="auto"/>
              </w:rPr>
            </w:pPr>
          </w:p>
        </w:tc>
        <w:tc>
          <w:tcPr>
            <w:tcW w:w="7260" w:type="dxa"/>
            <w:vAlign w:val="bottom"/>
            <w:tcBorders>
              <w:bottom w:val="single" w:sz="8" w:color="0066BA"/>
            </w:tcBorders>
            <w:shd w:val="clear" w:color="auto" w:fill="EAEAEA"/>
          </w:tcPr>
          <w:p>
            <w:pPr>
              <w:spacing w:after="0"/>
              <w:rPr>
                <w:sz w:val="5"/>
                <w:szCs w:val="5"/>
                <w:color w:val="auto"/>
              </w:rPr>
            </w:pPr>
          </w:p>
        </w:tc>
      </w:tr>
      <w:tr>
        <w:trPr>
          <w:trHeight w:val="189"/>
        </w:trPr>
        <w:tc>
          <w:tcPr>
            <w:tcW w:w="2720" w:type="dxa"/>
            <w:vAlign w:val="bottom"/>
          </w:tcPr>
          <w:p>
            <w:pPr>
              <w:spacing w:after="0"/>
              <w:rPr>
                <w:sz w:val="16"/>
                <w:szCs w:val="16"/>
                <w:color w:val="auto"/>
              </w:rPr>
            </w:pPr>
          </w:p>
        </w:tc>
        <w:tc>
          <w:tcPr>
            <w:tcW w:w="300" w:type="dxa"/>
            <w:vAlign w:val="bottom"/>
            <w:shd w:val="clear" w:color="auto" w:fill="EAEAEA"/>
          </w:tcPr>
          <w:p>
            <w:pPr>
              <w:ind w:left="200"/>
              <w:spacing w:after="0" w:line="189" w:lineRule="exact"/>
              <w:rPr>
                <w:sz w:val="20"/>
                <w:szCs w:val="20"/>
                <w:color w:val="auto"/>
              </w:rPr>
            </w:pPr>
            <w:r>
              <w:rPr>
                <w:rFonts w:ascii="Arial" w:cs="Arial" w:eastAsia="Arial" w:hAnsi="Arial"/>
                <w:sz w:val="17"/>
                <w:szCs w:val="17"/>
                <w:color w:val="auto"/>
              </w:rPr>
              <w:t>•</w:t>
            </w:r>
          </w:p>
        </w:tc>
        <w:tc>
          <w:tcPr>
            <w:tcW w:w="7260" w:type="dxa"/>
            <w:vAlign w:val="bottom"/>
            <w:shd w:val="clear" w:color="auto" w:fill="EAEAEA"/>
          </w:tcPr>
          <w:p>
            <w:pPr>
              <w:ind w:left="40"/>
              <w:spacing w:after="0" w:line="189" w:lineRule="exact"/>
              <w:rPr>
                <w:sz w:val="20"/>
                <w:szCs w:val="20"/>
                <w:color w:val="auto"/>
              </w:rPr>
            </w:pPr>
            <w:r>
              <w:rPr>
                <w:rFonts w:ascii="Arial" w:cs="Arial" w:eastAsia="Arial" w:hAnsi="Arial"/>
                <w:sz w:val="17"/>
                <w:szCs w:val="17"/>
                <w:color w:val="auto"/>
              </w:rPr>
              <w:t>Published our inaugural Corporate Responsibility Report in May 2020 that includes enhanced</w:t>
            </w:r>
          </w:p>
        </w:tc>
      </w:tr>
      <w:tr>
        <w:trPr>
          <w:trHeight w:val="221"/>
        </w:trPr>
        <w:tc>
          <w:tcPr>
            <w:tcW w:w="2720" w:type="dxa"/>
            <w:vAlign w:val="bottom"/>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7260" w:type="dxa"/>
            <w:vAlign w:val="bottom"/>
            <w:shd w:val="clear" w:color="auto" w:fill="EAEAEA"/>
          </w:tcPr>
          <w:p>
            <w:pPr>
              <w:ind w:left="40"/>
              <w:spacing w:after="0"/>
              <w:rPr>
                <w:sz w:val="20"/>
                <w:szCs w:val="20"/>
                <w:color w:val="auto"/>
              </w:rPr>
            </w:pPr>
            <w:r>
              <w:rPr>
                <w:rFonts w:ascii="Arial" w:cs="Arial" w:eastAsia="Arial" w:hAnsi="Arial"/>
                <w:sz w:val="17"/>
                <w:szCs w:val="17"/>
                <w:color w:val="auto"/>
              </w:rPr>
              <w:t>disclosure of our ESG initiatives</w:t>
            </w:r>
          </w:p>
        </w:tc>
      </w:tr>
      <w:tr>
        <w:trPr>
          <w:trHeight w:val="248"/>
        </w:trPr>
        <w:tc>
          <w:tcPr>
            <w:tcW w:w="2720" w:type="dxa"/>
            <w:vAlign w:val="bottom"/>
          </w:tcPr>
          <w:p>
            <w:pPr>
              <w:ind w:left="60"/>
              <w:spacing w:after="0"/>
              <w:rPr>
                <w:sz w:val="20"/>
                <w:szCs w:val="20"/>
                <w:color w:val="auto"/>
              </w:rPr>
            </w:pPr>
            <w:r>
              <w:rPr>
                <w:rFonts w:ascii="Arial" w:cs="Arial" w:eastAsia="Arial" w:hAnsi="Arial"/>
                <w:sz w:val="16"/>
                <w:szCs w:val="16"/>
                <w:color w:val="auto"/>
              </w:rPr>
              <w:t>Corporate Social</w:t>
            </w:r>
          </w:p>
        </w:tc>
        <w:tc>
          <w:tcPr>
            <w:tcW w:w="300" w:type="dxa"/>
            <w:vAlign w:val="bottom"/>
            <w:shd w:val="clear" w:color="auto" w:fill="EAEAEA"/>
          </w:tcPr>
          <w:p>
            <w:pPr>
              <w:ind w:left="200"/>
              <w:spacing w:after="0"/>
              <w:rPr>
                <w:sz w:val="20"/>
                <w:szCs w:val="20"/>
                <w:color w:val="auto"/>
              </w:rPr>
            </w:pPr>
            <w:r>
              <w:rPr>
                <w:rFonts w:ascii="Arial" w:cs="Arial" w:eastAsia="Arial" w:hAnsi="Arial"/>
                <w:sz w:val="17"/>
                <w:szCs w:val="17"/>
                <w:color w:val="auto"/>
              </w:rPr>
              <w:t>•</w:t>
            </w:r>
          </w:p>
        </w:tc>
        <w:tc>
          <w:tcPr>
            <w:tcW w:w="7260" w:type="dxa"/>
            <w:vAlign w:val="bottom"/>
            <w:shd w:val="clear" w:color="auto" w:fill="EAEAEA"/>
          </w:tcPr>
          <w:p>
            <w:pPr>
              <w:ind w:left="40"/>
              <w:spacing w:after="0"/>
              <w:rPr>
                <w:sz w:val="20"/>
                <w:szCs w:val="20"/>
                <w:color w:val="auto"/>
              </w:rPr>
            </w:pPr>
            <w:r>
              <w:rPr>
                <w:rFonts w:ascii="Arial" w:cs="Arial" w:eastAsia="Arial" w:hAnsi="Arial"/>
                <w:sz w:val="17"/>
                <w:szCs w:val="17"/>
                <w:color w:val="auto"/>
                <w:w w:val="93"/>
              </w:rPr>
              <w:t>Enhanced our diversity &amp; inclusion disclosures, including management perspective and workforce data</w:t>
            </w:r>
          </w:p>
        </w:tc>
      </w:tr>
      <w:tr>
        <w:trPr>
          <w:trHeight w:val="221"/>
        </w:trPr>
        <w:tc>
          <w:tcPr>
            <w:tcW w:w="2720" w:type="dxa"/>
            <w:vAlign w:val="bottom"/>
          </w:tcPr>
          <w:p>
            <w:pPr>
              <w:ind w:left="60"/>
              <w:spacing w:after="0"/>
              <w:rPr>
                <w:sz w:val="20"/>
                <w:szCs w:val="20"/>
                <w:color w:val="auto"/>
              </w:rPr>
            </w:pPr>
            <w:r>
              <w:rPr>
                <w:rFonts w:ascii="Arial" w:cs="Arial" w:eastAsia="Arial" w:hAnsi="Arial"/>
                <w:sz w:val="16"/>
                <w:szCs w:val="16"/>
                <w:color w:val="auto"/>
              </w:rPr>
              <w:t>Responsibility</w:t>
            </w:r>
          </w:p>
        </w:tc>
        <w:tc>
          <w:tcPr>
            <w:tcW w:w="300" w:type="dxa"/>
            <w:vAlign w:val="bottom"/>
            <w:shd w:val="clear" w:color="auto" w:fill="EAEAEA"/>
          </w:tcPr>
          <w:p>
            <w:pPr>
              <w:spacing w:after="0"/>
              <w:rPr>
                <w:sz w:val="19"/>
                <w:szCs w:val="19"/>
                <w:color w:val="auto"/>
              </w:rPr>
            </w:pPr>
          </w:p>
        </w:tc>
        <w:tc>
          <w:tcPr>
            <w:tcW w:w="7260" w:type="dxa"/>
            <w:vAlign w:val="bottom"/>
            <w:shd w:val="clear" w:color="auto" w:fill="EAEAEA"/>
          </w:tcPr>
          <w:p>
            <w:pPr>
              <w:ind w:left="40"/>
              <w:spacing w:after="0"/>
              <w:rPr>
                <w:sz w:val="20"/>
                <w:szCs w:val="20"/>
                <w:color w:val="auto"/>
              </w:rPr>
            </w:pPr>
            <w:r>
              <w:rPr>
                <w:rFonts w:ascii="Arial" w:cs="Arial" w:eastAsia="Arial" w:hAnsi="Arial"/>
                <w:sz w:val="17"/>
                <w:szCs w:val="17"/>
                <w:color w:val="auto"/>
              </w:rPr>
              <w:t>on diversity and inclusion topics in the Corporate Responsibility Report</w:t>
            </w:r>
          </w:p>
        </w:tc>
      </w:tr>
      <w:tr>
        <w:trPr>
          <w:trHeight w:val="248"/>
        </w:trPr>
        <w:tc>
          <w:tcPr>
            <w:tcW w:w="2720" w:type="dxa"/>
            <w:vAlign w:val="bottom"/>
          </w:tcPr>
          <w:p>
            <w:pPr>
              <w:spacing w:after="0"/>
              <w:rPr>
                <w:sz w:val="21"/>
                <w:szCs w:val="21"/>
                <w:color w:val="auto"/>
              </w:rPr>
            </w:pPr>
          </w:p>
        </w:tc>
        <w:tc>
          <w:tcPr>
            <w:tcW w:w="300" w:type="dxa"/>
            <w:vAlign w:val="bottom"/>
            <w:shd w:val="clear" w:color="auto" w:fill="EAEAEA"/>
          </w:tcPr>
          <w:p>
            <w:pPr>
              <w:ind w:left="200"/>
              <w:spacing w:after="0"/>
              <w:rPr>
                <w:sz w:val="20"/>
                <w:szCs w:val="20"/>
                <w:color w:val="auto"/>
              </w:rPr>
            </w:pPr>
            <w:r>
              <w:rPr>
                <w:rFonts w:ascii="Arial" w:cs="Arial" w:eastAsia="Arial" w:hAnsi="Arial"/>
                <w:sz w:val="17"/>
                <w:szCs w:val="17"/>
                <w:color w:val="auto"/>
              </w:rPr>
              <w:t>•</w:t>
            </w:r>
          </w:p>
        </w:tc>
        <w:tc>
          <w:tcPr>
            <w:tcW w:w="7260" w:type="dxa"/>
            <w:vAlign w:val="bottom"/>
            <w:shd w:val="clear" w:color="auto" w:fill="EAEAEA"/>
          </w:tcPr>
          <w:p>
            <w:pPr>
              <w:ind w:left="40"/>
              <w:spacing w:after="0"/>
              <w:rPr>
                <w:sz w:val="20"/>
                <w:szCs w:val="20"/>
                <w:color w:val="auto"/>
              </w:rPr>
            </w:pPr>
            <w:r>
              <w:rPr>
                <w:rFonts w:ascii="Arial" w:cs="Arial" w:eastAsia="Arial" w:hAnsi="Arial"/>
                <w:sz w:val="17"/>
                <w:szCs w:val="17"/>
                <w:color w:val="auto"/>
              </w:rPr>
              <w:t>Continued to refine our shareholder engagement process to connect our shareholders with key</w:t>
            </w:r>
          </w:p>
        </w:tc>
      </w:tr>
      <w:tr>
        <w:trPr>
          <w:trHeight w:val="221"/>
        </w:trPr>
        <w:tc>
          <w:tcPr>
            <w:tcW w:w="2720" w:type="dxa"/>
            <w:vAlign w:val="bottom"/>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7260" w:type="dxa"/>
            <w:vAlign w:val="bottom"/>
            <w:shd w:val="clear" w:color="auto" w:fill="EAEAEA"/>
          </w:tcPr>
          <w:p>
            <w:pPr>
              <w:ind w:left="40"/>
              <w:spacing w:after="0"/>
              <w:rPr>
                <w:sz w:val="20"/>
                <w:szCs w:val="20"/>
                <w:color w:val="auto"/>
              </w:rPr>
            </w:pPr>
            <w:r>
              <w:rPr>
                <w:rFonts w:ascii="Arial" w:cs="Arial" w:eastAsia="Arial" w:hAnsi="Arial"/>
                <w:sz w:val="17"/>
                <w:szCs w:val="17"/>
                <w:color w:val="auto"/>
              </w:rPr>
              <w:t>stakeholders within our company around topics of interest</w:t>
            </w:r>
          </w:p>
        </w:tc>
      </w:tr>
      <w:tr>
        <w:trPr>
          <w:trHeight w:val="65"/>
        </w:trPr>
        <w:tc>
          <w:tcPr>
            <w:tcW w:w="2720" w:type="dxa"/>
            <w:vAlign w:val="bottom"/>
            <w:tcBorders>
              <w:bottom w:val="single" w:sz="8" w:color="0066BA"/>
            </w:tcBorders>
          </w:tcPr>
          <w:p>
            <w:pPr>
              <w:spacing w:after="0"/>
              <w:rPr>
                <w:sz w:val="5"/>
                <w:szCs w:val="5"/>
                <w:color w:val="auto"/>
              </w:rPr>
            </w:pPr>
          </w:p>
        </w:tc>
        <w:tc>
          <w:tcPr>
            <w:tcW w:w="300" w:type="dxa"/>
            <w:vAlign w:val="bottom"/>
            <w:tcBorders>
              <w:bottom w:val="single" w:sz="8" w:color="0066BA"/>
            </w:tcBorders>
            <w:shd w:val="clear" w:color="auto" w:fill="EAEAEA"/>
          </w:tcPr>
          <w:p>
            <w:pPr>
              <w:spacing w:after="0"/>
              <w:rPr>
                <w:sz w:val="5"/>
                <w:szCs w:val="5"/>
                <w:color w:val="auto"/>
              </w:rPr>
            </w:pPr>
          </w:p>
        </w:tc>
        <w:tc>
          <w:tcPr>
            <w:tcW w:w="7260" w:type="dxa"/>
            <w:vAlign w:val="bottom"/>
            <w:tcBorders>
              <w:bottom w:val="single" w:sz="8" w:color="0066BA"/>
            </w:tcBorders>
            <w:shd w:val="clear" w:color="auto" w:fill="EAEAEA"/>
          </w:tcPr>
          <w:p>
            <w:pPr>
              <w:spacing w:after="0"/>
              <w:rPr>
                <w:sz w:val="5"/>
                <w:szCs w:val="5"/>
                <w:color w:val="auto"/>
              </w:rPr>
            </w:pPr>
          </w:p>
        </w:tc>
      </w:tr>
    </w:tbl>
    <w:p>
      <w:pPr>
        <w:spacing w:after="0" w:line="9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We intend to continue our shareholder outreach efforts on an on-going basis and look forward to continuing to engage with our valued shareholders.</w:t>
      </w:r>
    </w:p>
    <w:p>
      <w:pPr>
        <w:spacing w:after="0" w:line="327"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Corporate Responsibility Highlights</w:t>
      </w:r>
    </w:p>
    <w:p>
      <w:pPr>
        <w:spacing w:after="0" w:line="125" w:lineRule="exact"/>
        <w:rPr>
          <w:sz w:val="20"/>
          <w:szCs w:val="20"/>
          <w:color w:val="auto"/>
        </w:rPr>
      </w:pPr>
    </w:p>
    <w:p>
      <w:pPr>
        <w:ind w:left="480" w:right="40"/>
        <w:spacing w:after="0" w:line="263" w:lineRule="auto"/>
        <w:rPr>
          <w:sz w:val="20"/>
          <w:szCs w:val="20"/>
          <w:color w:val="auto"/>
        </w:rPr>
      </w:pPr>
      <w:r>
        <w:rPr>
          <w:rFonts w:ascii="Arial" w:cs="Arial" w:eastAsia="Arial" w:hAnsi="Arial"/>
          <w:sz w:val="17"/>
          <w:szCs w:val="17"/>
          <w:color w:val="auto"/>
        </w:rPr>
        <w:t>We believe that sustainability is about delivering holistic solutions to ensure we are making a real, demonstrable impact in the world. ADI strives to create a rewarding workplace and be a trusted partner, leading corporate citizen, environmental steward and contributor to our communities. We periodically evaluate our sustainability priorities outlined in our 2020 Corporate Responsibility Report, entitled Engineering Good, to ensure alignment with our long-term strategy. As part of this process, we regularly engage with key stakeholders to ensure we continue to focus on the most important issues.</w:t>
      </w:r>
    </w:p>
    <w:p>
      <w:pPr>
        <w:sectPr>
          <w:pgSz w:w="11900" w:h="16838" w:orient="portrait"/>
          <w:cols w:equalWidth="0" w:num="1">
            <w:col w:w="10760"/>
          </w:cols>
          <w:pgMar w:left="320" w:top="447" w:right="819" w:bottom="1440" w:gutter="0" w:footer="0" w:header="0"/>
        </w:sectPr>
      </w:pPr>
    </w:p>
    <w:p>
      <w:pPr>
        <w:spacing w:after="0" w:line="21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Approach to Stakeholder Engagement</w:t>
      </w:r>
    </w:p>
    <w:p>
      <w:pPr>
        <w:spacing w:after="0" w:line="24" w:lineRule="exact"/>
        <w:rPr>
          <w:sz w:val="20"/>
          <w:szCs w:val="20"/>
          <w:color w:val="auto"/>
        </w:rPr>
      </w:pPr>
    </w:p>
    <w:p>
      <w:pPr>
        <w:ind w:left="480"/>
        <w:spacing w:after="0"/>
        <w:tabs>
          <w:tab w:leader="none" w:pos="3640" w:val="left"/>
        </w:tabs>
        <w:rPr>
          <w:sz w:val="20"/>
          <w:szCs w:val="20"/>
          <w:color w:val="auto"/>
        </w:rPr>
      </w:pPr>
      <w:r>
        <w:rPr>
          <w:rFonts w:ascii="Arial" w:cs="Arial" w:eastAsia="Arial" w:hAnsi="Arial"/>
          <w:sz w:val="17"/>
          <w:szCs w:val="17"/>
          <w:b w:val="1"/>
          <w:bCs w:val="1"/>
          <w:color w:val="0066BA"/>
        </w:rPr>
        <w:t>Our Shareholders</w:t>
      </w:r>
      <w:r>
        <w:rPr>
          <w:sz w:val="20"/>
          <w:szCs w:val="20"/>
          <w:color w:val="auto"/>
        </w:rPr>
        <w:tab/>
      </w:r>
      <w:r>
        <w:rPr>
          <w:rFonts w:ascii="Arial" w:cs="Arial" w:eastAsia="Arial" w:hAnsi="Arial"/>
          <w:sz w:val="16"/>
          <w:szCs w:val="16"/>
          <w:b w:val="1"/>
          <w:bCs w:val="1"/>
          <w:color w:val="0066BA"/>
        </w:rPr>
        <w:t>Our Workforce</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b w:val="1"/>
          <w:bCs w:val="1"/>
          <w:color w:val="0066BA"/>
        </w:rPr>
        <w:t>Our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-220980</wp:posOffset>
            </wp:positionV>
            <wp:extent cx="4436110" cy="1238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436110" cy="1238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b w:val="1"/>
          <w:bCs w:val="1"/>
          <w:color w:val="0066BA"/>
        </w:rPr>
        <w:t>Our Communities</w:t>
      </w:r>
    </w:p>
    <w:p>
      <w:pPr>
        <w:spacing w:after="0" w:line="106" w:lineRule="exact"/>
        <w:rPr>
          <w:sz w:val="20"/>
          <w:szCs w:val="20"/>
          <w:color w:val="auto"/>
        </w:rPr>
      </w:pPr>
    </w:p>
    <w:p>
      <w:pPr>
        <w:sectPr>
          <w:pgSz w:w="11900" w:h="16838" w:orient="portrait"/>
          <w:cols w:equalWidth="0" w:num="3">
            <w:col w:w="5580" w:space="720"/>
            <w:col w:w="1600" w:space="720"/>
            <w:col w:w="2140"/>
          </w:cols>
          <w:pgMar w:left="320" w:top="447" w:right="819" w:bottom="1440" w:gutter="0" w:footer="0" w:header="0"/>
          <w:type w:val="continuous"/>
        </w:sectPr>
      </w:pPr>
    </w:p>
    <w:p>
      <w:pPr>
        <w:ind w:left="480"/>
        <w:spacing w:after="0" w:line="265" w:lineRule="auto"/>
        <w:rPr>
          <w:sz w:val="20"/>
          <w:szCs w:val="20"/>
          <w:color w:val="auto"/>
        </w:rPr>
      </w:pPr>
      <w:r>
        <w:rPr>
          <w:rFonts w:ascii="Arial" w:cs="Arial" w:eastAsia="Arial" w:hAnsi="Arial"/>
          <w:sz w:val="17"/>
          <w:szCs w:val="17"/>
          <w:color w:val="auto"/>
        </w:rPr>
        <w:t>We actively engage with our shareholders around topics of interest, including sustainability reporting and human capital management.</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Arial" w:cs="Arial" w:eastAsia="Arial" w:hAnsi="Arial"/>
          <w:sz w:val="16"/>
          <w:szCs w:val="16"/>
          <w:color w:val="auto"/>
        </w:rPr>
        <w:t>Through employee-led Green Teams, our employees focus on improving sustainability at local offices and provide feedback through our quarterly ADI Pulse engagement survey.</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7"/>
          <w:szCs w:val="17"/>
          <w:color w:val="auto"/>
        </w:rPr>
        <w:t>ADI is a proud member of the Responsible Business Alliance and requires our suppliers to adhere to our code of conduct.</w:t>
      </w:r>
    </w:p>
    <w:p>
      <w:pPr>
        <w:spacing w:after="0" w:line="20" w:lineRule="exact"/>
        <w:rPr>
          <w:sz w:val="20"/>
          <w:szCs w:val="20"/>
          <w:color w:val="auto"/>
        </w:rPr>
      </w:pPr>
      <w:r>
        <w:rPr>
          <w:sz w:val="20"/>
          <w:szCs w:val="20"/>
          <w:color w:val="auto"/>
        </w:rPr>
        <w:br w:type="column"/>
      </w:r>
    </w:p>
    <w:p>
      <w:pPr>
        <w:ind w:right="20"/>
        <w:spacing w:after="0" w:line="265" w:lineRule="auto"/>
        <w:rPr>
          <w:sz w:val="20"/>
          <w:szCs w:val="20"/>
          <w:color w:val="auto"/>
        </w:rPr>
      </w:pPr>
      <w:r>
        <w:rPr>
          <w:rFonts w:ascii="Arial" w:cs="Arial" w:eastAsia="Arial" w:hAnsi="Arial"/>
          <w:sz w:val="17"/>
          <w:szCs w:val="17"/>
          <w:color w:val="auto"/>
        </w:rPr>
        <w:t>ADI continues to fund and support STEM education and local environmental initiatives across the globe.</w:t>
      </w:r>
    </w:p>
    <w:p>
      <w:pPr>
        <w:spacing w:after="0" w:line="489" w:lineRule="exact"/>
        <w:rPr>
          <w:sz w:val="20"/>
          <w:szCs w:val="20"/>
          <w:color w:val="auto"/>
        </w:rPr>
      </w:pPr>
    </w:p>
    <w:p>
      <w:pPr>
        <w:sectPr>
          <w:pgSz w:w="11900" w:h="16838" w:orient="portrait"/>
          <w:cols w:equalWidth="0" w:num="4">
            <w:col w:w="3400" w:space="260"/>
            <w:col w:w="2240" w:space="400"/>
            <w:col w:w="2120" w:space="200"/>
            <w:col w:w="2140"/>
          </w:cols>
          <w:pgMar w:left="320" w:top="447" w:right="819" w:bottom="1440" w:gutter="0" w:footer="0" w:header="0"/>
          <w:type w:val="continuous"/>
        </w:sectPr>
      </w:pPr>
    </w:p>
    <w:p>
      <w:pPr>
        <w:ind w:left="480" w:right="200"/>
        <w:spacing w:after="0" w:line="265" w:lineRule="auto"/>
        <w:rPr>
          <w:sz w:val="20"/>
          <w:szCs w:val="20"/>
          <w:color w:val="auto"/>
        </w:rPr>
      </w:pPr>
      <w:r>
        <w:rPr>
          <w:rFonts w:ascii="Arial" w:cs="Arial" w:eastAsia="Arial" w:hAnsi="Arial"/>
          <w:sz w:val="17"/>
          <w:szCs w:val="17"/>
          <w:color w:val="auto"/>
        </w:rPr>
        <w:t>Our sustainability agenda is led and managed by our Chief Executive Officer alongside a senior management team that includes our Chief People Officer, Chief Financial Officer, Chief Legal Officer, Senior Vice President of Industrial and Consumer, and newly appointed Director of Social Purpose. In addition, our Board of Directors is fully engaged and receives updates from senior management about our progress against our sustainability initiatives.</w:t>
      </w: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760"/>
          </w:cols>
          <w:pgMar w:left="320" w:top="447" w:right="819" w:bottom="1440" w:gutter="0" w:footer="0" w:header="0"/>
          <w:type w:val="continuous"/>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220"/>
        <w:spacing w:after="0" w:line="287" w:lineRule="auto"/>
        <w:rPr>
          <w:sz w:val="20"/>
          <w:szCs w:val="20"/>
          <w:color w:val="auto"/>
        </w:rPr>
      </w:pPr>
      <w:r>
        <w:rPr>
          <w:rFonts w:ascii="Arial" w:cs="Arial" w:eastAsia="Arial" w:hAnsi="Arial"/>
          <w:sz w:val="16"/>
          <w:szCs w:val="16"/>
          <w:color w:val="auto"/>
        </w:rPr>
        <w:t>We utilize third-party disclosure initiatives to inform our sustainability activities and reporting. Our 2019 Corporate Responsibility Report was prepared in accordance with the Global Reporting Initiative: Core Option and we also report separately to the CDP Climate Change and Water Security projects. Our sustainability activities and reporting are appropriately aligned with the UN Sustainable Development Goals. Going forward, we plan to review other evolving ESG disclosure frameworks (e.g., TCFD and SASB) to better inform our sustainability reports.</w:t>
      </w:r>
    </w:p>
    <w:p>
      <w:pPr>
        <w:spacing w:after="0" w:line="57" w:lineRule="exact"/>
        <w:rPr>
          <w:sz w:val="20"/>
          <w:szCs w:val="20"/>
          <w:color w:val="auto"/>
        </w:rPr>
      </w:pPr>
    </w:p>
    <w:p>
      <w:pPr>
        <w:ind w:left="480" w:right="460"/>
        <w:spacing w:after="0" w:line="319" w:lineRule="auto"/>
        <w:rPr>
          <w:sz w:val="20"/>
          <w:szCs w:val="20"/>
          <w:color w:val="auto"/>
        </w:rPr>
      </w:pPr>
      <w:r>
        <w:rPr>
          <w:rFonts w:ascii="Arial" w:cs="Arial" w:eastAsia="Arial" w:hAnsi="Arial"/>
          <w:sz w:val="16"/>
          <w:szCs w:val="16"/>
          <w:color w:val="auto"/>
        </w:rPr>
        <w:t>We have a long history of leadership in corporate responsibility and pursue corporate social responsibility and sustainability along four pillars— Protect and Regenerate the Environment, Empower People, Impact Through Engagement and Promoting Good Governance.</w:t>
      </w:r>
    </w:p>
    <w:p>
      <w:pPr>
        <w:spacing w:after="0" w:line="31" w:lineRule="exact"/>
        <w:rPr>
          <w:sz w:val="20"/>
          <w:szCs w:val="20"/>
          <w:color w:val="auto"/>
        </w:rPr>
      </w:pPr>
    </w:p>
    <w:p>
      <w:pPr>
        <w:jc w:val="both"/>
        <w:ind w:left="480" w:right="480"/>
        <w:spacing w:after="0" w:line="265" w:lineRule="auto"/>
        <w:rPr>
          <w:sz w:val="20"/>
          <w:szCs w:val="20"/>
          <w:color w:val="auto"/>
        </w:rPr>
      </w:pPr>
      <w:r>
        <w:rPr>
          <w:rFonts w:ascii="Arial" w:cs="Arial" w:eastAsia="Arial" w:hAnsi="Arial"/>
          <w:sz w:val="17"/>
          <w:szCs w:val="17"/>
          <w:color w:val="0066BA"/>
        </w:rPr>
        <w:t>Protect and Regenerate the Environment</w:t>
      </w:r>
      <w:r>
        <w:rPr>
          <w:rFonts w:ascii="Arial" w:cs="Arial" w:eastAsia="Arial" w:hAnsi="Arial"/>
          <w:sz w:val="17"/>
          <w:szCs w:val="17"/>
          <w:color w:val="000000"/>
        </w:rPr>
        <w:t>—While we are focused on reducing our carbon footprint and our impact on the environment today, we</w:t>
      </w:r>
      <w:r>
        <w:rPr>
          <w:rFonts w:ascii="Arial" w:cs="Arial" w:eastAsia="Arial" w:hAnsi="Arial"/>
          <w:sz w:val="17"/>
          <w:szCs w:val="17"/>
          <w:color w:val="0066BA"/>
        </w:rPr>
        <w:t xml:space="preserve"> </w:t>
      </w:r>
      <w:r>
        <w:rPr>
          <w:rFonts w:ascii="Arial" w:cs="Arial" w:eastAsia="Arial" w:hAnsi="Arial"/>
          <w:sz w:val="17"/>
          <w:szCs w:val="17"/>
          <w:color w:val="000000"/>
        </w:rPr>
        <w:t>also strive to deliver an even greater environmental impact. Our goal is to make meaningful progress on environmental regeneration efforts and partner with our customers to help them solve their sustainability challenges. We leverage our expertise to develop new solutions to help restore natural resources, regenerate the quality of our biosphere and reduce carbon.</w:t>
      </w:r>
    </w:p>
    <w:p>
      <w:pPr>
        <w:spacing w:after="0" w:line="73" w:lineRule="exact"/>
        <w:rPr>
          <w:sz w:val="20"/>
          <w:szCs w:val="20"/>
          <w:color w:val="auto"/>
        </w:rPr>
      </w:pPr>
    </w:p>
    <w:p>
      <w:pPr>
        <w:ind w:left="480" w:right="300"/>
        <w:spacing w:after="0" w:line="265" w:lineRule="auto"/>
        <w:rPr>
          <w:sz w:val="20"/>
          <w:szCs w:val="20"/>
          <w:color w:val="auto"/>
        </w:rPr>
      </w:pPr>
      <w:r>
        <w:rPr>
          <w:rFonts w:ascii="Arial" w:cs="Arial" w:eastAsia="Arial" w:hAnsi="Arial"/>
          <w:sz w:val="17"/>
          <w:szCs w:val="17"/>
          <w:color w:val="auto"/>
        </w:rPr>
        <w:t>We establish environmental performance objectives using a five-year planning horizon, and make annual updates to our objectives, targets, and programs. For example, key 2025 operational targets for ADI include: 50% greenhouse gas emission reduction over our 2015 baseline; 50% water recycling rate; and 100% renewable energy use for power generation. Progress is reviewed quarterly at the corporate level and monthly at the site level and senior management allocates resources appropriately to help keep programs on plan.</w:t>
      </w:r>
    </w:p>
    <w:p>
      <w:pPr>
        <w:spacing w:after="0" w:line="73" w:lineRule="exact"/>
        <w:rPr>
          <w:sz w:val="20"/>
          <w:szCs w:val="20"/>
          <w:color w:val="auto"/>
        </w:rPr>
      </w:pPr>
    </w:p>
    <w:p>
      <w:pPr>
        <w:ind w:left="480" w:right="300"/>
        <w:spacing w:after="0" w:line="270" w:lineRule="auto"/>
        <w:rPr>
          <w:sz w:val="20"/>
          <w:szCs w:val="20"/>
          <w:color w:val="auto"/>
        </w:rPr>
      </w:pPr>
      <w:r>
        <w:rPr>
          <w:rFonts w:ascii="Arial" w:cs="Arial" w:eastAsia="Arial" w:hAnsi="Arial"/>
          <w:sz w:val="17"/>
          <w:szCs w:val="17"/>
          <w:color w:val="0066BA"/>
        </w:rPr>
        <w:t>Empower People</w:t>
      </w:r>
      <w:r>
        <w:rPr>
          <w:rFonts w:ascii="Arial" w:cs="Arial" w:eastAsia="Arial" w:hAnsi="Arial"/>
          <w:sz w:val="17"/>
          <w:szCs w:val="17"/>
          <w:color w:val="000000"/>
        </w:rPr>
        <w:t>—We are committed to helping our employees thrive through education, inclusion and support. We are focused on building</w:t>
      </w:r>
      <w:r>
        <w:rPr>
          <w:rFonts w:ascii="Arial" w:cs="Arial" w:eastAsia="Arial" w:hAnsi="Arial"/>
          <w:sz w:val="17"/>
          <w:szCs w:val="17"/>
          <w:color w:val="0066BA"/>
        </w:rPr>
        <w:t xml:space="preserve"> </w:t>
      </w:r>
      <w:r>
        <w:rPr>
          <w:rFonts w:ascii="Arial" w:cs="Arial" w:eastAsia="Arial" w:hAnsi="Arial"/>
          <w:sz w:val="17"/>
          <w:szCs w:val="17"/>
          <w:color w:val="000000"/>
        </w:rPr>
        <w:t>programs within ADI to enhance our diverse and accepting workplace culture, while also broadening availability of STEM education, training and employment to impoverished communities across the globe.</w:t>
      </w:r>
    </w:p>
    <w:p>
      <w:pPr>
        <w:spacing w:after="0" w:line="69" w:lineRule="exact"/>
        <w:rPr>
          <w:sz w:val="20"/>
          <w:szCs w:val="20"/>
          <w:color w:val="auto"/>
        </w:rPr>
      </w:pPr>
    </w:p>
    <w:p>
      <w:pPr>
        <w:ind w:left="480" w:right="240"/>
        <w:spacing w:after="0" w:line="281" w:lineRule="auto"/>
        <w:rPr>
          <w:sz w:val="20"/>
          <w:szCs w:val="20"/>
          <w:color w:val="auto"/>
        </w:rPr>
      </w:pPr>
      <w:r>
        <w:rPr>
          <w:rFonts w:ascii="Arial" w:cs="Arial" w:eastAsia="Arial" w:hAnsi="Arial"/>
          <w:sz w:val="16"/>
          <w:szCs w:val="16"/>
          <w:color w:val="auto"/>
        </w:rPr>
        <w:t>As we continue to evolve our business offerings and innovate our designs, we are also placing our environmental and social responsibilities at the center of our operations. The empowerment of our people is a key focus area. Our empowerment strategy is led by our new Social Purpose Governance Council, made up of members from across our business units who provide different perspectives across age, gender, ethnicity and sexual orientation. Core to our empowerment strategy is embracing diversity and building a culture of inclusion across the organization. We plan to achieve this by expanding the diversity of our workforce, creating growth and development opportunities for our employees, embracing different perspectives and fostering an inclusive work environment for all.</w:t>
      </w:r>
    </w:p>
    <w:p>
      <w:pPr>
        <w:spacing w:after="0" w:line="60" w:lineRule="exact"/>
        <w:rPr>
          <w:sz w:val="20"/>
          <w:szCs w:val="20"/>
          <w:color w:val="auto"/>
        </w:rPr>
      </w:pPr>
    </w:p>
    <w:p>
      <w:pPr>
        <w:ind w:left="480" w:right="440"/>
        <w:spacing w:after="0" w:line="279" w:lineRule="auto"/>
        <w:rPr>
          <w:sz w:val="20"/>
          <w:szCs w:val="20"/>
          <w:color w:val="auto"/>
        </w:rPr>
      </w:pPr>
      <w:r>
        <w:rPr>
          <w:rFonts w:ascii="Arial" w:cs="Arial" w:eastAsia="Arial" w:hAnsi="Arial"/>
          <w:sz w:val="16"/>
          <w:szCs w:val="16"/>
          <w:color w:val="0066BA"/>
        </w:rPr>
        <w:t>Impact Through Engagement</w:t>
      </w:r>
      <w:r>
        <w:rPr>
          <w:rFonts w:ascii="Arial" w:cs="Arial" w:eastAsia="Arial" w:hAnsi="Arial"/>
          <w:sz w:val="16"/>
          <w:szCs w:val="16"/>
          <w:color w:val="000000"/>
        </w:rPr>
        <w:t>—ADI takes an active role in addressing problems that impact our employees, our communities and our planet. We</w:t>
      </w:r>
      <w:r>
        <w:rPr>
          <w:rFonts w:ascii="Arial" w:cs="Arial" w:eastAsia="Arial" w:hAnsi="Arial"/>
          <w:sz w:val="16"/>
          <w:szCs w:val="16"/>
          <w:color w:val="0066BA"/>
        </w:rPr>
        <w:t xml:space="preserve"> </w:t>
      </w:r>
      <w:r>
        <w:rPr>
          <w:rFonts w:ascii="Arial" w:cs="Arial" w:eastAsia="Arial" w:hAnsi="Arial"/>
          <w:sz w:val="16"/>
          <w:szCs w:val="16"/>
          <w:color w:val="000000"/>
        </w:rPr>
        <w:t>stand behind our employee engagement efforts and are proud to contribute to their causes. For example, Analog Devices Foundation, Analog Devices and our employees—through an accelerated employee match—donated a combined $4 million to the World Health Organization’s COVID-19 Solidarity Response Fund. Additionally, the Analog Devices Foundation donated $500,000 to fund research for the Vaccine &amp; Immunotherapy Center, or the VIC, at Massachusetts General Hospital. The donation directly supports work to develop a vaccine and novel point-of-care testing technologies for COVID-19. Analog Devices and the VIC are supporting a trial to deploy new diagnostic testing to identify those infected with COVID-19 and confirm which individuals have developed an immune response and are virus negative.</w:t>
      </w:r>
    </w:p>
    <w:p>
      <w:pPr>
        <w:spacing w:after="0" w:line="64" w:lineRule="exact"/>
        <w:rPr>
          <w:sz w:val="20"/>
          <w:szCs w:val="20"/>
          <w:color w:val="auto"/>
        </w:rPr>
      </w:pPr>
    </w:p>
    <w:p>
      <w:pPr>
        <w:ind w:left="480" w:right="200"/>
        <w:spacing w:after="0" w:line="265" w:lineRule="auto"/>
        <w:rPr>
          <w:sz w:val="20"/>
          <w:szCs w:val="20"/>
          <w:color w:val="auto"/>
        </w:rPr>
      </w:pPr>
      <w:r>
        <w:rPr>
          <w:rFonts w:ascii="Arial" w:cs="Arial" w:eastAsia="Arial" w:hAnsi="Arial"/>
          <w:sz w:val="17"/>
          <w:szCs w:val="17"/>
          <w:color w:val="0066BA"/>
        </w:rPr>
        <w:t>Promoting Good Governance</w:t>
      </w:r>
      <w:r>
        <w:rPr>
          <w:rFonts w:ascii="Arial" w:cs="Arial" w:eastAsia="Arial" w:hAnsi="Arial"/>
          <w:sz w:val="17"/>
          <w:szCs w:val="17"/>
          <w:color w:val="000000"/>
        </w:rPr>
        <w:t>—We have long believed that good corporate governance is important to ensure Analog Devices is managed for the</w:t>
      </w:r>
      <w:r>
        <w:rPr>
          <w:rFonts w:ascii="Arial" w:cs="Arial" w:eastAsia="Arial" w:hAnsi="Arial"/>
          <w:sz w:val="17"/>
          <w:szCs w:val="17"/>
          <w:color w:val="0066BA"/>
        </w:rPr>
        <w:t xml:space="preserve"> </w:t>
      </w:r>
      <w:r>
        <w:rPr>
          <w:rFonts w:ascii="Arial" w:cs="Arial" w:eastAsia="Arial" w:hAnsi="Arial"/>
          <w:sz w:val="17"/>
          <w:szCs w:val="17"/>
          <w:color w:val="000000"/>
        </w:rPr>
        <w:t>long-term benefit of our shareholders. We review our corporate governance policies and practices annually and compare them to those suggested by various authorities in corporate governance and the practices of other public companies. As a result, we have adopted policies and procedures that we believe are in the best interests of Analog Devices and our shareholders.</w:t>
      </w:r>
    </w:p>
    <w:p>
      <w:pPr>
        <w:spacing w:after="0" w:line="73" w:lineRule="exact"/>
        <w:rPr>
          <w:sz w:val="20"/>
          <w:szCs w:val="20"/>
          <w:color w:val="auto"/>
        </w:rPr>
      </w:pPr>
    </w:p>
    <w:p>
      <w:pPr>
        <w:ind w:left="480" w:right="200"/>
        <w:spacing w:after="0" w:line="286" w:lineRule="auto"/>
        <w:rPr>
          <w:sz w:val="20"/>
          <w:szCs w:val="20"/>
          <w:color w:val="auto"/>
        </w:rPr>
      </w:pPr>
      <w:r>
        <w:rPr>
          <w:rFonts w:ascii="Arial" w:cs="Arial" w:eastAsia="Arial" w:hAnsi="Arial"/>
          <w:sz w:val="17"/>
          <w:szCs w:val="17"/>
          <w:color w:val="auto"/>
        </w:rPr>
        <w:t>Sustainability is infused into all aspects of how we do business, and we are proud that our sustainability commitment is routinely recognized around the globe, including most recently with the following awards:</w:t>
      </w:r>
    </w:p>
    <w:p>
      <w:pPr>
        <w:spacing w:after="0" w:line="3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Employer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60325</wp:posOffset>
            </wp:positionV>
            <wp:extent cx="65424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542405" cy="8255"/>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sectPr>
      </w:pPr>
    </w:p>
    <w:p>
      <w:pPr>
        <w:spacing w:after="0" w:line="13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 The Boston Globe’s Top Places to Work (2017-2020)</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Rankings based on employee satisfaction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right"/>
        <w:ind w:right="1640"/>
        <w:spacing w:after="0"/>
        <w:rPr>
          <w:sz w:val="20"/>
          <w:szCs w:val="20"/>
          <w:color w:val="auto"/>
        </w:rPr>
      </w:pPr>
      <w:r>
        <w:rPr>
          <w:rFonts w:ascii="Arial" w:cs="Arial" w:eastAsia="Arial" w:hAnsi="Arial"/>
          <w:sz w:val="16"/>
          <w:szCs w:val="16"/>
          <w:color w:val="auto"/>
        </w:rPr>
        <w:t>• Forbes World’s Best Employers (2018-2020)</w:t>
      </w:r>
    </w:p>
    <w:p>
      <w:pPr>
        <w:spacing w:after="0" w:line="37" w:lineRule="exact"/>
        <w:rPr>
          <w:sz w:val="20"/>
          <w:szCs w:val="20"/>
          <w:color w:val="auto"/>
        </w:rPr>
      </w:pPr>
    </w:p>
    <w:p>
      <w:pPr>
        <w:jc w:val="right"/>
        <w:ind w:right="1660"/>
        <w:spacing w:after="0"/>
        <w:rPr>
          <w:sz w:val="20"/>
          <w:szCs w:val="20"/>
          <w:color w:val="auto"/>
        </w:rPr>
      </w:pPr>
      <w:r>
        <w:rPr>
          <w:rFonts w:ascii="Arial" w:cs="Arial" w:eastAsia="Arial" w:hAnsi="Arial"/>
          <w:sz w:val="16"/>
          <w:szCs w:val="16"/>
          <w:color w:val="auto"/>
        </w:rPr>
        <w:t>— Rankings based on employee evaluations</w:t>
      </w:r>
    </w:p>
    <w:p>
      <w:pPr>
        <w:spacing w:after="0" w:line="211" w:lineRule="exact"/>
        <w:rPr>
          <w:sz w:val="20"/>
          <w:szCs w:val="20"/>
          <w:color w:val="auto"/>
        </w:rPr>
      </w:pPr>
    </w:p>
    <w:p>
      <w:pPr>
        <w:sectPr>
          <w:pgSz w:w="11900" w:h="16838" w:orient="portrait"/>
          <w:cols w:equalWidth="0" w:num="2">
            <w:col w:w="5320" w:space="720"/>
            <w:col w:w="4900"/>
          </w:cols>
          <w:pgMar w:left="320" w:top="447" w:right="639" w:bottom="1440" w:gutter="0" w:footer="0" w:header="0"/>
          <w:type w:val="continuous"/>
        </w:sect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940"/>
          </w:cols>
          <w:pgMar w:left="320" w:top="447" w:right="639" w:bottom="1440" w:gutter="0" w:footer="0" w:header="0"/>
          <w:type w:val="continuous"/>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right"/>
        <w:ind w:right="8320"/>
        <w:spacing w:after="0"/>
        <w:rPr>
          <w:sz w:val="20"/>
          <w:szCs w:val="20"/>
          <w:color w:val="auto"/>
        </w:rPr>
      </w:pPr>
      <w:r>
        <w:rPr>
          <w:rFonts w:ascii="Arial" w:cs="Arial" w:eastAsia="Arial" w:hAnsi="Arial"/>
          <w:sz w:val="19"/>
          <w:szCs w:val="19"/>
          <w:b w:val="1"/>
          <w:bCs w:val="1"/>
          <w:color w:val="auto"/>
        </w:rPr>
        <w:t>Corporate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60325</wp:posOffset>
            </wp:positionV>
            <wp:extent cx="65424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42405" cy="8255"/>
                    </a:xfrm>
                    <a:prstGeom prst="rect">
                      <a:avLst/>
                    </a:prstGeom>
                    <a:noFill/>
                  </pic:spPr>
                </pic:pic>
              </a:graphicData>
            </a:graphic>
          </wp:anchor>
        </w:drawing>
      </w:r>
    </w:p>
    <w:p>
      <w:pPr>
        <w:sectPr>
          <w:pgSz w:w="11900" w:h="16838" w:orient="portrait"/>
          <w:cols w:equalWidth="0" w:num="1">
            <w:col w:w="10760"/>
          </w:cols>
          <w:pgMar w:left="320" w:top="447" w:right="819" w:bottom="1440" w:gutter="0" w:footer="0" w:header="0"/>
        </w:sectPr>
      </w:pPr>
    </w:p>
    <w:p>
      <w:pPr>
        <w:spacing w:after="0" w:line="134" w:lineRule="exact"/>
        <w:rPr>
          <w:sz w:val="20"/>
          <w:szCs w:val="20"/>
          <w:color w:val="auto"/>
        </w:rPr>
      </w:pPr>
    </w:p>
    <w:p>
      <w:pPr>
        <w:ind w:left="620" w:hanging="141"/>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Derwent Top 100 Global Innovators</w:t>
      </w:r>
      <w:r>
        <w:rPr>
          <w:rFonts w:ascii="Arial" w:cs="Arial" w:eastAsia="Arial" w:hAnsi="Arial"/>
          <w:sz w:val="14"/>
          <w:szCs w:val="14"/>
          <w:color w:val="auto"/>
        </w:rPr>
        <w:t>™</w:t>
      </w:r>
      <w:r>
        <w:rPr>
          <w:rFonts w:ascii="Arial" w:cs="Arial" w:eastAsia="Arial" w:hAnsi="Arial"/>
          <w:sz w:val="17"/>
          <w:szCs w:val="17"/>
          <w:color w:val="auto"/>
        </w:rPr>
        <w:t xml:space="preserve"> (2020)</w:t>
      </w:r>
    </w:p>
    <w:p>
      <w:pPr>
        <w:spacing w:after="0" w:line="25" w:lineRule="exact"/>
        <w:rPr>
          <w:rFonts w:ascii="Arial" w:cs="Arial" w:eastAsia="Arial" w:hAnsi="Arial"/>
          <w:sz w:val="17"/>
          <w:szCs w:val="17"/>
          <w:color w:val="auto"/>
        </w:rPr>
      </w:pPr>
    </w:p>
    <w:p>
      <w:pPr>
        <w:ind w:left="800" w:right="214" w:hanging="139"/>
        <w:spacing w:after="0" w:line="263" w:lineRule="auto"/>
        <w:rPr>
          <w:rFonts w:ascii="Arial" w:cs="Arial" w:eastAsia="Arial" w:hAnsi="Arial"/>
          <w:sz w:val="17"/>
          <w:szCs w:val="17"/>
          <w:color w:val="auto"/>
        </w:rPr>
      </w:pPr>
      <w:r>
        <w:rPr>
          <w:rFonts w:ascii="Arial" w:cs="Arial" w:eastAsia="Arial" w:hAnsi="Arial"/>
          <w:sz w:val="17"/>
          <w:szCs w:val="17"/>
          <w:color w:val="auto"/>
        </w:rPr>
        <w:t>— Awarded to the world’s most innovative organizations which successfully develop patented inventions that also have strong commercialization potential</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146" w:hanging="146"/>
        <w:spacing w:after="0"/>
        <w:tabs>
          <w:tab w:leader="none" w:pos="146" w:val="left"/>
        </w:tabs>
        <w:numPr>
          <w:ilvl w:val="0"/>
          <w:numId w:val="28"/>
        </w:numPr>
        <w:rPr>
          <w:rFonts w:ascii="Arial" w:cs="Arial" w:eastAsia="Arial" w:hAnsi="Arial"/>
          <w:sz w:val="17"/>
          <w:szCs w:val="17"/>
          <w:color w:val="auto"/>
        </w:rPr>
      </w:pPr>
      <w:r>
        <w:rPr>
          <w:rFonts w:ascii="Arial" w:cs="Arial" w:eastAsia="Arial" w:hAnsi="Arial"/>
          <w:sz w:val="17"/>
          <w:szCs w:val="17"/>
          <w:color w:val="auto"/>
        </w:rPr>
        <w:t>Shingo Accreditation (2020)</w:t>
      </w:r>
    </w:p>
    <w:p>
      <w:pPr>
        <w:spacing w:after="0" w:line="25" w:lineRule="exact"/>
        <w:rPr>
          <w:rFonts w:ascii="Arial" w:cs="Arial" w:eastAsia="Arial" w:hAnsi="Arial"/>
          <w:sz w:val="17"/>
          <w:szCs w:val="17"/>
          <w:color w:val="auto"/>
        </w:rPr>
      </w:pPr>
    </w:p>
    <w:p>
      <w:pPr>
        <w:ind w:left="306" w:right="80" w:hanging="139"/>
        <w:spacing w:after="0" w:line="263" w:lineRule="auto"/>
        <w:rPr>
          <w:rFonts w:ascii="Arial" w:cs="Arial" w:eastAsia="Arial" w:hAnsi="Arial"/>
          <w:sz w:val="17"/>
          <w:szCs w:val="17"/>
          <w:color w:val="auto"/>
        </w:rPr>
      </w:pPr>
      <w:r>
        <w:rPr>
          <w:rFonts w:ascii="Arial" w:cs="Arial" w:eastAsia="Arial" w:hAnsi="Arial"/>
          <w:sz w:val="17"/>
          <w:szCs w:val="17"/>
          <w:color w:val="auto"/>
        </w:rPr>
        <w:t>— Global recognition for premier quality and operational excellence; ADI Limerick is the first semiconductor site in the world to achieve this</w:t>
      </w:r>
    </w:p>
    <w:p>
      <w:pPr>
        <w:spacing w:after="0" w:line="74" w:lineRule="exact"/>
        <w:rPr>
          <w:sz w:val="20"/>
          <w:szCs w:val="20"/>
          <w:color w:val="auto"/>
        </w:rPr>
      </w:pPr>
    </w:p>
    <w:p>
      <w:pPr>
        <w:sectPr>
          <w:pgSz w:w="11900" w:h="16838" w:orient="portrait"/>
          <w:cols w:equalWidth="0" w:num="2">
            <w:col w:w="5314" w:space="720"/>
            <w:col w:w="4726"/>
          </w:cols>
          <w:pgMar w:left="320" w:top="447" w:right="819" w:bottom="1440" w:gutter="0" w:footer="0" w:header="0"/>
          <w:type w:val="continuous"/>
        </w:sectPr>
      </w:pPr>
    </w:p>
    <w:p>
      <w:pPr>
        <w:ind w:left="480" w:right="20"/>
        <w:spacing w:after="0" w:line="356" w:lineRule="auto"/>
        <w:rPr>
          <w:sz w:val="20"/>
          <w:szCs w:val="20"/>
          <w:color w:val="auto"/>
        </w:rPr>
      </w:pPr>
      <w:r>
        <w:rPr>
          <w:rFonts w:ascii="Arial" w:cs="Arial" w:eastAsia="Arial" w:hAnsi="Arial"/>
          <w:sz w:val="15"/>
          <w:szCs w:val="15"/>
          <w:color w:val="auto"/>
        </w:rPr>
        <w:t>For more information about our corporate responsibility efforts, please refer to our Corporate Responsibility Report available at analog.com/csr. We are not including the information contained in our Corporate Responsibility Report in, or incorporating it by reference into, this proxy statement.</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Director Compensation</w:t>
      </w:r>
    </w:p>
    <w:p>
      <w:pPr>
        <w:spacing w:after="0" w:line="125" w:lineRule="exact"/>
        <w:rPr>
          <w:sz w:val="20"/>
          <w:szCs w:val="20"/>
          <w:color w:val="auto"/>
        </w:rPr>
      </w:pPr>
    </w:p>
    <w:p>
      <w:pPr>
        <w:ind w:left="480" w:right="60"/>
        <w:spacing w:after="0" w:line="263" w:lineRule="auto"/>
        <w:rPr>
          <w:sz w:val="20"/>
          <w:szCs w:val="20"/>
          <w:color w:val="auto"/>
        </w:rPr>
      </w:pPr>
      <w:r>
        <w:rPr>
          <w:rFonts w:ascii="Arial" w:cs="Arial" w:eastAsia="Arial" w:hAnsi="Arial"/>
          <w:sz w:val="17"/>
          <w:szCs w:val="17"/>
          <w:color w:val="auto"/>
        </w:rPr>
        <w:t>Our non-employee director compensation program is designed to attract and retain experienced and knowledgeable directors and to provide equity-based compensation to align the interests of our directors with those of our shareholders. Each non-employee director receives an annual cash retainer and an annual equity award in the form of RSUs. To reflect their additional responsibilities, the Chairs and members of all committees receive an additional cash retainer. The Presiding Director also receives an additional cash retainer. Mr. Roche, as an employee director, does not receive any additional compensation for his services as director.</w:t>
      </w:r>
    </w:p>
    <w:p>
      <w:pPr>
        <w:spacing w:after="0" w:line="74" w:lineRule="exact"/>
        <w:rPr>
          <w:sz w:val="20"/>
          <w:szCs w:val="20"/>
          <w:color w:val="auto"/>
        </w:rPr>
      </w:pPr>
    </w:p>
    <w:p>
      <w:pPr>
        <w:ind w:left="480" w:right="40"/>
        <w:spacing w:after="0" w:line="261" w:lineRule="auto"/>
        <w:rPr>
          <w:sz w:val="20"/>
          <w:szCs w:val="20"/>
          <w:color w:val="auto"/>
        </w:rPr>
      </w:pPr>
      <w:r>
        <w:rPr>
          <w:rFonts w:ascii="Arial" w:cs="Arial" w:eastAsia="Arial" w:hAnsi="Arial"/>
          <w:sz w:val="17"/>
          <w:szCs w:val="17"/>
          <w:color w:val="auto"/>
        </w:rPr>
        <w:t>The Board of Directors has delegated to the Compensation Committee the responsibility to review and recommend to the Board of Directors any proposed changes to non-employee director compensation. Annually, the Compensation Committee reviews with Pearl Meyer, the Compensation Committee’s independent compensation consultant, non-employee director compensation information for our peer group to check the alignment of our non-employee director compensation package with market practice and current trends. The Compensation Committee then makes recommendations to the full Board with respect to compensation of our non-employee directors, and the full Board reviews these recommendations and makes a final determination.</w:t>
      </w:r>
    </w:p>
    <w:p>
      <w:pPr>
        <w:spacing w:after="0" w:line="77" w:lineRule="exact"/>
        <w:rPr>
          <w:sz w:val="20"/>
          <w:szCs w:val="20"/>
          <w:color w:val="auto"/>
        </w:rPr>
      </w:pPr>
    </w:p>
    <w:p>
      <w:pPr>
        <w:ind w:left="480" w:right="40"/>
        <w:spacing w:after="0" w:line="279" w:lineRule="auto"/>
        <w:rPr>
          <w:sz w:val="20"/>
          <w:szCs w:val="20"/>
          <w:color w:val="auto"/>
        </w:rPr>
      </w:pPr>
      <w:r>
        <w:rPr>
          <w:rFonts w:ascii="Arial" w:cs="Arial" w:eastAsia="Arial" w:hAnsi="Arial"/>
          <w:sz w:val="16"/>
          <w:szCs w:val="16"/>
          <w:color w:val="auto"/>
        </w:rPr>
        <w:t>In fiscal 2020 we granted 100% of the value of the annual equity award to each of our non-employee directors in the form of time-based RSUs. These RSUs vest in full on the earlier of the first anniversary of the date of grant or the date of the Company’s next annual meeting of shareholders. On March 11, 2020, we granted each non- employee director 2,210 RSUs for services to be provided from that date until the earlier of the first anniversary of the date of the grant or the Company’s next annual meeting of shareholders. On December 16, 2019, Dr. Wee, who joined the Board in November 2019, was granted 520 RSUs for services to be provided from the date of her initial election as a director through the 2020 annual meeting of shareholders. On September 15, 2020, Dr. Glimcher, who joined the Board in August 2020, was granted 1,060 RSUs for services to be provided from the date of her initial election as a director through the 2021 annual meeting of shareholders.</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details the total compensation earned by our non-employee directors in fiscal 2020.</w:t>
      </w:r>
    </w:p>
    <w:p>
      <w:pPr>
        <w:spacing w:after="0" w:line="200" w:lineRule="exact"/>
        <w:rPr>
          <w:sz w:val="20"/>
          <w:szCs w:val="20"/>
          <w:color w:val="auto"/>
        </w:rPr>
      </w:pPr>
    </w:p>
    <w:p>
      <w:pPr>
        <w:spacing w:after="0" w:line="217"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Fiscal 2020 Director Compensation</w:t>
      </w:r>
    </w:p>
    <w:p>
      <w:pPr>
        <w:spacing w:after="0" w:line="267"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362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Name</w:t>
            </w:r>
          </w:p>
        </w:tc>
        <w:tc>
          <w:tcPr>
            <w:tcW w:w="1780" w:type="dxa"/>
            <w:vAlign w:val="bottom"/>
            <w:shd w:val="clear" w:color="auto" w:fill="0066BA"/>
          </w:tcPr>
          <w:p>
            <w:pPr>
              <w:jc w:val="right"/>
              <w:ind w:right="197"/>
              <w:spacing w:after="0"/>
              <w:rPr>
                <w:sz w:val="20"/>
                <w:szCs w:val="20"/>
                <w:color w:val="auto"/>
              </w:rPr>
            </w:pPr>
            <w:r>
              <w:rPr>
                <w:rFonts w:ascii="Arial" w:cs="Arial" w:eastAsia="Arial" w:hAnsi="Arial"/>
                <w:sz w:val="14"/>
                <w:szCs w:val="14"/>
                <w:b w:val="1"/>
                <w:bCs w:val="1"/>
                <w:color w:val="FFFFFF"/>
              </w:rPr>
              <w:t>Fees Earned</w:t>
            </w:r>
          </w:p>
        </w:tc>
        <w:tc>
          <w:tcPr>
            <w:tcW w:w="1560" w:type="dxa"/>
            <w:vAlign w:val="bottom"/>
            <w:shd w:val="clear" w:color="auto" w:fill="0066BA"/>
          </w:tcPr>
          <w:p>
            <w:pPr>
              <w:jc w:val="right"/>
              <w:ind w:right="197"/>
              <w:spacing w:after="0"/>
              <w:rPr>
                <w:sz w:val="20"/>
                <w:szCs w:val="20"/>
                <w:color w:val="auto"/>
              </w:rPr>
            </w:pPr>
            <w:r>
              <w:rPr>
                <w:rFonts w:ascii="Arial" w:cs="Arial" w:eastAsia="Arial" w:hAnsi="Arial"/>
                <w:sz w:val="14"/>
                <w:szCs w:val="14"/>
                <w:b w:val="1"/>
                <w:bCs w:val="1"/>
                <w:color w:val="FFFFFF"/>
              </w:rPr>
              <w:t>Stock</w:t>
            </w:r>
          </w:p>
        </w:tc>
        <w:tc>
          <w:tcPr>
            <w:tcW w:w="1840" w:type="dxa"/>
            <w:vAlign w:val="bottom"/>
            <w:shd w:val="clear" w:color="auto" w:fill="0066BA"/>
          </w:tcPr>
          <w:p>
            <w:pPr>
              <w:jc w:val="right"/>
              <w:ind w:right="197"/>
              <w:spacing w:after="0"/>
              <w:rPr>
                <w:sz w:val="20"/>
                <w:szCs w:val="20"/>
                <w:color w:val="auto"/>
              </w:rPr>
            </w:pPr>
            <w:r>
              <w:rPr>
                <w:rFonts w:ascii="Arial" w:cs="Arial" w:eastAsia="Arial" w:hAnsi="Arial"/>
                <w:sz w:val="14"/>
                <w:szCs w:val="14"/>
                <w:b w:val="1"/>
                <w:bCs w:val="1"/>
                <w:color w:val="FFFFFF"/>
              </w:rPr>
              <w:t>All Other</w:t>
            </w:r>
          </w:p>
        </w:tc>
        <w:tc>
          <w:tcPr>
            <w:tcW w:w="1480" w:type="dxa"/>
            <w:vAlign w:val="bottom"/>
            <w:shd w:val="clear" w:color="auto" w:fill="0066BA"/>
          </w:tcPr>
          <w:p>
            <w:pPr>
              <w:jc w:val="right"/>
              <w:ind w:right="195"/>
              <w:spacing w:after="0"/>
              <w:rPr>
                <w:sz w:val="20"/>
                <w:szCs w:val="20"/>
                <w:color w:val="auto"/>
              </w:rPr>
            </w:pPr>
            <w:r>
              <w:rPr>
                <w:rFonts w:ascii="Arial" w:cs="Arial" w:eastAsia="Arial" w:hAnsi="Arial"/>
                <w:sz w:val="14"/>
                <w:szCs w:val="14"/>
                <w:b w:val="1"/>
                <w:bCs w:val="1"/>
                <w:color w:val="FFFFFF"/>
              </w:rPr>
              <w:t>Total ($)</w:t>
            </w:r>
          </w:p>
        </w:tc>
      </w:tr>
      <w:tr>
        <w:trPr>
          <w:trHeight w:val="156"/>
        </w:trPr>
        <w:tc>
          <w:tcPr>
            <w:tcW w:w="3620" w:type="dxa"/>
            <w:vAlign w:val="bottom"/>
            <w:shd w:val="clear" w:color="auto" w:fill="0066BA"/>
          </w:tcPr>
          <w:p>
            <w:pPr>
              <w:spacing w:after="0"/>
              <w:rPr>
                <w:sz w:val="13"/>
                <w:szCs w:val="13"/>
                <w:color w:val="auto"/>
              </w:rPr>
            </w:pPr>
          </w:p>
        </w:tc>
        <w:tc>
          <w:tcPr>
            <w:tcW w:w="1780" w:type="dxa"/>
            <w:vAlign w:val="bottom"/>
            <w:shd w:val="clear" w:color="auto" w:fill="0066BA"/>
          </w:tcPr>
          <w:p>
            <w:pPr>
              <w:jc w:val="right"/>
              <w:ind w:right="197"/>
              <w:spacing w:after="0" w:line="156" w:lineRule="exact"/>
              <w:rPr>
                <w:sz w:val="20"/>
                <w:szCs w:val="20"/>
                <w:color w:val="auto"/>
              </w:rPr>
            </w:pPr>
            <w:r>
              <w:rPr>
                <w:rFonts w:ascii="Arial" w:cs="Arial" w:eastAsia="Arial" w:hAnsi="Arial"/>
                <w:sz w:val="14"/>
                <w:szCs w:val="14"/>
                <w:b w:val="1"/>
                <w:bCs w:val="1"/>
                <w:color w:val="FFFFFF"/>
              </w:rPr>
              <w:t>or Paid in Cash</w:t>
            </w:r>
          </w:p>
        </w:tc>
        <w:tc>
          <w:tcPr>
            <w:tcW w:w="1560" w:type="dxa"/>
            <w:vAlign w:val="bottom"/>
            <w:shd w:val="clear" w:color="auto" w:fill="0066BA"/>
          </w:tcPr>
          <w:p>
            <w:pPr>
              <w:jc w:val="right"/>
              <w:ind w:right="197"/>
              <w:spacing w:after="0" w:line="156" w:lineRule="exact"/>
              <w:rPr>
                <w:sz w:val="20"/>
                <w:szCs w:val="20"/>
                <w:color w:val="auto"/>
              </w:rPr>
            </w:pPr>
            <w:r>
              <w:rPr>
                <w:rFonts w:ascii="Arial" w:cs="Arial" w:eastAsia="Arial" w:hAnsi="Arial"/>
                <w:sz w:val="14"/>
                <w:szCs w:val="14"/>
                <w:b w:val="1"/>
                <w:bCs w:val="1"/>
                <w:color w:val="FFFFFF"/>
              </w:rPr>
              <w:t>Awards ($)</w:t>
            </w:r>
          </w:p>
        </w:tc>
        <w:tc>
          <w:tcPr>
            <w:tcW w:w="1840" w:type="dxa"/>
            <w:vAlign w:val="bottom"/>
            <w:shd w:val="clear" w:color="auto" w:fill="0066BA"/>
          </w:tcPr>
          <w:p>
            <w:pPr>
              <w:jc w:val="right"/>
              <w:ind w:right="197"/>
              <w:spacing w:after="0" w:line="156" w:lineRule="exact"/>
              <w:rPr>
                <w:sz w:val="20"/>
                <w:szCs w:val="20"/>
                <w:color w:val="auto"/>
              </w:rPr>
            </w:pPr>
            <w:r>
              <w:rPr>
                <w:rFonts w:ascii="Arial" w:cs="Arial" w:eastAsia="Arial" w:hAnsi="Arial"/>
                <w:sz w:val="14"/>
                <w:szCs w:val="14"/>
                <w:b w:val="1"/>
                <w:bCs w:val="1"/>
                <w:color w:val="FFFFFF"/>
              </w:rPr>
              <w:t>Compensation</w:t>
            </w:r>
          </w:p>
        </w:tc>
        <w:tc>
          <w:tcPr>
            <w:tcW w:w="1480" w:type="dxa"/>
            <w:vAlign w:val="bottom"/>
            <w:shd w:val="clear" w:color="auto" w:fill="0066BA"/>
          </w:tcPr>
          <w:p>
            <w:pPr>
              <w:spacing w:after="0"/>
              <w:rPr>
                <w:sz w:val="13"/>
                <w:szCs w:val="13"/>
                <w:color w:val="auto"/>
              </w:rPr>
            </w:pPr>
          </w:p>
        </w:tc>
      </w:tr>
      <w:tr>
        <w:trPr>
          <w:trHeight w:val="182"/>
        </w:trPr>
        <w:tc>
          <w:tcPr>
            <w:tcW w:w="3620" w:type="dxa"/>
            <w:vAlign w:val="bottom"/>
            <w:shd w:val="clear" w:color="auto" w:fill="0066BA"/>
          </w:tcPr>
          <w:p>
            <w:pPr>
              <w:spacing w:after="0"/>
              <w:rPr>
                <w:sz w:val="15"/>
                <w:szCs w:val="15"/>
                <w:color w:val="auto"/>
              </w:rPr>
            </w:pPr>
          </w:p>
        </w:tc>
        <w:tc>
          <w:tcPr>
            <w:tcW w:w="1780" w:type="dxa"/>
            <w:vAlign w:val="bottom"/>
            <w:shd w:val="clear" w:color="auto" w:fill="0066BA"/>
          </w:tcPr>
          <w:p>
            <w:pPr>
              <w:jc w:val="right"/>
              <w:ind w:right="197"/>
              <w:spacing w:after="0"/>
              <w:rPr>
                <w:sz w:val="20"/>
                <w:szCs w:val="20"/>
                <w:color w:val="auto"/>
              </w:rPr>
            </w:pPr>
            <w:r>
              <w:rPr>
                <w:rFonts w:ascii="Arial" w:cs="Arial" w:eastAsia="Arial" w:hAnsi="Arial"/>
                <w:sz w:val="14"/>
                <w:szCs w:val="14"/>
                <w:b w:val="1"/>
                <w:bCs w:val="1"/>
                <w:color w:val="FFFFFF"/>
              </w:rPr>
              <w:t>($) (1)</w:t>
            </w:r>
          </w:p>
        </w:tc>
        <w:tc>
          <w:tcPr>
            <w:tcW w:w="1560" w:type="dxa"/>
            <w:vAlign w:val="bottom"/>
            <w:shd w:val="clear" w:color="auto" w:fill="0066BA"/>
          </w:tcPr>
          <w:p>
            <w:pPr>
              <w:jc w:val="right"/>
              <w:ind w:right="197"/>
              <w:spacing w:after="0"/>
              <w:rPr>
                <w:sz w:val="20"/>
                <w:szCs w:val="20"/>
                <w:color w:val="auto"/>
              </w:rPr>
            </w:pPr>
            <w:r>
              <w:rPr>
                <w:rFonts w:ascii="Arial" w:cs="Arial" w:eastAsia="Arial" w:hAnsi="Arial"/>
                <w:sz w:val="14"/>
                <w:szCs w:val="14"/>
                <w:b w:val="1"/>
                <w:bCs w:val="1"/>
                <w:color w:val="FFFFFF"/>
              </w:rPr>
              <w:t>(2) (3)</w:t>
            </w:r>
          </w:p>
        </w:tc>
        <w:tc>
          <w:tcPr>
            <w:tcW w:w="1840" w:type="dxa"/>
            <w:vAlign w:val="bottom"/>
            <w:shd w:val="clear" w:color="auto" w:fill="0066BA"/>
          </w:tcPr>
          <w:p>
            <w:pPr>
              <w:jc w:val="right"/>
              <w:ind w:right="197"/>
              <w:spacing w:after="0"/>
              <w:rPr>
                <w:sz w:val="20"/>
                <w:szCs w:val="20"/>
                <w:color w:val="auto"/>
              </w:rPr>
            </w:pPr>
            <w:r>
              <w:rPr>
                <w:rFonts w:ascii="Arial" w:cs="Arial" w:eastAsia="Arial" w:hAnsi="Arial"/>
                <w:sz w:val="14"/>
                <w:szCs w:val="14"/>
                <w:b w:val="1"/>
                <w:bCs w:val="1"/>
                <w:color w:val="FFFFFF"/>
              </w:rPr>
              <w:t>($) (4)</w:t>
            </w:r>
          </w:p>
        </w:tc>
        <w:tc>
          <w:tcPr>
            <w:tcW w:w="1480" w:type="dxa"/>
            <w:vAlign w:val="bottom"/>
            <w:shd w:val="clear" w:color="auto" w:fill="0066BA"/>
          </w:tcPr>
          <w:p>
            <w:pPr>
              <w:spacing w:after="0"/>
              <w:rPr>
                <w:sz w:val="15"/>
                <w:szCs w:val="15"/>
                <w:color w:val="auto"/>
              </w:rPr>
            </w:pPr>
          </w:p>
        </w:tc>
      </w:tr>
      <w:tr>
        <w:trPr>
          <w:trHeight w:val="103"/>
        </w:trPr>
        <w:tc>
          <w:tcPr>
            <w:tcW w:w="3620" w:type="dxa"/>
            <w:vAlign w:val="bottom"/>
            <w:shd w:val="clear" w:color="auto" w:fill="0066BA"/>
          </w:tcPr>
          <w:p>
            <w:pPr>
              <w:spacing w:after="0"/>
              <w:rPr>
                <w:sz w:val="8"/>
                <w:szCs w:val="8"/>
                <w:color w:val="auto"/>
              </w:rPr>
            </w:pPr>
          </w:p>
        </w:tc>
        <w:tc>
          <w:tcPr>
            <w:tcW w:w="1780" w:type="dxa"/>
            <w:vAlign w:val="bottom"/>
            <w:shd w:val="clear" w:color="auto" w:fill="0066BA"/>
          </w:tcPr>
          <w:p>
            <w:pPr>
              <w:spacing w:after="0"/>
              <w:rPr>
                <w:sz w:val="8"/>
                <w:szCs w:val="8"/>
                <w:color w:val="auto"/>
              </w:rPr>
            </w:pPr>
          </w:p>
        </w:tc>
        <w:tc>
          <w:tcPr>
            <w:tcW w:w="1560" w:type="dxa"/>
            <w:vAlign w:val="bottom"/>
            <w:shd w:val="clear" w:color="auto" w:fill="0066BA"/>
          </w:tcPr>
          <w:p>
            <w:pPr>
              <w:spacing w:after="0"/>
              <w:rPr>
                <w:sz w:val="8"/>
                <w:szCs w:val="8"/>
                <w:color w:val="auto"/>
              </w:rPr>
            </w:pPr>
          </w:p>
        </w:tc>
        <w:tc>
          <w:tcPr>
            <w:tcW w:w="1840" w:type="dxa"/>
            <w:vAlign w:val="bottom"/>
            <w:shd w:val="clear" w:color="auto" w:fill="0066BA"/>
          </w:tcPr>
          <w:p>
            <w:pPr>
              <w:spacing w:after="0"/>
              <w:rPr>
                <w:sz w:val="8"/>
                <w:szCs w:val="8"/>
                <w:color w:val="auto"/>
              </w:rPr>
            </w:pPr>
          </w:p>
        </w:tc>
        <w:tc>
          <w:tcPr>
            <w:tcW w:w="1480" w:type="dxa"/>
            <w:vAlign w:val="bottom"/>
            <w:shd w:val="clear" w:color="auto" w:fill="0066BA"/>
          </w:tcPr>
          <w:p>
            <w:pPr>
              <w:spacing w:after="0"/>
              <w:rPr>
                <w:sz w:val="8"/>
                <w:szCs w:val="8"/>
                <w:color w:val="auto"/>
              </w:rPr>
            </w:pPr>
          </w:p>
        </w:tc>
      </w:tr>
      <w:tr>
        <w:trPr>
          <w:trHeight w:val="312"/>
        </w:trPr>
        <w:tc>
          <w:tcPr>
            <w:tcW w:w="3620" w:type="dxa"/>
            <w:vAlign w:val="bottom"/>
          </w:tcPr>
          <w:p>
            <w:pPr>
              <w:ind w:left="60"/>
              <w:spacing w:after="0"/>
              <w:rPr>
                <w:sz w:val="20"/>
                <w:szCs w:val="20"/>
                <w:color w:val="auto"/>
              </w:rPr>
            </w:pPr>
            <w:r>
              <w:rPr>
                <w:rFonts w:ascii="Arial" w:cs="Arial" w:eastAsia="Arial" w:hAnsi="Arial"/>
                <w:sz w:val="17"/>
                <w:szCs w:val="17"/>
                <w:b w:val="1"/>
                <w:bCs w:val="1"/>
                <w:color w:val="0066BA"/>
              </w:rPr>
              <w:t>James A. Champy</w:t>
            </w:r>
          </w:p>
        </w:tc>
        <w:tc>
          <w:tcPr>
            <w:tcW w:w="1780" w:type="dxa"/>
            <w:vAlign w:val="bottom"/>
            <w:tcBorders>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125,000</w:t>
            </w:r>
          </w:p>
        </w:tc>
        <w:tc>
          <w:tcPr>
            <w:tcW w:w="1560" w:type="dxa"/>
            <w:vAlign w:val="bottom"/>
          </w:tcPr>
          <w:p>
            <w:pPr>
              <w:jc w:val="right"/>
              <w:ind w:right="197"/>
              <w:spacing w:after="0"/>
              <w:rPr>
                <w:sz w:val="20"/>
                <w:szCs w:val="20"/>
                <w:color w:val="auto"/>
              </w:rPr>
            </w:pPr>
            <w:r>
              <w:rPr>
                <w:rFonts w:ascii="Arial" w:cs="Arial" w:eastAsia="Arial" w:hAnsi="Arial"/>
                <w:sz w:val="17"/>
                <w:szCs w:val="17"/>
                <w:color w:val="auto"/>
              </w:rPr>
              <w:t>203,179</w:t>
            </w:r>
          </w:p>
        </w:tc>
        <w:tc>
          <w:tcPr>
            <w:tcW w:w="1840" w:type="dxa"/>
            <w:vAlign w:val="bottom"/>
            <w:tcBorders>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95"/>
              <w:spacing w:after="0"/>
              <w:rPr>
                <w:sz w:val="20"/>
                <w:szCs w:val="20"/>
                <w:color w:val="auto"/>
              </w:rPr>
            </w:pPr>
            <w:r>
              <w:rPr>
                <w:rFonts w:ascii="Arial" w:cs="Arial" w:eastAsia="Arial" w:hAnsi="Arial"/>
                <w:sz w:val="17"/>
                <w:szCs w:val="17"/>
                <w:color w:val="auto"/>
              </w:rPr>
              <w:t>328,179</w:t>
            </w:r>
          </w:p>
        </w:tc>
      </w:tr>
      <w:tr>
        <w:trPr>
          <w:trHeight w:val="292"/>
        </w:trPr>
        <w:tc>
          <w:tcPr>
            <w:tcW w:w="36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Anantha P. Chandrakasan</w:t>
            </w:r>
          </w:p>
        </w:tc>
        <w:tc>
          <w:tcPr>
            <w:tcW w:w="178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90,000</w:t>
            </w:r>
          </w:p>
        </w:tc>
        <w:tc>
          <w:tcPr>
            <w:tcW w:w="156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rPr>
              <w:t>203,179</w:t>
            </w:r>
          </w:p>
        </w:tc>
        <w:tc>
          <w:tcPr>
            <w:tcW w:w="184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rPr>
              <w:t>293,179</w:t>
            </w:r>
          </w:p>
        </w:tc>
      </w:tr>
      <w:tr>
        <w:trPr>
          <w:trHeight w:val="292"/>
        </w:trPr>
        <w:tc>
          <w:tcPr>
            <w:tcW w:w="36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Bruce R. Evans</w:t>
            </w:r>
          </w:p>
        </w:tc>
        <w:tc>
          <w:tcPr>
            <w:tcW w:w="178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95,000</w:t>
            </w:r>
          </w:p>
        </w:tc>
        <w:tc>
          <w:tcPr>
            <w:tcW w:w="156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rPr>
              <w:t>203,179</w:t>
            </w:r>
          </w:p>
        </w:tc>
        <w:tc>
          <w:tcPr>
            <w:tcW w:w="184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rPr>
              <w:t>298,179</w:t>
            </w:r>
          </w:p>
        </w:tc>
      </w:tr>
      <w:tr>
        <w:trPr>
          <w:trHeight w:val="292"/>
        </w:trPr>
        <w:tc>
          <w:tcPr>
            <w:tcW w:w="36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Edward H. Frank</w:t>
            </w:r>
          </w:p>
        </w:tc>
        <w:tc>
          <w:tcPr>
            <w:tcW w:w="178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100,000</w:t>
            </w:r>
          </w:p>
        </w:tc>
        <w:tc>
          <w:tcPr>
            <w:tcW w:w="156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rPr>
              <w:t>203,179</w:t>
            </w:r>
          </w:p>
        </w:tc>
        <w:tc>
          <w:tcPr>
            <w:tcW w:w="184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rPr>
              <w:t>303,179</w:t>
            </w:r>
          </w:p>
        </w:tc>
      </w:tr>
      <w:tr>
        <w:trPr>
          <w:trHeight w:val="292"/>
        </w:trPr>
        <w:tc>
          <w:tcPr>
            <w:tcW w:w="36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Laurie H. Glimcher (5)</w:t>
            </w:r>
          </w:p>
        </w:tc>
        <w:tc>
          <w:tcPr>
            <w:tcW w:w="178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18,750</w:t>
            </w:r>
          </w:p>
        </w:tc>
        <w:tc>
          <w:tcPr>
            <w:tcW w:w="156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rPr>
              <w:t>120,395</w:t>
            </w:r>
          </w:p>
        </w:tc>
        <w:tc>
          <w:tcPr>
            <w:tcW w:w="184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rPr>
              <w:t>139,145</w:t>
            </w:r>
          </w:p>
        </w:tc>
      </w:tr>
      <w:tr>
        <w:trPr>
          <w:trHeight w:val="292"/>
        </w:trPr>
        <w:tc>
          <w:tcPr>
            <w:tcW w:w="36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Karen M. Golz</w:t>
            </w:r>
          </w:p>
        </w:tc>
        <w:tc>
          <w:tcPr>
            <w:tcW w:w="178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95,000</w:t>
            </w:r>
          </w:p>
        </w:tc>
        <w:tc>
          <w:tcPr>
            <w:tcW w:w="156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rPr>
              <w:t>203,179</w:t>
            </w:r>
          </w:p>
        </w:tc>
        <w:tc>
          <w:tcPr>
            <w:tcW w:w="184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rPr>
              <w:t>298,179</w:t>
            </w:r>
          </w:p>
        </w:tc>
      </w:tr>
      <w:tr>
        <w:trPr>
          <w:trHeight w:val="292"/>
        </w:trPr>
        <w:tc>
          <w:tcPr>
            <w:tcW w:w="36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Mark M. Little</w:t>
            </w:r>
          </w:p>
        </w:tc>
        <w:tc>
          <w:tcPr>
            <w:tcW w:w="178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90,000</w:t>
            </w:r>
          </w:p>
        </w:tc>
        <w:tc>
          <w:tcPr>
            <w:tcW w:w="156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rPr>
              <w:t>203,179</w:t>
            </w:r>
          </w:p>
        </w:tc>
        <w:tc>
          <w:tcPr>
            <w:tcW w:w="184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rPr>
              <w:t>293,179</w:t>
            </w:r>
          </w:p>
        </w:tc>
      </w:tr>
      <w:tr>
        <w:trPr>
          <w:trHeight w:val="292"/>
        </w:trPr>
        <w:tc>
          <w:tcPr>
            <w:tcW w:w="36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Neil Novich (6)</w:t>
            </w:r>
          </w:p>
        </w:tc>
        <w:tc>
          <w:tcPr>
            <w:tcW w:w="178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33,929</w:t>
            </w:r>
          </w:p>
        </w:tc>
        <w:tc>
          <w:tcPr>
            <w:tcW w:w="156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rPr>
              <w:t>—</w:t>
            </w:r>
          </w:p>
        </w:tc>
        <w:tc>
          <w:tcPr>
            <w:tcW w:w="184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rPr>
              <w:t>33,929</w:t>
            </w:r>
          </w:p>
        </w:tc>
      </w:tr>
      <w:tr>
        <w:trPr>
          <w:trHeight w:val="292"/>
        </w:trPr>
        <w:tc>
          <w:tcPr>
            <w:tcW w:w="36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Kenton J. Sicchitano</w:t>
            </w:r>
          </w:p>
        </w:tc>
        <w:tc>
          <w:tcPr>
            <w:tcW w:w="178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110,000</w:t>
            </w:r>
          </w:p>
        </w:tc>
        <w:tc>
          <w:tcPr>
            <w:tcW w:w="156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rPr>
              <w:t>203,179</w:t>
            </w:r>
          </w:p>
        </w:tc>
        <w:tc>
          <w:tcPr>
            <w:tcW w:w="184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rPr>
              <w:t>313,179</w:t>
            </w:r>
          </w:p>
        </w:tc>
      </w:tr>
      <w:tr>
        <w:trPr>
          <w:trHeight w:val="292"/>
        </w:trPr>
        <w:tc>
          <w:tcPr>
            <w:tcW w:w="36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Ray Stata</w:t>
            </w:r>
          </w:p>
        </w:tc>
        <w:tc>
          <w:tcPr>
            <w:tcW w:w="178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250,000</w:t>
            </w:r>
          </w:p>
        </w:tc>
        <w:tc>
          <w:tcPr>
            <w:tcW w:w="156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rPr>
              <w:t>203,179</w:t>
            </w:r>
          </w:p>
        </w:tc>
        <w:tc>
          <w:tcPr>
            <w:tcW w:w="184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15,324</w:t>
            </w:r>
          </w:p>
        </w:tc>
        <w:tc>
          <w:tcPr>
            <w:tcW w:w="14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rPr>
              <w:t>468,503</w:t>
            </w:r>
          </w:p>
        </w:tc>
      </w:tr>
      <w:tr>
        <w:trPr>
          <w:trHeight w:val="292"/>
        </w:trPr>
        <w:tc>
          <w:tcPr>
            <w:tcW w:w="36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Lisa T. Su (6)</w:t>
            </w:r>
          </w:p>
        </w:tc>
        <w:tc>
          <w:tcPr>
            <w:tcW w:w="178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32,143</w:t>
            </w:r>
          </w:p>
        </w:tc>
        <w:tc>
          <w:tcPr>
            <w:tcW w:w="156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rPr>
              <w:t>—</w:t>
            </w:r>
          </w:p>
        </w:tc>
        <w:tc>
          <w:tcPr>
            <w:tcW w:w="184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rPr>
              <w:t>32,143</w:t>
            </w:r>
          </w:p>
        </w:tc>
      </w:tr>
      <w:tr>
        <w:trPr>
          <w:trHeight w:val="272"/>
        </w:trPr>
        <w:tc>
          <w:tcPr>
            <w:tcW w:w="362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Susie Wee (7)</w:t>
            </w:r>
          </w:p>
        </w:tc>
        <w:tc>
          <w:tcPr>
            <w:tcW w:w="178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83,571</w:t>
            </w:r>
          </w:p>
        </w:tc>
        <w:tc>
          <w:tcPr>
            <w:tcW w:w="156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rPr>
              <w:t>262,251</w:t>
            </w:r>
          </w:p>
        </w:tc>
        <w:tc>
          <w:tcPr>
            <w:tcW w:w="1840" w:type="dxa"/>
            <w:vAlign w:val="bottom"/>
            <w:tcBorders>
              <w:top w:val="single" w:sz="8" w:color="auto"/>
              <w:bottom w:val="single" w:sz="8" w:color="EAEAEA"/>
            </w:tcBorders>
            <w:shd w:val="clear" w:color="auto" w:fill="EAEAEA"/>
          </w:tcPr>
          <w:p>
            <w:pPr>
              <w:jc w:val="right"/>
              <w:ind w:right="197"/>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rPr>
              <w:t>345,822</w:t>
            </w:r>
          </w:p>
        </w:tc>
      </w:tr>
      <w:tr>
        <w:trPr>
          <w:trHeight w:val="20"/>
        </w:trPr>
        <w:tc>
          <w:tcPr>
            <w:tcW w:w="3620" w:type="dxa"/>
            <w:vAlign w:val="bottom"/>
            <w:shd w:val="clear" w:color="auto" w:fill="0066BA"/>
          </w:tcPr>
          <w:p>
            <w:pPr>
              <w:spacing w:after="0" w:line="20" w:lineRule="exact"/>
              <w:rPr>
                <w:sz w:val="1"/>
                <w:szCs w:val="1"/>
                <w:color w:val="auto"/>
              </w:rPr>
            </w:pPr>
          </w:p>
        </w:tc>
        <w:tc>
          <w:tcPr>
            <w:tcW w:w="1780" w:type="dxa"/>
            <w:vAlign w:val="bottom"/>
            <w:shd w:val="clear" w:color="auto" w:fill="0066BA"/>
          </w:tcPr>
          <w:p>
            <w:pPr>
              <w:spacing w:after="0" w:line="20" w:lineRule="exact"/>
              <w:rPr>
                <w:sz w:val="1"/>
                <w:szCs w:val="1"/>
                <w:color w:val="auto"/>
              </w:rPr>
            </w:pPr>
          </w:p>
        </w:tc>
        <w:tc>
          <w:tcPr>
            <w:tcW w:w="1560" w:type="dxa"/>
            <w:vAlign w:val="bottom"/>
            <w:shd w:val="clear" w:color="auto" w:fill="0066BA"/>
          </w:tcPr>
          <w:p>
            <w:pPr>
              <w:spacing w:after="0" w:line="20" w:lineRule="exact"/>
              <w:rPr>
                <w:sz w:val="1"/>
                <w:szCs w:val="1"/>
                <w:color w:val="auto"/>
              </w:rPr>
            </w:pPr>
          </w:p>
        </w:tc>
        <w:tc>
          <w:tcPr>
            <w:tcW w:w="1840" w:type="dxa"/>
            <w:vAlign w:val="bottom"/>
            <w:shd w:val="clear" w:color="auto" w:fill="0066BA"/>
          </w:tcPr>
          <w:p>
            <w:pPr>
              <w:spacing w:after="0" w:line="20" w:lineRule="exact"/>
              <w:rPr>
                <w:sz w:val="1"/>
                <w:szCs w:val="1"/>
                <w:color w:val="auto"/>
              </w:rPr>
            </w:pPr>
          </w:p>
        </w:tc>
        <w:tc>
          <w:tcPr>
            <w:tcW w:w="1480" w:type="dxa"/>
            <w:vAlign w:val="bottom"/>
            <w:shd w:val="clear" w:color="auto" w:fill="0066BA"/>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320" w:top="447" w:right="819" w:bottom="1440" w:gutter="0" w:footer="0" w:header="0"/>
          <w:type w:val="continuous"/>
        </w:sectPr>
      </w:pPr>
    </w:p>
    <w:p>
      <w:pPr>
        <w:spacing w:after="0" w:line="32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0760"/>
          </w:cols>
          <w:pgMar w:left="320" w:top="447" w:right="819" w:bottom="1440" w:gutter="0" w:footer="0" w:header="0"/>
          <w:type w:val="continuous"/>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82" w:lineRule="exact"/>
        <w:rPr>
          <w:sz w:val="20"/>
          <w:szCs w:val="20"/>
          <w:color w:val="auto"/>
        </w:rPr>
      </w:pPr>
    </w:p>
    <w:p>
      <w:pPr>
        <w:ind w:left="780" w:right="180" w:hanging="305"/>
        <w:spacing w:after="0" w:line="272"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amount includes a $80,000 annual board retainer. An additional annual retainer of $30,000 was paid to the chair of the Audit Committee, an additional annual retainer of $20,000 was paid to the chair of the Compensation Committee and an additional annual retainer of $20,000 was paid to the chair of the Nominating and Corporate Governance Committee. The Presiding Director also received an additional annual retainer of $25,000. The members of the Audit Committee (other than the chair) received an additional annual retainer of $15,000, the members of the Compensation Committee (other than the chair) received an additional annual retainer of $10,000, and the members of the Nominating and Corporate Governance Committee (other than the chair) received an additional annual retainer of $10,000. For fiscal 2020, Mr. Stata, as Chairman of the Board of Directors, received a total annual retainer of $250,000. All cash retainers are paid in quarterly installments each on the 15th day of December, March, June and September of each fiscal year and are pro-rated for a partial year of service. Each director can elect to defer receipt of his or her fees under our Deferred Compensation Plan, or DCP. For more information relating to our DCP, see “Information About Executive Compensation—Non-Qualified Deferred Compensation Plan” below. Dr. Frank elected to defer receipt of his fees under the DCP in fiscal 2020.</w:t>
      </w:r>
    </w:p>
    <w:p>
      <w:pPr>
        <w:spacing w:after="0" w:line="8" w:lineRule="exact"/>
        <w:rPr>
          <w:rFonts w:ascii="Arial" w:cs="Arial" w:eastAsia="Arial" w:hAnsi="Arial"/>
          <w:sz w:val="16"/>
          <w:szCs w:val="16"/>
          <w:color w:val="auto"/>
        </w:rPr>
      </w:pPr>
    </w:p>
    <w:p>
      <w:pPr>
        <w:ind w:left="780" w:right="300" w:hanging="305"/>
        <w:spacing w:after="0" w:line="255" w:lineRule="auto"/>
        <w:tabs>
          <w:tab w:leader="none" w:pos="7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These amounts represent the aggregate grant date fair value of awards for grants of RSUs to each listed director in fiscal 2020. These amounts do not represent the actual amounts paid to or realized by the directors during fiscal 2020. We recognize the fair value as of the grant date for RSUs over the number of days of service required for the award to become vested.</w:t>
      </w:r>
    </w:p>
    <w:p>
      <w:pPr>
        <w:spacing w:after="0" w:line="1" w:lineRule="exact"/>
        <w:rPr>
          <w:rFonts w:ascii="Arial" w:cs="Arial" w:eastAsia="Arial" w:hAnsi="Arial"/>
          <w:sz w:val="17"/>
          <w:szCs w:val="17"/>
          <w:color w:val="auto"/>
        </w:rPr>
      </w:pPr>
    </w:p>
    <w:p>
      <w:pPr>
        <w:ind w:left="780" w:right="240" w:hanging="305"/>
        <w:spacing w:after="0" w:line="271" w:lineRule="auto"/>
        <w:tabs>
          <w:tab w:leader="none" w:pos="7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aggregate number of stock options and RSUs outstanding held by each non-employee director (representing unexercised stock options and unvested RSUs) at October 31, 2020 is as follows:</w:t>
      </w:r>
    </w:p>
    <w:p>
      <w:pPr>
        <w:spacing w:after="0" w:line="209"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566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Name</w:t>
            </w:r>
          </w:p>
        </w:tc>
        <w:tc>
          <w:tcPr>
            <w:tcW w:w="2200" w:type="dxa"/>
            <w:vAlign w:val="bottom"/>
            <w:shd w:val="clear" w:color="auto" w:fill="0066BA"/>
          </w:tcPr>
          <w:p>
            <w:pPr>
              <w:jc w:val="right"/>
              <w:ind w:right="57"/>
              <w:spacing w:after="0"/>
              <w:rPr>
                <w:sz w:val="20"/>
                <w:szCs w:val="20"/>
                <w:color w:val="auto"/>
              </w:rPr>
            </w:pPr>
            <w:r>
              <w:rPr>
                <w:rFonts w:ascii="Arial" w:cs="Arial" w:eastAsia="Arial" w:hAnsi="Arial"/>
                <w:sz w:val="14"/>
                <w:szCs w:val="14"/>
                <w:b w:val="1"/>
                <w:bCs w:val="1"/>
                <w:color w:val="FFFFFF"/>
              </w:rPr>
              <w:t>Number of Shares Subject to</w:t>
            </w:r>
          </w:p>
        </w:tc>
        <w:tc>
          <w:tcPr>
            <w:tcW w:w="2420" w:type="dxa"/>
            <w:vAlign w:val="bottom"/>
            <w:shd w:val="clear" w:color="auto" w:fill="0066BA"/>
          </w:tcPr>
          <w:p>
            <w:pPr>
              <w:jc w:val="right"/>
              <w:ind w:right="96"/>
              <w:spacing w:after="0"/>
              <w:rPr>
                <w:sz w:val="20"/>
                <w:szCs w:val="20"/>
                <w:color w:val="auto"/>
              </w:rPr>
            </w:pPr>
            <w:r>
              <w:rPr>
                <w:rFonts w:ascii="Arial" w:cs="Arial" w:eastAsia="Arial" w:hAnsi="Arial"/>
                <w:sz w:val="14"/>
                <w:szCs w:val="14"/>
                <w:b w:val="1"/>
                <w:bCs w:val="1"/>
                <w:color w:val="FFFFFF"/>
              </w:rPr>
              <w:t>Number of RSUs that have not</w:t>
            </w:r>
          </w:p>
        </w:tc>
      </w:tr>
      <w:tr>
        <w:trPr>
          <w:trHeight w:val="156"/>
        </w:trPr>
        <w:tc>
          <w:tcPr>
            <w:tcW w:w="5660" w:type="dxa"/>
            <w:vAlign w:val="bottom"/>
            <w:shd w:val="clear" w:color="auto" w:fill="0066BA"/>
          </w:tcPr>
          <w:p>
            <w:pPr>
              <w:spacing w:after="0"/>
              <w:rPr>
                <w:sz w:val="13"/>
                <w:szCs w:val="13"/>
                <w:color w:val="auto"/>
              </w:rPr>
            </w:pPr>
          </w:p>
        </w:tc>
        <w:tc>
          <w:tcPr>
            <w:tcW w:w="2200" w:type="dxa"/>
            <w:vAlign w:val="bottom"/>
            <w:shd w:val="clear" w:color="auto" w:fill="0066BA"/>
          </w:tcPr>
          <w:p>
            <w:pPr>
              <w:jc w:val="right"/>
              <w:ind w:right="57"/>
              <w:spacing w:after="0" w:line="156" w:lineRule="exact"/>
              <w:rPr>
                <w:sz w:val="20"/>
                <w:szCs w:val="20"/>
                <w:color w:val="auto"/>
              </w:rPr>
            </w:pPr>
            <w:r>
              <w:rPr>
                <w:rFonts w:ascii="Arial" w:cs="Arial" w:eastAsia="Arial" w:hAnsi="Arial"/>
                <w:sz w:val="14"/>
                <w:szCs w:val="14"/>
                <w:b w:val="1"/>
                <w:bCs w:val="1"/>
                <w:color w:val="FFFFFF"/>
              </w:rPr>
              <w:t>Option Awards Held as of</w:t>
            </w:r>
          </w:p>
        </w:tc>
        <w:tc>
          <w:tcPr>
            <w:tcW w:w="2420" w:type="dxa"/>
            <w:vAlign w:val="bottom"/>
            <w:shd w:val="clear" w:color="auto" w:fill="0066BA"/>
          </w:tcPr>
          <w:p>
            <w:pPr>
              <w:jc w:val="right"/>
              <w:ind w:right="96"/>
              <w:spacing w:after="0" w:line="156" w:lineRule="exact"/>
              <w:rPr>
                <w:sz w:val="20"/>
                <w:szCs w:val="20"/>
                <w:color w:val="auto"/>
              </w:rPr>
            </w:pPr>
            <w:r>
              <w:rPr>
                <w:rFonts w:ascii="Arial" w:cs="Arial" w:eastAsia="Arial" w:hAnsi="Arial"/>
                <w:sz w:val="14"/>
                <w:szCs w:val="14"/>
                <w:b w:val="1"/>
                <w:bCs w:val="1"/>
                <w:color w:val="FFFFFF"/>
              </w:rPr>
              <w:t>Vested as of October 31, 2020</w:t>
            </w:r>
          </w:p>
        </w:tc>
      </w:tr>
      <w:tr>
        <w:trPr>
          <w:trHeight w:val="182"/>
        </w:trPr>
        <w:tc>
          <w:tcPr>
            <w:tcW w:w="5660" w:type="dxa"/>
            <w:vAlign w:val="bottom"/>
            <w:shd w:val="clear" w:color="auto" w:fill="0066BA"/>
          </w:tcPr>
          <w:p>
            <w:pPr>
              <w:spacing w:after="0"/>
              <w:rPr>
                <w:sz w:val="15"/>
                <w:szCs w:val="15"/>
                <w:color w:val="auto"/>
              </w:rPr>
            </w:pPr>
          </w:p>
        </w:tc>
        <w:tc>
          <w:tcPr>
            <w:tcW w:w="2200" w:type="dxa"/>
            <w:vAlign w:val="bottom"/>
            <w:shd w:val="clear" w:color="auto" w:fill="0066BA"/>
          </w:tcPr>
          <w:p>
            <w:pPr>
              <w:jc w:val="right"/>
              <w:ind w:right="57"/>
              <w:spacing w:after="0"/>
              <w:rPr>
                <w:sz w:val="20"/>
                <w:szCs w:val="20"/>
                <w:color w:val="auto"/>
              </w:rPr>
            </w:pPr>
            <w:r>
              <w:rPr>
                <w:rFonts w:ascii="Arial" w:cs="Arial" w:eastAsia="Arial" w:hAnsi="Arial"/>
                <w:sz w:val="14"/>
                <w:szCs w:val="14"/>
                <w:b w:val="1"/>
                <w:bCs w:val="1"/>
                <w:color w:val="FFFFFF"/>
              </w:rPr>
              <w:t>October 31, 2020</w:t>
            </w:r>
          </w:p>
        </w:tc>
        <w:tc>
          <w:tcPr>
            <w:tcW w:w="2420" w:type="dxa"/>
            <w:vAlign w:val="bottom"/>
            <w:shd w:val="clear" w:color="auto" w:fill="0066BA"/>
          </w:tcPr>
          <w:p>
            <w:pPr>
              <w:spacing w:after="0"/>
              <w:rPr>
                <w:sz w:val="15"/>
                <w:szCs w:val="15"/>
                <w:color w:val="auto"/>
              </w:rPr>
            </w:pPr>
          </w:p>
        </w:tc>
      </w:tr>
      <w:tr>
        <w:trPr>
          <w:trHeight w:val="103"/>
        </w:trPr>
        <w:tc>
          <w:tcPr>
            <w:tcW w:w="5660" w:type="dxa"/>
            <w:vAlign w:val="bottom"/>
            <w:shd w:val="clear" w:color="auto" w:fill="0066BA"/>
          </w:tcPr>
          <w:p>
            <w:pPr>
              <w:spacing w:after="0"/>
              <w:rPr>
                <w:sz w:val="8"/>
                <w:szCs w:val="8"/>
                <w:color w:val="auto"/>
              </w:rPr>
            </w:pPr>
          </w:p>
        </w:tc>
        <w:tc>
          <w:tcPr>
            <w:tcW w:w="2200" w:type="dxa"/>
            <w:vAlign w:val="bottom"/>
            <w:shd w:val="clear" w:color="auto" w:fill="0066BA"/>
          </w:tcPr>
          <w:p>
            <w:pPr>
              <w:spacing w:after="0"/>
              <w:rPr>
                <w:sz w:val="8"/>
                <w:szCs w:val="8"/>
                <w:color w:val="auto"/>
              </w:rPr>
            </w:pPr>
          </w:p>
        </w:tc>
        <w:tc>
          <w:tcPr>
            <w:tcW w:w="2420" w:type="dxa"/>
            <w:vAlign w:val="bottom"/>
            <w:shd w:val="clear" w:color="auto" w:fill="0066BA"/>
          </w:tcPr>
          <w:p>
            <w:pPr>
              <w:spacing w:after="0"/>
              <w:rPr>
                <w:sz w:val="8"/>
                <w:szCs w:val="8"/>
                <w:color w:val="auto"/>
              </w:rPr>
            </w:pPr>
          </w:p>
        </w:tc>
      </w:tr>
      <w:tr>
        <w:trPr>
          <w:trHeight w:val="312"/>
        </w:trPr>
        <w:tc>
          <w:tcPr>
            <w:tcW w:w="5660" w:type="dxa"/>
            <w:vAlign w:val="bottom"/>
          </w:tcPr>
          <w:p>
            <w:pPr>
              <w:ind w:left="60"/>
              <w:spacing w:after="0"/>
              <w:rPr>
                <w:sz w:val="20"/>
                <w:szCs w:val="20"/>
                <w:color w:val="auto"/>
              </w:rPr>
            </w:pPr>
            <w:r>
              <w:rPr>
                <w:rFonts w:ascii="Arial" w:cs="Arial" w:eastAsia="Arial" w:hAnsi="Arial"/>
                <w:sz w:val="17"/>
                <w:szCs w:val="17"/>
                <w:b w:val="1"/>
                <w:bCs w:val="1"/>
                <w:color w:val="0066BA"/>
              </w:rPr>
              <w:t>James A. Champy</w:t>
            </w:r>
          </w:p>
        </w:tc>
        <w:tc>
          <w:tcPr>
            <w:tcW w:w="2200" w:type="dxa"/>
            <w:vAlign w:val="bottom"/>
            <w:tcBorders>
              <w:bottom w:val="single" w:sz="8" w:color="EAEAEA"/>
            </w:tcBorders>
            <w:shd w:val="clear" w:color="auto" w:fill="EAEAEA"/>
          </w:tcPr>
          <w:p>
            <w:pPr>
              <w:jc w:val="right"/>
              <w:ind w:right="57"/>
              <w:spacing w:after="0"/>
              <w:rPr>
                <w:sz w:val="20"/>
                <w:szCs w:val="20"/>
                <w:color w:val="auto"/>
              </w:rPr>
            </w:pPr>
            <w:r>
              <w:rPr>
                <w:rFonts w:ascii="Arial" w:cs="Arial" w:eastAsia="Arial" w:hAnsi="Arial"/>
                <w:sz w:val="17"/>
                <w:szCs w:val="17"/>
                <w:color w:val="auto"/>
              </w:rPr>
              <w:t>37,620</w:t>
            </w:r>
          </w:p>
        </w:tc>
        <w:tc>
          <w:tcPr>
            <w:tcW w:w="2420" w:type="dxa"/>
            <w:vAlign w:val="bottom"/>
          </w:tcPr>
          <w:p>
            <w:pPr>
              <w:jc w:val="right"/>
              <w:ind w:right="96"/>
              <w:spacing w:after="0"/>
              <w:rPr>
                <w:sz w:val="20"/>
                <w:szCs w:val="20"/>
                <w:color w:val="auto"/>
              </w:rPr>
            </w:pPr>
            <w:r>
              <w:rPr>
                <w:rFonts w:ascii="Arial" w:cs="Arial" w:eastAsia="Arial" w:hAnsi="Arial"/>
                <w:sz w:val="17"/>
                <w:szCs w:val="17"/>
                <w:color w:val="auto"/>
              </w:rPr>
              <w:t>2,210</w:t>
            </w:r>
          </w:p>
        </w:tc>
      </w:tr>
      <w:tr>
        <w:trPr>
          <w:trHeight w:val="292"/>
        </w:trPr>
        <w:tc>
          <w:tcPr>
            <w:tcW w:w="566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Anantha P. Chandrakasan</w:t>
            </w:r>
          </w:p>
        </w:tc>
        <w:tc>
          <w:tcPr>
            <w:tcW w:w="220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7"/>
                <w:szCs w:val="17"/>
                <w:color w:val="auto"/>
              </w:rPr>
              <w:t>—</w:t>
            </w:r>
          </w:p>
        </w:tc>
        <w:tc>
          <w:tcPr>
            <w:tcW w:w="242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2,210</w:t>
            </w:r>
          </w:p>
        </w:tc>
      </w:tr>
      <w:tr>
        <w:trPr>
          <w:trHeight w:val="292"/>
        </w:trPr>
        <w:tc>
          <w:tcPr>
            <w:tcW w:w="566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Bruce R. Evans</w:t>
            </w:r>
          </w:p>
        </w:tc>
        <w:tc>
          <w:tcPr>
            <w:tcW w:w="220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7"/>
                <w:szCs w:val="17"/>
                <w:color w:val="auto"/>
              </w:rPr>
              <w:t>—</w:t>
            </w:r>
          </w:p>
        </w:tc>
        <w:tc>
          <w:tcPr>
            <w:tcW w:w="242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2,210</w:t>
            </w:r>
          </w:p>
        </w:tc>
      </w:tr>
      <w:tr>
        <w:trPr>
          <w:trHeight w:val="292"/>
        </w:trPr>
        <w:tc>
          <w:tcPr>
            <w:tcW w:w="566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Edward H. Frank</w:t>
            </w:r>
          </w:p>
        </w:tc>
        <w:tc>
          <w:tcPr>
            <w:tcW w:w="220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7"/>
                <w:szCs w:val="17"/>
                <w:color w:val="auto"/>
              </w:rPr>
              <w:t>—</w:t>
            </w:r>
          </w:p>
        </w:tc>
        <w:tc>
          <w:tcPr>
            <w:tcW w:w="242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2,210</w:t>
            </w:r>
          </w:p>
        </w:tc>
      </w:tr>
      <w:tr>
        <w:trPr>
          <w:trHeight w:val="292"/>
        </w:trPr>
        <w:tc>
          <w:tcPr>
            <w:tcW w:w="566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Laurie H. Glimcher</w:t>
            </w:r>
          </w:p>
        </w:tc>
        <w:tc>
          <w:tcPr>
            <w:tcW w:w="220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7"/>
                <w:szCs w:val="17"/>
                <w:color w:val="auto"/>
              </w:rPr>
              <w:t>—</w:t>
            </w:r>
          </w:p>
        </w:tc>
        <w:tc>
          <w:tcPr>
            <w:tcW w:w="242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1,060</w:t>
            </w:r>
          </w:p>
        </w:tc>
      </w:tr>
      <w:tr>
        <w:trPr>
          <w:trHeight w:val="292"/>
        </w:trPr>
        <w:tc>
          <w:tcPr>
            <w:tcW w:w="566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Karen M. Golz</w:t>
            </w:r>
          </w:p>
        </w:tc>
        <w:tc>
          <w:tcPr>
            <w:tcW w:w="220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7"/>
                <w:szCs w:val="17"/>
                <w:color w:val="auto"/>
              </w:rPr>
              <w:t>—</w:t>
            </w:r>
          </w:p>
        </w:tc>
        <w:tc>
          <w:tcPr>
            <w:tcW w:w="242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2,210</w:t>
            </w:r>
          </w:p>
        </w:tc>
      </w:tr>
      <w:tr>
        <w:trPr>
          <w:trHeight w:val="292"/>
        </w:trPr>
        <w:tc>
          <w:tcPr>
            <w:tcW w:w="566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Mark M. Little</w:t>
            </w:r>
          </w:p>
        </w:tc>
        <w:tc>
          <w:tcPr>
            <w:tcW w:w="220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7"/>
                <w:szCs w:val="17"/>
                <w:color w:val="auto"/>
              </w:rPr>
              <w:t>1,040</w:t>
            </w:r>
          </w:p>
        </w:tc>
        <w:tc>
          <w:tcPr>
            <w:tcW w:w="242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2,210</w:t>
            </w:r>
          </w:p>
        </w:tc>
      </w:tr>
      <w:tr>
        <w:trPr>
          <w:trHeight w:val="292"/>
        </w:trPr>
        <w:tc>
          <w:tcPr>
            <w:tcW w:w="566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Neil Novich</w:t>
            </w:r>
          </w:p>
        </w:tc>
        <w:tc>
          <w:tcPr>
            <w:tcW w:w="220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7"/>
                <w:szCs w:val="17"/>
                <w:color w:val="auto"/>
              </w:rPr>
              <w:t>—</w:t>
            </w:r>
          </w:p>
        </w:tc>
        <w:tc>
          <w:tcPr>
            <w:tcW w:w="242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r>
      <w:tr>
        <w:trPr>
          <w:trHeight w:val="292"/>
        </w:trPr>
        <w:tc>
          <w:tcPr>
            <w:tcW w:w="566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Kenton J. Sicchitano</w:t>
            </w:r>
          </w:p>
        </w:tc>
        <w:tc>
          <w:tcPr>
            <w:tcW w:w="220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7"/>
                <w:szCs w:val="17"/>
                <w:color w:val="auto"/>
              </w:rPr>
              <w:t>25,760</w:t>
            </w:r>
          </w:p>
        </w:tc>
        <w:tc>
          <w:tcPr>
            <w:tcW w:w="242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2,210</w:t>
            </w:r>
          </w:p>
        </w:tc>
      </w:tr>
      <w:tr>
        <w:trPr>
          <w:trHeight w:val="292"/>
        </w:trPr>
        <w:tc>
          <w:tcPr>
            <w:tcW w:w="566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Ray Stata</w:t>
            </w:r>
          </w:p>
        </w:tc>
        <w:tc>
          <w:tcPr>
            <w:tcW w:w="220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7"/>
                <w:szCs w:val="17"/>
                <w:color w:val="auto"/>
              </w:rPr>
              <w:t>37,620</w:t>
            </w:r>
          </w:p>
        </w:tc>
        <w:tc>
          <w:tcPr>
            <w:tcW w:w="242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2,210</w:t>
            </w:r>
          </w:p>
        </w:tc>
      </w:tr>
      <w:tr>
        <w:trPr>
          <w:trHeight w:val="292"/>
        </w:trPr>
        <w:tc>
          <w:tcPr>
            <w:tcW w:w="566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Lisa Su</w:t>
            </w:r>
          </w:p>
        </w:tc>
        <w:tc>
          <w:tcPr>
            <w:tcW w:w="220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7"/>
                <w:szCs w:val="17"/>
                <w:color w:val="auto"/>
              </w:rPr>
              <w:t>—</w:t>
            </w:r>
          </w:p>
        </w:tc>
        <w:tc>
          <w:tcPr>
            <w:tcW w:w="242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r>
      <w:tr>
        <w:trPr>
          <w:trHeight w:val="272"/>
        </w:trPr>
        <w:tc>
          <w:tcPr>
            <w:tcW w:w="566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Susie Wee</w:t>
            </w:r>
          </w:p>
        </w:tc>
        <w:tc>
          <w:tcPr>
            <w:tcW w:w="220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7"/>
                <w:szCs w:val="17"/>
                <w:color w:val="auto"/>
              </w:rPr>
              <w:t>—</w:t>
            </w:r>
          </w:p>
        </w:tc>
        <w:tc>
          <w:tcPr>
            <w:tcW w:w="242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2,210</w:t>
            </w:r>
          </w:p>
        </w:tc>
      </w:tr>
      <w:tr>
        <w:trPr>
          <w:trHeight w:val="20"/>
        </w:trPr>
        <w:tc>
          <w:tcPr>
            <w:tcW w:w="5660" w:type="dxa"/>
            <w:vAlign w:val="bottom"/>
            <w:shd w:val="clear" w:color="auto" w:fill="0066BA"/>
          </w:tcPr>
          <w:p>
            <w:pPr>
              <w:spacing w:after="0" w:line="20" w:lineRule="exact"/>
              <w:rPr>
                <w:sz w:val="1"/>
                <w:szCs w:val="1"/>
                <w:color w:val="auto"/>
              </w:rPr>
            </w:pPr>
          </w:p>
        </w:tc>
        <w:tc>
          <w:tcPr>
            <w:tcW w:w="2200" w:type="dxa"/>
            <w:vAlign w:val="bottom"/>
            <w:shd w:val="clear" w:color="auto" w:fill="0066BA"/>
          </w:tcPr>
          <w:p>
            <w:pPr>
              <w:spacing w:after="0" w:line="20" w:lineRule="exact"/>
              <w:rPr>
                <w:sz w:val="1"/>
                <w:szCs w:val="1"/>
                <w:color w:val="auto"/>
              </w:rPr>
            </w:pPr>
          </w:p>
        </w:tc>
        <w:tc>
          <w:tcPr>
            <w:tcW w:w="2420" w:type="dxa"/>
            <w:vAlign w:val="bottom"/>
            <w:shd w:val="clear" w:color="auto" w:fill="0066BA"/>
          </w:tcPr>
          <w:p>
            <w:pPr>
              <w:spacing w:after="0" w:line="20" w:lineRule="exact"/>
              <w:rPr>
                <w:sz w:val="1"/>
                <w:szCs w:val="1"/>
                <w:color w:val="auto"/>
              </w:rPr>
            </w:pPr>
          </w:p>
        </w:tc>
      </w:tr>
    </w:tbl>
    <w:p>
      <w:pPr>
        <w:spacing w:after="0" w:line="196" w:lineRule="exact"/>
        <w:rPr>
          <w:sz w:val="20"/>
          <w:szCs w:val="20"/>
          <w:color w:val="auto"/>
        </w:rPr>
      </w:pPr>
    </w:p>
    <w:p>
      <w:pPr>
        <w:ind w:left="480" w:right="680"/>
        <w:spacing w:after="0" w:line="286" w:lineRule="auto"/>
        <w:rPr>
          <w:sz w:val="20"/>
          <w:szCs w:val="20"/>
          <w:color w:val="auto"/>
        </w:rPr>
      </w:pPr>
      <w:r>
        <w:rPr>
          <w:rFonts w:ascii="Arial" w:cs="Arial" w:eastAsia="Arial" w:hAnsi="Arial"/>
          <w:sz w:val="17"/>
          <w:szCs w:val="17"/>
          <w:color w:val="auto"/>
        </w:rPr>
        <w:t>The following table includes the assumptions, rounded to the nearest hundredth, which we used to calculate the grant date fair value amounts included in the “Stock Awards” column for fiscal 2020 Director Compensation.</w:t>
      </w:r>
    </w:p>
    <w:p>
      <w:pPr>
        <w:spacing w:after="0" w:line="197" w:lineRule="exact"/>
        <w:rPr>
          <w:sz w:val="20"/>
          <w:szCs w:val="20"/>
          <w:color w:val="auto"/>
        </w:rPr>
      </w:pPr>
    </w:p>
    <w:tbl>
      <w:tblPr>
        <w:tblLayout w:type="fixed"/>
        <w:tblInd w:w="480" w:type="dxa"/>
        <w:tblCellMar>
          <w:top w:w="0" w:type="dxa"/>
          <w:left w:w="0" w:type="dxa"/>
          <w:bottom w:w="0" w:type="dxa"/>
          <w:right w:w="0" w:type="dxa"/>
        </w:tblCellMar>
      </w:tblPr>
      <w:tr>
        <w:trPr>
          <w:trHeight w:val="235"/>
        </w:trPr>
        <w:tc>
          <w:tcPr>
            <w:tcW w:w="376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Grant Date</w:t>
            </w:r>
          </w:p>
        </w:tc>
        <w:tc>
          <w:tcPr>
            <w:tcW w:w="1040" w:type="dxa"/>
            <w:vAlign w:val="bottom"/>
            <w:shd w:val="clear" w:color="auto" w:fill="0066BA"/>
          </w:tcPr>
          <w:p>
            <w:pPr>
              <w:spacing w:after="0"/>
              <w:rPr>
                <w:sz w:val="20"/>
                <w:szCs w:val="20"/>
                <w:color w:val="auto"/>
              </w:rPr>
            </w:pPr>
          </w:p>
        </w:tc>
        <w:tc>
          <w:tcPr>
            <w:tcW w:w="2360" w:type="dxa"/>
            <w:vAlign w:val="bottom"/>
            <w:gridSpan w:val="2"/>
            <w:shd w:val="clear" w:color="auto" w:fill="0066BA"/>
          </w:tcPr>
          <w:p>
            <w:pPr>
              <w:ind w:left="1360"/>
              <w:spacing w:after="0"/>
              <w:rPr>
                <w:sz w:val="20"/>
                <w:szCs w:val="20"/>
                <w:color w:val="auto"/>
              </w:rPr>
            </w:pPr>
            <w:r>
              <w:rPr>
                <w:rFonts w:ascii="Arial" w:cs="Arial" w:eastAsia="Arial" w:hAnsi="Arial"/>
                <w:sz w:val="14"/>
                <w:szCs w:val="14"/>
                <w:b w:val="1"/>
                <w:bCs w:val="1"/>
                <w:color w:val="FFFFFF"/>
              </w:rPr>
              <w:t>Assumptions</w:t>
            </w:r>
          </w:p>
        </w:tc>
        <w:tc>
          <w:tcPr>
            <w:tcW w:w="980" w:type="dxa"/>
            <w:vAlign w:val="bottom"/>
            <w:shd w:val="clear" w:color="auto" w:fill="0066BA"/>
          </w:tcPr>
          <w:p>
            <w:pPr>
              <w:spacing w:after="0"/>
              <w:rPr>
                <w:sz w:val="20"/>
                <w:szCs w:val="20"/>
                <w:color w:val="auto"/>
              </w:rPr>
            </w:pPr>
          </w:p>
        </w:tc>
        <w:tc>
          <w:tcPr>
            <w:tcW w:w="2140" w:type="dxa"/>
            <w:vAlign w:val="bottom"/>
            <w:shd w:val="clear" w:color="auto" w:fill="0066BA"/>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3760" w:type="dxa"/>
            <w:vAlign w:val="bottom"/>
            <w:shd w:val="clear" w:color="auto" w:fill="0066BA"/>
          </w:tcPr>
          <w:p>
            <w:pPr>
              <w:spacing w:after="0"/>
              <w:rPr>
                <w:sz w:val="8"/>
                <w:szCs w:val="8"/>
                <w:color w:val="auto"/>
              </w:rPr>
            </w:pPr>
          </w:p>
        </w:tc>
        <w:tc>
          <w:tcPr>
            <w:tcW w:w="1040" w:type="dxa"/>
            <w:vAlign w:val="bottom"/>
            <w:shd w:val="clear" w:color="auto" w:fill="0066BA"/>
          </w:tcPr>
          <w:p>
            <w:pPr>
              <w:spacing w:after="0"/>
              <w:rPr>
                <w:sz w:val="8"/>
                <w:szCs w:val="8"/>
                <w:color w:val="auto"/>
              </w:rPr>
            </w:pPr>
          </w:p>
        </w:tc>
        <w:tc>
          <w:tcPr>
            <w:tcW w:w="1860" w:type="dxa"/>
            <w:vAlign w:val="bottom"/>
            <w:shd w:val="clear" w:color="auto" w:fill="0066BA"/>
          </w:tcPr>
          <w:p>
            <w:pPr>
              <w:spacing w:after="0"/>
              <w:rPr>
                <w:sz w:val="8"/>
                <w:szCs w:val="8"/>
                <w:color w:val="auto"/>
              </w:rPr>
            </w:pPr>
          </w:p>
        </w:tc>
        <w:tc>
          <w:tcPr>
            <w:tcW w:w="500" w:type="dxa"/>
            <w:vAlign w:val="bottom"/>
            <w:shd w:val="clear" w:color="auto" w:fill="0066BA"/>
          </w:tcPr>
          <w:p>
            <w:pPr>
              <w:spacing w:after="0"/>
              <w:rPr>
                <w:sz w:val="8"/>
                <w:szCs w:val="8"/>
                <w:color w:val="auto"/>
              </w:rPr>
            </w:pPr>
          </w:p>
        </w:tc>
        <w:tc>
          <w:tcPr>
            <w:tcW w:w="980" w:type="dxa"/>
            <w:vAlign w:val="bottom"/>
            <w:shd w:val="clear" w:color="auto" w:fill="0066BA"/>
          </w:tcPr>
          <w:p>
            <w:pPr>
              <w:spacing w:after="0"/>
              <w:rPr>
                <w:sz w:val="8"/>
                <w:szCs w:val="8"/>
                <w:color w:val="auto"/>
              </w:rPr>
            </w:pPr>
          </w:p>
        </w:tc>
        <w:tc>
          <w:tcPr>
            <w:tcW w:w="2140" w:type="dxa"/>
            <w:vAlign w:val="bottom"/>
            <w:vMerge w:val="restart"/>
            <w:shd w:val="clear" w:color="auto" w:fill="0066BA"/>
          </w:tcPr>
          <w:p>
            <w:pPr>
              <w:jc w:val="right"/>
              <w:ind w:right="264"/>
              <w:spacing w:after="0"/>
              <w:rPr>
                <w:sz w:val="20"/>
                <w:szCs w:val="20"/>
                <w:color w:val="auto"/>
              </w:rPr>
            </w:pPr>
            <w:r>
              <w:rPr>
                <w:rFonts w:ascii="Arial" w:cs="Arial" w:eastAsia="Arial" w:hAnsi="Arial"/>
                <w:sz w:val="12"/>
                <w:szCs w:val="12"/>
                <w:b w:val="1"/>
                <w:bCs w:val="1"/>
                <w:color w:val="FFFFFF"/>
              </w:rPr>
              <w:t>Grant Date Fair Value</w:t>
            </w:r>
          </w:p>
        </w:tc>
        <w:tc>
          <w:tcPr>
            <w:tcW w:w="0" w:type="dxa"/>
            <w:vAlign w:val="bottom"/>
          </w:tcPr>
          <w:p>
            <w:pPr>
              <w:spacing w:after="0"/>
              <w:rPr>
                <w:sz w:val="1"/>
                <w:szCs w:val="1"/>
                <w:color w:val="auto"/>
              </w:rPr>
            </w:pPr>
          </w:p>
        </w:tc>
      </w:tr>
      <w:tr>
        <w:trPr>
          <w:trHeight w:val="189"/>
        </w:trPr>
        <w:tc>
          <w:tcPr>
            <w:tcW w:w="3760" w:type="dxa"/>
            <w:vAlign w:val="bottom"/>
            <w:shd w:val="clear" w:color="auto" w:fill="0066BA"/>
          </w:tcPr>
          <w:p>
            <w:pPr>
              <w:spacing w:after="0"/>
              <w:rPr>
                <w:sz w:val="16"/>
                <w:szCs w:val="16"/>
                <w:color w:val="auto"/>
              </w:rPr>
            </w:pPr>
          </w:p>
        </w:tc>
        <w:tc>
          <w:tcPr>
            <w:tcW w:w="1040" w:type="dxa"/>
            <w:vAlign w:val="bottom"/>
            <w:shd w:val="clear" w:color="auto" w:fill="0066BA"/>
          </w:tcPr>
          <w:p>
            <w:pPr>
              <w:spacing w:after="0"/>
              <w:rPr>
                <w:sz w:val="16"/>
                <w:szCs w:val="16"/>
                <w:color w:val="auto"/>
              </w:rPr>
            </w:pPr>
          </w:p>
        </w:tc>
        <w:tc>
          <w:tcPr>
            <w:tcW w:w="2360" w:type="dxa"/>
            <w:vAlign w:val="bottom"/>
            <w:gridSpan w:val="2"/>
            <w:shd w:val="clear" w:color="auto" w:fill="0066BA"/>
          </w:tcPr>
          <w:p>
            <w:pPr>
              <w:jc w:val="right"/>
              <w:ind w:right="840"/>
              <w:spacing w:after="0"/>
              <w:rPr>
                <w:sz w:val="20"/>
                <w:szCs w:val="20"/>
                <w:color w:val="auto"/>
              </w:rPr>
            </w:pPr>
            <w:r>
              <w:rPr>
                <w:rFonts w:ascii="Arial" w:cs="Arial" w:eastAsia="Arial" w:hAnsi="Arial"/>
                <w:sz w:val="12"/>
                <w:szCs w:val="12"/>
                <w:b w:val="1"/>
                <w:bCs w:val="1"/>
                <w:color w:val="FFFFFF"/>
              </w:rPr>
              <w:t>Risk-Free</w:t>
            </w:r>
          </w:p>
        </w:tc>
        <w:tc>
          <w:tcPr>
            <w:tcW w:w="980" w:type="dxa"/>
            <w:vAlign w:val="bottom"/>
            <w:shd w:val="clear" w:color="auto" w:fill="0066BA"/>
          </w:tcPr>
          <w:p>
            <w:pPr>
              <w:jc w:val="right"/>
              <w:ind w:right="264"/>
              <w:spacing w:after="0"/>
              <w:rPr>
                <w:sz w:val="20"/>
                <w:szCs w:val="20"/>
                <w:color w:val="auto"/>
              </w:rPr>
            </w:pPr>
            <w:r>
              <w:rPr>
                <w:rFonts w:ascii="Arial" w:cs="Arial" w:eastAsia="Arial" w:hAnsi="Arial"/>
                <w:sz w:val="12"/>
                <w:szCs w:val="12"/>
                <w:b w:val="1"/>
                <w:bCs w:val="1"/>
                <w:color w:val="FFFFFF"/>
              </w:rPr>
              <w:t>Dividend</w:t>
            </w:r>
          </w:p>
        </w:tc>
        <w:tc>
          <w:tcPr>
            <w:tcW w:w="2140" w:type="dxa"/>
            <w:vAlign w:val="bottom"/>
            <w:vMerge w:val="continue"/>
            <w:shd w:val="clear" w:color="auto" w:fill="0066BA"/>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760" w:type="dxa"/>
            <w:vAlign w:val="bottom"/>
            <w:shd w:val="clear" w:color="auto" w:fill="0066BA"/>
          </w:tcPr>
          <w:p>
            <w:pPr>
              <w:spacing w:after="0"/>
              <w:rPr>
                <w:sz w:val="14"/>
                <w:szCs w:val="14"/>
                <w:color w:val="auto"/>
              </w:rPr>
            </w:pPr>
          </w:p>
        </w:tc>
        <w:tc>
          <w:tcPr>
            <w:tcW w:w="1040" w:type="dxa"/>
            <w:vAlign w:val="bottom"/>
            <w:shd w:val="clear" w:color="auto" w:fill="0066BA"/>
          </w:tcPr>
          <w:p>
            <w:pPr>
              <w:spacing w:after="0"/>
              <w:rPr>
                <w:sz w:val="14"/>
                <w:szCs w:val="14"/>
                <w:color w:val="auto"/>
              </w:rPr>
            </w:pPr>
          </w:p>
        </w:tc>
        <w:tc>
          <w:tcPr>
            <w:tcW w:w="2360" w:type="dxa"/>
            <w:vAlign w:val="bottom"/>
            <w:gridSpan w:val="2"/>
            <w:shd w:val="clear" w:color="auto" w:fill="0066BA"/>
          </w:tcPr>
          <w:p>
            <w:pPr>
              <w:jc w:val="right"/>
              <w:ind w:right="840"/>
              <w:spacing w:after="0"/>
              <w:rPr>
                <w:sz w:val="20"/>
                <w:szCs w:val="20"/>
                <w:color w:val="auto"/>
              </w:rPr>
            </w:pPr>
            <w:r>
              <w:rPr>
                <w:rFonts w:ascii="Arial" w:cs="Arial" w:eastAsia="Arial" w:hAnsi="Arial"/>
                <w:sz w:val="12"/>
                <w:szCs w:val="12"/>
                <w:b w:val="1"/>
                <w:bCs w:val="1"/>
                <w:color w:val="FFFFFF"/>
              </w:rPr>
              <w:t>Interest Rate (%)</w:t>
            </w:r>
          </w:p>
        </w:tc>
        <w:tc>
          <w:tcPr>
            <w:tcW w:w="980" w:type="dxa"/>
            <w:vAlign w:val="bottom"/>
            <w:shd w:val="clear" w:color="auto" w:fill="0066BA"/>
          </w:tcPr>
          <w:p>
            <w:pPr>
              <w:jc w:val="right"/>
              <w:ind w:right="264"/>
              <w:spacing w:after="0"/>
              <w:rPr>
                <w:sz w:val="20"/>
                <w:szCs w:val="20"/>
                <w:color w:val="auto"/>
              </w:rPr>
            </w:pPr>
            <w:r>
              <w:rPr>
                <w:rFonts w:ascii="Arial" w:cs="Arial" w:eastAsia="Arial" w:hAnsi="Arial"/>
                <w:sz w:val="12"/>
                <w:szCs w:val="12"/>
                <w:b w:val="1"/>
                <w:bCs w:val="1"/>
                <w:color w:val="FFFFFF"/>
              </w:rPr>
              <w:t>Yield (%)</w:t>
            </w:r>
          </w:p>
        </w:tc>
        <w:tc>
          <w:tcPr>
            <w:tcW w:w="2140" w:type="dxa"/>
            <w:vAlign w:val="bottom"/>
            <w:shd w:val="clear" w:color="auto" w:fill="0066BA"/>
          </w:tcPr>
          <w:p>
            <w:pPr>
              <w:jc w:val="right"/>
              <w:ind w:right="264"/>
              <w:spacing w:after="0"/>
              <w:rPr>
                <w:sz w:val="20"/>
                <w:szCs w:val="20"/>
                <w:color w:val="auto"/>
              </w:rPr>
            </w:pPr>
            <w:r>
              <w:rPr>
                <w:rFonts w:ascii="Arial" w:cs="Arial" w:eastAsia="Arial" w:hAnsi="Arial"/>
                <w:sz w:val="12"/>
                <w:szCs w:val="12"/>
                <w:b w:val="1"/>
                <w:bCs w:val="1"/>
                <w:color w:val="FFFFFF"/>
              </w:rPr>
              <w:t>Per Share ($)</w:t>
            </w:r>
          </w:p>
        </w:tc>
        <w:tc>
          <w:tcPr>
            <w:tcW w:w="0" w:type="dxa"/>
            <w:vAlign w:val="bottom"/>
          </w:tcPr>
          <w:p>
            <w:pPr>
              <w:spacing w:after="0"/>
              <w:rPr>
                <w:sz w:val="1"/>
                <w:szCs w:val="1"/>
                <w:color w:val="auto"/>
              </w:rPr>
            </w:pPr>
          </w:p>
        </w:tc>
      </w:tr>
      <w:tr>
        <w:trPr>
          <w:trHeight w:val="107"/>
        </w:trPr>
        <w:tc>
          <w:tcPr>
            <w:tcW w:w="3760" w:type="dxa"/>
            <w:vAlign w:val="bottom"/>
            <w:shd w:val="clear" w:color="auto" w:fill="0066BA"/>
          </w:tcPr>
          <w:p>
            <w:pPr>
              <w:spacing w:after="0"/>
              <w:rPr>
                <w:sz w:val="9"/>
                <w:szCs w:val="9"/>
                <w:color w:val="auto"/>
              </w:rPr>
            </w:pPr>
          </w:p>
        </w:tc>
        <w:tc>
          <w:tcPr>
            <w:tcW w:w="1040" w:type="dxa"/>
            <w:vAlign w:val="bottom"/>
            <w:shd w:val="clear" w:color="auto" w:fill="0066BA"/>
          </w:tcPr>
          <w:p>
            <w:pPr>
              <w:spacing w:after="0"/>
              <w:rPr>
                <w:sz w:val="9"/>
                <w:szCs w:val="9"/>
                <w:color w:val="auto"/>
              </w:rPr>
            </w:pPr>
          </w:p>
        </w:tc>
        <w:tc>
          <w:tcPr>
            <w:tcW w:w="1860" w:type="dxa"/>
            <w:vAlign w:val="bottom"/>
            <w:shd w:val="clear" w:color="auto" w:fill="0066BA"/>
          </w:tcPr>
          <w:p>
            <w:pPr>
              <w:spacing w:after="0"/>
              <w:rPr>
                <w:sz w:val="9"/>
                <w:szCs w:val="9"/>
                <w:color w:val="auto"/>
              </w:rPr>
            </w:pPr>
          </w:p>
        </w:tc>
        <w:tc>
          <w:tcPr>
            <w:tcW w:w="500" w:type="dxa"/>
            <w:vAlign w:val="bottom"/>
            <w:shd w:val="clear" w:color="auto" w:fill="0066BA"/>
          </w:tcPr>
          <w:p>
            <w:pPr>
              <w:spacing w:after="0"/>
              <w:rPr>
                <w:sz w:val="9"/>
                <w:szCs w:val="9"/>
                <w:color w:val="auto"/>
              </w:rPr>
            </w:pPr>
          </w:p>
        </w:tc>
        <w:tc>
          <w:tcPr>
            <w:tcW w:w="980" w:type="dxa"/>
            <w:vAlign w:val="bottom"/>
            <w:shd w:val="clear" w:color="auto" w:fill="0066BA"/>
          </w:tcPr>
          <w:p>
            <w:pPr>
              <w:spacing w:after="0"/>
              <w:rPr>
                <w:sz w:val="9"/>
                <w:szCs w:val="9"/>
                <w:color w:val="auto"/>
              </w:rPr>
            </w:pPr>
          </w:p>
        </w:tc>
        <w:tc>
          <w:tcPr>
            <w:tcW w:w="2140" w:type="dxa"/>
            <w:vAlign w:val="bottom"/>
            <w:shd w:val="clear" w:color="auto" w:fill="0066BA"/>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3760" w:type="dxa"/>
            <w:vAlign w:val="bottom"/>
          </w:tcPr>
          <w:p>
            <w:pPr>
              <w:ind w:left="60"/>
              <w:spacing w:after="0"/>
              <w:rPr>
                <w:sz w:val="20"/>
                <w:szCs w:val="20"/>
                <w:color w:val="auto"/>
              </w:rPr>
            </w:pPr>
            <w:r>
              <w:rPr>
                <w:rFonts w:ascii="Arial" w:cs="Arial" w:eastAsia="Arial" w:hAnsi="Arial"/>
                <w:sz w:val="17"/>
                <w:szCs w:val="17"/>
                <w:b w:val="1"/>
                <w:bCs w:val="1"/>
                <w:color w:val="0066BA"/>
              </w:rPr>
              <w:t>12/16/2019</w:t>
            </w:r>
          </w:p>
        </w:tc>
        <w:tc>
          <w:tcPr>
            <w:tcW w:w="1040" w:type="dxa"/>
            <w:vAlign w:val="bottom"/>
          </w:tcPr>
          <w:p>
            <w:pPr>
              <w:ind w:left="380"/>
              <w:spacing w:after="0"/>
              <w:rPr>
                <w:sz w:val="20"/>
                <w:szCs w:val="20"/>
                <w:color w:val="auto"/>
              </w:rPr>
            </w:pPr>
            <w:r>
              <w:rPr>
                <w:rFonts w:ascii="Arial" w:cs="Arial" w:eastAsia="Arial" w:hAnsi="Arial"/>
                <w:sz w:val="17"/>
                <w:szCs w:val="17"/>
                <w:color w:val="auto"/>
              </w:rPr>
              <w:t>RSUs</w:t>
            </w:r>
          </w:p>
        </w:tc>
        <w:tc>
          <w:tcPr>
            <w:tcW w:w="1860" w:type="dxa"/>
            <w:vAlign w:val="bottom"/>
            <w:tcBorders>
              <w:bottom w:val="single" w:sz="8" w:color="EAEAEA"/>
            </w:tcBorders>
            <w:shd w:val="clear" w:color="auto" w:fill="EAEAEA"/>
          </w:tcPr>
          <w:p>
            <w:pPr>
              <w:jc w:val="right"/>
              <w:ind w:right="265"/>
              <w:spacing w:after="0"/>
              <w:rPr>
                <w:sz w:val="20"/>
                <w:szCs w:val="20"/>
                <w:color w:val="auto"/>
              </w:rPr>
            </w:pPr>
            <w:r>
              <w:rPr>
                <w:rFonts w:ascii="Arial" w:cs="Arial" w:eastAsia="Arial" w:hAnsi="Arial"/>
                <w:sz w:val="17"/>
                <w:szCs w:val="17"/>
                <w:color w:val="auto"/>
              </w:rPr>
              <w:t>1.67</w:t>
            </w:r>
          </w:p>
        </w:tc>
        <w:tc>
          <w:tcPr>
            <w:tcW w:w="500" w:type="dxa"/>
            <w:vAlign w:val="bottom"/>
          </w:tcPr>
          <w:p>
            <w:pPr>
              <w:spacing w:after="0"/>
              <w:rPr>
                <w:sz w:val="24"/>
                <w:szCs w:val="24"/>
                <w:color w:val="auto"/>
              </w:rPr>
            </w:pPr>
          </w:p>
        </w:tc>
        <w:tc>
          <w:tcPr>
            <w:tcW w:w="980" w:type="dxa"/>
            <w:vAlign w:val="bottom"/>
          </w:tcPr>
          <w:p>
            <w:pPr>
              <w:jc w:val="right"/>
              <w:ind w:right="264"/>
              <w:spacing w:after="0"/>
              <w:rPr>
                <w:sz w:val="20"/>
                <w:szCs w:val="20"/>
                <w:color w:val="auto"/>
              </w:rPr>
            </w:pPr>
            <w:r>
              <w:rPr>
                <w:rFonts w:ascii="Arial" w:cs="Arial" w:eastAsia="Arial" w:hAnsi="Arial"/>
                <w:sz w:val="17"/>
                <w:szCs w:val="17"/>
                <w:color w:val="auto"/>
              </w:rPr>
              <w:t>1.82</w:t>
            </w:r>
          </w:p>
        </w:tc>
        <w:tc>
          <w:tcPr>
            <w:tcW w:w="2140" w:type="dxa"/>
            <w:vAlign w:val="bottom"/>
            <w:tcBorders>
              <w:bottom w:val="single" w:sz="8" w:color="EAEAEA"/>
            </w:tcBorders>
            <w:shd w:val="clear" w:color="auto" w:fill="EAEAEA"/>
          </w:tcPr>
          <w:p>
            <w:pPr>
              <w:jc w:val="right"/>
              <w:ind w:right="264"/>
              <w:spacing w:after="0"/>
              <w:rPr>
                <w:sz w:val="20"/>
                <w:szCs w:val="20"/>
                <w:color w:val="auto"/>
              </w:rPr>
            </w:pPr>
            <w:r>
              <w:rPr>
                <w:rFonts w:ascii="Arial" w:cs="Arial" w:eastAsia="Arial" w:hAnsi="Arial"/>
                <w:sz w:val="17"/>
                <w:szCs w:val="17"/>
                <w:color w:val="auto"/>
              </w:rPr>
              <w:t>113.60</w:t>
            </w:r>
          </w:p>
        </w:tc>
        <w:tc>
          <w:tcPr>
            <w:tcW w:w="0" w:type="dxa"/>
            <w:vAlign w:val="bottom"/>
          </w:tcPr>
          <w:p>
            <w:pPr>
              <w:spacing w:after="0"/>
              <w:rPr>
                <w:sz w:val="1"/>
                <w:szCs w:val="1"/>
                <w:color w:val="auto"/>
              </w:rPr>
            </w:pPr>
          </w:p>
        </w:tc>
      </w:tr>
      <w:tr>
        <w:trPr>
          <w:trHeight w:val="292"/>
        </w:trPr>
        <w:tc>
          <w:tcPr>
            <w:tcW w:w="376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3/11/2020</w:t>
            </w:r>
          </w:p>
        </w:tc>
        <w:tc>
          <w:tcPr>
            <w:tcW w:w="1040" w:type="dxa"/>
            <w:vAlign w:val="bottom"/>
            <w:tcBorders>
              <w:top w:val="single" w:sz="8" w:color="auto"/>
            </w:tcBorders>
          </w:tcPr>
          <w:p>
            <w:pPr>
              <w:ind w:left="380"/>
              <w:spacing w:after="0"/>
              <w:rPr>
                <w:sz w:val="20"/>
                <w:szCs w:val="20"/>
                <w:color w:val="auto"/>
              </w:rPr>
            </w:pPr>
            <w:r>
              <w:rPr>
                <w:rFonts w:ascii="Arial" w:cs="Arial" w:eastAsia="Arial" w:hAnsi="Arial"/>
                <w:sz w:val="17"/>
                <w:szCs w:val="17"/>
                <w:color w:val="auto"/>
              </w:rPr>
              <w:t>RSUs</w:t>
            </w:r>
          </w:p>
        </w:tc>
        <w:tc>
          <w:tcPr>
            <w:tcW w:w="1860" w:type="dxa"/>
            <w:vAlign w:val="bottom"/>
            <w:tcBorders>
              <w:top w:val="single" w:sz="8" w:color="auto"/>
              <w:bottom w:val="single" w:sz="8" w:color="EAEAEA"/>
            </w:tcBorders>
            <w:shd w:val="clear" w:color="auto" w:fill="EAEAEA"/>
          </w:tcPr>
          <w:p>
            <w:pPr>
              <w:jc w:val="right"/>
              <w:ind w:right="265"/>
              <w:spacing w:after="0"/>
              <w:rPr>
                <w:sz w:val="20"/>
                <w:szCs w:val="20"/>
                <w:color w:val="auto"/>
              </w:rPr>
            </w:pPr>
            <w:r>
              <w:rPr>
                <w:rFonts w:ascii="Arial" w:cs="Arial" w:eastAsia="Arial" w:hAnsi="Arial"/>
                <w:sz w:val="17"/>
                <w:szCs w:val="17"/>
                <w:color w:val="auto"/>
              </w:rPr>
              <w:t>0.10</w:t>
            </w:r>
          </w:p>
        </w:tc>
        <w:tc>
          <w:tcPr>
            <w:tcW w:w="5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264"/>
              <w:spacing w:after="0"/>
              <w:rPr>
                <w:sz w:val="20"/>
                <w:szCs w:val="20"/>
                <w:color w:val="auto"/>
              </w:rPr>
            </w:pPr>
            <w:r>
              <w:rPr>
                <w:rFonts w:ascii="Arial" w:cs="Arial" w:eastAsia="Arial" w:hAnsi="Arial"/>
                <w:sz w:val="17"/>
                <w:szCs w:val="17"/>
                <w:color w:val="auto"/>
              </w:rPr>
              <w:t>2.63</w:t>
            </w:r>
          </w:p>
        </w:tc>
        <w:tc>
          <w:tcPr>
            <w:tcW w:w="2140" w:type="dxa"/>
            <w:vAlign w:val="bottom"/>
            <w:tcBorders>
              <w:top w:val="single" w:sz="8" w:color="auto"/>
              <w:bottom w:val="single" w:sz="8" w:color="EAEAEA"/>
            </w:tcBorders>
            <w:shd w:val="clear" w:color="auto" w:fill="EAEAEA"/>
          </w:tcPr>
          <w:p>
            <w:pPr>
              <w:jc w:val="right"/>
              <w:ind w:right="264"/>
              <w:spacing w:after="0"/>
              <w:rPr>
                <w:sz w:val="20"/>
                <w:szCs w:val="20"/>
                <w:color w:val="auto"/>
              </w:rPr>
            </w:pPr>
            <w:r>
              <w:rPr>
                <w:rFonts w:ascii="Arial" w:cs="Arial" w:eastAsia="Arial" w:hAnsi="Arial"/>
                <w:sz w:val="17"/>
                <w:szCs w:val="17"/>
                <w:color w:val="auto"/>
              </w:rPr>
              <w:t>91.94</w:t>
            </w:r>
          </w:p>
        </w:tc>
        <w:tc>
          <w:tcPr>
            <w:tcW w:w="0" w:type="dxa"/>
            <w:vAlign w:val="bottom"/>
          </w:tcPr>
          <w:p>
            <w:pPr>
              <w:spacing w:after="0"/>
              <w:rPr>
                <w:sz w:val="1"/>
                <w:szCs w:val="1"/>
                <w:color w:val="auto"/>
              </w:rPr>
            </w:pPr>
          </w:p>
        </w:tc>
      </w:tr>
      <w:tr>
        <w:trPr>
          <w:trHeight w:val="272"/>
        </w:trPr>
        <w:tc>
          <w:tcPr>
            <w:tcW w:w="376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9/15/2020</w:t>
            </w:r>
          </w:p>
        </w:tc>
        <w:tc>
          <w:tcPr>
            <w:tcW w:w="1040" w:type="dxa"/>
            <w:vAlign w:val="bottom"/>
            <w:tcBorders>
              <w:top w:val="single" w:sz="8" w:color="auto"/>
            </w:tcBorders>
          </w:tcPr>
          <w:p>
            <w:pPr>
              <w:ind w:left="380"/>
              <w:spacing w:after="0"/>
              <w:rPr>
                <w:sz w:val="20"/>
                <w:szCs w:val="20"/>
                <w:color w:val="auto"/>
              </w:rPr>
            </w:pPr>
            <w:r>
              <w:rPr>
                <w:rFonts w:ascii="Arial" w:cs="Arial" w:eastAsia="Arial" w:hAnsi="Arial"/>
                <w:sz w:val="17"/>
                <w:szCs w:val="17"/>
                <w:color w:val="auto"/>
              </w:rPr>
              <w:t>RSUs</w:t>
            </w:r>
          </w:p>
        </w:tc>
        <w:tc>
          <w:tcPr>
            <w:tcW w:w="1860" w:type="dxa"/>
            <w:vAlign w:val="bottom"/>
            <w:tcBorders>
              <w:top w:val="single" w:sz="8" w:color="auto"/>
              <w:bottom w:val="single" w:sz="8" w:color="EAEAEA"/>
            </w:tcBorders>
            <w:shd w:val="clear" w:color="auto" w:fill="EAEAEA"/>
          </w:tcPr>
          <w:p>
            <w:pPr>
              <w:jc w:val="right"/>
              <w:ind w:right="265"/>
              <w:spacing w:after="0"/>
              <w:rPr>
                <w:sz w:val="20"/>
                <w:szCs w:val="20"/>
                <w:color w:val="auto"/>
              </w:rPr>
            </w:pPr>
            <w:r>
              <w:rPr>
                <w:rFonts w:ascii="Arial" w:cs="Arial" w:eastAsia="Arial" w:hAnsi="Arial"/>
                <w:sz w:val="17"/>
                <w:szCs w:val="17"/>
                <w:color w:val="auto"/>
              </w:rPr>
              <w:t>0.13</w:t>
            </w:r>
          </w:p>
        </w:tc>
        <w:tc>
          <w:tcPr>
            <w:tcW w:w="50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jc w:val="right"/>
              <w:ind w:right="264"/>
              <w:spacing w:after="0"/>
              <w:rPr>
                <w:sz w:val="20"/>
                <w:szCs w:val="20"/>
                <w:color w:val="auto"/>
              </w:rPr>
            </w:pPr>
            <w:r>
              <w:rPr>
                <w:rFonts w:ascii="Arial" w:cs="Arial" w:eastAsia="Arial" w:hAnsi="Arial"/>
                <w:sz w:val="17"/>
                <w:szCs w:val="17"/>
                <w:color w:val="auto"/>
              </w:rPr>
              <w:t>2.14</w:t>
            </w:r>
          </w:p>
        </w:tc>
        <w:tc>
          <w:tcPr>
            <w:tcW w:w="2140" w:type="dxa"/>
            <w:vAlign w:val="bottom"/>
            <w:tcBorders>
              <w:top w:val="single" w:sz="8" w:color="auto"/>
              <w:bottom w:val="single" w:sz="8" w:color="EAEAEA"/>
            </w:tcBorders>
            <w:shd w:val="clear" w:color="auto" w:fill="EAEAEA"/>
          </w:tcPr>
          <w:p>
            <w:pPr>
              <w:jc w:val="right"/>
              <w:ind w:right="264"/>
              <w:spacing w:after="0"/>
              <w:rPr>
                <w:sz w:val="20"/>
                <w:szCs w:val="20"/>
                <w:color w:val="auto"/>
              </w:rPr>
            </w:pPr>
            <w:r>
              <w:rPr>
                <w:rFonts w:ascii="Arial" w:cs="Arial" w:eastAsia="Arial" w:hAnsi="Arial"/>
                <w:sz w:val="17"/>
                <w:szCs w:val="17"/>
                <w:color w:val="auto"/>
              </w:rPr>
              <w:t>113.58</w:t>
            </w:r>
          </w:p>
        </w:tc>
        <w:tc>
          <w:tcPr>
            <w:tcW w:w="0" w:type="dxa"/>
            <w:vAlign w:val="bottom"/>
          </w:tcPr>
          <w:p>
            <w:pPr>
              <w:spacing w:after="0"/>
              <w:rPr>
                <w:sz w:val="1"/>
                <w:szCs w:val="1"/>
                <w:color w:val="auto"/>
              </w:rPr>
            </w:pPr>
          </w:p>
        </w:tc>
      </w:tr>
      <w:tr>
        <w:trPr>
          <w:trHeight w:val="20"/>
        </w:trPr>
        <w:tc>
          <w:tcPr>
            <w:tcW w:w="3760" w:type="dxa"/>
            <w:vAlign w:val="bottom"/>
            <w:shd w:val="clear" w:color="auto" w:fill="0066BA"/>
          </w:tcPr>
          <w:p>
            <w:pPr>
              <w:spacing w:after="0" w:line="20" w:lineRule="exact"/>
              <w:rPr>
                <w:sz w:val="1"/>
                <w:szCs w:val="1"/>
                <w:color w:val="auto"/>
              </w:rPr>
            </w:pPr>
          </w:p>
        </w:tc>
        <w:tc>
          <w:tcPr>
            <w:tcW w:w="1040" w:type="dxa"/>
            <w:vAlign w:val="bottom"/>
            <w:shd w:val="clear" w:color="auto" w:fill="0066BA"/>
          </w:tcPr>
          <w:p>
            <w:pPr>
              <w:spacing w:after="0" w:line="20" w:lineRule="exact"/>
              <w:rPr>
                <w:sz w:val="1"/>
                <w:szCs w:val="1"/>
                <w:color w:val="auto"/>
              </w:rPr>
            </w:pPr>
          </w:p>
        </w:tc>
        <w:tc>
          <w:tcPr>
            <w:tcW w:w="1860" w:type="dxa"/>
            <w:vAlign w:val="bottom"/>
            <w:shd w:val="clear" w:color="auto" w:fill="0066BA"/>
          </w:tcPr>
          <w:p>
            <w:pPr>
              <w:spacing w:after="0" w:line="20" w:lineRule="exact"/>
              <w:rPr>
                <w:sz w:val="1"/>
                <w:szCs w:val="1"/>
                <w:color w:val="auto"/>
              </w:rPr>
            </w:pPr>
          </w:p>
        </w:tc>
        <w:tc>
          <w:tcPr>
            <w:tcW w:w="500" w:type="dxa"/>
            <w:vAlign w:val="bottom"/>
            <w:shd w:val="clear" w:color="auto" w:fill="0066BA"/>
          </w:tcPr>
          <w:p>
            <w:pPr>
              <w:spacing w:after="0" w:line="20" w:lineRule="exact"/>
              <w:rPr>
                <w:sz w:val="1"/>
                <w:szCs w:val="1"/>
                <w:color w:val="auto"/>
              </w:rPr>
            </w:pPr>
          </w:p>
        </w:tc>
        <w:tc>
          <w:tcPr>
            <w:tcW w:w="980" w:type="dxa"/>
            <w:vAlign w:val="bottom"/>
            <w:shd w:val="clear" w:color="auto" w:fill="0066BA"/>
          </w:tcPr>
          <w:p>
            <w:pPr>
              <w:spacing w:after="0" w:line="20" w:lineRule="exact"/>
              <w:rPr>
                <w:sz w:val="1"/>
                <w:szCs w:val="1"/>
                <w:color w:val="auto"/>
              </w:rPr>
            </w:pPr>
          </w:p>
        </w:tc>
        <w:tc>
          <w:tcPr>
            <w:tcW w:w="2140" w:type="dxa"/>
            <w:vAlign w:val="bottom"/>
            <w:shd w:val="clear" w:color="auto" w:fill="0066B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80" w:right="280"/>
        <w:spacing w:after="0" w:line="263" w:lineRule="auto"/>
        <w:rPr>
          <w:sz w:val="20"/>
          <w:szCs w:val="20"/>
          <w:color w:val="auto"/>
        </w:rPr>
      </w:pPr>
      <w:r>
        <w:rPr>
          <w:rFonts w:ascii="Arial" w:cs="Arial" w:eastAsia="Arial" w:hAnsi="Arial"/>
          <w:sz w:val="17"/>
          <w:szCs w:val="17"/>
          <w:color w:val="auto"/>
        </w:rPr>
        <w:t>The grant date fair value of RSUs represents the value of our common stock on the date of grant, reduced by the present value of dividends expected to be paid on our common stock prior to vesting. For a more detailed description of the assumptions used for purposes of determining grant date fair value, see Note 3 to the Consolidated Financial Statements and “Management’s Discussion and Analysis of Financial Condition and Results of Operations—Critical Accounting Policies and Estimates—Stock-Based Compensation,” included in our Annual Report on Form 10-K for the year ended October 31, 2020.</w:t>
      </w: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940"/>
          </w:cols>
          <w:pgMar w:left="320" w:top="447" w:right="6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780" w:hanging="305"/>
        <w:spacing w:after="0"/>
        <w:tabs>
          <w:tab w:leader="none" w:pos="7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amount represents payment of medical and dental insurance premiums on behalf of Mr. Stata and his spouse.</w:t>
      </w:r>
    </w:p>
    <w:p>
      <w:pPr>
        <w:spacing w:after="0" w:line="25" w:lineRule="exact"/>
        <w:rPr>
          <w:rFonts w:ascii="Arial" w:cs="Arial" w:eastAsia="Arial" w:hAnsi="Arial"/>
          <w:sz w:val="17"/>
          <w:szCs w:val="17"/>
          <w:color w:val="auto"/>
        </w:rPr>
      </w:pPr>
    </w:p>
    <w:p>
      <w:pPr>
        <w:ind w:left="780" w:right="200" w:hanging="305"/>
        <w:spacing w:after="0" w:line="255" w:lineRule="auto"/>
        <w:tabs>
          <w:tab w:leader="none" w:pos="7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Dr. Glimcher joined the Board on August 18, 2020, and in accordance with our Equity Award Grant Date Policy, was granted a pro rata RSU award for her service from August 18, 2020 through our 2021 annual meeting of shareholders.</w:t>
      </w:r>
    </w:p>
    <w:p>
      <w:pPr>
        <w:ind w:left="780" w:hanging="305"/>
        <w:spacing w:after="0"/>
        <w:tabs>
          <w:tab w:leader="none" w:pos="7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Mr. Novich and Dr. Su served on the Board of Directors until their terms ended on March 11, 2020.</w:t>
      </w:r>
    </w:p>
    <w:p>
      <w:pPr>
        <w:spacing w:after="0" w:line="12" w:lineRule="exact"/>
        <w:rPr>
          <w:rFonts w:ascii="Arial" w:cs="Arial" w:eastAsia="Arial" w:hAnsi="Arial"/>
          <w:sz w:val="17"/>
          <w:szCs w:val="17"/>
          <w:color w:val="auto"/>
        </w:rPr>
      </w:pPr>
    </w:p>
    <w:p>
      <w:pPr>
        <w:ind w:left="780" w:right="340" w:hanging="305"/>
        <w:spacing w:after="0" w:line="271" w:lineRule="auto"/>
        <w:tabs>
          <w:tab w:leader="none" w:pos="7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Dr. Wee joined the Board on November 29, 2019, and in accordance with our Equity Award Grant Date Policy, was granted a pro rata RSU award for her service from November 29, 2019 through our 2020 annual meeting of shareholders.</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also reimburse our directors for travel to Board meetings and other related expenses.</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Stock Ownership Guidelines for Non-Employee Directors</w:t>
      </w:r>
    </w:p>
    <w:p>
      <w:pPr>
        <w:spacing w:after="0" w:line="124" w:lineRule="exact"/>
        <w:rPr>
          <w:sz w:val="20"/>
          <w:szCs w:val="20"/>
          <w:color w:val="auto"/>
        </w:rPr>
      </w:pPr>
    </w:p>
    <w:p>
      <w:pPr>
        <w:ind w:left="480" w:right="40"/>
        <w:spacing w:after="0" w:line="311" w:lineRule="auto"/>
        <w:rPr>
          <w:sz w:val="20"/>
          <w:szCs w:val="20"/>
          <w:color w:val="auto"/>
        </w:rPr>
      </w:pPr>
      <w:r>
        <w:rPr>
          <w:rFonts w:ascii="Arial" w:cs="Arial" w:eastAsia="Arial" w:hAnsi="Arial"/>
          <w:sz w:val="15"/>
          <w:szCs w:val="15"/>
          <w:color w:val="auto"/>
        </w:rPr>
        <w:t>Under our stock ownership guidelines, the target share ownership level for non-employee directors is at least four times the directors’ annual cash retainer. Directors have four years to achieve their targeted level. Shares subject to unexercised options, whether or not vested, and any shares that have been pledged as collateral for a loan will not be counted for purposes of satisfying these guidelines. Unvested RSUs are counted for purposes of satisfying the guidelines. All of our non-employee directors were in compliance with our stock ownership guidelines as of the end of fiscal 2020.</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Equity Award Grant Date Policy for Non-Employee Directors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During fiscal 2020, our Equity Award Grant Date Policy for non-employee directors provided for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172720</wp:posOffset>
            </wp:positionV>
            <wp:extent cx="65424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42405" cy="8255"/>
                    </a:xfrm>
                    <a:prstGeom prst="rect">
                      <a:avLst/>
                    </a:prstGeom>
                    <a:noFill/>
                  </pic:spPr>
                </pic:pic>
              </a:graphicData>
            </a:graphic>
          </wp:anchor>
        </w:drawing>
      </w:r>
    </w:p>
    <w:p>
      <w:pPr>
        <w:sectPr>
          <w:pgSz w:w="11900" w:h="16838" w:orient="portrait"/>
          <w:cols w:equalWidth="0" w:num="1">
            <w:col w:w="10760"/>
          </w:cols>
          <w:pgMar w:left="320" w:top="447" w:right="819" w:bottom="1440" w:gutter="0" w:footer="0" w:header="0"/>
        </w:sectPr>
      </w:pPr>
    </w:p>
    <w:p>
      <w:pPr>
        <w:spacing w:after="0" w:line="364" w:lineRule="exact"/>
        <w:rPr>
          <w:sz w:val="20"/>
          <w:szCs w:val="20"/>
          <w:color w:val="auto"/>
        </w:rPr>
      </w:pPr>
    </w:p>
    <w:p>
      <w:pPr>
        <w:ind w:left="640" w:hanging="165"/>
        <w:spacing w:after="0" w:line="279" w:lineRule="auto"/>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Each newly elected non-employee director elected other than at an annual meeting of shareholders is granted under the 2020 Equity Incentive Plan an RSU award for a number of shares of our common stock approved by the Board of Directors, on the 15th day of the month following the month of the date of initial election as a director, or if Nasdaq is closed on that day, the next succeeding business day that Nasdaq is open.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173" w:hanging="173"/>
        <w:spacing w:after="0" w:line="281" w:lineRule="auto"/>
        <w:tabs>
          <w:tab w:leader="none" w:pos="173"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an annual basis, each non-employee director elected or re-elected at an annual meeting of shareholders is granted under the 2020 Equity Incentive Plan an RSU award for a number of shares of our common stock approved by the Board of Directors, on the date of our annual meeting of shareholders, or if Nasdaq is closed on that day, the next succeeding business day that Nasdaq is open.</w:t>
      </w:r>
    </w:p>
    <w:p>
      <w:pPr>
        <w:spacing w:after="0" w:line="404" w:lineRule="exact"/>
        <w:rPr>
          <w:sz w:val="20"/>
          <w:szCs w:val="20"/>
          <w:color w:val="auto"/>
        </w:rPr>
      </w:pPr>
    </w:p>
    <w:p>
      <w:pPr>
        <w:sectPr>
          <w:pgSz w:w="11900" w:h="16838" w:orient="portrait"/>
          <w:cols w:equalWidth="0" w:num="2">
            <w:col w:w="5320" w:space="407"/>
            <w:col w:w="5033"/>
          </w:cols>
          <w:pgMar w:left="320" w:top="447" w:right="819" w:bottom="1440" w:gutter="0" w:footer="0" w:header="0"/>
          <w:type w:val="continuous"/>
        </w:sectPr>
      </w:pPr>
    </w:p>
    <w:p>
      <w:pPr>
        <w:spacing w:after="0" w:line="20" w:lineRule="exact"/>
        <w:rPr>
          <w:sz w:val="20"/>
          <w:szCs w:val="20"/>
          <w:color w:val="auto"/>
        </w:rPr>
      </w:pPr>
    </w:p>
    <w:p>
      <w:pPr>
        <w:ind w:left="480" w:right="60"/>
        <w:spacing w:after="0" w:line="281" w:lineRule="auto"/>
        <w:rPr>
          <w:sz w:val="20"/>
          <w:szCs w:val="20"/>
          <w:color w:val="auto"/>
        </w:rPr>
      </w:pPr>
      <w:r>
        <w:rPr>
          <w:rFonts w:ascii="Arial" w:cs="Arial" w:eastAsia="Arial" w:hAnsi="Arial"/>
          <w:sz w:val="16"/>
          <w:szCs w:val="16"/>
          <w:color w:val="auto"/>
        </w:rPr>
        <w:t>For fiscal 2020, RSUs granted to our non-employee directors under the 2020 Equity Incentive Plan vest on the earlier of the date of the Annual Meeting and the first anniversary of the date of grant, subject to acceleration as described below. The RSU awards vest in full upon the occurrence of a Change in Control Event (as defined in the 2020 Equity Incentive Plan) or the director’s death. If the director ceases to serve as a director by reason of his or her disability, as determined by the Board of Directors, each outstanding and unvested RSU will vest in full at the time he or she ceases to be a director. In addition, upon the occurrence of a Change in Control Event or in the event of the director’s death, disability or retirement after age 60, each vested option will continue to be exercisable for the balance of its term.</w:t>
      </w:r>
    </w:p>
    <w:p>
      <w:pPr>
        <w:spacing w:after="0" w:line="248"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Certain Relationships and Related Transactions</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Transactions with Related Persons</w:t>
      </w:r>
    </w:p>
    <w:p>
      <w:pPr>
        <w:spacing w:after="0" w:line="124" w:lineRule="exact"/>
        <w:rPr>
          <w:sz w:val="20"/>
          <w:szCs w:val="20"/>
          <w:color w:val="auto"/>
        </w:rPr>
      </w:pPr>
    </w:p>
    <w:p>
      <w:pPr>
        <w:ind w:left="480" w:right="40"/>
        <w:spacing w:after="0" w:line="283" w:lineRule="auto"/>
        <w:rPr>
          <w:sz w:val="20"/>
          <w:szCs w:val="20"/>
          <w:color w:val="auto"/>
        </w:rPr>
      </w:pPr>
      <w:r>
        <w:rPr>
          <w:rFonts w:ascii="Arial" w:cs="Arial" w:eastAsia="Arial" w:hAnsi="Arial"/>
          <w:sz w:val="16"/>
          <w:szCs w:val="16"/>
          <w:color w:val="auto"/>
        </w:rPr>
        <w:t>During fiscal 2020, Mr. Stata, our founder and Chairman of the Board, received a cash retainer for service on the Board of $250,000. Following his retirement as an employee in 2012, the Company agreed to provide medical and dental benefits to Mr. Stata and his spouse during their lifetimes on the same basis as provided to U.S. employees of the Company. The value of those medical and dental benefits in fiscal 2020 was $15,324. On March 11, 2020, we granted 2,210 RSUs to Mr. Stata. This award is identical to the award granted to our other non-employee directors on March 11, 2020 and vests on the earlier of the date of the Annual Meeting or the first anniversary of the grant date.</w:t>
      </w:r>
    </w:p>
    <w:p>
      <w:pPr>
        <w:spacing w:after="0" w:line="60" w:lineRule="exact"/>
        <w:rPr>
          <w:sz w:val="20"/>
          <w:szCs w:val="20"/>
          <w:color w:val="auto"/>
        </w:rPr>
      </w:pPr>
    </w:p>
    <w:p>
      <w:pPr>
        <w:ind w:left="480" w:right="660"/>
        <w:spacing w:after="0" w:line="270" w:lineRule="auto"/>
        <w:rPr>
          <w:sz w:val="20"/>
          <w:szCs w:val="20"/>
          <w:color w:val="auto"/>
        </w:rPr>
      </w:pPr>
      <w:r>
        <w:rPr>
          <w:rFonts w:ascii="Arial" w:cs="Arial" w:eastAsia="Arial" w:hAnsi="Arial"/>
          <w:sz w:val="17"/>
          <w:szCs w:val="17"/>
          <w:color w:val="auto"/>
        </w:rPr>
        <w:t>The Company contributes annually to Massachusetts Institute of Technology (MIT) to fund university research projects. In fiscal 2020, the Company made approximately $1.6 million in total contributions to MIT of which $120,000 funded a graduate student working in Dr. Chandrakasan’s laboratory.</w:t>
      </w:r>
    </w:p>
    <w:p>
      <w:pPr>
        <w:spacing w:after="0" w:line="200" w:lineRule="exact"/>
        <w:rPr>
          <w:sz w:val="20"/>
          <w:szCs w:val="20"/>
          <w:color w:val="auto"/>
        </w:rPr>
      </w:pPr>
    </w:p>
    <w:p>
      <w:pPr>
        <w:spacing w:after="0" w:line="29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760"/>
          </w:cols>
          <w:pgMar w:left="320" w:top="447" w:right="819" w:bottom="1440" w:gutter="0" w:footer="0" w:header="0"/>
          <w:type w:val="continuous"/>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Policies and Procedures for Related Person Transactions</w:t>
      </w:r>
    </w:p>
    <w:p>
      <w:pPr>
        <w:spacing w:after="0" w:line="124" w:lineRule="exact"/>
        <w:rPr>
          <w:sz w:val="20"/>
          <w:szCs w:val="20"/>
          <w:color w:val="auto"/>
        </w:rPr>
      </w:pPr>
    </w:p>
    <w:p>
      <w:pPr>
        <w:jc w:val="both"/>
        <w:ind w:left="480" w:right="260"/>
        <w:spacing w:after="0" w:line="295" w:lineRule="auto"/>
        <w:rPr>
          <w:sz w:val="20"/>
          <w:szCs w:val="20"/>
          <w:color w:val="auto"/>
        </w:rPr>
      </w:pPr>
      <w:r>
        <w:rPr>
          <w:rFonts w:ascii="Arial" w:cs="Arial" w:eastAsia="Arial" w:hAnsi="Arial"/>
          <w:sz w:val="16"/>
          <w:szCs w:val="16"/>
          <w:color w:val="auto"/>
        </w:rPr>
        <w:t>Our Board of Directors has adopted written policies and procedures for the review of any transaction, arrangement or relationship in which Analog Devices is a participant, the amount involved exceeds $120,000, and one of our executive officers, directors, director nominees or 5% shareholders (or their immediate family members), each of whom we refer to as a “related person” has a direct or indirect material interest.</w:t>
      </w:r>
    </w:p>
    <w:p>
      <w:pPr>
        <w:spacing w:after="0" w:line="50" w:lineRule="exact"/>
        <w:rPr>
          <w:sz w:val="20"/>
          <w:szCs w:val="20"/>
          <w:color w:val="auto"/>
        </w:rPr>
      </w:pPr>
    </w:p>
    <w:p>
      <w:pPr>
        <w:ind w:left="480" w:right="280"/>
        <w:spacing w:after="0" w:line="277" w:lineRule="auto"/>
        <w:rPr>
          <w:sz w:val="20"/>
          <w:szCs w:val="20"/>
          <w:color w:val="auto"/>
        </w:rPr>
      </w:pPr>
      <w:r>
        <w:rPr>
          <w:rFonts w:ascii="Arial" w:cs="Arial" w:eastAsia="Arial" w:hAnsi="Arial"/>
          <w:sz w:val="16"/>
          <w:szCs w:val="16"/>
          <w:color w:val="auto"/>
        </w:rPr>
        <w:t>If a related person proposes to enter into such a transaction, arrangement or relationship, which we refer to as a “related person transaction,” the related person must report the proposed related person transaction to our Chief Legal Officer. The policy calls for the proposed related person transaction to be reviewed and, if deemed appropriate, approved by the Nominating and Corporate Governance Committee. Whenever practicable, the reporting, review and approval will occur prior to entry into the transaction. If our Chief Legal Officer determines that advance review and approval is not practicable, the Nominating and Corporate Governance Committee will review, and, in its discretion, may ratify the related person transaction at the next meeting of the Nominating and Corporate Governance Committee. The policy also permits the Chairman of the Nominating and Corporate Governance Committee to review and, if deemed appropriate, approve proposed related person transactions that arise between committee meetings, subject to ratification by the Nominating and Corporate Governance Committee at its next meeting. Any related person transactions that are ongoing in nature will be reviewed annually.</w:t>
      </w:r>
    </w:p>
    <w:p>
      <w:pPr>
        <w:spacing w:after="0" w:line="66" w:lineRule="exact"/>
        <w:rPr>
          <w:sz w:val="20"/>
          <w:szCs w:val="20"/>
          <w:color w:val="auto"/>
        </w:rPr>
      </w:pPr>
    </w:p>
    <w:p>
      <w:pPr>
        <w:ind w:left="480" w:right="240"/>
        <w:spacing w:after="0" w:line="270" w:lineRule="auto"/>
        <w:rPr>
          <w:sz w:val="20"/>
          <w:szCs w:val="20"/>
          <w:color w:val="auto"/>
        </w:rPr>
      </w:pPr>
      <w:r>
        <w:rPr>
          <w:rFonts w:ascii="Arial" w:cs="Arial" w:eastAsia="Arial" w:hAnsi="Arial"/>
          <w:sz w:val="17"/>
          <w:szCs w:val="17"/>
          <w:color w:val="auto"/>
        </w:rPr>
        <w:t>A related person transaction reviewed under the policy will be considered approved or ratified if it is authorized by the Nominating and Corporate Governance Committee after full disclosure of the related person’s interest in the transaction. As appropriate for the circumstances, the Nominating and Corporate Governance Committee will review and consider: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142240</wp:posOffset>
            </wp:positionV>
            <wp:extent cx="65424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42405" cy="8255"/>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sectPr>
      </w:pPr>
    </w:p>
    <w:p>
      <w:pPr>
        <w:spacing w:after="0" w:line="316" w:lineRule="exact"/>
        <w:rPr>
          <w:sz w:val="20"/>
          <w:szCs w:val="20"/>
          <w:color w:val="auto"/>
        </w:rPr>
      </w:pPr>
    </w:p>
    <w:p>
      <w:pPr>
        <w:ind w:left="640" w:hanging="165"/>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related person’s interest in the related person transaction;</w:t>
      </w:r>
    </w:p>
    <w:p>
      <w:pPr>
        <w:spacing w:after="0" w:line="77" w:lineRule="exact"/>
        <w:rPr>
          <w:rFonts w:ascii="Arial" w:cs="Arial" w:eastAsia="Arial" w:hAnsi="Arial"/>
          <w:sz w:val="17"/>
          <w:szCs w:val="17"/>
          <w:color w:val="auto"/>
        </w:rPr>
      </w:pPr>
    </w:p>
    <w:p>
      <w:pPr>
        <w:ind w:left="640" w:right="120" w:hanging="165"/>
        <w:spacing w:after="0" w:line="286"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approximate dollar value of the amount involved in the related person transaction;</w:t>
      </w:r>
    </w:p>
    <w:p>
      <w:pPr>
        <w:spacing w:after="0" w:line="15" w:lineRule="exact"/>
        <w:rPr>
          <w:rFonts w:ascii="Arial" w:cs="Arial" w:eastAsia="Arial" w:hAnsi="Arial"/>
          <w:sz w:val="17"/>
          <w:szCs w:val="17"/>
          <w:color w:val="auto"/>
        </w:rPr>
      </w:pPr>
    </w:p>
    <w:p>
      <w:pPr>
        <w:ind w:left="640" w:hanging="165"/>
        <w:spacing w:after="0" w:line="270"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approximate dollar value of the amount of the related person’s interest in the transaction without regard to the amount of any profit or loss;</w:t>
      </w:r>
    </w:p>
    <w:p>
      <w:pPr>
        <w:spacing w:after="0" w:line="29" w:lineRule="exact"/>
        <w:rPr>
          <w:rFonts w:ascii="Arial" w:cs="Arial" w:eastAsia="Arial" w:hAnsi="Arial"/>
          <w:sz w:val="17"/>
          <w:szCs w:val="17"/>
          <w:color w:val="auto"/>
        </w:rPr>
      </w:pPr>
    </w:p>
    <w:p>
      <w:pPr>
        <w:ind w:left="640" w:right="220" w:hanging="165"/>
        <w:spacing w:after="0" w:line="286"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whether the transaction was undertaken in the ordinary course of our business;</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left="173" w:right="280" w:hanging="173"/>
        <w:spacing w:after="0" w:line="334" w:lineRule="auto"/>
        <w:tabs>
          <w:tab w:leader="none" w:pos="173" w:val="left"/>
        </w:tabs>
        <w:numPr>
          <w:ilvl w:val="0"/>
          <w:numId w:val="34"/>
        </w:numPr>
        <w:rPr>
          <w:rFonts w:ascii="Arial" w:cs="Arial" w:eastAsia="Arial" w:hAnsi="Arial"/>
          <w:sz w:val="15"/>
          <w:szCs w:val="15"/>
          <w:color w:val="auto"/>
        </w:rPr>
      </w:pPr>
      <w:r>
        <w:rPr>
          <w:rFonts w:ascii="Arial" w:cs="Arial" w:eastAsia="Arial" w:hAnsi="Arial"/>
          <w:sz w:val="15"/>
          <w:szCs w:val="15"/>
          <w:color w:val="auto"/>
        </w:rPr>
        <w:t>whether the terms of the transaction are no less favorable to us than the terms that could have been reached with an unrelated third party;</w:t>
      </w:r>
    </w:p>
    <w:p>
      <w:pPr>
        <w:spacing w:after="0" w:line="1" w:lineRule="exact"/>
        <w:rPr>
          <w:rFonts w:ascii="Arial" w:cs="Arial" w:eastAsia="Arial" w:hAnsi="Arial"/>
          <w:sz w:val="15"/>
          <w:szCs w:val="15"/>
          <w:color w:val="auto"/>
        </w:rPr>
      </w:pPr>
    </w:p>
    <w:p>
      <w:pPr>
        <w:ind w:left="173" w:hanging="173"/>
        <w:spacing w:after="0"/>
        <w:tabs>
          <w:tab w:leader="none" w:pos="173"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purpose of, and the potential benefits to us of, the transaction; and</w:t>
      </w:r>
    </w:p>
    <w:p>
      <w:pPr>
        <w:spacing w:after="0" w:line="100" w:lineRule="exact"/>
        <w:rPr>
          <w:rFonts w:ascii="Arial" w:cs="Arial" w:eastAsia="Arial" w:hAnsi="Arial"/>
          <w:sz w:val="15"/>
          <w:szCs w:val="15"/>
          <w:color w:val="auto"/>
        </w:rPr>
      </w:pPr>
    </w:p>
    <w:p>
      <w:pPr>
        <w:ind w:left="173" w:right="260" w:hanging="173"/>
        <w:spacing w:after="0" w:line="265" w:lineRule="auto"/>
        <w:tabs>
          <w:tab w:leader="none" w:pos="173"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492" w:lineRule="exact"/>
        <w:rPr>
          <w:sz w:val="20"/>
          <w:szCs w:val="20"/>
          <w:color w:val="auto"/>
        </w:rPr>
      </w:pPr>
    </w:p>
    <w:p>
      <w:pPr>
        <w:sectPr>
          <w:pgSz w:w="11900" w:h="16838" w:orient="portrait"/>
          <w:cols w:equalWidth="0" w:num="2">
            <w:col w:w="5360" w:space="367"/>
            <w:col w:w="5213"/>
          </w:cols>
          <w:pgMar w:left="320" w:top="447" w:right="639" w:bottom="1440" w:gutter="0" w:footer="0" w:header="0"/>
          <w:type w:val="continuous"/>
        </w:sectPr>
      </w:pPr>
    </w:p>
    <w:p>
      <w:pPr>
        <w:spacing w:after="0" w:line="11" w:lineRule="exact"/>
        <w:rPr>
          <w:sz w:val="20"/>
          <w:szCs w:val="20"/>
          <w:color w:val="auto"/>
        </w:rPr>
      </w:pPr>
    </w:p>
    <w:p>
      <w:pPr>
        <w:ind w:left="480" w:right="440"/>
        <w:spacing w:after="0" w:line="265" w:lineRule="auto"/>
        <w:rPr>
          <w:sz w:val="20"/>
          <w:szCs w:val="20"/>
          <w:color w:val="auto"/>
        </w:rPr>
      </w:pPr>
      <w:r>
        <w:rPr>
          <w:rFonts w:ascii="Arial" w:cs="Arial" w:eastAsia="Arial" w:hAnsi="Arial"/>
          <w:sz w:val="17"/>
          <w:szCs w:val="17"/>
          <w:color w:val="auto"/>
        </w:rPr>
        <w:t>The Nominating and Corporate Governance Committee may approve or ratify the transaction only if the Nominating and Corporate Governance Committee determines that, under all of the circumstances, the transaction is in Analog Devices’ best interests. The Nominating and Corporate Governance Committee may, in its sole discretion, impose any conditions on us or the related person in connection with approval of the related person transaction.</w:t>
      </w:r>
    </w:p>
    <w:p>
      <w:pPr>
        <w:spacing w:after="0" w:line="73" w:lineRule="exact"/>
        <w:rPr>
          <w:sz w:val="20"/>
          <w:szCs w:val="20"/>
          <w:color w:val="auto"/>
        </w:rPr>
      </w:pPr>
    </w:p>
    <w:p>
      <w:pPr>
        <w:ind w:left="480" w:right="300"/>
        <w:spacing w:after="0" w:line="270" w:lineRule="auto"/>
        <w:rPr>
          <w:sz w:val="20"/>
          <w:szCs w:val="20"/>
          <w:color w:val="auto"/>
        </w:rPr>
      </w:pPr>
      <w:r>
        <w:rPr>
          <w:rFonts w:ascii="Arial" w:cs="Arial" w:eastAsia="Arial" w:hAnsi="Arial"/>
          <w:sz w:val="17"/>
          <w:szCs w:val="17"/>
          <w:color w:val="auto"/>
        </w:rPr>
        <w:t>In addition to the transactions that are excluded by the instructions to the SEC’s related person transaction disclosure rule, the Board of Directors has determined that the following transactions do not create a material direct or indirect interest on behalf of related persons and, therefore, are not related person transactions for purposes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142240</wp:posOffset>
            </wp:positionV>
            <wp:extent cx="654240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542405" cy="8255"/>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type w:val="continuous"/>
        </w:sectPr>
      </w:pPr>
    </w:p>
    <w:p>
      <w:pPr>
        <w:spacing w:after="0" w:line="303" w:lineRule="exact"/>
        <w:rPr>
          <w:sz w:val="20"/>
          <w:szCs w:val="20"/>
          <w:color w:val="auto"/>
        </w:rPr>
      </w:pPr>
    </w:p>
    <w:p>
      <w:pPr>
        <w:ind w:left="640" w:right="40" w:hanging="165"/>
        <w:spacing w:after="0" w:line="295" w:lineRule="auto"/>
        <w:tabs>
          <w:tab w:leader="none" w:pos="6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interests arising solely from the related person’s position as an executive officer of another entity (whether or not the person is also a director of that entity), that is a participant in a transaction, where</w:t>
      </w:r>
    </w:p>
    <w:p>
      <w:pPr>
        <w:ind w:left="640"/>
        <w:spacing w:after="0" w:line="260" w:lineRule="auto"/>
        <w:rPr>
          <w:rFonts w:ascii="Arial" w:cs="Arial" w:eastAsia="Arial" w:hAnsi="Arial"/>
          <w:sz w:val="15"/>
          <w:szCs w:val="15"/>
          <w:color w:val="auto"/>
        </w:rPr>
      </w:pPr>
      <w:r>
        <w:rPr>
          <w:rFonts w:ascii="Arial" w:cs="Arial" w:eastAsia="Arial" w:hAnsi="Arial"/>
          <w:sz w:val="17"/>
          <w:szCs w:val="17"/>
          <w:color w:val="auto"/>
        </w:rPr>
        <w:t>(a) the related person and all other related persons own in the aggregate less than a 10% equity interest in the entity, (b) the related person and his or her immediate family members are not involved in the</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173" w:right="220"/>
        <w:spacing w:after="0" w:line="263" w:lineRule="auto"/>
        <w:rPr>
          <w:sz w:val="20"/>
          <w:szCs w:val="20"/>
          <w:color w:val="auto"/>
        </w:rPr>
      </w:pPr>
      <w:r>
        <w:rPr>
          <w:rFonts w:ascii="Arial" w:cs="Arial" w:eastAsia="Arial" w:hAnsi="Arial"/>
          <w:sz w:val="17"/>
          <w:szCs w:val="17"/>
          <w:color w:val="auto"/>
        </w:rPr>
        <w:t>negotiation of the terms of the transaction and do not receive any special benefits as a result of the transaction, and (c) the amount involved in the transaction equals less than the greater of $200,000 or 5% of the annual gross revenues of the company receiving payment under the transaction; or</w:t>
      </w:r>
    </w:p>
    <w:p>
      <w:pPr>
        <w:spacing w:after="0" w:line="35" w:lineRule="exact"/>
        <w:rPr>
          <w:sz w:val="20"/>
          <w:szCs w:val="20"/>
          <w:color w:val="auto"/>
        </w:rPr>
      </w:pPr>
    </w:p>
    <w:p>
      <w:pPr>
        <w:ind w:left="173" w:right="420" w:hanging="173"/>
        <w:spacing w:after="0" w:line="286" w:lineRule="auto"/>
        <w:tabs>
          <w:tab w:leader="none" w:pos="173"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transactions that are specifically contemplated by provisions of Analog Devices’ charter or bylaws.</w:t>
      </w:r>
    </w:p>
    <w:p>
      <w:pPr>
        <w:spacing w:after="0" w:line="200" w:lineRule="exact"/>
        <w:rPr>
          <w:sz w:val="20"/>
          <w:szCs w:val="20"/>
          <w:color w:val="auto"/>
        </w:rPr>
      </w:pPr>
    </w:p>
    <w:p>
      <w:pPr>
        <w:sectPr>
          <w:pgSz w:w="11900" w:h="16838" w:orient="portrait"/>
          <w:cols w:equalWidth="0" w:num="2">
            <w:col w:w="5400" w:space="327"/>
            <w:col w:w="5213"/>
          </w:cols>
          <w:pgMar w:left="320" w:top="447" w:right="639" w:bottom="1440" w:gutter="0" w:footer="0" w:header="0"/>
          <w:type w:val="continuous"/>
        </w:sectPr>
      </w:pPr>
    </w:p>
    <w:p>
      <w:pPr>
        <w:spacing w:after="0" w:line="11" w:lineRule="exact"/>
        <w:rPr>
          <w:sz w:val="20"/>
          <w:szCs w:val="20"/>
          <w:color w:val="auto"/>
        </w:rPr>
      </w:pPr>
    </w:p>
    <w:p>
      <w:pPr>
        <w:ind w:left="480" w:right="720"/>
        <w:spacing w:after="0" w:line="286" w:lineRule="auto"/>
        <w:rPr>
          <w:sz w:val="20"/>
          <w:szCs w:val="20"/>
          <w:color w:val="auto"/>
        </w:rPr>
      </w:pPr>
      <w:r>
        <w:rPr>
          <w:rFonts w:ascii="Arial" w:cs="Arial" w:eastAsia="Arial" w:hAnsi="Arial"/>
          <w:sz w:val="17"/>
          <w:szCs w:val="17"/>
          <w:color w:val="auto"/>
        </w:rPr>
        <w:t>The policy provides that the transactions involving compensation of executive officers shall be reviewed and approved by the Compensation Committee in the manner specified in its charter.</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940"/>
          </w:cols>
          <w:pgMar w:left="320" w:top="447" w:right="639" w:bottom="1440" w:gutter="0" w:footer="0" w:header="0"/>
          <w:type w:val="continuous"/>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480" w:type="dxa"/>
        <w:tblCellMar>
          <w:top w:w="0" w:type="dxa"/>
          <w:left w:w="0" w:type="dxa"/>
          <w:bottom w:w="0" w:type="dxa"/>
          <w:right w:w="0" w:type="dxa"/>
        </w:tblCellMar>
      </w:tblPr>
      <w:tr>
        <w:trPr>
          <w:trHeight w:val="1516"/>
        </w:trPr>
        <w:tc>
          <w:tcPr>
            <w:tcW w:w="1500" w:type="dxa"/>
            <w:vAlign w:val="bottom"/>
            <w:vMerge w:val="restart"/>
          </w:tcPr>
          <w:p>
            <w:pPr>
              <w:spacing w:after="0"/>
              <w:rPr>
                <w:sz w:val="20"/>
                <w:szCs w:val="20"/>
                <w:color w:val="auto"/>
              </w:rPr>
            </w:pPr>
            <w:r>
              <w:rPr>
                <w:rFonts w:ascii="Arial" w:cs="Arial" w:eastAsia="Arial" w:hAnsi="Arial"/>
                <w:sz w:val="191"/>
                <w:szCs w:val="191"/>
                <w:color w:val="0066BA"/>
              </w:rPr>
              <w:t>u</w:t>
            </w:r>
          </w:p>
        </w:tc>
        <w:tc>
          <w:tcPr>
            <w:tcW w:w="7680" w:type="dxa"/>
            <w:vAlign w:val="bottom"/>
          </w:tcPr>
          <w:p>
            <w:pPr>
              <w:ind w:left="560"/>
              <w:spacing w:after="0"/>
              <w:rPr>
                <w:sz w:val="20"/>
                <w:szCs w:val="20"/>
                <w:color w:val="auto"/>
              </w:rPr>
            </w:pPr>
            <w:r>
              <w:rPr>
                <w:rFonts w:ascii="Arial" w:cs="Arial" w:eastAsia="Arial" w:hAnsi="Arial"/>
                <w:sz w:val="55"/>
                <w:szCs w:val="55"/>
                <w:color w:val="0066BA"/>
              </w:rPr>
              <w:t>Proposal 2</w:t>
            </w:r>
          </w:p>
        </w:tc>
        <w:tc>
          <w:tcPr>
            <w:tcW w:w="0" w:type="dxa"/>
            <w:vAlign w:val="bottom"/>
          </w:tcPr>
          <w:p>
            <w:pPr>
              <w:spacing w:after="0"/>
              <w:rPr>
                <w:sz w:val="1"/>
                <w:szCs w:val="1"/>
                <w:color w:val="auto"/>
              </w:rPr>
            </w:pPr>
          </w:p>
        </w:tc>
      </w:tr>
      <w:tr>
        <w:trPr>
          <w:trHeight w:val="703"/>
        </w:trPr>
        <w:tc>
          <w:tcPr>
            <w:tcW w:w="1500" w:type="dxa"/>
            <w:vAlign w:val="bottom"/>
            <w:vMerge w:val="continue"/>
          </w:tcPr>
          <w:p>
            <w:pPr>
              <w:spacing w:after="0"/>
              <w:rPr>
                <w:sz w:val="24"/>
                <w:szCs w:val="24"/>
                <w:color w:val="auto"/>
              </w:rPr>
            </w:pPr>
          </w:p>
        </w:tc>
        <w:tc>
          <w:tcPr>
            <w:tcW w:w="7680" w:type="dxa"/>
            <w:vAlign w:val="bottom"/>
          </w:tcPr>
          <w:p>
            <w:pPr>
              <w:ind w:left="560"/>
              <w:spacing w:after="0"/>
              <w:rPr>
                <w:sz w:val="20"/>
                <w:szCs w:val="20"/>
                <w:color w:val="auto"/>
              </w:rPr>
            </w:pPr>
            <w:r>
              <w:rPr>
                <w:rFonts w:ascii="Arial" w:cs="Arial" w:eastAsia="Arial" w:hAnsi="Arial"/>
                <w:sz w:val="55"/>
                <w:szCs w:val="55"/>
                <w:color w:val="auto"/>
              </w:rPr>
              <w:t>Advisory Vote on the</w:t>
            </w:r>
          </w:p>
        </w:tc>
        <w:tc>
          <w:tcPr>
            <w:tcW w:w="0" w:type="dxa"/>
            <w:vAlign w:val="bottom"/>
          </w:tcPr>
          <w:p>
            <w:pPr>
              <w:spacing w:after="0"/>
              <w:rPr>
                <w:sz w:val="1"/>
                <w:szCs w:val="1"/>
                <w:color w:val="auto"/>
              </w:rPr>
            </w:pPr>
          </w:p>
        </w:tc>
      </w:tr>
      <w:tr>
        <w:trPr>
          <w:trHeight w:val="624"/>
        </w:trPr>
        <w:tc>
          <w:tcPr>
            <w:tcW w:w="1500" w:type="dxa"/>
            <w:vAlign w:val="bottom"/>
          </w:tcPr>
          <w:p>
            <w:pPr>
              <w:spacing w:after="0"/>
              <w:rPr>
                <w:sz w:val="24"/>
                <w:szCs w:val="24"/>
                <w:color w:val="auto"/>
              </w:rPr>
            </w:pPr>
          </w:p>
        </w:tc>
        <w:tc>
          <w:tcPr>
            <w:tcW w:w="7680" w:type="dxa"/>
            <w:vAlign w:val="bottom"/>
          </w:tcPr>
          <w:p>
            <w:pPr>
              <w:ind w:left="560"/>
              <w:spacing w:after="0" w:line="622" w:lineRule="exact"/>
              <w:rPr>
                <w:sz w:val="20"/>
                <w:szCs w:val="20"/>
                <w:color w:val="auto"/>
              </w:rPr>
            </w:pPr>
            <w:r>
              <w:rPr>
                <w:rFonts w:ascii="Arial" w:cs="Arial" w:eastAsia="Arial" w:hAnsi="Arial"/>
                <w:sz w:val="55"/>
                <w:szCs w:val="55"/>
                <w:color w:val="auto"/>
                <w:w w:val="99"/>
              </w:rPr>
              <w:t>Compensation of Our Named</w:t>
            </w:r>
          </w:p>
        </w:tc>
        <w:tc>
          <w:tcPr>
            <w:tcW w:w="0" w:type="dxa"/>
            <w:vAlign w:val="bottom"/>
          </w:tcPr>
          <w:p>
            <w:pPr>
              <w:spacing w:after="0"/>
              <w:rPr>
                <w:sz w:val="1"/>
                <w:szCs w:val="1"/>
                <w:color w:val="auto"/>
              </w:rPr>
            </w:pPr>
          </w:p>
        </w:tc>
      </w:tr>
      <w:tr>
        <w:trPr>
          <w:trHeight w:val="660"/>
        </w:trPr>
        <w:tc>
          <w:tcPr>
            <w:tcW w:w="1500" w:type="dxa"/>
            <w:vAlign w:val="bottom"/>
          </w:tcPr>
          <w:p>
            <w:pPr>
              <w:spacing w:after="0"/>
              <w:rPr>
                <w:sz w:val="24"/>
                <w:szCs w:val="24"/>
                <w:color w:val="auto"/>
              </w:rPr>
            </w:pPr>
          </w:p>
        </w:tc>
        <w:tc>
          <w:tcPr>
            <w:tcW w:w="7680" w:type="dxa"/>
            <w:vAlign w:val="bottom"/>
          </w:tcPr>
          <w:p>
            <w:pPr>
              <w:ind w:left="560"/>
              <w:spacing w:after="0"/>
              <w:rPr>
                <w:sz w:val="20"/>
                <w:szCs w:val="20"/>
                <w:color w:val="auto"/>
              </w:rPr>
            </w:pPr>
            <w:r>
              <w:rPr>
                <w:rFonts w:ascii="Arial" w:cs="Arial" w:eastAsia="Arial" w:hAnsi="Arial"/>
                <w:sz w:val="55"/>
                <w:szCs w:val="55"/>
                <w:color w:val="auto"/>
              </w:rPr>
              <w:t>Executive Officers</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480" w:right="160"/>
        <w:spacing w:after="0" w:line="246" w:lineRule="auto"/>
        <w:rPr>
          <w:sz w:val="20"/>
          <w:szCs w:val="20"/>
          <w:color w:val="auto"/>
        </w:rPr>
      </w:pPr>
      <w:r>
        <w:rPr>
          <w:rFonts w:ascii="Arial" w:cs="Arial" w:eastAsia="Arial" w:hAnsi="Arial"/>
          <w:sz w:val="28"/>
          <w:szCs w:val="28"/>
          <w:color w:val="0066BA"/>
        </w:rPr>
        <w:t xml:space="preserve">Our Board of Directors unanimously recommends that you vote </w:t>
      </w:r>
      <w:r>
        <w:rPr>
          <w:sz w:val="1"/>
          <w:szCs w:val="1"/>
          <w:color w:val="auto"/>
        </w:rPr>
        <w:drawing>
          <wp:inline distT="0" distB="0" distL="0" distR="0">
            <wp:extent cx="165100" cy="14033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65100" cy="140335"/>
                    </a:xfrm>
                    <a:prstGeom prst="rect">
                      <a:avLst/>
                    </a:prstGeom>
                    <a:noFill/>
                    <a:ln>
                      <a:noFill/>
                    </a:ln>
                  </pic:spPr>
                </pic:pic>
              </a:graphicData>
            </a:graphic>
          </wp:inline>
        </w:drawing>
      </w:r>
      <w:r>
        <w:rPr>
          <w:rFonts w:ascii="Arial" w:cs="Arial" w:eastAsia="Arial" w:hAnsi="Arial"/>
          <w:sz w:val="28"/>
          <w:szCs w:val="28"/>
          <w:color w:val="FFFFFF"/>
          <w:shd w:val="clear" w:color="auto" w:fill="0066BA"/>
        </w:rPr>
        <w:t xml:space="preserve"> FOR </w:t>
      </w:r>
      <w:r>
        <w:rPr>
          <w:rFonts w:ascii="Arial" w:cs="Arial" w:eastAsia="Arial" w:hAnsi="Arial"/>
          <w:sz w:val="28"/>
          <w:szCs w:val="28"/>
          <w:color w:val="0066BA"/>
        </w:rPr>
        <w:t>approval</w:t>
      </w:r>
      <w:r>
        <w:rPr>
          <w:rFonts w:ascii="Arial" w:cs="Arial" w:eastAsia="Arial" w:hAnsi="Arial"/>
          <w:sz w:val="28"/>
          <w:szCs w:val="28"/>
          <w:color w:val="FFFFFF"/>
          <w:shd w:val="clear" w:color="auto" w:fill="0066BA"/>
        </w:rPr>
        <w:t xml:space="preserve"> </w:t>
      </w:r>
      <w:r>
        <w:rPr>
          <w:rFonts w:ascii="Arial" w:cs="Arial" w:eastAsia="Arial" w:hAnsi="Arial"/>
          <w:sz w:val="28"/>
          <w:szCs w:val="28"/>
          <w:color w:val="0066BA"/>
        </w:rPr>
        <w:t>of the compensation of our named executive officers as disclosed in this proxy statement.</w:t>
      </w:r>
    </w:p>
    <w:p>
      <w:pPr>
        <w:spacing w:after="0" w:line="81" w:lineRule="exact"/>
        <w:rPr>
          <w:sz w:val="20"/>
          <w:szCs w:val="20"/>
          <w:color w:val="auto"/>
        </w:rPr>
      </w:pPr>
    </w:p>
    <w:p>
      <w:pPr>
        <w:jc w:val="both"/>
        <w:ind w:left="480" w:right="140"/>
        <w:spacing w:after="0" w:line="283" w:lineRule="auto"/>
        <w:rPr>
          <w:sz w:val="20"/>
          <w:szCs w:val="20"/>
          <w:color w:val="auto"/>
        </w:rPr>
      </w:pPr>
      <w:r>
        <w:rPr>
          <w:rFonts w:ascii="Arial" w:cs="Arial" w:eastAsia="Arial" w:hAnsi="Arial"/>
          <w:sz w:val="16"/>
          <w:szCs w:val="16"/>
          <w:color w:val="auto"/>
        </w:rPr>
        <w:t>We are requesting shareholder approval of the compensation of the executive officers named in our Summary Compensation Table below, who we refer to as our “named executive officers” or “NEOs.” We are required to provide our shareholders with the opportunity to vote to approve, on an advisory (non-binding) basis, the compensation of our NEOs as disclosed in this proxy statement in accordance with the SEC’s rules. At the 2017 annual meeting of shareholders, our shareholders voted in favor of holding future “say on pay” votes every year. In accordance with the results of that vote, our Board of Directors determined to submit “say on pay” proposals to our shareholders every year.</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Board of Directors is asking shareholders to approve the following non-binding advisory resolution:</w:t>
      </w:r>
    </w:p>
    <w:p>
      <w:pPr>
        <w:spacing w:after="0" w:line="111" w:lineRule="exact"/>
        <w:rPr>
          <w:sz w:val="20"/>
          <w:szCs w:val="20"/>
          <w:color w:val="auto"/>
        </w:rPr>
      </w:pPr>
    </w:p>
    <w:p>
      <w:pPr>
        <w:ind w:left="480" w:right="300"/>
        <w:spacing w:after="0" w:line="274" w:lineRule="auto"/>
        <w:rPr>
          <w:sz w:val="20"/>
          <w:szCs w:val="20"/>
          <w:color w:val="auto"/>
        </w:rPr>
      </w:pPr>
      <w:r>
        <w:rPr>
          <w:rFonts w:ascii="Arial" w:cs="Arial" w:eastAsia="Arial" w:hAnsi="Arial"/>
          <w:sz w:val="17"/>
          <w:szCs w:val="17"/>
          <w:b w:val="1"/>
          <w:bCs w:val="1"/>
          <w:color w:val="auto"/>
        </w:rPr>
        <w:t>RESOLVED, that the compensation paid to the Company’s NEOs, as disclosed pursuant to Item 402 of Regulation S-K, including the Compensation Discussion and Analysis, compensation tables and accompanying narrative disclosures in this proxy statement, is hereby approved.</w:t>
      </w:r>
    </w:p>
    <w:p>
      <w:pPr>
        <w:spacing w:after="0" w:line="65" w:lineRule="exact"/>
        <w:rPr>
          <w:sz w:val="20"/>
          <w:szCs w:val="20"/>
          <w:color w:val="auto"/>
        </w:rPr>
      </w:pPr>
    </w:p>
    <w:p>
      <w:pPr>
        <w:ind w:left="480" w:right="100"/>
        <w:spacing w:after="0" w:line="263" w:lineRule="auto"/>
        <w:rPr>
          <w:sz w:val="20"/>
          <w:szCs w:val="20"/>
          <w:color w:val="auto"/>
        </w:rPr>
      </w:pPr>
      <w:r>
        <w:rPr>
          <w:rFonts w:ascii="Arial" w:cs="Arial" w:eastAsia="Arial" w:hAnsi="Arial"/>
          <w:sz w:val="17"/>
          <w:szCs w:val="17"/>
          <w:color w:val="auto"/>
        </w:rPr>
        <w:t>As required by the Dodd-Frank Act, this is an advisory vote, which means that this proposal is not binding on us. Our Compensation Committee, however, values the opinions expressed by our shareholders and will carefully consider the outcome of the vote when making future compensation decisions for our NEOs. You may vote for, against or abstain from voting on this matter. At our 2020 annual meeting of shareholders, our compensation program for our NEOs received the support of 95.9% of the total votes cast. In light of the support received, our Compensation Committee did not make significant changes to our executive compensation program.</w:t>
      </w:r>
    </w:p>
    <w:p>
      <w:pPr>
        <w:spacing w:after="0" w:line="74" w:lineRule="exact"/>
        <w:rPr>
          <w:sz w:val="20"/>
          <w:szCs w:val="20"/>
          <w:color w:val="auto"/>
        </w:rPr>
      </w:pPr>
    </w:p>
    <w:p>
      <w:pPr>
        <w:ind w:left="480" w:right="40"/>
        <w:spacing w:after="0" w:line="287" w:lineRule="auto"/>
        <w:rPr>
          <w:sz w:val="20"/>
          <w:szCs w:val="20"/>
          <w:color w:val="auto"/>
        </w:rPr>
      </w:pPr>
      <w:r>
        <w:rPr>
          <w:rFonts w:ascii="Arial" w:cs="Arial" w:eastAsia="Arial" w:hAnsi="Arial"/>
          <w:sz w:val="16"/>
          <w:szCs w:val="16"/>
          <w:color w:val="auto"/>
        </w:rPr>
        <w:t>As described in detail in the “Compensation Discussion and Analysis” section of this proxy statement, ADI’s executive compensation program is significantly performance-based and designed to attract, retain and motivate strong executives to lead our complex, global organization and to align their interests with those of our shareholders. We seek to provide total compensation to our executives that is competitive with our peers, and we believe that our executive compensation program is designed to encourage the most talented individuals to grow their careers at ADI.</w:t>
      </w:r>
    </w:p>
    <w:p>
      <w:pPr>
        <w:spacing w:after="0" w:line="57" w:lineRule="exact"/>
        <w:rPr>
          <w:sz w:val="20"/>
          <w:szCs w:val="20"/>
          <w:color w:val="auto"/>
        </w:rPr>
      </w:pPr>
    </w:p>
    <w:p>
      <w:pPr>
        <w:ind w:left="480"/>
        <w:spacing w:after="0" w:line="277" w:lineRule="auto"/>
        <w:rPr>
          <w:sz w:val="20"/>
          <w:szCs w:val="20"/>
          <w:color w:val="auto"/>
        </w:rPr>
      </w:pPr>
      <w:r>
        <w:rPr>
          <w:rFonts w:ascii="Arial" w:cs="Arial" w:eastAsia="Arial" w:hAnsi="Arial"/>
          <w:sz w:val="16"/>
          <w:szCs w:val="16"/>
          <w:color w:val="auto"/>
        </w:rPr>
        <w:t>ADI has a longstanding philosophy and practice of paying executives for performance. In order to align our pay practices with shareholder interests, we tie a significant percentage of each executive’s compensation to the Company’s performance, in the form of variable cash incentive bonus payments, and equity awards that are subject to performance vesting and rise in value only if our stock price increases. While fiscal 2020 represented a year of strategic progress for ADI, our results were partly impacted by the economic volatility and supply chain disruptions related to the COVID-19 pandemic. We actively managed operating expenses, and for fiscal 2020, we delivered reported operating margins of 26.7% and adjusted operating margins of 39.9%. Revenue was $5.6 billion in fiscal 2020, down modestly year-over-year. Importantly, we saw continued improvement quarter to quarter as evidenced by our second half revenue increasing 14% when compared to the first half. We exceeded our profitability target but did not meet our revenue growth target under our executive performance incentive bonus plan, which resulted in aggregate payments under the plan made at 77% of target, compared to 95% in fiscal 2019 and 183% in fiscal 2018.</w:t>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believe that our executive compensation program is working as intended and appropriately aligns executive pay with Company performance.</w:t>
      </w:r>
    </w:p>
    <w:p>
      <w:pPr>
        <w:spacing w:after="0" w:line="200" w:lineRule="exact"/>
        <w:rPr>
          <w:sz w:val="20"/>
          <w:szCs w:val="20"/>
          <w:color w:val="auto"/>
        </w:rPr>
      </w:pPr>
    </w:p>
    <w:p>
      <w:pPr>
        <w:spacing w:after="0" w:line="3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760"/>
          </w:cols>
          <w:pgMar w:left="320" w:top="447" w:right="81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480" w:right="4320"/>
        <w:spacing w:after="0" w:line="256" w:lineRule="auto"/>
        <w:rPr>
          <w:sz w:val="20"/>
          <w:szCs w:val="20"/>
          <w:color w:val="auto"/>
        </w:rPr>
      </w:pPr>
      <w:r>
        <w:rPr>
          <w:rFonts w:ascii="Arial" w:cs="Arial" w:eastAsia="Arial" w:hAnsi="Arial"/>
          <w:sz w:val="55"/>
          <w:szCs w:val="55"/>
          <w:color w:val="auto"/>
        </w:rPr>
        <w:t>Information About Executive Compensation</w:t>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Compensation Discussion and Analysis</w:t>
      </w:r>
    </w:p>
    <w:p>
      <w:pPr>
        <w:spacing w:after="0" w:line="125" w:lineRule="exact"/>
        <w:rPr>
          <w:sz w:val="20"/>
          <w:szCs w:val="20"/>
          <w:color w:val="auto"/>
        </w:rPr>
      </w:pPr>
    </w:p>
    <w:p>
      <w:pPr>
        <w:ind w:left="480" w:right="320"/>
        <w:spacing w:after="0" w:line="263" w:lineRule="auto"/>
        <w:rPr>
          <w:sz w:val="20"/>
          <w:szCs w:val="20"/>
          <w:color w:val="auto"/>
        </w:rPr>
      </w:pPr>
      <w:r>
        <w:rPr>
          <w:rFonts w:ascii="Arial" w:cs="Arial" w:eastAsia="Arial" w:hAnsi="Arial"/>
          <w:sz w:val="17"/>
          <w:szCs w:val="17"/>
          <w:color w:val="auto"/>
        </w:rPr>
        <w:t>We intend to provide compensation for our executives that is competitive with our peers, with an opportunity for increased compensation if the Company’s performance warrants. We have designed our compensation program to make a substantial percentage of our executive pay variable, subject to increase when corporate targets are overachieved and reduction when corporate targets are not reached. The elements of our executives’ total compensation are base salary, variable cash incentive awards, long-term equity compensation awards and retirement and other employee benefits.</w:t>
      </w:r>
    </w:p>
    <w:p>
      <w:pPr>
        <w:spacing w:after="0" w:line="74" w:lineRule="exact"/>
        <w:rPr>
          <w:sz w:val="20"/>
          <w:szCs w:val="20"/>
          <w:color w:val="auto"/>
        </w:rPr>
      </w:pPr>
    </w:p>
    <w:p>
      <w:pPr>
        <w:ind w:left="480" w:right="240"/>
        <w:spacing w:after="0" w:line="270" w:lineRule="auto"/>
        <w:rPr>
          <w:sz w:val="20"/>
          <w:szCs w:val="20"/>
          <w:color w:val="auto"/>
        </w:rPr>
      </w:pPr>
      <w:r>
        <w:rPr>
          <w:rFonts w:ascii="Arial" w:cs="Arial" w:eastAsia="Arial" w:hAnsi="Arial"/>
          <w:sz w:val="17"/>
          <w:szCs w:val="17"/>
          <w:color w:val="auto"/>
        </w:rPr>
        <w:t>This Compensation Discussion and Analysis, or CD&amp;A, and the tables and narrative that follow provide important information about our executive officer compensation program for fiscal 2020. In this proxy statement, the terms “named executive officers” or “NEOs” refer to the following individuals who served as executive officers during fiscal 2020:</w:t>
      </w:r>
    </w:p>
    <w:p>
      <w:pPr>
        <w:spacing w:after="0" w:line="211"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5240" w:type="dxa"/>
            <w:vAlign w:val="bottom"/>
            <w:tcBorders>
              <w:bottom w:val="single" w:sz="8" w:color="0066BA"/>
            </w:tcBorders>
            <w:shd w:val="clear" w:color="auto" w:fill="0066BA"/>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5040" w:type="dxa"/>
            <w:vAlign w:val="bottom"/>
            <w:tcBorders>
              <w:bottom w:val="single" w:sz="8" w:color="0066BA"/>
            </w:tcBorders>
            <w:shd w:val="clear" w:color="auto" w:fill="0066BA"/>
          </w:tcPr>
          <w:p>
            <w:pPr>
              <w:ind w:left="120"/>
              <w:spacing w:after="0"/>
              <w:rPr>
                <w:sz w:val="20"/>
                <w:szCs w:val="20"/>
                <w:color w:val="auto"/>
              </w:rPr>
            </w:pPr>
            <w:r>
              <w:rPr>
                <w:rFonts w:ascii="Arial" w:cs="Arial" w:eastAsia="Arial" w:hAnsi="Arial"/>
                <w:sz w:val="14"/>
                <w:szCs w:val="14"/>
                <w:b w:val="1"/>
                <w:bCs w:val="1"/>
                <w:color w:val="FFFFFF"/>
              </w:rPr>
              <w:t>Position</w:t>
            </w:r>
          </w:p>
        </w:tc>
      </w:tr>
      <w:tr>
        <w:trPr>
          <w:trHeight w:val="325"/>
        </w:trPr>
        <w:tc>
          <w:tcPr>
            <w:tcW w:w="5240" w:type="dxa"/>
            <w:vAlign w:val="bottom"/>
          </w:tcPr>
          <w:p>
            <w:pPr>
              <w:ind w:left="60"/>
              <w:spacing w:after="0"/>
              <w:rPr>
                <w:sz w:val="20"/>
                <w:szCs w:val="20"/>
                <w:color w:val="auto"/>
              </w:rPr>
            </w:pPr>
            <w:r>
              <w:rPr>
                <w:rFonts w:ascii="Arial" w:cs="Arial" w:eastAsia="Arial" w:hAnsi="Arial"/>
                <w:sz w:val="17"/>
                <w:szCs w:val="17"/>
                <w:color w:val="auto"/>
              </w:rPr>
              <w:t>Vincent Roche</w:t>
            </w:r>
          </w:p>
        </w:tc>
        <w:tc>
          <w:tcPr>
            <w:tcW w:w="5040" w:type="dxa"/>
            <w:vAlign w:val="bottom"/>
            <w:tcBorders>
              <w:bottom w:val="single" w:sz="8" w:color="EAEAEA"/>
            </w:tcBorders>
            <w:shd w:val="clear" w:color="auto" w:fill="EAEAEA"/>
          </w:tcPr>
          <w:p>
            <w:pPr>
              <w:ind w:left="120"/>
              <w:spacing w:after="0"/>
              <w:rPr>
                <w:sz w:val="20"/>
                <w:szCs w:val="20"/>
                <w:color w:val="auto"/>
              </w:rPr>
            </w:pPr>
            <w:r>
              <w:rPr>
                <w:rFonts w:ascii="Arial" w:cs="Arial" w:eastAsia="Arial" w:hAnsi="Arial"/>
                <w:sz w:val="17"/>
                <w:szCs w:val="17"/>
                <w:color w:val="auto"/>
              </w:rPr>
              <w:t>President and Chief Executive Officer</w:t>
            </w:r>
          </w:p>
        </w:tc>
      </w:tr>
      <w:tr>
        <w:trPr>
          <w:trHeight w:val="305"/>
        </w:trPr>
        <w:tc>
          <w:tcPr>
            <w:tcW w:w="5240" w:type="dxa"/>
            <w:vAlign w:val="bottom"/>
            <w:tcBorders>
              <w:top w:val="single" w:sz="8" w:color="0066BA"/>
            </w:tcBorders>
          </w:tcPr>
          <w:p>
            <w:pPr>
              <w:ind w:left="60"/>
              <w:spacing w:after="0"/>
              <w:rPr>
                <w:sz w:val="20"/>
                <w:szCs w:val="20"/>
                <w:color w:val="auto"/>
              </w:rPr>
            </w:pPr>
            <w:r>
              <w:rPr>
                <w:rFonts w:ascii="Arial" w:cs="Arial" w:eastAsia="Arial" w:hAnsi="Arial"/>
                <w:sz w:val="17"/>
                <w:szCs w:val="17"/>
                <w:color w:val="auto"/>
              </w:rPr>
              <w:t>Prashanth Mahendra-Rajah</w:t>
            </w:r>
          </w:p>
        </w:tc>
        <w:tc>
          <w:tcPr>
            <w:tcW w:w="504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7"/>
                <w:szCs w:val="17"/>
                <w:color w:val="auto"/>
              </w:rPr>
              <w:t>Senior Vice President, Finance and Chief Financial Officer</w:t>
            </w:r>
          </w:p>
        </w:tc>
      </w:tr>
      <w:tr>
        <w:trPr>
          <w:trHeight w:val="305"/>
        </w:trPr>
        <w:tc>
          <w:tcPr>
            <w:tcW w:w="5240" w:type="dxa"/>
            <w:vAlign w:val="bottom"/>
            <w:tcBorders>
              <w:top w:val="single" w:sz="8" w:color="0066BA"/>
            </w:tcBorders>
          </w:tcPr>
          <w:p>
            <w:pPr>
              <w:ind w:left="60"/>
              <w:spacing w:after="0"/>
              <w:rPr>
                <w:sz w:val="20"/>
                <w:szCs w:val="20"/>
                <w:color w:val="auto"/>
              </w:rPr>
            </w:pPr>
            <w:r>
              <w:rPr>
                <w:rFonts w:ascii="Arial" w:cs="Arial" w:eastAsia="Arial" w:hAnsi="Arial"/>
                <w:sz w:val="17"/>
                <w:szCs w:val="17"/>
                <w:color w:val="auto"/>
              </w:rPr>
              <w:t>Martin Cotter</w:t>
            </w:r>
          </w:p>
        </w:tc>
        <w:tc>
          <w:tcPr>
            <w:tcW w:w="504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7"/>
                <w:szCs w:val="17"/>
                <w:color w:val="auto"/>
              </w:rPr>
              <w:t>Senior Vice President, Worldwide Sales and Digital Marketing</w:t>
            </w:r>
          </w:p>
        </w:tc>
      </w:tr>
      <w:tr>
        <w:trPr>
          <w:trHeight w:val="305"/>
        </w:trPr>
        <w:tc>
          <w:tcPr>
            <w:tcW w:w="5240" w:type="dxa"/>
            <w:vAlign w:val="bottom"/>
            <w:tcBorders>
              <w:top w:val="single" w:sz="8" w:color="0066BA"/>
            </w:tcBorders>
          </w:tcPr>
          <w:p>
            <w:pPr>
              <w:ind w:left="60"/>
              <w:spacing w:after="0"/>
              <w:rPr>
                <w:sz w:val="20"/>
                <w:szCs w:val="20"/>
                <w:color w:val="auto"/>
              </w:rPr>
            </w:pPr>
            <w:r>
              <w:rPr>
                <w:rFonts w:ascii="Arial" w:cs="Arial" w:eastAsia="Arial" w:hAnsi="Arial"/>
                <w:sz w:val="17"/>
                <w:szCs w:val="17"/>
                <w:color w:val="auto"/>
              </w:rPr>
              <w:t>John Hassett</w:t>
            </w:r>
          </w:p>
        </w:tc>
        <w:tc>
          <w:tcPr>
            <w:tcW w:w="504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7"/>
                <w:szCs w:val="17"/>
                <w:color w:val="auto"/>
              </w:rPr>
              <w:t>Senior Vice President, Industrial and Consumer</w:t>
            </w:r>
          </w:p>
        </w:tc>
      </w:tr>
      <w:tr>
        <w:trPr>
          <w:trHeight w:val="285"/>
        </w:trPr>
        <w:tc>
          <w:tcPr>
            <w:tcW w:w="5240" w:type="dxa"/>
            <w:vAlign w:val="bottom"/>
            <w:tcBorders>
              <w:top w:val="single" w:sz="8" w:color="0066BA"/>
            </w:tcBorders>
          </w:tcPr>
          <w:p>
            <w:pPr>
              <w:ind w:left="60"/>
              <w:spacing w:after="0"/>
              <w:rPr>
                <w:sz w:val="20"/>
                <w:szCs w:val="20"/>
                <w:color w:val="auto"/>
              </w:rPr>
            </w:pPr>
            <w:r>
              <w:rPr>
                <w:rFonts w:ascii="Arial" w:cs="Arial" w:eastAsia="Arial" w:hAnsi="Arial"/>
                <w:sz w:val="17"/>
                <w:szCs w:val="17"/>
                <w:color w:val="auto"/>
              </w:rPr>
              <w:t>Steve Pietkiewicz</w:t>
            </w:r>
          </w:p>
        </w:tc>
        <w:tc>
          <w:tcPr>
            <w:tcW w:w="504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7"/>
                <w:szCs w:val="17"/>
                <w:color w:val="auto"/>
              </w:rPr>
              <w:t>Senior Vice President, Power Products</w:t>
            </w:r>
          </w:p>
        </w:tc>
      </w:tr>
      <w:tr>
        <w:trPr>
          <w:trHeight w:val="20"/>
        </w:trPr>
        <w:tc>
          <w:tcPr>
            <w:tcW w:w="5240" w:type="dxa"/>
            <w:vAlign w:val="bottom"/>
            <w:shd w:val="clear" w:color="auto" w:fill="0066BA"/>
          </w:tcPr>
          <w:p>
            <w:pPr>
              <w:spacing w:after="0" w:line="20" w:lineRule="exact"/>
              <w:rPr>
                <w:sz w:val="1"/>
                <w:szCs w:val="1"/>
                <w:color w:val="auto"/>
              </w:rPr>
            </w:pPr>
          </w:p>
        </w:tc>
        <w:tc>
          <w:tcPr>
            <w:tcW w:w="5040" w:type="dxa"/>
            <w:vAlign w:val="bottom"/>
            <w:shd w:val="clear" w:color="auto" w:fill="0066BA"/>
          </w:tcPr>
          <w:p>
            <w:pPr>
              <w:spacing w:after="0" w:line="20" w:lineRule="exact"/>
              <w:rPr>
                <w:sz w:val="1"/>
                <w:szCs w:val="1"/>
                <w:color w:val="auto"/>
              </w:rPr>
            </w:pPr>
          </w:p>
        </w:tc>
      </w:tr>
    </w:tbl>
    <w:p>
      <w:pPr>
        <w:spacing w:after="0" w:line="288"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Fiscal 2020 Financial Results and Shareholder Value Creation</w:t>
      </w:r>
    </w:p>
    <w:p>
      <w:pPr>
        <w:spacing w:after="0" w:line="124" w:lineRule="exact"/>
        <w:rPr>
          <w:sz w:val="20"/>
          <w:szCs w:val="20"/>
          <w:color w:val="auto"/>
        </w:rPr>
      </w:pPr>
    </w:p>
    <w:p>
      <w:pPr>
        <w:ind w:left="480" w:right="320"/>
        <w:spacing w:after="0" w:line="279" w:lineRule="auto"/>
        <w:rPr>
          <w:sz w:val="20"/>
          <w:szCs w:val="20"/>
          <w:color w:val="auto"/>
        </w:rPr>
      </w:pPr>
      <w:r>
        <w:rPr>
          <w:rFonts w:ascii="Arial" w:cs="Arial" w:eastAsia="Arial" w:hAnsi="Arial"/>
          <w:sz w:val="16"/>
          <w:szCs w:val="16"/>
          <w:color w:val="auto"/>
        </w:rPr>
        <w:t>In fiscal 2020, ADI delivered solid financial results against a backdrop of challenging macroeconomic conditions, including disruptions caused by the COVID-19 pandemic and ongoing trade uncertainty. Importantly, we made progress positioning ADI for continued long-term success through deepening our customer engagements, continuing to invest in our business to drive innovation, extracting value from recent acquisitions and capitalizing on secular trends to drive addressable markets and diversified growth. We also announced the proposed acquisition of Maxim Integrated Products, Inc., which if completed will strengthen ADI as a semiconductor leader with increased breadth and scale across multiple attractive end markets. We also demonstrated our commitment to deliver strong shareholder returns during fiscal 2020, returning approximately $1.1 billion to our shareholders in the form of dividends and share buybacks.</w:t>
      </w:r>
    </w:p>
    <w:p>
      <w:pPr>
        <w:spacing w:after="0" w:line="257"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333333"/>
        </w:rPr>
        <w:t>Fiscal 2020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85090</wp:posOffset>
            </wp:positionV>
            <wp:extent cx="5551170" cy="17513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51170" cy="1751330"/>
                    </a:xfrm>
                    <a:prstGeom prst="rect">
                      <a:avLst/>
                    </a:prstGeom>
                    <a:noFill/>
                  </pic:spPr>
                </pic:pic>
              </a:graphicData>
            </a:graphic>
          </wp:anchor>
        </w:drawing>
      </w:r>
    </w:p>
    <w:p>
      <w:pPr>
        <w:spacing w:after="0" w:line="138" w:lineRule="exact"/>
        <w:rPr>
          <w:sz w:val="20"/>
          <w:szCs w:val="20"/>
          <w:color w:val="auto"/>
        </w:rPr>
      </w:pPr>
    </w:p>
    <w:tbl>
      <w:tblPr>
        <w:tblLayout w:type="fixed"/>
        <w:tblInd w:w="560" w:type="dxa"/>
        <w:tblCellMar>
          <w:top w:w="0" w:type="dxa"/>
          <w:left w:w="0" w:type="dxa"/>
          <w:bottom w:w="0" w:type="dxa"/>
          <w:right w:w="0" w:type="dxa"/>
        </w:tblCellMar>
      </w:tblPr>
      <w:tr>
        <w:trPr>
          <w:trHeight w:val="438"/>
        </w:trPr>
        <w:tc>
          <w:tcPr>
            <w:tcW w:w="1360" w:type="dxa"/>
            <w:vAlign w:val="bottom"/>
          </w:tcPr>
          <w:p>
            <w:pPr>
              <w:spacing w:after="0"/>
              <w:rPr>
                <w:sz w:val="20"/>
                <w:szCs w:val="20"/>
                <w:color w:val="auto"/>
              </w:rPr>
            </w:pPr>
            <w:r>
              <w:rPr>
                <w:rFonts w:ascii="Arial" w:cs="Arial" w:eastAsia="Arial" w:hAnsi="Arial"/>
                <w:sz w:val="33"/>
                <w:szCs w:val="33"/>
                <w:b w:val="1"/>
                <w:bCs w:val="1"/>
                <w:color w:val="0066BA"/>
              </w:rPr>
              <w:t>$5.6B</w:t>
            </w:r>
          </w:p>
        </w:tc>
        <w:tc>
          <w:tcPr>
            <w:tcW w:w="1880" w:type="dxa"/>
            <w:vAlign w:val="bottom"/>
          </w:tcPr>
          <w:p>
            <w:pPr>
              <w:ind w:left="480"/>
              <w:spacing w:after="0"/>
              <w:rPr>
                <w:sz w:val="20"/>
                <w:szCs w:val="20"/>
                <w:color w:val="auto"/>
              </w:rPr>
            </w:pPr>
            <w:r>
              <w:rPr>
                <w:rFonts w:ascii="Arial" w:cs="Arial" w:eastAsia="Arial" w:hAnsi="Arial"/>
                <w:sz w:val="33"/>
                <w:szCs w:val="33"/>
                <w:b w:val="1"/>
                <w:bCs w:val="1"/>
                <w:color w:val="0066BA"/>
              </w:rPr>
              <w:t>65.9%</w:t>
            </w:r>
          </w:p>
        </w:tc>
        <w:tc>
          <w:tcPr>
            <w:tcW w:w="1860" w:type="dxa"/>
            <w:vAlign w:val="bottom"/>
          </w:tcPr>
          <w:p>
            <w:pPr>
              <w:ind w:left="460"/>
              <w:spacing w:after="0"/>
              <w:rPr>
                <w:sz w:val="20"/>
                <w:szCs w:val="20"/>
                <w:color w:val="auto"/>
              </w:rPr>
            </w:pPr>
            <w:r>
              <w:rPr>
                <w:rFonts w:ascii="Arial" w:cs="Arial" w:eastAsia="Arial" w:hAnsi="Arial"/>
                <w:sz w:val="33"/>
                <w:szCs w:val="33"/>
                <w:b w:val="1"/>
                <w:bCs w:val="1"/>
                <w:color w:val="0066BA"/>
              </w:rPr>
              <w:t>26.7%</w:t>
            </w:r>
          </w:p>
        </w:tc>
        <w:tc>
          <w:tcPr>
            <w:tcW w:w="1760" w:type="dxa"/>
            <w:vAlign w:val="bottom"/>
          </w:tcPr>
          <w:p>
            <w:pPr>
              <w:ind w:left="460"/>
              <w:spacing w:after="0"/>
              <w:rPr>
                <w:sz w:val="20"/>
                <w:szCs w:val="20"/>
                <w:color w:val="auto"/>
              </w:rPr>
            </w:pPr>
            <w:r>
              <w:rPr>
                <w:rFonts w:ascii="Arial" w:cs="Arial" w:eastAsia="Arial" w:hAnsi="Arial"/>
                <w:sz w:val="33"/>
                <w:szCs w:val="33"/>
                <w:b w:val="1"/>
                <w:bCs w:val="1"/>
                <w:color w:val="0066BA"/>
              </w:rPr>
              <w:t>$3.28</w:t>
            </w:r>
          </w:p>
        </w:tc>
        <w:tc>
          <w:tcPr>
            <w:tcW w:w="1360" w:type="dxa"/>
            <w:vAlign w:val="bottom"/>
          </w:tcPr>
          <w:p>
            <w:pPr>
              <w:ind w:left="460"/>
              <w:spacing w:after="0"/>
              <w:rPr>
                <w:sz w:val="20"/>
                <w:szCs w:val="20"/>
                <w:color w:val="auto"/>
              </w:rPr>
            </w:pPr>
            <w:r>
              <w:rPr>
                <w:rFonts w:ascii="Arial" w:cs="Arial" w:eastAsia="Arial" w:hAnsi="Arial"/>
                <w:sz w:val="33"/>
                <w:szCs w:val="33"/>
                <w:b w:val="1"/>
                <w:bCs w:val="1"/>
                <w:color w:val="0066BA"/>
                <w:w w:val="99"/>
              </w:rPr>
              <w:t>$2.0B</w:t>
            </w:r>
          </w:p>
        </w:tc>
      </w:tr>
      <w:tr>
        <w:trPr>
          <w:trHeight w:val="263"/>
        </w:trPr>
        <w:tc>
          <w:tcPr>
            <w:tcW w:w="1360" w:type="dxa"/>
            <w:vAlign w:val="bottom"/>
          </w:tcPr>
          <w:p>
            <w:pPr>
              <w:spacing w:after="0"/>
              <w:rPr>
                <w:sz w:val="20"/>
                <w:szCs w:val="20"/>
                <w:color w:val="auto"/>
              </w:rPr>
            </w:pPr>
            <w:r>
              <w:rPr>
                <w:rFonts w:ascii="Arial" w:cs="Arial" w:eastAsia="Arial" w:hAnsi="Arial"/>
                <w:sz w:val="19"/>
                <w:szCs w:val="19"/>
                <w:color w:val="auto"/>
              </w:rPr>
              <w:t>Revenue</w:t>
            </w:r>
          </w:p>
        </w:tc>
        <w:tc>
          <w:tcPr>
            <w:tcW w:w="1880" w:type="dxa"/>
            <w:vAlign w:val="bottom"/>
          </w:tcPr>
          <w:p>
            <w:pPr>
              <w:ind w:left="480"/>
              <w:spacing w:after="0"/>
              <w:rPr>
                <w:sz w:val="20"/>
                <w:szCs w:val="20"/>
                <w:color w:val="auto"/>
              </w:rPr>
            </w:pPr>
            <w:r>
              <w:rPr>
                <w:rFonts w:ascii="Arial" w:cs="Arial" w:eastAsia="Arial" w:hAnsi="Arial"/>
                <w:sz w:val="19"/>
                <w:szCs w:val="19"/>
                <w:color w:val="auto"/>
              </w:rPr>
              <w:t>Gross</w:t>
            </w:r>
          </w:p>
        </w:tc>
        <w:tc>
          <w:tcPr>
            <w:tcW w:w="1860" w:type="dxa"/>
            <w:vAlign w:val="bottom"/>
          </w:tcPr>
          <w:p>
            <w:pPr>
              <w:ind w:left="460"/>
              <w:spacing w:after="0"/>
              <w:rPr>
                <w:sz w:val="20"/>
                <w:szCs w:val="20"/>
                <w:color w:val="auto"/>
              </w:rPr>
            </w:pPr>
            <w:r>
              <w:rPr>
                <w:rFonts w:ascii="Arial" w:cs="Arial" w:eastAsia="Arial" w:hAnsi="Arial"/>
                <w:sz w:val="19"/>
                <w:szCs w:val="19"/>
                <w:color w:val="auto"/>
              </w:rPr>
              <w:t>Operating</w:t>
            </w:r>
          </w:p>
        </w:tc>
        <w:tc>
          <w:tcPr>
            <w:tcW w:w="1760" w:type="dxa"/>
            <w:vAlign w:val="bottom"/>
          </w:tcPr>
          <w:p>
            <w:pPr>
              <w:ind w:left="460"/>
              <w:spacing w:after="0"/>
              <w:rPr>
                <w:sz w:val="20"/>
                <w:szCs w:val="20"/>
                <w:color w:val="auto"/>
              </w:rPr>
            </w:pPr>
            <w:r>
              <w:rPr>
                <w:rFonts w:ascii="Arial" w:cs="Arial" w:eastAsia="Arial" w:hAnsi="Arial"/>
                <w:sz w:val="19"/>
                <w:szCs w:val="19"/>
                <w:color w:val="auto"/>
              </w:rPr>
              <w:t>Diluted</w:t>
            </w:r>
          </w:p>
        </w:tc>
        <w:tc>
          <w:tcPr>
            <w:tcW w:w="1360" w:type="dxa"/>
            <w:vAlign w:val="bottom"/>
          </w:tcPr>
          <w:p>
            <w:pPr>
              <w:ind w:left="460"/>
              <w:spacing w:after="0"/>
              <w:rPr>
                <w:sz w:val="20"/>
                <w:szCs w:val="20"/>
                <w:color w:val="auto"/>
              </w:rPr>
            </w:pPr>
            <w:r>
              <w:rPr>
                <w:rFonts w:ascii="Arial" w:cs="Arial" w:eastAsia="Arial" w:hAnsi="Arial"/>
                <w:sz w:val="19"/>
                <w:szCs w:val="19"/>
                <w:color w:val="auto"/>
              </w:rPr>
              <w:t>Operating</w:t>
            </w:r>
          </w:p>
        </w:tc>
      </w:tr>
      <w:tr>
        <w:trPr>
          <w:trHeight w:val="208"/>
        </w:trPr>
        <w:tc>
          <w:tcPr>
            <w:tcW w:w="1360" w:type="dxa"/>
            <w:vAlign w:val="bottom"/>
          </w:tcPr>
          <w:p>
            <w:pPr>
              <w:spacing w:after="0"/>
              <w:rPr>
                <w:sz w:val="18"/>
                <w:szCs w:val="18"/>
                <w:color w:val="auto"/>
              </w:rPr>
            </w:pPr>
          </w:p>
        </w:tc>
        <w:tc>
          <w:tcPr>
            <w:tcW w:w="1880" w:type="dxa"/>
            <w:vAlign w:val="bottom"/>
          </w:tcPr>
          <w:p>
            <w:pPr>
              <w:ind w:left="480"/>
              <w:spacing w:after="0" w:line="208" w:lineRule="exact"/>
              <w:rPr>
                <w:sz w:val="20"/>
                <w:szCs w:val="20"/>
                <w:color w:val="auto"/>
              </w:rPr>
            </w:pPr>
            <w:r>
              <w:rPr>
                <w:rFonts w:ascii="Arial" w:cs="Arial" w:eastAsia="Arial" w:hAnsi="Arial"/>
                <w:sz w:val="19"/>
                <w:szCs w:val="19"/>
                <w:color w:val="auto"/>
              </w:rPr>
              <w:t>Margins</w:t>
            </w:r>
          </w:p>
        </w:tc>
        <w:tc>
          <w:tcPr>
            <w:tcW w:w="1860" w:type="dxa"/>
            <w:vAlign w:val="bottom"/>
          </w:tcPr>
          <w:p>
            <w:pPr>
              <w:ind w:left="460"/>
              <w:spacing w:after="0" w:line="208" w:lineRule="exact"/>
              <w:rPr>
                <w:sz w:val="20"/>
                <w:szCs w:val="20"/>
                <w:color w:val="auto"/>
              </w:rPr>
            </w:pPr>
            <w:r>
              <w:rPr>
                <w:rFonts w:ascii="Arial" w:cs="Arial" w:eastAsia="Arial" w:hAnsi="Arial"/>
                <w:sz w:val="19"/>
                <w:szCs w:val="19"/>
                <w:color w:val="auto"/>
              </w:rPr>
              <w:t>Margins</w:t>
            </w:r>
          </w:p>
        </w:tc>
        <w:tc>
          <w:tcPr>
            <w:tcW w:w="1760" w:type="dxa"/>
            <w:vAlign w:val="bottom"/>
          </w:tcPr>
          <w:p>
            <w:pPr>
              <w:ind w:left="460"/>
              <w:spacing w:after="0" w:line="208" w:lineRule="exact"/>
              <w:rPr>
                <w:sz w:val="20"/>
                <w:szCs w:val="20"/>
                <w:color w:val="auto"/>
              </w:rPr>
            </w:pPr>
            <w:r>
              <w:rPr>
                <w:rFonts w:ascii="Arial" w:cs="Arial" w:eastAsia="Arial" w:hAnsi="Arial"/>
                <w:sz w:val="19"/>
                <w:szCs w:val="19"/>
                <w:color w:val="auto"/>
              </w:rPr>
              <w:t>Earnings</w:t>
            </w:r>
          </w:p>
        </w:tc>
        <w:tc>
          <w:tcPr>
            <w:tcW w:w="1360" w:type="dxa"/>
            <w:vAlign w:val="bottom"/>
          </w:tcPr>
          <w:p>
            <w:pPr>
              <w:ind w:left="460"/>
              <w:spacing w:after="0" w:line="208" w:lineRule="exact"/>
              <w:rPr>
                <w:sz w:val="20"/>
                <w:szCs w:val="20"/>
                <w:color w:val="auto"/>
              </w:rPr>
            </w:pPr>
            <w:r>
              <w:rPr>
                <w:rFonts w:ascii="Arial" w:cs="Arial" w:eastAsia="Arial" w:hAnsi="Arial"/>
                <w:sz w:val="19"/>
                <w:szCs w:val="19"/>
                <w:color w:val="auto"/>
                <w:w w:val="98"/>
              </w:rPr>
              <w:t>Cash Flow</w:t>
            </w:r>
          </w:p>
        </w:tc>
      </w:tr>
      <w:tr>
        <w:trPr>
          <w:trHeight w:val="229"/>
        </w:trPr>
        <w:tc>
          <w:tcPr>
            <w:tcW w:w="1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ind w:left="460"/>
              <w:spacing w:after="0"/>
              <w:rPr>
                <w:sz w:val="20"/>
                <w:szCs w:val="20"/>
                <w:color w:val="auto"/>
              </w:rPr>
            </w:pPr>
            <w:r>
              <w:rPr>
                <w:rFonts w:ascii="Arial" w:cs="Arial" w:eastAsia="Arial" w:hAnsi="Arial"/>
                <w:sz w:val="19"/>
                <w:szCs w:val="19"/>
                <w:color w:val="auto"/>
              </w:rPr>
              <w:t>per Share</w:t>
            </w:r>
          </w:p>
        </w:tc>
        <w:tc>
          <w:tcPr>
            <w:tcW w:w="1360" w:type="dxa"/>
            <w:vAlign w:val="bottom"/>
          </w:tcPr>
          <w:p>
            <w:pPr>
              <w:spacing w:after="0"/>
              <w:rPr>
                <w:sz w:val="19"/>
                <w:szCs w:val="19"/>
                <w:color w:val="auto"/>
              </w:rPr>
            </w:pPr>
          </w:p>
        </w:tc>
      </w:tr>
    </w:tbl>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438"/>
        </w:trPr>
        <w:tc>
          <w:tcPr>
            <w:tcW w:w="1420" w:type="dxa"/>
            <w:vAlign w:val="bottom"/>
          </w:tcPr>
          <w:p>
            <w:pPr>
              <w:spacing w:after="0"/>
              <w:rPr>
                <w:sz w:val="20"/>
                <w:szCs w:val="20"/>
                <w:color w:val="auto"/>
              </w:rPr>
            </w:pPr>
            <w:r>
              <w:rPr>
                <w:rFonts w:ascii="Arial" w:cs="Arial" w:eastAsia="Arial" w:hAnsi="Arial"/>
                <w:sz w:val="33"/>
                <w:szCs w:val="33"/>
                <w:b w:val="1"/>
                <w:bCs w:val="1"/>
                <w:color w:val="0066BA"/>
              </w:rPr>
              <w:t>~90%</w:t>
            </w:r>
          </w:p>
        </w:tc>
        <w:tc>
          <w:tcPr>
            <w:tcW w:w="1820" w:type="dxa"/>
            <w:vAlign w:val="bottom"/>
          </w:tcPr>
          <w:p>
            <w:pPr>
              <w:ind w:left="420"/>
              <w:spacing w:after="0"/>
              <w:rPr>
                <w:sz w:val="20"/>
                <w:szCs w:val="20"/>
                <w:color w:val="auto"/>
              </w:rPr>
            </w:pPr>
            <w:r>
              <w:rPr>
                <w:rFonts w:ascii="Arial" w:cs="Arial" w:eastAsia="Arial" w:hAnsi="Arial"/>
                <w:sz w:val="33"/>
                <w:szCs w:val="33"/>
                <w:b w:val="1"/>
                <w:bCs w:val="1"/>
                <w:color w:val="0066BA"/>
              </w:rPr>
              <w:t>69.1%</w:t>
            </w:r>
          </w:p>
        </w:tc>
        <w:tc>
          <w:tcPr>
            <w:tcW w:w="1860" w:type="dxa"/>
            <w:vAlign w:val="bottom"/>
          </w:tcPr>
          <w:p>
            <w:pPr>
              <w:ind w:left="460"/>
              <w:spacing w:after="0"/>
              <w:rPr>
                <w:sz w:val="20"/>
                <w:szCs w:val="20"/>
                <w:color w:val="auto"/>
              </w:rPr>
            </w:pPr>
            <w:r>
              <w:rPr>
                <w:rFonts w:ascii="Arial" w:cs="Arial" w:eastAsia="Arial" w:hAnsi="Arial"/>
                <w:sz w:val="33"/>
                <w:szCs w:val="33"/>
                <w:b w:val="1"/>
                <w:bCs w:val="1"/>
                <w:color w:val="0066BA"/>
              </w:rPr>
              <w:t>39.9%</w:t>
            </w:r>
          </w:p>
        </w:tc>
        <w:tc>
          <w:tcPr>
            <w:tcW w:w="1800" w:type="dxa"/>
            <w:vAlign w:val="bottom"/>
          </w:tcPr>
          <w:p>
            <w:pPr>
              <w:ind w:left="460"/>
              <w:spacing w:after="0"/>
              <w:rPr>
                <w:sz w:val="20"/>
                <w:szCs w:val="20"/>
                <w:color w:val="auto"/>
              </w:rPr>
            </w:pPr>
            <w:r>
              <w:rPr>
                <w:rFonts w:ascii="Arial" w:cs="Arial" w:eastAsia="Arial" w:hAnsi="Arial"/>
                <w:sz w:val="33"/>
                <w:szCs w:val="33"/>
                <w:b w:val="1"/>
                <w:bCs w:val="1"/>
                <w:color w:val="0066BA"/>
              </w:rPr>
              <w:t>$4.91</w:t>
            </w:r>
          </w:p>
        </w:tc>
        <w:tc>
          <w:tcPr>
            <w:tcW w:w="1400" w:type="dxa"/>
            <w:vAlign w:val="bottom"/>
          </w:tcPr>
          <w:p>
            <w:pPr>
              <w:ind w:left="420"/>
              <w:spacing w:after="0"/>
              <w:rPr>
                <w:sz w:val="20"/>
                <w:szCs w:val="20"/>
                <w:color w:val="auto"/>
              </w:rPr>
            </w:pPr>
            <w:r>
              <w:rPr>
                <w:rFonts w:ascii="Arial" w:cs="Arial" w:eastAsia="Arial" w:hAnsi="Arial"/>
                <w:sz w:val="33"/>
                <w:szCs w:val="33"/>
                <w:b w:val="1"/>
                <w:bCs w:val="1"/>
                <w:color w:val="0066BA"/>
              </w:rPr>
              <w:t>$1.8B</w:t>
            </w:r>
          </w:p>
        </w:tc>
      </w:tr>
      <w:tr>
        <w:trPr>
          <w:trHeight w:val="263"/>
        </w:trPr>
        <w:tc>
          <w:tcPr>
            <w:tcW w:w="1420" w:type="dxa"/>
            <w:vAlign w:val="bottom"/>
          </w:tcPr>
          <w:p>
            <w:pPr>
              <w:spacing w:after="0"/>
              <w:rPr>
                <w:sz w:val="20"/>
                <w:szCs w:val="20"/>
                <w:color w:val="auto"/>
              </w:rPr>
            </w:pPr>
            <w:r>
              <w:rPr>
                <w:rFonts w:ascii="Arial" w:cs="Arial" w:eastAsia="Arial" w:hAnsi="Arial"/>
                <w:sz w:val="19"/>
                <w:szCs w:val="19"/>
                <w:color w:val="auto"/>
              </w:rPr>
              <w:t>Business-</w:t>
            </w:r>
          </w:p>
        </w:tc>
        <w:tc>
          <w:tcPr>
            <w:tcW w:w="1820" w:type="dxa"/>
            <w:vAlign w:val="bottom"/>
          </w:tcPr>
          <w:p>
            <w:pPr>
              <w:ind w:left="420"/>
              <w:spacing w:after="0"/>
              <w:rPr>
                <w:sz w:val="20"/>
                <w:szCs w:val="20"/>
                <w:color w:val="auto"/>
              </w:rPr>
            </w:pPr>
            <w:r>
              <w:rPr>
                <w:rFonts w:ascii="Arial" w:cs="Arial" w:eastAsia="Arial" w:hAnsi="Arial"/>
                <w:sz w:val="19"/>
                <w:szCs w:val="19"/>
                <w:color w:val="auto"/>
              </w:rPr>
              <w:t>Adjusted</w:t>
            </w:r>
          </w:p>
        </w:tc>
        <w:tc>
          <w:tcPr>
            <w:tcW w:w="1860" w:type="dxa"/>
            <w:vAlign w:val="bottom"/>
          </w:tcPr>
          <w:p>
            <w:pPr>
              <w:ind w:left="460"/>
              <w:spacing w:after="0"/>
              <w:rPr>
                <w:sz w:val="20"/>
                <w:szCs w:val="20"/>
                <w:color w:val="auto"/>
              </w:rPr>
            </w:pPr>
            <w:r>
              <w:rPr>
                <w:rFonts w:ascii="Arial" w:cs="Arial" w:eastAsia="Arial" w:hAnsi="Arial"/>
                <w:sz w:val="19"/>
                <w:szCs w:val="19"/>
                <w:color w:val="auto"/>
              </w:rPr>
              <w:t>Adjusted</w:t>
            </w:r>
          </w:p>
        </w:tc>
        <w:tc>
          <w:tcPr>
            <w:tcW w:w="1800" w:type="dxa"/>
            <w:vAlign w:val="bottom"/>
          </w:tcPr>
          <w:p>
            <w:pPr>
              <w:ind w:left="460"/>
              <w:spacing w:after="0"/>
              <w:rPr>
                <w:sz w:val="20"/>
                <w:szCs w:val="20"/>
                <w:color w:val="auto"/>
              </w:rPr>
            </w:pPr>
            <w:r>
              <w:rPr>
                <w:rFonts w:ascii="Arial" w:cs="Arial" w:eastAsia="Arial" w:hAnsi="Arial"/>
                <w:sz w:val="19"/>
                <w:szCs w:val="19"/>
                <w:color w:val="auto"/>
              </w:rPr>
              <w:t>Adjusted</w:t>
            </w:r>
          </w:p>
        </w:tc>
        <w:tc>
          <w:tcPr>
            <w:tcW w:w="1400" w:type="dxa"/>
            <w:vAlign w:val="bottom"/>
          </w:tcPr>
          <w:p>
            <w:pPr>
              <w:ind w:left="420"/>
              <w:spacing w:after="0"/>
              <w:rPr>
                <w:sz w:val="20"/>
                <w:szCs w:val="20"/>
                <w:color w:val="auto"/>
              </w:rPr>
            </w:pPr>
            <w:r>
              <w:rPr>
                <w:rFonts w:ascii="Arial" w:cs="Arial" w:eastAsia="Arial" w:hAnsi="Arial"/>
                <w:sz w:val="19"/>
                <w:szCs w:val="19"/>
                <w:color w:val="auto"/>
              </w:rPr>
              <w:t>Free</w:t>
            </w:r>
          </w:p>
        </w:tc>
      </w:tr>
      <w:tr>
        <w:trPr>
          <w:trHeight w:val="208"/>
        </w:trPr>
        <w:tc>
          <w:tcPr>
            <w:tcW w:w="1420" w:type="dxa"/>
            <w:vAlign w:val="bottom"/>
          </w:tcPr>
          <w:p>
            <w:pPr>
              <w:spacing w:after="0" w:line="208" w:lineRule="exact"/>
              <w:rPr>
                <w:sz w:val="20"/>
                <w:szCs w:val="20"/>
                <w:color w:val="auto"/>
              </w:rPr>
            </w:pPr>
            <w:r>
              <w:rPr>
                <w:rFonts w:ascii="Arial" w:cs="Arial" w:eastAsia="Arial" w:hAnsi="Arial"/>
                <w:sz w:val="19"/>
                <w:szCs w:val="19"/>
                <w:color w:val="auto"/>
              </w:rPr>
              <w:t>to-Business</w:t>
            </w:r>
          </w:p>
        </w:tc>
        <w:tc>
          <w:tcPr>
            <w:tcW w:w="1820" w:type="dxa"/>
            <w:vAlign w:val="bottom"/>
          </w:tcPr>
          <w:p>
            <w:pPr>
              <w:ind w:left="420"/>
              <w:spacing w:after="0" w:line="208" w:lineRule="exact"/>
              <w:rPr>
                <w:sz w:val="20"/>
                <w:szCs w:val="20"/>
                <w:color w:val="auto"/>
              </w:rPr>
            </w:pPr>
            <w:r>
              <w:rPr>
                <w:rFonts w:ascii="Arial" w:cs="Arial" w:eastAsia="Arial" w:hAnsi="Arial"/>
                <w:sz w:val="19"/>
                <w:szCs w:val="19"/>
                <w:color w:val="auto"/>
              </w:rPr>
              <w:t>Gross</w:t>
            </w:r>
          </w:p>
        </w:tc>
        <w:tc>
          <w:tcPr>
            <w:tcW w:w="1860" w:type="dxa"/>
            <w:vAlign w:val="bottom"/>
          </w:tcPr>
          <w:p>
            <w:pPr>
              <w:ind w:left="460"/>
              <w:spacing w:after="0" w:line="208" w:lineRule="exact"/>
              <w:rPr>
                <w:sz w:val="20"/>
                <w:szCs w:val="20"/>
                <w:color w:val="auto"/>
              </w:rPr>
            </w:pPr>
            <w:r>
              <w:rPr>
                <w:rFonts w:ascii="Arial" w:cs="Arial" w:eastAsia="Arial" w:hAnsi="Arial"/>
                <w:sz w:val="19"/>
                <w:szCs w:val="19"/>
                <w:color w:val="auto"/>
              </w:rPr>
              <w:t>Operating</w:t>
            </w:r>
          </w:p>
        </w:tc>
        <w:tc>
          <w:tcPr>
            <w:tcW w:w="1800" w:type="dxa"/>
            <w:vAlign w:val="bottom"/>
          </w:tcPr>
          <w:p>
            <w:pPr>
              <w:ind w:left="460"/>
              <w:spacing w:after="0" w:line="208" w:lineRule="exact"/>
              <w:rPr>
                <w:sz w:val="20"/>
                <w:szCs w:val="20"/>
                <w:color w:val="auto"/>
              </w:rPr>
            </w:pPr>
            <w:r>
              <w:rPr>
                <w:rFonts w:ascii="Arial" w:cs="Arial" w:eastAsia="Arial" w:hAnsi="Arial"/>
                <w:sz w:val="19"/>
                <w:szCs w:val="19"/>
                <w:color w:val="auto"/>
              </w:rPr>
              <w:t>Diluted</w:t>
            </w:r>
          </w:p>
        </w:tc>
        <w:tc>
          <w:tcPr>
            <w:tcW w:w="1400" w:type="dxa"/>
            <w:vAlign w:val="bottom"/>
          </w:tcPr>
          <w:p>
            <w:pPr>
              <w:ind w:left="420"/>
              <w:spacing w:after="0" w:line="208" w:lineRule="exact"/>
              <w:rPr>
                <w:sz w:val="20"/>
                <w:szCs w:val="20"/>
                <w:color w:val="auto"/>
              </w:rPr>
            </w:pPr>
            <w:r>
              <w:rPr>
                <w:rFonts w:ascii="Arial" w:cs="Arial" w:eastAsia="Arial" w:hAnsi="Arial"/>
                <w:sz w:val="19"/>
                <w:szCs w:val="19"/>
                <w:color w:val="auto"/>
                <w:w w:val="98"/>
              </w:rPr>
              <w:t>Cash Flow*</w:t>
            </w:r>
          </w:p>
        </w:tc>
      </w:tr>
      <w:tr>
        <w:trPr>
          <w:trHeight w:val="208"/>
        </w:trPr>
        <w:tc>
          <w:tcPr>
            <w:tcW w:w="1420" w:type="dxa"/>
            <w:vAlign w:val="bottom"/>
          </w:tcPr>
          <w:p>
            <w:pPr>
              <w:spacing w:after="0" w:line="208" w:lineRule="exact"/>
              <w:rPr>
                <w:sz w:val="20"/>
                <w:szCs w:val="20"/>
                <w:color w:val="auto"/>
              </w:rPr>
            </w:pPr>
            <w:r>
              <w:rPr>
                <w:rFonts w:ascii="Arial" w:cs="Arial" w:eastAsia="Arial" w:hAnsi="Arial"/>
                <w:sz w:val="19"/>
                <w:szCs w:val="19"/>
                <w:color w:val="auto"/>
              </w:rPr>
              <w:t>Revenue</w:t>
            </w:r>
          </w:p>
        </w:tc>
        <w:tc>
          <w:tcPr>
            <w:tcW w:w="1820" w:type="dxa"/>
            <w:vAlign w:val="bottom"/>
          </w:tcPr>
          <w:p>
            <w:pPr>
              <w:ind w:left="420"/>
              <w:spacing w:after="0" w:line="208" w:lineRule="exact"/>
              <w:rPr>
                <w:sz w:val="20"/>
                <w:szCs w:val="20"/>
                <w:color w:val="auto"/>
              </w:rPr>
            </w:pPr>
            <w:r>
              <w:rPr>
                <w:rFonts w:ascii="Arial" w:cs="Arial" w:eastAsia="Arial" w:hAnsi="Arial"/>
                <w:sz w:val="19"/>
                <w:szCs w:val="19"/>
                <w:color w:val="auto"/>
              </w:rPr>
              <w:t>Margins*</w:t>
            </w:r>
          </w:p>
        </w:tc>
        <w:tc>
          <w:tcPr>
            <w:tcW w:w="1860" w:type="dxa"/>
            <w:vAlign w:val="bottom"/>
          </w:tcPr>
          <w:p>
            <w:pPr>
              <w:ind w:left="460"/>
              <w:spacing w:after="0" w:line="208" w:lineRule="exact"/>
              <w:rPr>
                <w:sz w:val="20"/>
                <w:szCs w:val="20"/>
                <w:color w:val="auto"/>
              </w:rPr>
            </w:pPr>
            <w:r>
              <w:rPr>
                <w:rFonts w:ascii="Arial" w:cs="Arial" w:eastAsia="Arial" w:hAnsi="Arial"/>
                <w:sz w:val="19"/>
                <w:szCs w:val="19"/>
                <w:color w:val="auto"/>
              </w:rPr>
              <w:t>Margins*</w:t>
            </w:r>
          </w:p>
        </w:tc>
        <w:tc>
          <w:tcPr>
            <w:tcW w:w="1800" w:type="dxa"/>
            <w:vAlign w:val="bottom"/>
          </w:tcPr>
          <w:p>
            <w:pPr>
              <w:ind w:left="460"/>
              <w:spacing w:after="0" w:line="208" w:lineRule="exact"/>
              <w:rPr>
                <w:sz w:val="20"/>
                <w:szCs w:val="20"/>
                <w:color w:val="auto"/>
              </w:rPr>
            </w:pPr>
            <w:r>
              <w:rPr>
                <w:rFonts w:ascii="Arial" w:cs="Arial" w:eastAsia="Arial" w:hAnsi="Arial"/>
                <w:sz w:val="19"/>
                <w:szCs w:val="19"/>
                <w:color w:val="auto"/>
              </w:rPr>
              <w:t>Earnings</w:t>
            </w:r>
          </w:p>
        </w:tc>
        <w:tc>
          <w:tcPr>
            <w:tcW w:w="1400" w:type="dxa"/>
            <w:vAlign w:val="bottom"/>
          </w:tcPr>
          <w:p>
            <w:pPr>
              <w:spacing w:after="0"/>
              <w:rPr>
                <w:sz w:val="18"/>
                <w:szCs w:val="18"/>
                <w:color w:val="auto"/>
              </w:rPr>
            </w:pPr>
          </w:p>
        </w:tc>
      </w:tr>
      <w:tr>
        <w:trPr>
          <w:trHeight w:val="229"/>
        </w:trPr>
        <w:tc>
          <w:tcPr>
            <w:tcW w:w="1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0" w:type="dxa"/>
            <w:vAlign w:val="bottom"/>
          </w:tcPr>
          <w:p>
            <w:pPr>
              <w:ind w:left="460"/>
              <w:spacing w:after="0"/>
              <w:rPr>
                <w:sz w:val="20"/>
                <w:szCs w:val="20"/>
                <w:color w:val="auto"/>
              </w:rPr>
            </w:pPr>
            <w:r>
              <w:rPr>
                <w:rFonts w:ascii="Arial" w:cs="Arial" w:eastAsia="Arial" w:hAnsi="Arial"/>
                <w:sz w:val="19"/>
                <w:szCs w:val="19"/>
                <w:color w:val="auto"/>
              </w:rPr>
              <w:t>per Share*</w:t>
            </w:r>
          </w:p>
        </w:tc>
        <w:tc>
          <w:tcPr>
            <w:tcW w:w="1400" w:type="dxa"/>
            <w:vAlign w:val="bottom"/>
          </w:tcPr>
          <w:p>
            <w:pPr>
              <w:spacing w:after="0"/>
              <w:rPr>
                <w:sz w:val="19"/>
                <w:szCs w:val="19"/>
                <w:color w:val="auto"/>
              </w:rPr>
            </w:pPr>
          </w:p>
        </w:tc>
      </w:tr>
    </w:tbl>
    <w:p>
      <w:pPr>
        <w:spacing w:after="0" w:line="85" w:lineRule="exact"/>
        <w:rPr>
          <w:sz w:val="20"/>
          <w:szCs w:val="20"/>
          <w:color w:val="auto"/>
        </w:rPr>
      </w:pPr>
    </w:p>
    <w:p>
      <w:pPr>
        <w:ind w:left="560" w:right="780" w:hanging="85"/>
        <w:spacing w:after="0" w:line="262" w:lineRule="auto"/>
        <w:tabs>
          <w:tab w:leader="none" w:pos="560" w:val="left"/>
        </w:tabs>
        <w:numPr>
          <w:ilvl w:val="0"/>
          <w:numId w:val="37"/>
        </w:numPr>
        <w:rPr>
          <w:rFonts w:ascii="Arial" w:cs="Arial" w:eastAsia="Arial" w:hAnsi="Arial"/>
          <w:sz w:val="13"/>
          <w:szCs w:val="13"/>
          <w:i w:val="1"/>
          <w:iCs w:val="1"/>
          <w:color w:val="auto"/>
        </w:rPr>
      </w:pPr>
      <w:r>
        <w:rPr>
          <w:rFonts w:ascii="Arial" w:cs="Arial" w:eastAsia="Arial" w:hAnsi="Arial"/>
          <w:sz w:val="13"/>
          <w:szCs w:val="13"/>
          <w:i w:val="1"/>
          <w:iCs w:val="1"/>
          <w:color w:val="auto"/>
        </w:rPr>
        <w:t>See Additional Information for additional information regarding non-GAAP financial measures and reconciliations of non-GAAP financial measures to their most directly comparable GAAP financial measures</w:t>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940"/>
          </w:cols>
          <w:pgMar w:left="320" w:top="447" w:right="6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3F3F3F"/>
        </w:rPr>
        <w:t xml:space="preserve">Fiscal 2020 Shareholder Value Creation </w:t>
      </w:r>
      <w:r>
        <w:rPr>
          <w:sz w:val="1"/>
          <w:szCs w:val="1"/>
          <w:color w:val="auto"/>
        </w:rPr>
        <w:drawing>
          <wp:inline distT="0" distB="0" distL="0" distR="0">
            <wp:extent cx="4427855" cy="14033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427855" cy="14033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146050</wp:posOffset>
            </wp:positionV>
            <wp:extent cx="454025" cy="2806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54025" cy="280670"/>
                    </a:xfrm>
                    <a:prstGeom prst="rect">
                      <a:avLst/>
                    </a:prstGeom>
                    <a:noFill/>
                  </pic:spPr>
                </pic:pic>
              </a:graphicData>
            </a:graphic>
          </wp:anchor>
        </w:drawing>
        <w:drawing>
          <wp:anchor simplePos="0" relativeHeight="251657728" behindDoc="1" locked="0" layoutInCell="0" allowOverlap="1">
            <wp:simplePos x="0" y="0"/>
            <wp:positionH relativeFrom="column">
              <wp:posOffset>3298825</wp:posOffset>
            </wp:positionH>
            <wp:positionV relativeFrom="paragraph">
              <wp:posOffset>71755</wp:posOffset>
            </wp:positionV>
            <wp:extent cx="371475" cy="3549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71475" cy="354965"/>
                    </a:xfrm>
                    <a:prstGeom prst="rect">
                      <a:avLst/>
                    </a:prstGeom>
                    <a:noFill/>
                  </pic:spPr>
                </pic:pic>
              </a:graphicData>
            </a:graphic>
          </wp:anchor>
        </w:drawing>
        <w:drawing>
          <wp:anchor simplePos="0" relativeHeight="251657728" behindDoc="1" locked="0" layoutInCell="0" allowOverlap="1">
            <wp:simplePos x="0" y="0"/>
            <wp:positionH relativeFrom="column">
              <wp:posOffset>5545455</wp:posOffset>
            </wp:positionH>
            <wp:positionV relativeFrom="paragraph">
              <wp:posOffset>71755</wp:posOffset>
            </wp:positionV>
            <wp:extent cx="363220" cy="3549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63220" cy="354965"/>
                    </a:xfrm>
                    <a:prstGeom prst="rect">
                      <a:avLst/>
                    </a:prstGeom>
                    <a:noFill/>
                  </pic:spPr>
                </pic:pic>
              </a:graphicData>
            </a:graphic>
          </wp:anchor>
        </w:drawing>
      </w:r>
    </w:p>
    <w:p>
      <w:pPr>
        <w:sectPr>
          <w:pgSz w:w="11900" w:h="16838" w:orient="portrait"/>
          <w:cols w:equalWidth="0" w:num="1">
            <w:col w:w="10760"/>
          </w:cols>
          <w:pgMar w:left="320" w:top="447"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Returned $1.1B to shareholders</w:t>
      </w:r>
    </w:p>
    <w:p>
      <w:pPr>
        <w:spacing w:after="0" w:line="4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the form of dividends and</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share repurchases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Increased our dividends per</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share paid to shareholders by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15% on an annualized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spacing w:after="0" w:line="306" w:lineRule="auto"/>
        <w:rPr>
          <w:sz w:val="20"/>
          <w:szCs w:val="20"/>
          <w:color w:val="auto"/>
        </w:rPr>
      </w:pPr>
      <w:r>
        <w:rPr>
          <w:rFonts w:ascii="Arial" w:cs="Arial" w:eastAsia="Arial" w:hAnsi="Arial"/>
          <w:sz w:val="15"/>
          <w:szCs w:val="15"/>
          <w:color w:val="auto"/>
        </w:rPr>
        <w:t>1-, 3- and 5-year TSR</w:t>
      </w:r>
      <w:r>
        <w:rPr>
          <w:rFonts w:ascii="Arial" w:cs="Arial" w:eastAsia="Arial" w:hAnsi="Arial"/>
          <w:sz w:val="12"/>
          <w:szCs w:val="12"/>
          <w:color w:val="auto"/>
        </w:rPr>
        <w:t>1</w:t>
      </w:r>
      <w:r>
        <w:rPr>
          <w:rFonts w:ascii="Arial" w:cs="Arial" w:eastAsia="Arial" w:hAnsi="Arial"/>
          <w:sz w:val="15"/>
          <w:szCs w:val="15"/>
          <w:color w:val="auto"/>
        </w:rPr>
        <w:t xml:space="preserve"> of 12%, 38% and 121%, respectively, which outperformed the S&amp;P 500 over the same periods</w:t>
      </w:r>
    </w:p>
    <w:p>
      <w:pPr>
        <w:spacing w:after="0" w:line="57" w:lineRule="exact"/>
        <w:rPr>
          <w:sz w:val="20"/>
          <w:szCs w:val="20"/>
          <w:color w:val="auto"/>
        </w:rPr>
      </w:pPr>
    </w:p>
    <w:p>
      <w:pPr>
        <w:sectPr>
          <w:pgSz w:w="11900" w:h="16838" w:orient="portrait"/>
          <w:cols w:equalWidth="0" w:num="3">
            <w:col w:w="4480" w:space="720"/>
            <w:col w:w="2820" w:space="720"/>
            <w:col w:w="2020"/>
          </w:cols>
          <w:pgMar w:left="320" w:top="447" w:right="819" w:bottom="1440" w:gutter="0" w:footer="0" w:header="0"/>
          <w:type w:val="continuous"/>
        </w:sectPr>
      </w:pPr>
    </w:p>
    <w:p>
      <w:pPr>
        <w:ind w:left="680" w:right="480" w:hanging="205"/>
        <w:spacing w:after="0" w:line="262" w:lineRule="auto"/>
        <w:tabs>
          <w:tab w:leader="none" w:pos="680" w:val="left"/>
        </w:tabs>
        <w:numPr>
          <w:ilvl w:val="0"/>
          <w:numId w:val="38"/>
        </w:numPr>
        <w:rPr>
          <w:rFonts w:ascii="Arial" w:cs="Arial" w:eastAsia="Arial" w:hAnsi="Arial"/>
          <w:sz w:val="13"/>
          <w:szCs w:val="13"/>
          <w:i w:val="1"/>
          <w:iCs w:val="1"/>
          <w:color w:val="auto"/>
        </w:rPr>
      </w:pPr>
      <w:r>
        <w:rPr>
          <w:rFonts w:ascii="Arial" w:cs="Arial" w:eastAsia="Arial" w:hAnsi="Arial"/>
          <w:sz w:val="13"/>
          <w:szCs w:val="13"/>
          <w:i w:val="1"/>
          <w:iCs w:val="1"/>
          <w:color w:val="auto"/>
        </w:rPr>
        <w:t>Total Shareholder Return, or TSR, calculation is share price appreciation plus cumulative cash dividend payments, and the effect of reinvesting those dividends into the security, for the one-, three- and five-year periods ended October 31, 2020.</w:t>
      </w:r>
    </w:p>
    <w:p>
      <w:pPr>
        <w:spacing w:after="0" w:line="66" w:lineRule="exact"/>
        <w:rPr>
          <w:sz w:val="20"/>
          <w:szCs w:val="20"/>
          <w:color w:val="auto"/>
        </w:rPr>
      </w:pPr>
    </w:p>
    <w:p>
      <w:pPr>
        <w:ind w:left="480" w:right="700"/>
        <w:spacing w:after="0" w:line="286" w:lineRule="auto"/>
        <w:rPr>
          <w:sz w:val="20"/>
          <w:szCs w:val="20"/>
          <w:color w:val="auto"/>
        </w:rPr>
      </w:pPr>
      <w:r>
        <w:rPr>
          <w:rFonts w:ascii="Arial" w:cs="Arial" w:eastAsia="Arial" w:hAnsi="Arial"/>
          <w:sz w:val="17"/>
          <w:szCs w:val="17"/>
          <w:color w:val="auto"/>
        </w:rPr>
        <w:t>Our executive compensation program is designed to attract and retain top executive talent and align the interests of our executives and our shareholders. We accomplish this through the following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125095</wp:posOffset>
            </wp:positionV>
            <wp:extent cx="6203950" cy="4794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03950" cy="479425"/>
                    </a:xfrm>
                    <a:prstGeom prst="rect">
                      <a:avLst/>
                    </a:prstGeom>
                    <a:noFill/>
                  </pic:spPr>
                </pic:pic>
              </a:graphicData>
            </a:graphic>
          </wp:anchor>
        </w:drawing>
      </w:r>
    </w:p>
    <w:p>
      <w:pPr>
        <w:sectPr>
          <w:pgSz w:w="11900" w:h="16838" w:orient="portrait"/>
          <w:cols w:equalWidth="0" w:num="1">
            <w:col w:w="10760"/>
          </w:cols>
          <w:pgMar w:left="320" w:top="447"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0"/>
        <w:spacing w:after="0" w:line="280" w:lineRule="auto"/>
        <w:rPr>
          <w:sz w:val="20"/>
          <w:szCs w:val="20"/>
          <w:color w:val="auto"/>
        </w:rPr>
      </w:pPr>
      <w:r>
        <w:rPr>
          <w:rFonts w:ascii="Arial" w:cs="Arial" w:eastAsia="Arial" w:hAnsi="Arial"/>
          <w:sz w:val="16"/>
          <w:szCs w:val="16"/>
          <w:b w:val="1"/>
          <w:bCs w:val="1"/>
          <w:color w:val="0066BA"/>
        </w:rPr>
        <w:t xml:space="preserve">First, we ensure our executive compensation is competitive </w:t>
      </w:r>
      <w:r>
        <w:rPr>
          <w:rFonts w:ascii="Arial" w:cs="Arial" w:eastAsia="Arial" w:hAnsi="Arial"/>
          <w:sz w:val="16"/>
          <w:szCs w:val="16"/>
          <w:color w:val="000000"/>
        </w:rPr>
        <w:t>and attracts and</w:t>
      </w:r>
      <w:r>
        <w:rPr>
          <w:rFonts w:ascii="Arial" w:cs="Arial" w:eastAsia="Arial" w:hAnsi="Arial"/>
          <w:sz w:val="16"/>
          <w:szCs w:val="16"/>
          <w:b w:val="1"/>
          <w:bCs w:val="1"/>
          <w:color w:val="0066BA"/>
        </w:rPr>
        <w:t xml:space="preserve"> </w:t>
      </w:r>
      <w:r>
        <w:rPr>
          <w:rFonts w:ascii="Arial" w:cs="Arial" w:eastAsia="Arial" w:hAnsi="Arial"/>
          <w:sz w:val="16"/>
          <w:szCs w:val="16"/>
          <w:color w:val="000000"/>
        </w:rPr>
        <w:t>retains top executive talent by understanding how the total target compensation (consisting of salary, bonus, and equity awards) of our NEOs compares to the total target compensation of those in similar positions within our peer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color w:val="0066BA"/>
        </w:rPr>
        <w:t>We then consider a variety of factors</w:t>
      </w:r>
      <w:r>
        <w:rPr>
          <w:rFonts w:ascii="Arial" w:cs="Arial" w:eastAsia="Arial" w:hAnsi="Arial"/>
          <w:sz w:val="17"/>
          <w:szCs w:val="17"/>
          <w:color w:val="000000"/>
        </w:rPr>
        <w:t>,</w:t>
      </w:r>
      <w:r>
        <w:rPr>
          <w:rFonts w:ascii="Arial" w:cs="Arial" w:eastAsia="Arial" w:hAnsi="Arial"/>
          <w:sz w:val="17"/>
          <w:szCs w:val="17"/>
          <w:b w:val="1"/>
          <w:bCs w:val="1"/>
          <w:color w:val="0066BA"/>
        </w:rPr>
        <w:t xml:space="preserve"> </w:t>
      </w:r>
      <w:r>
        <w:rPr>
          <w:rFonts w:ascii="Arial" w:cs="Arial" w:eastAsia="Arial" w:hAnsi="Arial"/>
          <w:sz w:val="17"/>
          <w:szCs w:val="17"/>
          <w:color w:val="000000"/>
        </w:rPr>
        <w:t>including the scope of the role, tenure in the position, and the performance and experience of the individual when deciding how to position each NEO’s total target compensation to the total target compensation of those in similar positions within our peer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We structure our compensation</w:t>
      </w:r>
    </w:p>
    <w:p>
      <w:pPr>
        <w:spacing w:after="0" w:line="3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b w:val="1"/>
          <w:bCs w:val="1"/>
          <w:color w:val="0066BA"/>
        </w:rPr>
        <w:t xml:space="preserve">package to align executives’ interests with those of our shareholders </w:t>
      </w:r>
      <w:r>
        <w:rPr>
          <w:rFonts w:ascii="Arial" w:cs="Arial" w:eastAsia="Arial" w:hAnsi="Arial"/>
          <w:sz w:val="16"/>
          <w:szCs w:val="16"/>
          <w:color w:val="000000"/>
        </w:rPr>
        <w:t>by tying a</w:t>
      </w:r>
      <w:r>
        <w:rPr>
          <w:rFonts w:ascii="Arial" w:cs="Arial" w:eastAsia="Arial" w:hAnsi="Arial"/>
          <w:sz w:val="16"/>
          <w:szCs w:val="16"/>
          <w:b w:val="1"/>
          <w:bCs w:val="1"/>
          <w:color w:val="0066BA"/>
        </w:rPr>
        <w:t xml:space="preserve"> </w:t>
      </w:r>
      <w:r>
        <w:rPr>
          <w:rFonts w:ascii="Arial" w:cs="Arial" w:eastAsia="Arial" w:hAnsi="Arial"/>
          <w:sz w:val="16"/>
          <w:szCs w:val="16"/>
          <w:color w:val="000000"/>
        </w:rPr>
        <w:t>significant portion of their total compensation directly to ADI’s short- and long-term performance. For the NEOs this is measured by OPBT, OPBT margin, year-over-year revenue growth, absolute stock price appreciation, and relative total shareholder return, which all drive shareholder value.</w:t>
      </w:r>
    </w:p>
    <w:p>
      <w:pPr>
        <w:spacing w:after="0" w:line="200" w:lineRule="exact"/>
        <w:rPr>
          <w:sz w:val="20"/>
          <w:szCs w:val="20"/>
          <w:color w:val="auto"/>
        </w:rPr>
      </w:pPr>
    </w:p>
    <w:p>
      <w:pPr>
        <w:sectPr>
          <w:pgSz w:w="11900" w:h="16838" w:orient="portrait"/>
          <w:cols w:equalWidth="0" w:num="3">
            <w:col w:w="3960" w:space="140"/>
            <w:col w:w="3160" w:space="220"/>
            <w:col w:w="3280"/>
          </w:cols>
          <w:pgMar w:left="320" w:top="447" w:right="819" w:bottom="1440" w:gutter="0" w:footer="0" w:header="0"/>
          <w:type w:val="continuous"/>
        </w:sectPr>
      </w:pPr>
    </w:p>
    <w:p>
      <w:pPr>
        <w:spacing w:after="0" w:line="77"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Pay and Governance Best Practices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Our pay and governance practices are designed to align our executives’ interests with our shareholders. For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187325</wp:posOffset>
            </wp:positionV>
            <wp:extent cx="654240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42405" cy="8255"/>
                    </a:xfrm>
                    <a:prstGeom prst="rect">
                      <a:avLst/>
                    </a:prstGeom>
                    <a:noFill/>
                  </pic:spPr>
                </pic:pic>
              </a:graphicData>
            </a:graphic>
          </wp:anchor>
        </w:drawing>
      </w:r>
    </w:p>
    <w:p>
      <w:pPr>
        <w:sectPr>
          <w:pgSz w:w="11900" w:h="16838" w:orient="portrait"/>
          <w:cols w:equalWidth="0" w:num="1">
            <w:col w:w="10760"/>
          </w:cols>
          <w:pgMar w:left="320" w:top="447" w:right="819" w:bottom="1440" w:gutter="0" w:footer="0" w:header="0"/>
          <w:type w:val="continuous"/>
        </w:sectPr>
      </w:pPr>
    </w:p>
    <w:p>
      <w:pPr>
        <w:spacing w:after="0" w:line="400" w:lineRule="exact"/>
        <w:rPr>
          <w:sz w:val="20"/>
          <w:szCs w:val="20"/>
          <w:color w:val="auto"/>
        </w:rPr>
      </w:pPr>
    </w:p>
    <w:p>
      <w:pPr>
        <w:ind w:left="620" w:right="320" w:hanging="141"/>
        <w:spacing w:after="0" w:line="263" w:lineRule="auto"/>
        <w:tabs>
          <w:tab w:leader="none" w:pos="629"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cash incentive bonus awards are based solely on our financial performance</w:t>
      </w:r>
    </w:p>
    <w:p>
      <w:pPr>
        <w:ind w:left="620" w:right="120" w:hanging="141"/>
        <w:spacing w:after="0" w:line="263" w:lineRule="auto"/>
        <w:tabs>
          <w:tab w:leader="none" w:pos="619"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significant portion of equity awards are contingent upon long-term performance achievement</w:t>
      </w:r>
    </w:p>
    <w:p>
      <w:pPr>
        <w:ind w:left="620" w:right="20" w:hanging="141"/>
        <w:spacing w:after="0" w:line="263" w:lineRule="auto"/>
        <w:tabs>
          <w:tab w:leader="none" w:pos="629"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Incentive awards are tied to rigorous performance targets aligned with our corporate strategy</w:t>
      </w:r>
    </w:p>
    <w:p>
      <w:pPr>
        <w:ind w:left="620" w:hanging="141"/>
        <w:spacing w:after="0" w:line="286" w:lineRule="auto"/>
        <w:tabs>
          <w:tab w:leader="none" w:pos="629" w:val="left"/>
        </w:tabs>
        <w:numPr>
          <w:ilvl w:val="0"/>
          <w:numId w:val="39"/>
        </w:numPr>
        <w:rPr>
          <w:rFonts w:ascii="Arial" w:cs="Arial" w:eastAsia="Arial" w:hAnsi="Arial"/>
          <w:sz w:val="17"/>
          <w:szCs w:val="17"/>
          <w:color w:val="auto"/>
        </w:rPr>
      </w:pPr>
      <w:r>
        <w:rPr>
          <w:rFonts w:ascii="Arial" w:cs="Arial" w:eastAsia="Arial" w:hAnsi="Arial"/>
          <w:sz w:val="17"/>
          <w:szCs w:val="17"/>
          <w:color w:val="auto"/>
        </w:rPr>
        <w:t>Payout for relative TSR-based awards capped at target for instances of negative absolute TSR</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both"/>
        <w:ind w:left="142" w:right="140" w:hanging="142"/>
        <w:spacing w:after="0" w:line="260" w:lineRule="auto"/>
        <w:tabs>
          <w:tab w:leader="none" w:pos="147"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recently adopted a clawback policy for all executive officers in the event of a material financial restatement due to fraud or willful misconduct</w:t>
      </w:r>
    </w:p>
    <w:p>
      <w:pPr>
        <w:spacing w:after="0" w:line="2" w:lineRule="exact"/>
        <w:rPr>
          <w:rFonts w:ascii="Arial" w:cs="Arial" w:eastAsia="Arial" w:hAnsi="Arial"/>
          <w:sz w:val="17"/>
          <w:szCs w:val="17"/>
          <w:color w:val="auto"/>
        </w:rPr>
      </w:pPr>
    </w:p>
    <w:p>
      <w:pPr>
        <w:ind w:left="142" w:right="40" w:hanging="142"/>
        <w:spacing w:after="0" w:line="260" w:lineRule="auto"/>
        <w:tabs>
          <w:tab w:leader="none" w:pos="147"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have a specific policy regarding the grant dates of stock options, RSUs and other stock-based awards for our directors, executive officers and employees</w:t>
      </w:r>
    </w:p>
    <w:p>
      <w:pPr>
        <w:spacing w:after="0" w:line="2" w:lineRule="exact"/>
        <w:rPr>
          <w:rFonts w:ascii="Arial" w:cs="Arial" w:eastAsia="Arial" w:hAnsi="Arial"/>
          <w:sz w:val="17"/>
          <w:szCs w:val="17"/>
          <w:color w:val="auto"/>
        </w:rPr>
      </w:pPr>
    </w:p>
    <w:p>
      <w:pPr>
        <w:ind w:left="142" w:hanging="142"/>
        <w:spacing w:after="0"/>
        <w:tabs>
          <w:tab w:leader="none" w:pos="142"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have stock ownership guidelines for all officers and directors</w:t>
      </w:r>
    </w:p>
    <w:p>
      <w:pPr>
        <w:spacing w:after="0" w:line="37" w:lineRule="exact"/>
        <w:rPr>
          <w:rFonts w:ascii="Arial" w:cs="Arial" w:eastAsia="Arial" w:hAnsi="Arial"/>
          <w:sz w:val="16"/>
          <w:szCs w:val="16"/>
          <w:color w:val="auto"/>
        </w:rPr>
      </w:pPr>
    </w:p>
    <w:p>
      <w:pPr>
        <w:ind w:left="142" w:hanging="142"/>
        <w:spacing w:after="0"/>
        <w:tabs>
          <w:tab w:leader="none" w:pos="142"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prohibit hedging and pledging of ADI securities</w:t>
      </w:r>
    </w:p>
    <w:p>
      <w:pPr>
        <w:spacing w:after="0" w:line="25" w:lineRule="exact"/>
        <w:rPr>
          <w:rFonts w:ascii="Arial" w:cs="Arial" w:eastAsia="Arial" w:hAnsi="Arial"/>
          <w:sz w:val="17"/>
          <w:szCs w:val="17"/>
          <w:color w:val="auto"/>
        </w:rPr>
      </w:pPr>
    </w:p>
    <w:p>
      <w:pPr>
        <w:ind w:left="142" w:hanging="142"/>
        <w:spacing w:after="0"/>
        <w:tabs>
          <w:tab w:leader="none" w:pos="142"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Annual “say on pay” vote</w:t>
      </w:r>
    </w:p>
    <w:p>
      <w:pPr>
        <w:spacing w:after="0" w:line="200" w:lineRule="exact"/>
        <w:rPr>
          <w:sz w:val="20"/>
          <w:szCs w:val="20"/>
          <w:color w:val="auto"/>
        </w:rPr>
      </w:pPr>
    </w:p>
    <w:p>
      <w:pPr>
        <w:sectPr>
          <w:pgSz w:w="11900" w:h="16838" w:orient="portrait"/>
          <w:cols w:equalWidth="0" w:num="2">
            <w:col w:w="5520" w:space="318"/>
            <w:col w:w="4922"/>
          </w:cols>
          <w:pgMar w:left="320" w:top="447" w:right="819" w:bottom="1440" w:gutter="0" w:footer="0" w:header="0"/>
          <w:type w:val="continuous"/>
        </w:sect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0760"/>
          </w:cols>
          <w:pgMar w:left="320" w:top="447" w:right="819" w:bottom="1440" w:gutter="0" w:footer="0" w:header="0"/>
          <w:type w:val="continuous"/>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333333"/>
        </w:rPr>
        <w:t>Pay for Performance</w:t>
      </w:r>
    </w:p>
    <w:p>
      <w:pPr>
        <w:spacing w:after="0" w:line="109" w:lineRule="exact"/>
        <w:rPr>
          <w:sz w:val="20"/>
          <w:szCs w:val="20"/>
          <w:color w:val="auto"/>
        </w:rPr>
      </w:pPr>
    </w:p>
    <w:p>
      <w:pPr>
        <w:ind w:left="480" w:right="240"/>
        <w:spacing w:after="0" w:line="287" w:lineRule="auto"/>
        <w:rPr>
          <w:sz w:val="20"/>
          <w:szCs w:val="20"/>
          <w:color w:val="auto"/>
        </w:rPr>
      </w:pPr>
      <w:r>
        <w:rPr>
          <w:rFonts w:ascii="Arial" w:cs="Arial" w:eastAsia="Arial" w:hAnsi="Arial"/>
          <w:sz w:val="16"/>
          <w:szCs w:val="16"/>
          <w:color w:val="auto"/>
        </w:rPr>
        <w:t>A significant portion of the total target compensation for our executives is in the form of variable, performance-based incentive compensation, with only a small portion of the total target compensation provided in the form of “fixed” compensation. We believe this provides our executives an opportunity to earn above peer average compensation if ADI delivers strong results, and conversely, if the Company delivers weaker results, our executives would earn less compensation. The target pay mix for our NEOs for fiscal 2020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126365</wp:posOffset>
            </wp:positionV>
            <wp:extent cx="5526405" cy="22548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26405"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0" w:right="380"/>
        <w:spacing w:after="0" w:line="323" w:lineRule="auto"/>
        <w:rPr>
          <w:sz w:val="20"/>
          <w:szCs w:val="20"/>
          <w:color w:val="auto"/>
        </w:rPr>
      </w:pPr>
      <w:r>
        <w:rPr>
          <w:rFonts w:ascii="Arial" w:cs="Arial" w:eastAsia="Arial" w:hAnsi="Arial"/>
          <w:sz w:val="15"/>
          <w:szCs w:val="15"/>
          <w:color w:val="auto"/>
        </w:rPr>
        <w:t>The pay mix charts above are based on target compensation consisting of the annual rate of base salary and short-term and long-term incentive targets approved by the Compensation Committee. For more information about the components of the performance and incentive pay mix for our Named Executive Officer Compensation, see “Compensation Discussion and Analysis—Components of Executive Compensation.”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333333"/>
        </w:rPr>
        <w:t>Summary of Direct Compensation Elements</w:t>
      </w:r>
    </w:p>
    <w:p>
      <w:pPr>
        <w:spacing w:after="0" w:line="109" w:lineRule="exact"/>
        <w:rPr>
          <w:sz w:val="20"/>
          <w:szCs w:val="20"/>
          <w:color w:val="auto"/>
        </w:rPr>
      </w:pPr>
    </w:p>
    <w:p>
      <w:pPr>
        <w:ind w:left="480" w:right="780"/>
        <w:spacing w:after="0" w:line="286" w:lineRule="auto"/>
        <w:rPr>
          <w:sz w:val="20"/>
          <w:szCs w:val="20"/>
          <w:color w:val="auto"/>
        </w:rPr>
      </w:pPr>
      <w:r>
        <w:rPr>
          <w:rFonts w:ascii="Arial" w:cs="Arial" w:eastAsia="Arial" w:hAnsi="Arial"/>
          <w:sz w:val="17"/>
          <w:szCs w:val="17"/>
          <w:color w:val="auto"/>
        </w:rPr>
        <w:t>We provide a mix of compensation elements that support our goals of attracting and retaining top executive talent and incentivizing our key performance objectives in the short- and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125095</wp:posOffset>
            </wp:positionV>
            <wp:extent cx="3039745" cy="4959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039745" cy="495935"/>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sectPr>
      </w:pPr>
    </w:p>
    <w:p>
      <w:pPr>
        <w:spacing w:after="0" w:line="197" w:lineRule="exact"/>
        <w:rPr>
          <w:sz w:val="20"/>
          <w:szCs w:val="20"/>
          <w:color w:val="auto"/>
        </w:rPr>
      </w:pPr>
    </w:p>
    <w:tbl>
      <w:tblPr>
        <w:tblLayout w:type="fixed"/>
        <w:tblInd w:w="480" w:type="dxa"/>
        <w:tblCellMar>
          <w:top w:w="0" w:type="dxa"/>
          <w:left w:w="0" w:type="dxa"/>
          <w:bottom w:w="0" w:type="dxa"/>
          <w:right w:w="0" w:type="dxa"/>
        </w:tblCellMar>
      </w:tblPr>
      <w:tr>
        <w:trPr>
          <w:trHeight w:val="481"/>
        </w:trPr>
        <w:tc>
          <w:tcPr>
            <w:tcW w:w="1140" w:type="dxa"/>
            <w:vAlign w:val="bottom"/>
            <w:shd w:val="clear" w:color="auto" w:fill="CCCCCC"/>
          </w:tcPr>
          <w:p>
            <w:pPr>
              <w:ind w:left="60"/>
              <w:spacing w:after="0"/>
              <w:rPr>
                <w:sz w:val="20"/>
                <w:szCs w:val="20"/>
                <w:color w:val="auto"/>
              </w:rPr>
            </w:pPr>
            <w:r>
              <w:rPr>
                <w:rFonts w:ascii="Arial" w:cs="Arial" w:eastAsia="Arial" w:hAnsi="Arial"/>
                <w:sz w:val="17"/>
                <w:szCs w:val="17"/>
                <w:b w:val="1"/>
                <w:bCs w:val="1"/>
                <w:color w:val="auto"/>
              </w:rPr>
              <w:t>Pay Element</w:t>
            </w:r>
          </w:p>
        </w:tc>
        <w:tc>
          <w:tcPr>
            <w:tcW w:w="1240" w:type="dxa"/>
            <w:vAlign w:val="bottom"/>
            <w:shd w:val="clear" w:color="auto" w:fill="CCCCCC"/>
          </w:tcPr>
          <w:p>
            <w:pPr>
              <w:spacing w:after="0"/>
              <w:rPr>
                <w:sz w:val="24"/>
                <w:szCs w:val="24"/>
                <w:color w:val="auto"/>
              </w:rPr>
            </w:pPr>
          </w:p>
        </w:tc>
        <w:tc>
          <w:tcPr>
            <w:tcW w:w="520" w:type="dxa"/>
            <w:vAlign w:val="bottom"/>
          </w:tcPr>
          <w:p>
            <w:pPr>
              <w:spacing w:after="0"/>
              <w:rPr>
                <w:sz w:val="24"/>
                <w:szCs w:val="24"/>
                <w:color w:val="auto"/>
              </w:rPr>
            </w:pPr>
          </w:p>
        </w:tc>
        <w:tc>
          <w:tcPr>
            <w:tcW w:w="2080" w:type="dxa"/>
            <w:vAlign w:val="bottom"/>
            <w:shd w:val="clear" w:color="auto" w:fill="B2D1EA"/>
          </w:tcPr>
          <w:p>
            <w:pPr>
              <w:ind w:left="180"/>
              <w:spacing w:after="0"/>
              <w:rPr>
                <w:sz w:val="20"/>
                <w:szCs w:val="20"/>
                <w:color w:val="auto"/>
              </w:rPr>
            </w:pPr>
            <w:r>
              <w:rPr>
                <w:rFonts w:ascii="Arial" w:cs="Arial" w:eastAsia="Arial" w:hAnsi="Arial"/>
                <w:sz w:val="17"/>
                <w:szCs w:val="17"/>
                <w:b w:val="1"/>
                <w:bCs w:val="1"/>
                <w:color w:val="auto"/>
              </w:rPr>
              <w:t>Purpose</w:t>
            </w:r>
          </w:p>
        </w:tc>
      </w:tr>
      <w:tr>
        <w:trPr>
          <w:trHeight w:val="299"/>
        </w:trPr>
        <w:tc>
          <w:tcPr>
            <w:tcW w:w="1140" w:type="dxa"/>
            <w:vAlign w:val="bottom"/>
            <w:shd w:val="clear" w:color="auto" w:fill="CCCCCC"/>
          </w:tcPr>
          <w:p>
            <w:pPr>
              <w:spacing w:after="0"/>
              <w:rPr>
                <w:sz w:val="24"/>
                <w:szCs w:val="24"/>
                <w:color w:val="auto"/>
              </w:rPr>
            </w:pPr>
          </w:p>
        </w:tc>
        <w:tc>
          <w:tcPr>
            <w:tcW w:w="1240" w:type="dxa"/>
            <w:vAlign w:val="bottom"/>
            <w:shd w:val="clear" w:color="auto" w:fill="CCCCCC"/>
          </w:tcPr>
          <w:p>
            <w:pPr>
              <w:spacing w:after="0"/>
              <w:rPr>
                <w:sz w:val="24"/>
                <w:szCs w:val="24"/>
                <w:color w:val="auto"/>
              </w:rPr>
            </w:pPr>
          </w:p>
        </w:tc>
        <w:tc>
          <w:tcPr>
            <w:tcW w:w="520" w:type="dxa"/>
            <w:vAlign w:val="bottom"/>
          </w:tcPr>
          <w:p>
            <w:pPr>
              <w:spacing w:after="0"/>
              <w:rPr>
                <w:sz w:val="24"/>
                <w:szCs w:val="24"/>
                <w:color w:val="auto"/>
              </w:rPr>
            </w:pPr>
          </w:p>
        </w:tc>
        <w:tc>
          <w:tcPr>
            <w:tcW w:w="2080" w:type="dxa"/>
            <w:vAlign w:val="bottom"/>
            <w:shd w:val="clear" w:color="auto" w:fill="B2D1EA"/>
          </w:tcPr>
          <w:p>
            <w:pPr>
              <w:spacing w:after="0"/>
              <w:rPr>
                <w:sz w:val="24"/>
                <w:szCs w:val="24"/>
                <w:color w:val="auto"/>
              </w:rPr>
            </w:pPr>
          </w:p>
        </w:tc>
      </w:tr>
      <w:tr>
        <w:trPr>
          <w:trHeight w:val="248"/>
        </w:trPr>
        <w:tc>
          <w:tcPr>
            <w:tcW w:w="1140" w:type="dxa"/>
            <w:vAlign w:val="bottom"/>
          </w:tcPr>
          <w:p>
            <w:pPr>
              <w:spacing w:after="0"/>
              <w:rPr>
                <w:sz w:val="20"/>
                <w:szCs w:val="20"/>
                <w:color w:val="auto"/>
              </w:rPr>
            </w:pPr>
            <w:r>
              <w:rPr>
                <w:rFonts w:ascii="Arial" w:cs="Arial" w:eastAsia="Arial" w:hAnsi="Arial"/>
                <w:sz w:val="17"/>
                <w:szCs w:val="17"/>
                <w:color w:val="auto"/>
              </w:rPr>
              <w:t>• Base Salary</w:t>
            </w:r>
          </w:p>
        </w:tc>
        <w:tc>
          <w:tcPr>
            <w:tcW w:w="1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80" w:type="dxa"/>
            <w:vAlign w:val="bottom"/>
          </w:tcPr>
          <w:p>
            <w:pPr>
              <w:ind w:left="120"/>
              <w:spacing w:after="0"/>
              <w:rPr>
                <w:sz w:val="20"/>
                <w:szCs w:val="20"/>
                <w:color w:val="auto"/>
              </w:rPr>
            </w:pPr>
            <w:r>
              <w:rPr>
                <w:rFonts w:ascii="Arial" w:cs="Arial" w:eastAsia="Arial" w:hAnsi="Arial"/>
                <w:sz w:val="17"/>
                <w:szCs w:val="17"/>
                <w:color w:val="auto"/>
              </w:rPr>
              <w:t>• Attract and retain</w:t>
            </w:r>
          </w:p>
        </w:tc>
      </w:tr>
      <w:tr>
        <w:trPr>
          <w:trHeight w:val="221"/>
        </w:trPr>
        <w:tc>
          <w:tcPr>
            <w:tcW w:w="1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80" w:type="dxa"/>
            <w:vAlign w:val="bottom"/>
          </w:tcPr>
          <w:p>
            <w:pPr>
              <w:ind w:left="260"/>
              <w:spacing w:after="0"/>
              <w:rPr>
                <w:sz w:val="20"/>
                <w:szCs w:val="20"/>
                <w:color w:val="auto"/>
              </w:rPr>
            </w:pPr>
            <w:r>
              <w:rPr>
                <w:rFonts w:ascii="Arial" w:cs="Arial" w:eastAsia="Arial" w:hAnsi="Arial"/>
                <w:sz w:val="17"/>
                <w:szCs w:val="17"/>
                <w:color w:val="auto"/>
              </w:rPr>
              <w:t>executive talent</w:t>
            </w:r>
          </w:p>
        </w:tc>
      </w:tr>
      <w:tr>
        <w:trPr>
          <w:trHeight w:val="78"/>
        </w:trPr>
        <w:tc>
          <w:tcPr>
            <w:tcW w:w="2380" w:type="dxa"/>
            <w:vAlign w:val="bottom"/>
            <w:tcBorders>
              <w:bottom w:val="single" w:sz="8" w:color="0066BA"/>
            </w:tcBorders>
            <w:gridSpan w:val="2"/>
          </w:tcPr>
          <w:p>
            <w:pPr>
              <w:spacing w:after="0"/>
              <w:rPr>
                <w:sz w:val="6"/>
                <w:szCs w:val="6"/>
                <w:color w:val="auto"/>
              </w:rPr>
            </w:pPr>
          </w:p>
        </w:tc>
        <w:tc>
          <w:tcPr>
            <w:tcW w:w="520" w:type="dxa"/>
            <w:vAlign w:val="bottom"/>
          </w:tcPr>
          <w:p>
            <w:pPr>
              <w:spacing w:after="0"/>
              <w:rPr>
                <w:sz w:val="6"/>
                <w:szCs w:val="6"/>
                <w:color w:val="auto"/>
              </w:rPr>
            </w:pPr>
          </w:p>
        </w:tc>
        <w:tc>
          <w:tcPr>
            <w:tcW w:w="2080" w:type="dxa"/>
            <w:vAlign w:val="bottom"/>
            <w:tcBorders>
              <w:bottom w:val="single" w:sz="8" w:color="0066BA"/>
            </w:tcBorders>
          </w:tcPr>
          <w:p>
            <w:pPr>
              <w:spacing w:after="0"/>
              <w:rPr>
                <w:sz w:val="6"/>
                <w:szCs w:val="6"/>
                <w:color w:val="auto"/>
              </w:rPr>
            </w:pPr>
          </w:p>
        </w:tc>
      </w:tr>
      <w:tr>
        <w:trPr>
          <w:trHeight w:val="228"/>
        </w:trPr>
        <w:tc>
          <w:tcPr>
            <w:tcW w:w="2900" w:type="dxa"/>
            <w:vAlign w:val="bottom"/>
            <w:gridSpan w:val="3"/>
          </w:tcPr>
          <w:p>
            <w:pPr>
              <w:spacing w:after="0"/>
              <w:rPr>
                <w:sz w:val="20"/>
                <w:szCs w:val="20"/>
                <w:color w:val="auto"/>
              </w:rPr>
            </w:pPr>
            <w:r>
              <w:rPr>
                <w:rFonts w:ascii="Arial" w:cs="Arial" w:eastAsia="Arial" w:hAnsi="Arial"/>
                <w:sz w:val="17"/>
                <w:szCs w:val="17"/>
                <w:color w:val="auto"/>
              </w:rPr>
              <w:t>• Variable Cash Incentive</w:t>
            </w:r>
          </w:p>
        </w:tc>
        <w:tc>
          <w:tcPr>
            <w:tcW w:w="2080" w:type="dxa"/>
            <w:vAlign w:val="bottom"/>
          </w:tcPr>
          <w:p>
            <w:pPr>
              <w:ind w:left="120"/>
              <w:spacing w:after="0"/>
              <w:rPr>
                <w:sz w:val="20"/>
                <w:szCs w:val="20"/>
                <w:color w:val="auto"/>
              </w:rPr>
            </w:pPr>
            <w:r>
              <w:rPr>
                <w:rFonts w:ascii="Arial" w:cs="Arial" w:eastAsia="Arial" w:hAnsi="Arial"/>
                <w:sz w:val="17"/>
                <w:szCs w:val="17"/>
                <w:color w:val="auto"/>
              </w:rPr>
              <w:t>• Motivate and reward</w:t>
            </w:r>
          </w:p>
        </w:tc>
      </w:tr>
      <w:tr>
        <w:trPr>
          <w:trHeight w:val="208"/>
        </w:trPr>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tcPr>
          <w:p>
            <w:pPr>
              <w:ind w:left="260"/>
              <w:spacing w:after="0"/>
              <w:rPr>
                <w:sz w:val="20"/>
                <w:szCs w:val="20"/>
                <w:color w:val="auto"/>
              </w:rPr>
            </w:pPr>
            <w:r>
              <w:rPr>
                <w:rFonts w:ascii="Arial" w:cs="Arial" w:eastAsia="Arial" w:hAnsi="Arial"/>
                <w:sz w:val="17"/>
                <w:szCs w:val="17"/>
                <w:color w:val="auto"/>
                <w:w w:val="99"/>
              </w:rPr>
              <w:t>executives for achieving</w:t>
            </w:r>
          </w:p>
        </w:tc>
      </w:tr>
      <w:tr>
        <w:trPr>
          <w:trHeight w:val="208"/>
        </w:trPr>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tcPr>
          <w:p>
            <w:pPr>
              <w:ind w:left="260"/>
              <w:spacing w:after="0"/>
              <w:rPr>
                <w:sz w:val="20"/>
                <w:szCs w:val="20"/>
                <w:color w:val="auto"/>
              </w:rPr>
            </w:pPr>
            <w:r>
              <w:rPr>
                <w:rFonts w:ascii="Arial" w:cs="Arial" w:eastAsia="Arial" w:hAnsi="Arial"/>
                <w:sz w:val="17"/>
                <w:szCs w:val="17"/>
                <w:color w:val="auto"/>
              </w:rPr>
              <w:t>short-term Company</w:t>
            </w:r>
          </w:p>
        </w:tc>
      </w:tr>
      <w:tr>
        <w:trPr>
          <w:trHeight w:val="208"/>
        </w:trPr>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tcPr>
          <w:p>
            <w:pPr>
              <w:ind w:left="260"/>
              <w:spacing w:after="0"/>
              <w:rPr>
                <w:sz w:val="20"/>
                <w:szCs w:val="20"/>
                <w:color w:val="auto"/>
              </w:rPr>
            </w:pPr>
            <w:r>
              <w:rPr>
                <w:rFonts w:ascii="Arial" w:cs="Arial" w:eastAsia="Arial" w:hAnsi="Arial"/>
                <w:sz w:val="17"/>
                <w:szCs w:val="17"/>
                <w:color w:val="auto"/>
              </w:rPr>
              <w:t>financial objectives</w:t>
            </w:r>
          </w:p>
        </w:tc>
      </w:tr>
      <w:tr>
        <w:trPr>
          <w:trHeight w:val="208"/>
        </w:trPr>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tcPr>
          <w:p>
            <w:pPr>
              <w:ind w:left="260"/>
              <w:spacing w:after="0"/>
              <w:rPr>
                <w:sz w:val="20"/>
                <w:szCs w:val="20"/>
                <w:color w:val="auto"/>
              </w:rPr>
            </w:pPr>
            <w:r>
              <w:rPr>
                <w:rFonts w:ascii="Arial" w:cs="Arial" w:eastAsia="Arial" w:hAnsi="Arial"/>
                <w:sz w:val="17"/>
                <w:szCs w:val="17"/>
                <w:color w:val="auto"/>
              </w:rPr>
              <w:t>aligned with value</w:t>
            </w:r>
          </w:p>
        </w:tc>
      </w:tr>
      <w:tr>
        <w:trPr>
          <w:trHeight w:val="221"/>
        </w:trPr>
        <w:tc>
          <w:tcPr>
            <w:tcW w:w="1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80" w:type="dxa"/>
            <w:vAlign w:val="bottom"/>
          </w:tcPr>
          <w:p>
            <w:pPr>
              <w:ind w:left="260"/>
              <w:spacing w:after="0"/>
              <w:rPr>
                <w:sz w:val="20"/>
                <w:szCs w:val="20"/>
                <w:color w:val="auto"/>
              </w:rPr>
            </w:pPr>
            <w:r>
              <w:rPr>
                <w:rFonts w:ascii="Arial" w:cs="Arial" w:eastAsia="Arial" w:hAnsi="Arial"/>
                <w:sz w:val="17"/>
                <w:szCs w:val="17"/>
                <w:color w:val="auto"/>
              </w:rPr>
              <w:t>creation</w:t>
            </w:r>
          </w:p>
        </w:tc>
      </w:tr>
      <w:tr>
        <w:trPr>
          <w:trHeight w:val="351"/>
        </w:trPr>
        <w:tc>
          <w:tcPr>
            <w:tcW w:w="1140" w:type="dxa"/>
            <w:vAlign w:val="bottom"/>
            <w:tcBorders>
              <w:bottom w:val="single" w:sz="8" w:color="0066BA"/>
            </w:tcBorders>
          </w:tcPr>
          <w:p>
            <w:pPr>
              <w:spacing w:after="0"/>
              <w:rPr>
                <w:sz w:val="24"/>
                <w:szCs w:val="24"/>
                <w:color w:val="auto"/>
              </w:rPr>
            </w:pPr>
          </w:p>
        </w:tc>
        <w:tc>
          <w:tcPr>
            <w:tcW w:w="1240" w:type="dxa"/>
            <w:vAlign w:val="bottom"/>
            <w:tcBorders>
              <w:bottom w:val="single" w:sz="8" w:color="0066BA"/>
            </w:tcBorders>
          </w:tcPr>
          <w:p>
            <w:pPr>
              <w:spacing w:after="0"/>
              <w:rPr>
                <w:sz w:val="24"/>
                <w:szCs w:val="24"/>
                <w:color w:val="auto"/>
              </w:rPr>
            </w:pPr>
          </w:p>
        </w:tc>
        <w:tc>
          <w:tcPr>
            <w:tcW w:w="520" w:type="dxa"/>
            <w:vAlign w:val="bottom"/>
          </w:tcPr>
          <w:p>
            <w:pPr>
              <w:spacing w:after="0"/>
              <w:rPr>
                <w:sz w:val="24"/>
                <w:szCs w:val="24"/>
                <w:color w:val="auto"/>
              </w:rPr>
            </w:pPr>
          </w:p>
        </w:tc>
        <w:tc>
          <w:tcPr>
            <w:tcW w:w="2080" w:type="dxa"/>
            <w:vAlign w:val="bottom"/>
            <w:tcBorders>
              <w:bottom w:val="single" w:sz="8" w:color="0066BA"/>
            </w:tcBorders>
          </w:tcPr>
          <w:p>
            <w:pPr>
              <w:spacing w:after="0"/>
              <w:rPr>
                <w:sz w:val="24"/>
                <w:szCs w:val="24"/>
                <w:color w:val="auto"/>
              </w:rPr>
            </w:pPr>
          </w:p>
        </w:tc>
      </w:tr>
      <w:tr>
        <w:trPr>
          <w:trHeight w:val="228"/>
        </w:trPr>
        <w:tc>
          <w:tcPr>
            <w:tcW w:w="1140" w:type="dxa"/>
            <w:vAlign w:val="bottom"/>
          </w:tcPr>
          <w:p>
            <w:pPr>
              <w:spacing w:after="0"/>
              <w:rPr>
                <w:sz w:val="20"/>
                <w:szCs w:val="20"/>
                <w:color w:val="auto"/>
              </w:rPr>
            </w:pPr>
            <w:r>
              <w:rPr>
                <w:rFonts w:ascii="Arial" w:cs="Arial" w:eastAsia="Arial" w:hAnsi="Arial"/>
                <w:sz w:val="17"/>
                <w:szCs w:val="17"/>
                <w:color w:val="auto"/>
              </w:rPr>
              <w:t>• Annual</w:t>
            </w:r>
          </w:p>
        </w:tc>
        <w:tc>
          <w:tcPr>
            <w:tcW w:w="1760" w:type="dxa"/>
            <w:vAlign w:val="bottom"/>
            <w:gridSpan w:val="2"/>
          </w:tcPr>
          <w:p>
            <w:pPr>
              <w:ind w:left="100"/>
              <w:spacing w:after="0"/>
              <w:rPr>
                <w:sz w:val="20"/>
                <w:szCs w:val="20"/>
                <w:color w:val="auto"/>
              </w:rPr>
            </w:pPr>
            <w:r>
              <w:rPr>
                <w:rFonts w:ascii="Arial" w:cs="Arial" w:eastAsia="Arial" w:hAnsi="Arial"/>
                <w:sz w:val="17"/>
                <w:szCs w:val="17"/>
                <w:color w:val="auto"/>
              </w:rPr>
              <w:t>• TSR PRSUs –</w:t>
            </w:r>
          </w:p>
        </w:tc>
        <w:tc>
          <w:tcPr>
            <w:tcW w:w="2080" w:type="dxa"/>
            <w:vAlign w:val="bottom"/>
          </w:tcPr>
          <w:p>
            <w:pPr>
              <w:ind w:left="120"/>
              <w:spacing w:after="0"/>
              <w:rPr>
                <w:sz w:val="20"/>
                <w:szCs w:val="20"/>
                <w:color w:val="auto"/>
              </w:rPr>
            </w:pPr>
            <w:r>
              <w:rPr>
                <w:rFonts w:ascii="Arial" w:cs="Arial" w:eastAsia="Arial" w:hAnsi="Arial"/>
                <w:sz w:val="17"/>
                <w:szCs w:val="17"/>
                <w:color w:val="auto"/>
              </w:rPr>
              <w:t>• Align NEO and</w:t>
            </w:r>
          </w:p>
        </w:tc>
      </w:tr>
      <w:tr>
        <w:trPr>
          <w:trHeight w:val="208"/>
        </w:trPr>
        <w:tc>
          <w:tcPr>
            <w:tcW w:w="1140" w:type="dxa"/>
            <w:vAlign w:val="bottom"/>
          </w:tcPr>
          <w:p>
            <w:pPr>
              <w:ind w:left="140"/>
              <w:spacing w:after="0"/>
              <w:rPr>
                <w:sz w:val="20"/>
                <w:szCs w:val="20"/>
                <w:color w:val="auto"/>
              </w:rPr>
            </w:pPr>
            <w:r>
              <w:rPr>
                <w:rFonts w:ascii="Arial" w:cs="Arial" w:eastAsia="Arial" w:hAnsi="Arial"/>
                <w:sz w:val="17"/>
                <w:szCs w:val="17"/>
                <w:color w:val="auto"/>
              </w:rPr>
              <w:t>Long-Term</w:t>
            </w:r>
          </w:p>
        </w:tc>
        <w:tc>
          <w:tcPr>
            <w:tcW w:w="1240" w:type="dxa"/>
            <w:vAlign w:val="bottom"/>
          </w:tcPr>
          <w:p>
            <w:pPr>
              <w:jc w:val="right"/>
              <w:ind w:right="593"/>
              <w:spacing w:after="0"/>
              <w:rPr>
                <w:sz w:val="20"/>
                <w:szCs w:val="20"/>
                <w:color w:val="auto"/>
              </w:rPr>
            </w:pPr>
            <w:r>
              <w:rPr>
                <w:rFonts w:ascii="Arial" w:cs="Arial" w:eastAsia="Arial" w:hAnsi="Arial"/>
                <w:sz w:val="17"/>
                <w:szCs w:val="17"/>
                <w:color w:val="auto"/>
              </w:rPr>
              <w:t>25%</w:t>
            </w:r>
          </w:p>
        </w:tc>
        <w:tc>
          <w:tcPr>
            <w:tcW w:w="520" w:type="dxa"/>
            <w:vAlign w:val="bottom"/>
          </w:tcPr>
          <w:p>
            <w:pPr>
              <w:spacing w:after="0"/>
              <w:rPr>
                <w:sz w:val="18"/>
                <w:szCs w:val="18"/>
                <w:color w:val="auto"/>
              </w:rPr>
            </w:pPr>
          </w:p>
        </w:tc>
        <w:tc>
          <w:tcPr>
            <w:tcW w:w="2080" w:type="dxa"/>
            <w:vAlign w:val="bottom"/>
          </w:tcPr>
          <w:p>
            <w:pPr>
              <w:ind w:left="260"/>
              <w:spacing w:after="0"/>
              <w:rPr>
                <w:sz w:val="20"/>
                <w:szCs w:val="20"/>
                <w:color w:val="auto"/>
              </w:rPr>
            </w:pPr>
            <w:r>
              <w:rPr>
                <w:rFonts w:ascii="Arial" w:cs="Arial" w:eastAsia="Arial" w:hAnsi="Arial"/>
                <w:sz w:val="17"/>
                <w:szCs w:val="17"/>
                <w:color w:val="auto"/>
              </w:rPr>
              <w:t>shareholder interest to</w:t>
            </w:r>
          </w:p>
        </w:tc>
      </w:tr>
      <w:tr>
        <w:trPr>
          <w:trHeight w:val="208"/>
        </w:trPr>
        <w:tc>
          <w:tcPr>
            <w:tcW w:w="1140" w:type="dxa"/>
            <w:vAlign w:val="bottom"/>
          </w:tcPr>
          <w:p>
            <w:pPr>
              <w:ind w:left="140"/>
              <w:spacing w:after="0"/>
              <w:rPr>
                <w:sz w:val="20"/>
                <w:szCs w:val="20"/>
                <w:color w:val="auto"/>
              </w:rPr>
            </w:pPr>
            <w:r>
              <w:rPr>
                <w:rFonts w:ascii="Arial" w:cs="Arial" w:eastAsia="Arial" w:hAnsi="Arial"/>
                <w:sz w:val="17"/>
                <w:szCs w:val="17"/>
                <w:color w:val="auto"/>
              </w:rPr>
              <w:t>Incentives</w:t>
            </w: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tcPr>
          <w:p>
            <w:pPr>
              <w:ind w:left="260"/>
              <w:spacing w:after="0"/>
              <w:rPr>
                <w:sz w:val="20"/>
                <w:szCs w:val="20"/>
                <w:color w:val="auto"/>
              </w:rPr>
            </w:pPr>
            <w:r>
              <w:rPr>
                <w:rFonts w:ascii="Arial" w:cs="Arial" w:eastAsia="Arial" w:hAnsi="Arial"/>
                <w:sz w:val="17"/>
                <w:szCs w:val="17"/>
                <w:color w:val="auto"/>
              </w:rPr>
              <w:t>drive superior relative</w:t>
            </w:r>
          </w:p>
        </w:tc>
      </w:tr>
      <w:tr>
        <w:trPr>
          <w:trHeight w:val="221"/>
        </w:trPr>
        <w:tc>
          <w:tcPr>
            <w:tcW w:w="1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80" w:type="dxa"/>
            <w:vAlign w:val="bottom"/>
          </w:tcPr>
          <w:p>
            <w:pPr>
              <w:ind w:left="260"/>
              <w:spacing w:after="0"/>
              <w:rPr>
                <w:sz w:val="20"/>
                <w:szCs w:val="20"/>
                <w:color w:val="auto"/>
              </w:rPr>
            </w:pPr>
            <w:r>
              <w:rPr>
                <w:rFonts w:ascii="Arial" w:cs="Arial" w:eastAsia="Arial" w:hAnsi="Arial"/>
                <w:sz w:val="17"/>
                <w:szCs w:val="17"/>
                <w:color w:val="auto"/>
              </w:rPr>
              <w:t>TSR results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49530</wp:posOffset>
            </wp:positionV>
            <wp:extent cx="31635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163570" cy="8255"/>
                    </a:xfrm>
                    <a:prstGeom prst="rect">
                      <a:avLst/>
                    </a:prstGeom>
                    <a:noFill/>
                  </pic:spPr>
                </pic:pic>
              </a:graphicData>
            </a:graphic>
          </wp:anchor>
        </w:drawing>
        <w:drawing>
          <wp:anchor simplePos="0" relativeHeight="251657728" behindDoc="1" locked="0" layoutInCell="0" allowOverlap="1">
            <wp:simplePos x="0" y="0"/>
            <wp:positionH relativeFrom="column">
              <wp:posOffset>1943735</wp:posOffset>
            </wp:positionH>
            <wp:positionV relativeFrom="paragraph">
              <wp:posOffset>-2337435</wp:posOffset>
            </wp:positionV>
            <wp:extent cx="156845" cy="156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6845" cy="156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Time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-169545</wp:posOffset>
            </wp:positionV>
            <wp:extent cx="156845" cy="156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6845" cy="156845"/>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40" w:type="dxa"/>
            <w:vAlign w:val="bottom"/>
            <w:gridSpan w:val="2"/>
          </w:tcPr>
          <w:p>
            <w:pPr>
              <w:ind w:left="100"/>
              <w:spacing w:after="0"/>
              <w:rPr>
                <w:sz w:val="20"/>
                <w:szCs w:val="20"/>
                <w:color w:val="auto"/>
              </w:rPr>
            </w:pPr>
            <w:r>
              <w:rPr>
                <w:rFonts w:ascii="Arial" w:cs="Arial" w:eastAsia="Arial" w:hAnsi="Arial"/>
                <w:sz w:val="17"/>
                <w:szCs w:val="17"/>
                <w:color w:val="auto"/>
              </w:rPr>
              <w:t>• Annual</w:t>
            </w:r>
          </w:p>
        </w:tc>
      </w:tr>
      <w:tr>
        <w:trPr>
          <w:trHeight w:val="286"/>
        </w:trPr>
        <w:tc>
          <w:tcPr>
            <w:tcW w:w="200" w:type="dxa"/>
            <w:vAlign w:val="bottom"/>
            <w:tcBorders>
              <w:bottom w:val="single" w:sz="8" w:color="0066BA"/>
            </w:tcBorders>
          </w:tcPr>
          <w:p>
            <w:pPr>
              <w:spacing w:after="0"/>
              <w:rPr>
                <w:sz w:val="24"/>
                <w:szCs w:val="24"/>
                <w:color w:val="auto"/>
              </w:rPr>
            </w:pPr>
          </w:p>
        </w:tc>
        <w:tc>
          <w:tcPr>
            <w:tcW w:w="1940" w:type="dxa"/>
            <w:vAlign w:val="bottom"/>
            <w:tcBorders>
              <w:bottom w:val="single" w:sz="8" w:color="0066BA"/>
            </w:tcBorders>
          </w:tcPr>
          <w:p>
            <w:pPr>
              <w:spacing w:after="0"/>
              <w:rPr>
                <w:sz w:val="24"/>
                <w:szCs w:val="24"/>
                <w:color w:val="auto"/>
              </w:rPr>
            </w:pPr>
          </w:p>
        </w:tc>
      </w:tr>
      <w:tr>
        <w:trPr>
          <w:trHeight w:val="228"/>
        </w:trPr>
        <w:tc>
          <w:tcPr>
            <w:tcW w:w="200" w:type="dxa"/>
            <w:vAlign w:val="bottom"/>
          </w:tcPr>
          <w:p>
            <w:pPr>
              <w:ind w:left="100"/>
              <w:spacing w:after="0"/>
              <w:rPr>
                <w:sz w:val="20"/>
                <w:szCs w:val="20"/>
                <w:color w:val="auto"/>
              </w:rPr>
            </w:pPr>
            <w:r>
              <w:rPr>
                <w:rFonts w:ascii="Arial" w:cs="Arial" w:eastAsia="Arial" w:hAnsi="Arial"/>
                <w:sz w:val="17"/>
                <w:szCs w:val="17"/>
                <w:color w:val="auto"/>
              </w:rPr>
              <w:t>•</w:t>
            </w:r>
          </w:p>
        </w:tc>
        <w:tc>
          <w:tcPr>
            <w:tcW w:w="1940" w:type="dxa"/>
            <w:vAlign w:val="bottom"/>
          </w:tcPr>
          <w:p>
            <w:pPr>
              <w:ind w:left="40"/>
              <w:spacing w:after="0"/>
              <w:rPr>
                <w:sz w:val="20"/>
                <w:szCs w:val="20"/>
                <w:color w:val="auto"/>
              </w:rPr>
            </w:pPr>
            <w:r>
              <w:rPr>
                <w:rFonts w:ascii="Arial" w:cs="Arial" w:eastAsia="Arial" w:hAnsi="Arial"/>
                <w:sz w:val="17"/>
                <w:szCs w:val="17"/>
                <w:color w:val="auto"/>
              </w:rPr>
              <w:t>Paid semi-annually, with</w:t>
            </w:r>
          </w:p>
        </w:tc>
      </w:tr>
      <w:tr>
        <w:trPr>
          <w:trHeight w:val="208"/>
        </w:trPr>
        <w:tc>
          <w:tcPr>
            <w:tcW w:w="200" w:type="dxa"/>
            <w:vAlign w:val="bottom"/>
          </w:tcPr>
          <w:p>
            <w:pPr>
              <w:spacing w:after="0"/>
              <w:rPr>
                <w:sz w:val="18"/>
                <w:szCs w:val="18"/>
                <w:color w:val="auto"/>
              </w:rPr>
            </w:pPr>
          </w:p>
        </w:tc>
        <w:tc>
          <w:tcPr>
            <w:tcW w:w="1940" w:type="dxa"/>
            <w:vAlign w:val="bottom"/>
          </w:tcPr>
          <w:p>
            <w:pPr>
              <w:ind w:left="40"/>
              <w:spacing w:after="0"/>
              <w:rPr>
                <w:sz w:val="20"/>
                <w:szCs w:val="20"/>
                <w:color w:val="auto"/>
              </w:rPr>
            </w:pPr>
            <w:r>
              <w:rPr>
                <w:rFonts w:ascii="Arial" w:cs="Arial" w:eastAsia="Arial" w:hAnsi="Arial"/>
                <w:sz w:val="17"/>
                <w:szCs w:val="17"/>
                <w:color w:val="auto"/>
              </w:rPr>
              <w:t>quarterly corporate</w:t>
            </w:r>
          </w:p>
        </w:tc>
      </w:tr>
      <w:tr>
        <w:trPr>
          <w:trHeight w:val="208"/>
        </w:trPr>
        <w:tc>
          <w:tcPr>
            <w:tcW w:w="200" w:type="dxa"/>
            <w:vAlign w:val="bottom"/>
          </w:tcPr>
          <w:p>
            <w:pPr>
              <w:spacing w:after="0"/>
              <w:rPr>
                <w:sz w:val="18"/>
                <w:szCs w:val="18"/>
                <w:color w:val="auto"/>
              </w:rPr>
            </w:pPr>
          </w:p>
        </w:tc>
        <w:tc>
          <w:tcPr>
            <w:tcW w:w="1940" w:type="dxa"/>
            <w:vAlign w:val="bottom"/>
          </w:tcPr>
          <w:p>
            <w:pPr>
              <w:ind w:left="40"/>
              <w:spacing w:after="0"/>
              <w:rPr>
                <w:sz w:val="20"/>
                <w:szCs w:val="20"/>
                <w:color w:val="auto"/>
              </w:rPr>
            </w:pPr>
            <w:r>
              <w:rPr>
                <w:rFonts w:ascii="Arial" w:cs="Arial" w:eastAsia="Arial" w:hAnsi="Arial"/>
                <w:sz w:val="17"/>
                <w:szCs w:val="17"/>
                <w:color w:val="auto"/>
              </w:rPr>
              <w:t>financial targets tied to</w:t>
            </w:r>
          </w:p>
        </w:tc>
      </w:tr>
      <w:tr>
        <w:trPr>
          <w:trHeight w:val="208"/>
        </w:trPr>
        <w:tc>
          <w:tcPr>
            <w:tcW w:w="200" w:type="dxa"/>
            <w:vAlign w:val="bottom"/>
          </w:tcPr>
          <w:p>
            <w:pPr>
              <w:spacing w:after="0"/>
              <w:rPr>
                <w:sz w:val="18"/>
                <w:szCs w:val="18"/>
                <w:color w:val="auto"/>
              </w:rPr>
            </w:pPr>
          </w:p>
        </w:tc>
        <w:tc>
          <w:tcPr>
            <w:tcW w:w="1940" w:type="dxa"/>
            <w:vAlign w:val="bottom"/>
          </w:tcPr>
          <w:p>
            <w:pPr>
              <w:ind w:left="40"/>
              <w:spacing w:after="0"/>
              <w:rPr>
                <w:sz w:val="20"/>
                <w:szCs w:val="20"/>
                <w:color w:val="auto"/>
              </w:rPr>
            </w:pPr>
            <w:r>
              <w:rPr>
                <w:rFonts w:ascii="Arial" w:cs="Arial" w:eastAsia="Arial" w:hAnsi="Arial"/>
                <w:sz w:val="17"/>
                <w:szCs w:val="17"/>
                <w:color w:val="auto"/>
              </w:rPr>
              <w:t>corporate strategy of</w:t>
            </w:r>
          </w:p>
        </w:tc>
      </w:tr>
      <w:tr>
        <w:trPr>
          <w:trHeight w:val="221"/>
        </w:trPr>
        <w:tc>
          <w:tcPr>
            <w:tcW w:w="200" w:type="dxa"/>
            <w:vAlign w:val="bottom"/>
          </w:tcPr>
          <w:p>
            <w:pPr>
              <w:spacing w:after="0"/>
              <w:rPr>
                <w:sz w:val="19"/>
                <w:szCs w:val="19"/>
                <w:color w:val="auto"/>
              </w:rPr>
            </w:pPr>
          </w:p>
        </w:tc>
        <w:tc>
          <w:tcPr>
            <w:tcW w:w="1940" w:type="dxa"/>
            <w:vAlign w:val="bottom"/>
          </w:tcPr>
          <w:p>
            <w:pPr>
              <w:ind w:left="40"/>
              <w:spacing w:after="0"/>
              <w:rPr>
                <w:sz w:val="20"/>
                <w:szCs w:val="20"/>
                <w:color w:val="auto"/>
              </w:rPr>
            </w:pPr>
            <w:r>
              <w:rPr>
                <w:rFonts w:ascii="Arial" w:cs="Arial" w:eastAsia="Arial" w:hAnsi="Arial"/>
                <w:sz w:val="17"/>
                <w:szCs w:val="17"/>
                <w:color w:val="auto"/>
              </w:rPr>
              <w:t>profitable growth</w:t>
            </w:r>
          </w:p>
        </w:tc>
      </w:tr>
      <w:tr>
        <w:trPr>
          <w:trHeight w:val="559"/>
        </w:trPr>
        <w:tc>
          <w:tcPr>
            <w:tcW w:w="200" w:type="dxa"/>
            <w:vAlign w:val="bottom"/>
            <w:tcBorders>
              <w:bottom w:val="single" w:sz="8" w:color="0066BA"/>
            </w:tcBorders>
          </w:tcPr>
          <w:p>
            <w:pPr>
              <w:spacing w:after="0"/>
              <w:rPr>
                <w:sz w:val="24"/>
                <w:szCs w:val="24"/>
                <w:color w:val="auto"/>
              </w:rPr>
            </w:pPr>
          </w:p>
        </w:tc>
        <w:tc>
          <w:tcPr>
            <w:tcW w:w="1940" w:type="dxa"/>
            <w:vAlign w:val="bottom"/>
            <w:tcBorders>
              <w:bottom w:val="single" w:sz="8" w:color="0066BA"/>
            </w:tcBorders>
          </w:tcPr>
          <w:p>
            <w:pPr>
              <w:spacing w:after="0"/>
              <w:rPr>
                <w:sz w:val="24"/>
                <w:szCs w:val="24"/>
                <w:color w:val="auto"/>
              </w:rPr>
            </w:pPr>
          </w:p>
        </w:tc>
      </w:tr>
      <w:tr>
        <w:trPr>
          <w:trHeight w:val="228"/>
        </w:trPr>
        <w:tc>
          <w:tcPr>
            <w:tcW w:w="200" w:type="dxa"/>
            <w:vAlign w:val="bottom"/>
          </w:tcPr>
          <w:p>
            <w:pPr>
              <w:ind w:left="100"/>
              <w:spacing w:after="0"/>
              <w:rPr>
                <w:sz w:val="20"/>
                <w:szCs w:val="20"/>
                <w:color w:val="auto"/>
              </w:rPr>
            </w:pPr>
            <w:r>
              <w:rPr>
                <w:rFonts w:ascii="Arial" w:cs="Arial" w:eastAsia="Arial" w:hAnsi="Arial"/>
                <w:sz w:val="17"/>
                <w:szCs w:val="17"/>
                <w:color w:val="auto"/>
              </w:rPr>
              <w:t>•</w:t>
            </w:r>
          </w:p>
        </w:tc>
        <w:tc>
          <w:tcPr>
            <w:tcW w:w="1940" w:type="dxa"/>
            <w:vAlign w:val="bottom"/>
          </w:tcPr>
          <w:p>
            <w:pPr>
              <w:ind w:left="40"/>
              <w:spacing w:after="0"/>
              <w:rPr>
                <w:sz w:val="20"/>
                <w:szCs w:val="20"/>
                <w:color w:val="auto"/>
              </w:rPr>
            </w:pPr>
            <w:r>
              <w:rPr>
                <w:rFonts w:ascii="Arial" w:cs="Arial" w:eastAsia="Arial" w:hAnsi="Arial"/>
                <w:sz w:val="17"/>
                <w:szCs w:val="17"/>
                <w:color w:val="auto"/>
              </w:rPr>
              <w:t>Cumulative three-year</w:t>
            </w:r>
          </w:p>
        </w:tc>
      </w:tr>
      <w:tr>
        <w:trPr>
          <w:trHeight w:val="221"/>
        </w:trPr>
        <w:tc>
          <w:tcPr>
            <w:tcW w:w="200" w:type="dxa"/>
            <w:vAlign w:val="bottom"/>
          </w:tcPr>
          <w:p>
            <w:pPr>
              <w:spacing w:after="0"/>
              <w:rPr>
                <w:sz w:val="19"/>
                <w:szCs w:val="19"/>
                <w:color w:val="auto"/>
              </w:rPr>
            </w:pPr>
          </w:p>
        </w:tc>
        <w:tc>
          <w:tcPr>
            <w:tcW w:w="1940" w:type="dxa"/>
            <w:vAlign w:val="bottom"/>
          </w:tcPr>
          <w:p>
            <w:pPr>
              <w:ind w:left="40"/>
              <w:spacing w:after="0"/>
              <w:rPr>
                <w:sz w:val="20"/>
                <w:szCs w:val="20"/>
                <w:color w:val="auto"/>
              </w:rPr>
            </w:pPr>
            <w:r>
              <w:rPr>
                <w:rFonts w:ascii="Arial" w:cs="Arial" w:eastAsia="Arial" w:hAnsi="Arial"/>
                <w:sz w:val="17"/>
                <w:szCs w:val="17"/>
                <w:color w:val="auto"/>
              </w:rPr>
              <w:t>period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313690</wp:posOffset>
            </wp:positionV>
            <wp:extent cx="136271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556895</wp:posOffset>
            </wp:positionV>
            <wp:extent cx="136271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62710" cy="8255"/>
                    </a:xfrm>
                    <a:prstGeom prst="rect">
                      <a:avLst/>
                    </a:prstGeom>
                    <a:noFill/>
                  </pic:spPr>
                </pic:pic>
              </a:graphicData>
            </a:graphic>
          </wp:anchor>
        </w:drawing>
        <w:drawing>
          <wp:anchor simplePos="0" relativeHeight="251657728" behindDoc="1" locked="0" layoutInCell="0" allowOverlap="1">
            <wp:simplePos x="0" y="0"/>
            <wp:positionH relativeFrom="column">
              <wp:posOffset>-200025</wp:posOffset>
            </wp:positionH>
            <wp:positionV relativeFrom="paragraph">
              <wp:posOffset>-169545</wp:posOffset>
            </wp:positionV>
            <wp:extent cx="156845" cy="156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000000"/>
                        </a:clrFrom>
                        <a:clrTo>
                          <a:srgbClr val="000000">
                            <a:alpha val="0"/>
                          </a:srgbClr>
                        </a:clrTo>
                      </a:clrChange>
                      <a:extLst>
                        <a:ext uri="{28A0092B-C50C-407E-A947-70E740481C1C}"/>
                      </a:extLst>
                    </a:blip>
                    <a:srcRect/>
                    <a:stretch>
                      <a:fillRect/>
                    </a:stretch>
                  </pic:blipFill>
                  <pic:spPr bwMode="auto">
                    <a:xfrm>
                      <a:off x="0" y="0"/>
                      <a:ext cx="156845" cy="156845"/>
                    </a:xfrm>
                    <a:prstGeom prst="rect">
                      <a:avLst/>
                    </a:prstGeom>
                    <a:noFill/>
                  </pic:spPr>
                </pic:pic>
              </a:graphicData>
            </a:graphic>
          </wp:anchor>
        </w:drawing>
        <w:drawing>
          <wp:anchor simplePos="0" relativeHeight="251657728" behindDoc="1" locked="0" layoutInCell="0" allowOverlap="1">
            <wp:simplePos x="0" y="0"/>
            <wp:positionH relativeFrom="column">
              <wp:posOffset>-200025</wp:posOffset>
            </wp:positionH>
            <wp:positionV relativeFrom="paragraph">
              <wp:posOffset>-169545</wp:posOffset>
            </wp:positionV>
            <wp:extent cx="156845" cy="156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156845" cy="15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40" w:type="dxa"/>
            <w:vAlign w:val="bottom"/>
            <w:gridSpan w:val="2"/>
          </w:tcPr>
          <w:p>
            <w:pPr>
              <w:ind w:left="100"/>
              <w:spacing w:after="0"/>
              <w:rPr>
                <w:sz w:val="20"/>
                <w:szCs w:val="20"/>
                <w:color w:val="auto"/>
              </w:rPr>
            </w:pPr>
            <w:r>
              <w:rPr>
                <w:rFonts w:ascii="Arial" w:cs="Arial" w:eastAsia="Arial" w:hAnsi="Arial"/>
                <w:sz w:val="17"/>
                <w:szCs w:val="17"/>
                <w:color w:val="auto"/>
              </w:rPr>
              <w:t>• 50%: quarterly OPBT</w:t>
            </w:r>
          </w:p>
        </w:tc>
      </w:tr>
      <w:tr>
        <w:trPr>
          <w:trHeight w:val="221"/>
        </w:trPr>
        <w:tc>
          <w:tcPr>
            <w:tcW w:w="200" w:type="dxa"/>
            <w:vAlign w:val="bottom"/>
          </w:tcPr>
          <w:p>
            <w:pPr>
              <w:spacing w:after="0"/>
              <w:rPr>
                <w:sz w:val="19"/>
                <w:szCs w:val="19"/>
                <w:color w:val="auto"/>
              </w:rPr>
            </w:pPr>
          </w:p>
        </w:tc>
        <w:tc>
          <w:tcPr>
            <w:tcW w:w="1940" w:type="dxa"/>
            <w:vAlign w:val="bottom"/>
          </w:tcPr>
          <w:p>
            <w:pPr>
              <w:ind w:left="40"/>
              <w:spacing w:after="0"/>
              <w:rPr>
                <w:sz w:val="20"/>
                <w:szCs w:val="20"/>
                <w:color w:val="auto"/>
              </w:rPr>
            </w:pPr>
            <w:r>
              <w:rPr>
                <w:rFonts w:ascii="Arial" w:cs="Arial" w:eastAsia="Arial" w:hAnsi="Arial"/>
                <w:sz w:val="17"/>
                <w:szCs w:val="17"/>
                <w:color w:val="auto"/>
              </w:rPr>
              <w:t>margin</w:t>
            </w:r>
          </w:p>
        </w:tc>
      </w:tr>
      <w:tr>
        <w:trPr>
          <w:trHeight w:val="261"/>
        </w:trPr>
        <w:tc>
          <w:tcPr>
            <w:tcW w:w="200" w:type="dxa"/>
            <w:vAlign w:val="bottom"/>
          </w:tcPr>
          <w:p>
            <w:pPr>
              <w:ind w:left="100"/>
              <w:spacing w:after="0"/>
              <w:rPr>
                <w:sz w:val="20"/>
                <w:szCs w:val="20"/>
                <w:color w:val="auto"/>
              </w:rPr>
            </w:pPr>
            <w:r>
              <w:rPr>
                <w:rFonts w:ascii="Arial" w:cs="Arial" w:eastAsia="Arial" w:hAnsi="Arial"/>
                <w:sz w:val="17"/>
                <w:szCs w:val="17"/>
                <w:color w:val="auto"/>
              </w:rPr>
              <w:t>•</w:t>
            </w:r>
          </w:p>
        </w:tc>
        <w:tc>
          <w:tcPr>
            <w:tcW w:w="1940" w:type="dxa"/>
            <w:vAlign w:val="bottom"/>
          </w:tcPr>
          <w:p>
            <w:pPr>
              <w:ind w:left="40"/>
              <w:spacing w:after="0"/>
              <w:rPr>
                <w:sz w:val="20"/>
                <w:szCs w:val="20"/>
                <w:color w:val="auto"/>
              </w:rPr>
            </w:pPr>
            <w:r>
              <w:rPr>
                <w:rFonts w:ascii="Arial" w:cs="Arial" w:eastAsia="Arial" w:hAnsi="Arial"/>
                <w:sz w:val="17"/>
                <w:szCs w:val="17"/>
                <w:color w:val="auto"/>
              </w:rPr>
              <w:t>50%: year over year</w:t>
            </w:r>
          </w:p>
        </w:tc>
      </w:tr>
      <w:tr>
        <w:trPr>
          <w:trHeight w:val="208"/>
        </w:trPr>
        <w:tc>
          <w:tcPr>
            <w:tcW w:w="200" w:type="dxa"/>
            <w:vAlign w:val="bottom"/>
          </w:tcPr>
          <w:p>
            <w:pPr>
              <w:spacing w:after="0"/>
              <w:rPr>
                <w:sz w:val="18"/>
                <w:szCs w:val="18"/>
                <w:color w:val="auto"/>
              </w:rPr>
            </w:pPr>
          </w:p>
        </w:tc>
        <w:tc>
          <w:tcPr>
            <w:tcW w:w="1940" w:type="dxa"/>
            <w:vAlign w:val="bottom"/>
          </w:tcPr>
          <w:p>
            <w:pPr>
              <w:ind w:left="40"/>
              <w:spacing w:after="0"/>
              <w:rPr>
                <w:sz w:val="20"/>
                <w:szCs w:val="20"/>
                <w:color w:val="auto"/>
              </w:rPr>
            </w:pPr>
            <w:r>
              <w:rPr>
                <w:rFonts w:ascii="Arial" w:cs="Arial" w:eastAsia="Arial" w:hAnsi="Arial"/>
                <w:sz w:val="17"/>
                <w:szCs w:val="17"/>
                <w:color w:val="auto"/>
                <w:w w:val="92"/>
              </w:rPr>
              <w:t>revenue growth (measured</w:t>
            </w:r>
          </w:p>
        </w:tc>
      </w:tr>
      <w:tr>
        <w:trPr>
          <w:trHeight w:val="221"/>
        </w:trPr>
        <w:tc>
          <w:tcPr>
            <w:tcW w:w="200" w:type="dxa"/>
            <w:vAlign w:val="bottom"/>
          </w:tcPr>
          <w:p>
            <w:pPr>
              <w:spacing w:after="0"/>
              <w:rPr>
                <w:sz w:val="19"/>
                <w:szCs w:val="19"/>
                <w:color w:val="auto"/>
              </w:rPr>
            </w:pPr>
          </w:p>
        </w:tc>
        <w:tc>
          <w:tcPr>
            <w:tcW w:w="1940" w:type="dxa"/>
            <w:vAlign w:val="bottom"/>
          </w:tcPr>
          <w:p>
            <w:pPr>
              <w:ind w:left="40"/>
              <w:spacing w:after="0"/>
              <w:rPr>
                <w:sz w:val="20"/>
                <w:szCs w:val="20"/>
                <w:color w:val="auto"/>
              </w:rPr>
            </w:pPr>
            <w:r>
              <w:rPr>
                <w:rFonts w:ascii="Arial" w:cs="Arial" w:eastAsia="Arial" w:hAnsi="Arial"/>
                <w:sz w:val="17"/>
                <w:szCs w:val="17"/>
                <w:color w:val="auto"/>
              </w:rPr>
              <w:t>quarterly)</w:t>
            </w:r>
          </w:p>
        </w:tc>
      </w:tr>
      <w:tr>
        <w:trPr>
          <w:trHeight w:val="261"/>
        </w:trPr>
        <w:tc>
          <w:tcPr>
            <w:tcW w:w="2140" w:type="dxa"/>
            <w:vAlign w:val="bottom"/>
            <w:gridSpan w:val="2"/>
          </w:tcPr>
          <w:p>
            <w:pPr>
              <w:ind w:left="100"/>
              <w:spacing w:after="0"/>
              <w:rPr>
                <w:sz w:val="20"/>
                <w:szCs w:val="20"/>
                <w:color w:val="auto"/>
              </w:rPr>
            </w:pPr>
            <w:r>
              <w:rPr>
                <w:rFonts w:ascii="Arial" w:cs="Arial" w:eastAsia="Arial" w:hAnsi="Arial"/>
                <w:sz w:val="17"/>
                <w:szCs w:val="17"/>
                <w:color w:val="auto"/>
              </w:rPr>
              <w:t>• Minimum OPBT margin</w:t>
            </w:r>
          </w:p>
        </w:tc>
      </w:tr>
      <w:tr>
        <w:trPr>
          <w:trHeight w:val="227"/>
        </w:trPr>
        <w:tc>
          <w:tcPr>
            <w:tcW w:w="200" w:type="dxa"/>
            <w:vAlign w:val="bottom"/>
            <w:tcBorders>
              <w:bottom w:val="single" w:sz="8" w:color="0066BA"/>
            </w:tcBorders>
          </w:tcPr>
          <w:p>
            <w:pPr>
              <w:spacing w:after="0"/>
              <w:rPr>
                <w:sz w:val="19"/>
                <w:szCs w:val="19"/>
                <w:color w:val="auto"/>
              </w:rPr>
            </w:pPr>
          </w:p>
        </w:tc>
        <w:tc>
          <w:tcPr>
            <w:tcW w:w="1940" w:type="dxa"/>
            <w:vAlign w:val="bottom"/>
            <w:tcBorders>
              <w:bottom w:val="single" w:sz="8" w:color="0066BA"/>
            </w:tcBorders>
          </w:tcPr>
          <w:p>
            <w:pPr>
              <w:ind w:left="40"/>
              <w:spacing w:after="0"/>
              <w:rPr>
                <w:sz w:val="20"/>
                <w:szCs w:val="20"/>
                <w:color w:val="auto"/>
              </w:rPr>
            </w:pPr>
            <w:r>
              <w:rPr>
                <w:rFonts w:ascii="Arial" w:cs="Arial" w:eastAsia="Arial" w:hAnsi="Arial"/>
                <w:sz w:val="17"/>
                <w:szCs w:val="17"/>
                <w:color w:val="auto"/>
              </w:rPr>
              <w:t>required for payout</w:t>
            </w:r>
          </w:p>
        </w:tc>
      </w:tr>
      <w:tr>
        <w:trPr>
          <w:trHeight w:val="234"/>
        </w:trPr>
        <w:tc>
          <w:tcPr>
            <w:tcW w:w="2140" w:type="dxa"/>
            <w:vAlign w:val="bottom"/>
            <w:gridSpan w:val="2"/>
          </w:tcPr>
          <w:p>
            <w:pPr>
              <w:ind w:left="100"/>
              <w:spacing w:after="0"/>
              <w:rPr>
                <w:sz w:val="20"/>
                <w:szCs w:val="20"/>
                <w:color w:val="auto"/>
              </w:rPr>
            </w:pPr>
            <w:r>
              <w:rPr>
                <w:rFonts w:ascii="Arial" w:cs="Arial" w:eastAsia="Arial" w:hAnsi="Arial"/>
                <w:sz w:val="17"/>
                <w:szCs w:val="17"/>
                <w:color w:val="auto"/>
                <w:w w:val="96"/>
              </w:rPr>
              <w:t>• Relative TSR compared to</w:t>
            </w:r>
          </w:p>
        </w:tc>
      </w:tr>
      <w:tr>
        <w:trPr>
          <w:trHeight w:val="221"/>
        </w:trPr>
        <w:tc>
          <w:tcPr>
            <w:tcW w:w="200" w:type="dxa"/>
            <w:vAlign w:val="bottom"/>
          </w:tcPr>
          <w:p>
            <w:pPr>
              <w:spacing w:after="0"/>
              <w:rPr>
                <w:sz w:val="19"/>
                <w:szCs w:val="19"/>
                <w:color w:val="auto"/>
              </w:rPr>
            </w:pPr>
          </w:p>
        </w:tc>
        <w:tc>
          <w:tcPr>
            <w:tcW w:w="1940" w:type="dxa"/>
            <w:vAlign w:val="bottom"/>
          </w:tcPr>
          <w:p>
            <w:pPr>
              <w:ind w:left="40"/>
              <w:spacing w:after="0"/>
              <w:rPr>
                <w:sz w:val="20"/>
                <w:szCs w:val="20"/>
                <w:color w:val="auto"/>
              </w:rPr>
            </w:pPr>
            <w:r>
              <w:rPr>
                <w:rFonts w:ascii="Arial" w:cs="Arial" w:eastAsia="Arial" w:hAnsi="Arial"/>
                <w:sz w:val="17"/>
                <w:szCs w:val="17"/>
                <w:color w:val="auto"/>
              </w:rPr>
              <w:t>comparator group</w:t>
            </w:r>
          </w:p>
        </w:tc>
      </w:tr>
      <w:tr>
        <w:trPr>
          <w:trHeight w:val="261"/>
        </w:trPr>
        <w:tc>
          <w:tcPr>
            <w:tcW w:w="200" w:type="dxa"/>
            <w:vAlign w:val="bottom"/>
          </w:tcPr>
          <w:p>
            <w:pPr>
              <w:ind w:left="100"/>
              <w:spacing w:after="0"/>
              <w:rPr>
                <w:sz w:val="20"/>
                <w:szCs w:val="20"/>
                <w:color w:val="auto"/>
              </w:rPr>
            </w:pPr>
            <w:r>
              <w:rPr>
                <w:rFonts w:ascii="Arial" w:cs="Arial" w:eastAsia="Arial" w:hAnsi="Arial"/>
                <w:sz w:val="17"/>
                <w:szCs w:val="17"/>
                <w:color w:val="auto"/>
              </w:rPr>
              <w:t>•</w:t>
            </w:r>
          </w:p>
        </w:tc>
        <w:tc>
          <w:tcPr>
            <w:tcW w:w="1940" w:type="dxa"/>
            <w:vAlign w:val="bottom"/>
          </w:tcPr>
          <w:p>
            <w:pPr>
              <w:ind w:left="40"/>
              <w:spacing w:after="0"/>
              <w:rPr>
                <w:sz w:val="20"/>
                <w:szCs w:val="20"/>
                <w:color w:val="auto"/>
              </w:rPr>
            </w:pPr>
            <w:r>
              <w:rPr>
                <w:rFonts w:ascii="Arial" w:cs="Arial" w:eastAsia="Arial" w:hAnsi="Arial"/>
                <w:sz w:val="17"/>
                <w:szCs w:val="17"/>
                <w:color w:val="auto"/>
                <w:w w:val="92"/>
              </w:rPr>
              <w:t>Payouts capped at target if</w:t>
            </w:r>
          </w:p>
        </w:tc>
      </w:tr>
      <w:tr>
        <w:trPr>
          <w:trHeight w:val="221"/>
        </w:trPr>
        <w:tc>
          <w:tcPr>
            <w:tcW w:w="200" w:type="dxa"/>
            <w:vAlign w:val="bottom"/>
          </w:tcPr>
          <w:p>
            <w:pPr>
              <w:spacing w:after="0"/>
              <w:rPr>
                <w:sz w:val="19"/>
                <w:szCs w:val="19"/>
                <w:color w:val="auto"/>
              </w:rPr>
            </w:pPr>
          </w:p>
        </w:tc>
        <w:tc>
          <w:tcPr>
            <w:tcW w:w="1940" w:type="dxa"/>
            <w:vAlign w:val="bottom"/>
          </w:tcPr>
          <w:p>
            <w:pPr>
              <w:ind w:left="40"/>
              <w:spacing w:after="0"/>
              <w:rPr>
                <w:sz w:val="20"/>
                <w:szCs w:val="20"/>
                <w:color w:val="auto"/>
              </w:rPr>
            </w:pPr>
            <w:r>
              <w:rPr>
                <w:rFonts w:ascii="Arial" w:cs="Arial" w:eastAsia="Arial" w:hAnsi="Arial"/>
                <w:sz w:val="17"/>
                <w:szCs w:val="17"/>
                <w:color w:val="auto"/>
                <w:w w:val="99"/>
              </w:rPr>
              <w:t>absolute TSR is negative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13627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3">
            <w:col w:w="5460" w:space="520"/>
            <w:col w:w="2140" w:space="500"/>
            <w:col w:w="2320"/>
          </w:cols>
          <w:pgMar w:left="320" w:top="447" w:right="639" w:bottom="1440" w:gutter="0" w:footer="0" w:header="0"/>
          <w:type w:val="continuous"/>
        </w:sectPr>
      </w:pPr>
    </w:p>
    <w:p>
      <w:pPr>
        <w:ind w:left="1860" w:hanging="132"/>
        <w:spacing w:after="0" w:line="313" w:lineRule="auto"/>
        <w:tabs>
          <w:tab w:leader="none" w:pos="1869" w:val="left"/>
        </w:tabs>
        <w:numPr>
          <w:ilvl w:val="0"/>
          <w:numId w:val="41"/>
        </w:numPr>
        <w:rPr>
          <w:rFonts w:ascii="Arial" w:cs="Arial" w:eastAsia="Arial" w:hAnsi="Arial"/>
          <w:sz w:val="15"/>
          <w:szCs w:val="15"/>
          <w:color w:val="auto"/>
        </w:rPr>
      </w:pPr>
      <w:r>
        <w:rPr>
          <w:rFonts w:ascii="Arial" w:cs="Arial" w:eastAsia="Arial" w:hAnsi="Arial"/>
          <w:sz w:val="15"/>
          <w:szCs w:val="15"/>
          <w:color w:val="auto"/>
        </w:rPr>
        <w:t>Financial Metric PRSUs – 25%</w:t>
      </w:r>
    </w:p>
    <w:p>
      <w:pPr>
        <w:spacing w:after="0" w:line="1" w:lineRule="exact"/>
        <w:rPr>
          <w:rFonts w:ascii="Arial" w:cs="Arial" w:eastAsia="Arial" w:hAnsi="Arial"/>
          <w:sz w:val="15"/>
          <w:szCs w:val="15"/>
          <w:color w:val="auto"/>
        </w:rPr>
      </w:pPr>
    </w:p>
    <w:p>
      <w:pPr>
        <w:ind w:left="1880" w:hanging="152"/>
        <w:spacing w:after="0"/>
        <w:tabs>
          <w:tab w:leader="none" w:pos="18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Stock Options</w:t>
      </w:r>
    </w:p>
    <w:p>
      <w:pPr>
        <w:spacing w:after="0" w:line="48" w:lineRule="exact"/>
        <w:rPr>
          <w:rFonts w:ascii="Arial" w:cs="Arial" w:eastAsia="Arial" w:hAnsi="Arial"/>
          <w:sz w:val="15"/>
          <w:szCs w:val="15"/>
          <w:color w:val="auto"/>
        </w:rPr>
      </w:pPr>
    </w:p>
    <w:p>
      <w:pPr>
        <w:ind w:left="1860"/>
        <w:spacing w:after="0"/>
        <w:rPr>
          <w:rFonts w:ascii="Arial" w:cs="Arial" w:eastAsia="Arial" w:hAnsi="Arial"/>
          <w:sz w:val="15"/>
          <w:szCs w:val="15"/>
          <w:color w:val="auto"/>
        </w:rPr>
      </w:pPr>
      <w:r>
        <w:rPr>
          <w:rFonts w:ascii="Arial" w:cs="Arial" w:eastAsia="Arial" w:hAnsi="Arial"/>
          <w:sz w:val="17"/>
          <w:szCs w:val="17"/>
          <w:color w:val="auto"/>
        </w:rPr>
        <w:t>– 25%</w:t>
      </w:r>
    </w:p>
    <w:p>
      <w:pPr>
        <w:spacing w:after="0" w:line="200" w:lineRule="exact"/>
        <w:rPr>
          <w:rFonts w:ascii="Arial" w:cs="Arial" w:eastAsia="Arial" w:hAnsi="Arial"/>
          <w:sz w:val="15"/>
          <w:szCs w:val="15"/>
          <w:color w:val="auto"/>
        </w:rPr>
      </w:pPr>
    </w:p>
    <w:p>
      <w:pPr>
        <w:spacing w:after="0" w:line="268" w:lineRule="exact"/>
        <w:rPr>
          <w:rFonts w:ascii="Arial" w:cs="Arial" w:eastAsia="Arial" w:hAnsi="Arial"/>
          <w:sz w:val="15"/>
          <w:szCs w:val="15"/>
          <w:color w:val="auto"/>
        </w:rPr>
      </w:pPr>
    </w:p>
    <w:p>
      <w:pPr>
        <w:ind w:left="1880" w:hanging="152"/>
        <w:spacing w:after="0"/>
        <w:tabs>
          <w:tab w:leader="none" w:pos="1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RSUs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15875</wp:posOffset>
            </wp:positionV>
            <wp:extent cx="15201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52019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-148590</wp:posOffset>
            </wp:positionV>
            <wp:extent cx="15201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2019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-710565</wp:posOffset>
            </wp:positionV>
            <wp:extent cx="15201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201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3" w:hanging="143"/>
        <w:spacing w:after="0" w:line="313" w:lineRule="auto"/>
        <w:tabs>
          <w:tab w:leader="none" w:pos="142" w:val="left"/>
        </w:tabs>
        <w:numPr>
          <w:ilvl w:val="0"/>
          <w:numId w:val="42"/>
        </w:numPr>
        <w:rPr>
          <w:rFonts w:ascii="Arial" w:cs="Arial" w:eastAsia="Arial" w:hAnsi="Arial"/>
          <w:sz w:val="15"/>
          <w:szCs w:val="15"/>
          <w:color w:val="auto"/>
        </w:rPr>
      </w:pPr>
      <w:r>
        <w:rPr>
          <w:rFonts w:ascii="Arial" w:cs="Arial" w:eastAsia="Arial" w:hAnsi="Arial"/>
          <w:sz w:val="15"/>
          <w:szCs w:val="15"/>
          <w:color w:val="auto"/>
        </w:rPr>
        <w:t>Align NEO and shareholder interests with long-term profitability</w:t>
      </w:r>
    </w:p>
    <w:p>
      <w:pPr>
        <w:spacing w:after="0" w:line="1" w:lineRule="exact"/>
        <w:rPr>
          <w:rFonts w:ascii="Arial" w:cs="Arial" w:eastAsia="Arial" w:hAnsi="Arial"/>
          <w:sz w:val="15"/>
          <w:szCs w:val="15"/>
          <w:color w:val="auto"/>
        </w:rPr>
      </w:pPr>
    </w:p>
    <w:p>
      <w:pPr>
        <w:ind w:left="143" w:right="180" w:hanging="143"/>
        <w:spacing w:after="0" w:line="265" w:lineRule="auto"/>
        <w:tabs>
          <w:tab w:leader="none" w:pos="142" w:val="left"/>
        </w:tabs>
        <w:numPr>
          <w:ilvl w:val="0"/>
          <w:numId w:val="42"/>
        </w:numPr>
        <w:rPr>
          <w:rFonts w:ascii="Arial" w:cs="Arial" w:eastAsia="Arial" w:hAnsi="Arial"/>
          <w:sz w:val="17"/>
          <w:szCs w:val="17"/>
          <w:color w:val="auto"/>
        </w:rPr>
      </w:pPr>
      <w:r>
        <w:rPr>
          <w:rFonts w:ascii="Arial" w:cs="Arial" w:eastAsia="Arial" w:hAnsi="Arial"/>
          <w:sz w:val="17"/>
          <w:szCs w:val="17"/>
          <w:color w:val="auto"/>
        </w:rPr>
        <w:t>Align NEO and shareholder interests in absolute stock price appreciation</w:t>
      </w:r>
    </w:p>
    <w:p>
      <w:pPr>
        <w:spacing w:after="0" w:line="21" w:lineRule="exact"/>
        <w:rPr>
          <w:rFonts w:ascii="Arial" w:cs="Arial" w:eastAsia="Arial" w:hAnsi="Arial"/>
          <w:sz w:val="17"/>
          <w:szCs w:val="17"/>
          <w:color w:val="auto"/>
        </w:rPr>
      </w:pPr>
    </w:p>
    <w:p>
      <w:pPr>
        <w:ind w:left="143" w:hanging="143"/>
        <w:spacing w:after="0"/>
        <w:tabs>
          <w:tab w:leader="none" w:pos="143"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Retain key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15875</wp:posOffset>
            </wp:positionV>
            <wp:extent cx="13131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13180" cy="82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-148590</wp:posOffset>
            </wp:positionV>
            <wp:extent cx="13131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13180" cy="82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-710565</wp:posOffset>
            </wp:positionV>
            <wp:extent cx="13131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00" w:type="dxa"/>
            <w:vAlign w:val="bottom"/>
          </w:tcPr>
          <w:p>
            <w:pPr>
              <w:ind w:left="100"/>
              <w:spacing w:after="0"/>
              <w:rPr>
                <w:sz w:val="20"/>
                <w:szCs w:val="20"/>
                <w:color w:val="auto"/>
              </w:rPr>
            </w:pPr>
            <w:r>
              <w:rPr>
                <w:rFonts w:ascii="Arial" w:cs="Arial" w:eastAsia="Arial" w:hAnsi="Arial"/>
                <w:sz w:val="17"/>
                <w:szCs w:val="17"/>
                <w:color w:val="auto"/>
              </w:rPr>
              <w:t>•</w:t>
            </w:r>
          </w:p>
        </w:tc>
        <w:tc>
          <w:tcPr>
            <w:tcW w:w="1940" w:type="dxa"/>
            <w:vAlign w:val="bottom"/>
          </w:tcPr>
          <w:p>
            <w:pPr>
              <w:ind w:left="40"/>
              <w:spacing w:after="0"/>
              <w:rPr>
                <w:sz w:val="20"/>
                <w:szCs w:val="20"/>
                <w:color w:val="auto"/>
              </w:rPr>
            </w:pPr>
            <w:r>
              <w:rPr>
                <w:rFonts w:ascii="Arial" w:cs="Arial" w:eastAsia="Arial" w:hAnsi="Arial"/>
                <w:sz w:val="17"/>
                <w:szCs w:val="17"/>
                <w:color w:val="auto"/>
              </w:rPr>
              <w:t>One-year, two-year</w:t>
            </w:r>
          </w:p>
        </w:tc>
      </w:tr>
      <w:tr>
        <w:trPr>
          <w:trHeight w:val="208"/>
        </w:trPr>
        <w:tc>
          <w:tcPr>
            <w:tcW w:w="200" w:type="dxa"/>
            <w:vAlign w:val="bottom"/>
          </w:tcPr>
          <w:p>
            <w:pPr>
              <w:spacing w:after="0"/>
              <w:rPr>
                <w:sz w:val="18"/>
                <w:szCs w:val="18"/>
                <w:color w:val="auto"/>
              </w:rPr>
            </w:pPr>
          </w:p>
        </w:tc>
        <w:tc>
          <w:tcPr>
            <w:tcW w:w="1940" w:type="dxa"/>
            <w:vAlign w:val="bottom"/>
          </w:tcPr>
          <w:p>
            <w:pPr>
              <w:ind w:left="40"/>
              <w:spacing w:after="0"/>
              <w:rPr>
                <w:sz w:val="20"/>
                <w:szCs w:val="20"/>
                <w:color w:val="auto"/>
              </w:rPr>
            </w:pPr>
            <w:r>
              <w:rPr>
                <w:rFonts w:ascii="Arial" w:cs="Arial" w:eastAsia="Arial" w:hAnsi="Arial"/>
                <w:sz w:val="17"/>
                <w:szCs w:val="17"/>
                <w:color w:val="auto"/>
                <w:w w:val="95"/>
              </w:rPr>
              <w:t>cumulative and three-year</w:t>
            </w:r>
          </w:p>
        </w:tc>
      </w:tr>
      <w:tr>
        <w:trPr>
          <w:trHeight w:val="221"/>
        </w:trPr>
        <w:tc>
          <w:tcPr>
            <w:tcW w:w="200" w:type="dxa"/>
            <w:vAlign w:val="bottom"/>
            <w:tcBorders>
              <w:bottom w:val="single" w:sz="8" w:color="0066BA"/>
            </w:tcBorders>
          </w:tcPr>
          <w:p>
            <w:pPr>
              <w:spacing w:after="0"/>
              <w:rPr>
                <w:sz w:val="19"/>
                <w:szCs w:val="19"/>
                <w:color w:val="auto"/>
              </w:rPr>
            </w:pPr>
          </w:p>
        </w:tc>
        <w:tc>
          <w:tcPr>
            <w:tcW w:w="1940" w:type="dxa"/>
            <w:vAlign w:val="bottom"/>
            <w:tcBorders>
              <w:bottom w:val="single" w:sz="8" w:color="0066BA"/>
            </w:tcBorders>
          </w:tcPr>
          <w:p>
            <w:pPr>
              <w:ind w:left="40"/>
              <w:spacing w:after="0"/>
              <w:rPr>
                <w:sz w:val="20"/>
                <w:szCs w:val="20"/>
                <w:color w:val="auto"/>
              </w:rPr>
            </w:pPr>
            <w:r>
              <w:rPr>
                <w:rFonts w:ascii="Arial" w:cs="Arial" w:eastAsia="Arial" w:hAnsi="Arial"/>
                <w:sz w:val="17"/>
                <w:szCs w:val="17"/>
                <w:color w:val="auto"/>
              </w:rPr>
              <w:t>cumulative time periods</w:t>
            </w:r>
          </w:p>
        </w:tc>
      </w:tr>
      <w:tr>
        <w:trPr>
          <w:trHeight w:val="240"/>
        </w:trPr>
        <w:tc>
          <w:tcPr>
            <w:tcW w:w="200" w:type="dxa"/>
            <w:vAlign w:val="bottom"/>
          </w:tcPr>
          <w:p>
            <w:pPr>
              <w:ind w:left="100"/>
              <w:spacing w:after="0"/>
              <w:rPr>
                <w:sz w:val="20"/>
                <w:szCs w:val="20"/>
                <w:color w:val="auto"/>
              </w:rPr>
            </w:pPr>
            <w:r>
              <w:rPr>
                <w:rFonts w:ascii="Arial" w:cs="Arial" w:eastAsia="Arial" w:hAnsi="Arial"/>
                <w:sz w:val="17"/>
                <w:szCs w:val="17"/>
                <w:color w:val="auto"/>
              </w:rPr>
              <w:t>•</w:t>
            </w:r>
          </w:p>
        </w:tc>
        <w:tc>
          <w:tcPr>
            <w:tcW w:w="1940" w:type="dxa"/>
            <w:vAlign w:val="bottom"/>
          </w:tcPr>
          <w:p>
            <w:pPr>
              <w:ind w:left="40"/>
              <w:spacing w:after="0"/>
              <w:rPr>
                <w:sz w:val="20"/>
                <w:szCs w:val="20"/>
                <w:color w:val="auto"/>
              </w:rPr>
            </w:pPr>
            <w:r>
              <w:rPr>
                <w:rFonts w:ascii="Arial" w:cs="Arial" w:eastAsia="Arial" w:hAnsi="Arial"/>
                <w:sz w:val="17"/>
                <w:szCs w:val="17"/>
                <w:color w:val="auto"/>
                <w:w w:val="99"/>
              </w:rPr>
              <w:t>Four year graded vesting</w:t>
            </w:r>
          </w:p>
        </w:tc>
      </w:tr>
      <w:tr>
        <w:trPr>
          <w:trHeight w:val="273"/>
        </w:trPr>
        <w:tc>
          <w:tcPr>
            <w:tcW w:w="200" w:type="dxa"/>
            <w:vAlign w:val="bottom"/>
          </w:tcPr>
          <w:p>
            <w:pPr>
              <w:ind w:left="100"/>
              <w:spacing w:after="0"/>
              <w:rPr>
                <w:sz w:val="20"/>
                <w:szCs w:val="20"/>
                <w:color w:val="auto"/>
              </w:rPr>
            </w:pPr>
            <w:r>
              <w:rPr>
                <w:rFonts w:ascii="Arial" w:cs="Arial" w:eastAsia="Arial" w:hAnsi="Arial"/>
                <w:sz w:val="17"/>
                <w:szCs w:val="17"/>
                <w:color w:val="auto"/>
              </w:rPr>
              <w:t>•</w:t>
            </w:r>
          </w:p>
        </w:tc>
        <w:tc>
          <w:tcPr>
            <w:tcW w:w="1940" w:type="dxa"/>
            <w:vAlign w:val="bottom"/>
          </w:tcPr>
          <w:p>
            <w:pPr>
              <w:ind w:left="40"/>
              <w:spacing w:after="0"/>
              <w:rPr>
                <w:sz w:val="20"/>
                <w:szCs w:val="20"/>
                <w:color w:val="auto"/>
              </w:rPr>
            </w:pPr>
            <w:r>
              <w:rPr>
                <w:rFonts w:ascii="Arial" w:cs="Arial" w:eastAsia="Arial" w:hAnsi="Arial"/>
                <w:sz w:val="17"/>
                <w:szCs w:val="17"/>
                <w:color w:val="auto"/>
              </w:rPr>
              <w:t>10 year term</w:t>
            </w:r>
          </w:p>
        </w:tc>
      </w:tr>
      <w:tr>
        <w:trPr>
          <w:trHeight w:val="351"/>
        </w:trPr>
        <w:tc>
          <w:tcPr>
            <w:tcW w:w="200" w:type="dxa"/>
            <w:vAlign w:val="bottom"/>
            <w:tcBorders>
              <w:bottom w:val="single" w:sz="8" w:color="0066BA"/>
            </w:tcBorders>
          </w:tcPr>
          <w:p>
            <w:pPr>
              <w:spacing w:after="0"/>
              <w:rPr>
                <w:sz w:val="24"/>
                <w:szCs w:val="24"/>
                <w:color w:val="auto"/>
              </w:rPr>
            </w:pPr>
          </w:p>
        </w:tc>
        <w:tc>
          <w:tcPr>
            <w:tcW w:w="1940" w:type="dxa"/>
            <w:vAlign w:val="bottom"/>
            <w:tcBorders>
              <w:bottom w:val="single" w:sz="8" w:color="0066BA"/>
            </w:tcBorders>
          </w:tcPr>
          <w:p>
            <w:pPr>
              <w:spacing w:after="0"/>
              <w:rPr>
                <w:sz w:val="24"/>
                <w:szCs w:val="24"/>
                <w:color w:val="auto"/>
              </w:rPr>
            </w:pPr>
          </w:p>
        </w:tc>
      </w:tr>
      <w:tr>
        <w:trPr>
          <w:trHeight w:val="240"/>
        </w:trPr>
        <w:tc>
          <w:tcPr>
            <w:tcW w:w="200" w:type="dxa"/>
            <w:vAlign w:val="bottom"/>
            <w:tcBorders>
              <w:bottom w:val="single" w:sz="8" w:color="0066BA"/>
            </w:tcBorders>
          </w:tcPr>
          <w:p>
            <w:pPr>
              <w:ind w:left="100"/>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0066BA"/>
            </w:tcBorders>
          </w:tcPr>
          <w:p>
            <w:pPr>
              <w:ind w:left="40"/>
              <w:spacing w:after="0"/>
              <w:rPr>
                <w:sz w:val="20"/>
                <w:szCs w:val="20"/>
                <w:color w:val="auto"/>
              </w:rPr>
            </w:pPr>
            <w:r>
              <w:rPr>
                <w:rFonts w:ascii="Arial" w:cs="Arial" w:eastAsia="Arial" w:hAnsi="Arial"/>
                <w:sz w:val="17"/>
                <w:szCs w:val="17"/>
                <w:color w:val="auto"/>
                <w:w w:val="99"/>
              </w:rPr>
              <w:t>Four year graded vesting</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Operating profit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280035</wp:posOffset>
            </wp:positionV>
            <wp:extent cx="136271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 Absolute stock price</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272415</wp:posOffset>
            </wp:positionV>
            <wp:extent cx="136271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15875</wp:posOffset>
            </wp:positionV>
            <wp:extent cx="136271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4">
            <w:col w:w="2860" w:space="637"/>
            <w:col w:w="1923" w:space="560"/>
            <w:col w:w="2140" w:space="600"/>
            <w:col w:w="2220"/>
          </w:cols>
          <w:pgMar w:left="320" w:top="447" w:right="639" w:bottom="1440" w:gutter="0" w:footer="0" w:header="0"/>
          <w:type w:val="continuous"/>
        </w:sectPr>
      </w:pPr>
    </w:p>
    <w:p>
      <w:pPr>
        <w:ind w:left="480"/>
        <w:spacing w:after="0"/>
        <w:rPr>
          <w:sz w:val="20"/>
          <w:szCs w:val="20"/>
          <w:color w:val="auto"/>
        </w:rPr>
      </w:pPr>
      <w:r>
        <w:rPr>
          <w:rFonts w:ascii="Arial" w:cs="Arial" w:eastAsia="Arial" w:hAnsi="Arial"/>
          <w:sz w:val="12"/>
          <w:szCs w:val="12"/>
          <w:i w:val="1"/>
          <w:iCs w:val="1"/>
          <w:color w:val="auto"/>
        </w:rPr>
        <w:t>OPBT= Operating Profit Before Taxes. TSR = Total Shareholder Return</w:t>
      </w:r>
    </w:p>
    <w:p>
      <w:pPr>
        <w:sectPr>
          <w:pgSz w:w="11900" w:h="16838" w:orient="portrait"/>
          <w:cols w:equalWidth="0" w:num="1">
            <w:col w:w="10940"/>
          </w:cols>
          <w:pgMar w:left="320" w:top="447" w:right="6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1076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940"/>
          </w:cols>
          <w:pgMar w:left="320" w:top="447" w:right="639" w:bottom="1440" w:gutter="0" w:footer="0" w:header="0"/>
          <w:type w:val="continuous"/>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Factors Considered in Determining Fiscal 2020 Target Compensation Levels</w:t>
      </w:r>
    </w:p>
    <w:p>
      <w:pPr>
        <w:spacing w:after="0" w:line="118" w:lineRule="exact"/>
        <w:rPr>
          <w:sz w:val="20"/>
          <w:szCs w:val="20"/>
          <w:color w:val="auto"/>
        </w:rPr>
      </w:pPr>
    </w:p>
    <w:p>
      <w:pPr>
        <w:ind w:left="480" w:right="20"/>
        <w:spacing w:after="0" w:line="261" w:lineRule="auto"/>
        <w:rPr>
          <w:sz w:val="20"/>
          <w:szCs w:val="20"/>
          <w:color w:val="auto"/>
        </w:rPr>
      </w:pPr>
      <w:r>
        <w:rPr>
          <w:rFonts w:ascii="Arial" w:cs="Arial" w:eastAsia="Arial" w:hAnsi="Arial"/>
          <w:sz w:val="17"/>
          <w:szCs w:val="17"/>
          <w:b w:val="1"/>
          <w:bCs w:val="1"/>
          <w:color w:val="auto"/>
        </w:rPr>
        <w:t xml:space="preserve">Chief Executive Officer Pay Determination. </w:t>
      </w:r>
      <w:r>
        <w:rPr>
          <w:rFonts w:ascii="Arial" w:cs="Arial" w:eastAsia="Arial" w:hAnsi="Arial"/>
          <w:sz w:val="17"/>
          <w:szCs w:val="17"/>
          <w:color w:val="auto"/>
        </w:rPr>
        <w:t>Mr. Roche has served as our Chief Executive Officer since May 2013. Under his leadership,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has successfully executed its financial, strategic and operational objectives intended to drive long-term profitable growth and increase shareholder value. In determining Mr. Roche’s compensation as Chief Executive Officer for fiscal 2020, the Compensation Committee considered all elements of Mr. Roche’s compensation and compared his total target compensation to the median of Chief Executive Officer compensation of our peer companies. The Committee also considered Mr. Roche’s experience, tenure, and performance executing the Company’s strategy and driving long-term shareholder value. The design of Mr. Roche’s fiscal 2020 compensation provided incentives that linked realized compensation with Company performance.</w:t>
      </w:r>
    </w:p>
    <w:p>
      <w:pPr>
        <w:spacing w:after="0" w:line="73" w:lineRule="exact"/>
        <w:rPr>
          <w:sz w:val="20"/>
          <w:szCs w:val="20"/>
          <w:color w:val="auto"/>
        </w:rPr>
      </w:pPr>
    </w:p>
    <w:p>
      <w:pPr>
        <w:ind w:left="480" w:right="60"/>
        <w:spacing w:after="0" w:line="268" w:lineRule="auto"/>
        <w:rPr>
          <w:sz w:val="20"/>
          <w:szCs w:val="20"/>
          <w:color w:val="auto"/>
        </w:rPr>
      </w:pPr>
      <w:r>
        <w:rPr>
          <w:rFonts w:ascii="Arial" w:cs="Arial" w:eastAsia="Arial" w:hAnsi="Arial"/>
          <w:sz w:val="17"/>
          <w:szCs w:val="17"/>
          <w:b w:val="1"/>
          <w:bCs w:val="1"/>
          <w:color w:val="auto"/>
        </w:rPr>
        <w:t xml:space="preserve">Pay Determination for other Named Executive Officers: </w:t>
      </w:r>
      <w:r>
        <w:rPr>
          <w:rFonts w:ascii="Arial" w:cs="Arial" w:eastAsia="Arial" w:hAnsi="Arial"/>
          <w:sz w:val="17"/>
          <w:szCs w:val="17"/>
          <w:color w:val="auto"/>
        </w:rPr>
        <w:t>In determining fiscal 2020 compensation to Messrs. Mahendra-Rajah, Cotter, Hassett</w:t>
      </w:r>
      <w:r>
        <w:rPr>
          <w:rFonts w:ascii="Arial" w:cs="Arial" w:eastAsia="Arial" w:hAnsi="Arial"/>
          <w:sz w:val="17"/>
          <w:szCs w:val="17"/>
          <w:b w:val="1"/>
          <w:bCs w:val="1"/>
          <w:color w:val="auto"/>
        </w:rPr>
        <w:t xml:space="preserve"> </w:t>
      </w:r>
      <w:r>
        <w:rPr>
          <w:rFonts w:ascii="Arial" w:cs="Arial" w:eastAsia="Arial" w:hAnsi="Arial"/>
          <w:sz w:val="17"/>
          <w:szCs w:val="17"/>
          <w:color w:val="auto"/>
        </w:rPr>
        <w:t>and Pietkiewicz, including base salary levels, annual incentive payout targets, and fiscal 2020 equity grants, the Compensation Committee considered the executive’s individual responsibilities and other factors including their performance, tenure and market data, and benchmark information from our peer group.</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Components of Executive Compensation</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For fiscal 2020, compensation for our executive officers consisted of the following principal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5471160</wp:posOffset>
            </wp:positionH>
            <wp:positionV relativeFrom="paragraph">
              <wp:posOffset>164465</wp:posOffset>
            </wp:positionV>
            <wp:extent cx="1362710" cy="387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62710" cy="387985"/>
                    </a:xfrm>
                    <a:prstGeom prst="rect">
                      <a:avLst/>
                    </a:prstGeom>
                    <a:noFill/>
                  </pic:spPr>
                </pic:pic>
              </a:graphicData>
            </a:graphic>
          </wp:anchor>
        </w:drawing>
      </w:r>
    </w:p>
    <w:p>
      <w:pPr>
        <w:sectPr>
          <w:pgSz w:w="11900" w:h="16838" w:orient="portrait"/>
          <w:cols w:equalWidth="0" w:num="1">
            <w:col w:w="10640"/>
          </w:cols>
          <w:pgMar w:left="320" w:top="447" w:right="939" w:bottom="1440" w:gutter="0" w:footer="0" w:header="0"/>
        </w:sectPr>
      </w:pP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261"/>
        </w:trPr>
        <w:tc>
          <w:tcPr>
            <w:tcW w:w="1860" w:type="dxa"/>
            <w:vAlign w:val="bottom"/>
            <w:shd w:val="clear" w:color="auto" w:fill="CCCCCC"/>
          </w:tcPr>
          <w:p>
            <w:pPr>
              <w:ind w:left="60"/>
              <w:spacing w:after="0"/>
              <w:rPr>
                <w:sz w:val="20"/>
                <w:szCs w:val="20"/>
                <w:color w:val="auto"/>
              </w:rPr>
            </w:pPr>
            <w:r>
              <w:rPr>
                <w:rFonts w:ascii="Arial" w:cs="Arial" w:eastAsia="Arial" w:hAnsi="Arial"/>
                <w:sz w:val="16"/>
                <w:szCs w:val="16"/>
                <w:color w:val="auto"/>
              </w:rPr>
              <w:t>Base Salary</w:t>
            </w:r>
          </w:p>
        </w:tc>
        <w:tc>
          <w:tcPr>
            <w:tcW w:w="620" w:type="dxa"/>
            <w:vAlign w:val="bottom"/>
          </w:tcPr>
          <w:p>
            <w:pPr>
              <w:spacing w:after="0"/>
              <w:rPr>
                <w:sz w:val="22"/>
                <w:szCs w:val="22"/>
                <w:color w:val="auto"/>
              </w:rPr>
            </w:pPr>
          </w:p>
        </w:tc>
        <w:tc>
          <w:tcPr>
            <w:tcW w:w="180" w:type="dxa"/>
            <w:vAlign w:val="bottom"/>
            <w:shd w:val="clear" w:color="auto" w:fill="B2D1EA"/>
          </w:tcPr>
          <w:p>
            <w:pPr>
              <w:spacing w:after="0"/>
              <w:rPr>
                <w:sz w:val="22"/>
                <w:szCs w:val="22"/>
                <w:color w:val="auto"/>
              </w:rPr>
            </w:pPr>
          </w:p>
        </w:tc>
        <w:tc>
          <w:tcPr>
            <w:tcW w:w="2100" w:type="dxa"/>
            <w:vAlign w:val="bottom"/>
            <w:shd w:val="clear" w:color="auto" w:fill="B2D1EA"/>
          </w:tcPr>
          <w:p>
            <w:pPr>
              <w:spacing w:after="0"/>
              <w:rPr>
                <w:sz w:val="20"/>
                <w:szCs w:val="20"/>
                <w:color w:val="auto"/>
              </w:rPr>
            </w:pPr>
            <w:r>
              <w:rPr>
                <w:rFonts w:ascii="Arial" w:cs="Arial" w:eastAsia="Arial" w:hAnsi="Arial"/>
                <w:sz w:val="17"/>
                <w:szCs w:val="17"/>
                <w:color w:val="auto"/>
              </w:rPr>
              <w:t>Cash Incentive</w:t>
            </w:r>
          </w:p>
        </w:tc>
        <w:tc>
          <w:tcPr>
            <w:tcW w:w="620" w:type="dxa"/>
            <w:vAlign w:val="bottom"/>
          </w:tcPr>
          <w:p>
            <w:pPr>
              <w:spacing w:after="0"/>
              <w:rPr>
                <w:sz w:val="22"/>
                <w:szCs w:val="22"/>
                <w:color w:val="auto"/>
              </w:rPr>
            </w:pPr>
          </w:p>
        </w:tc>
        <w:tc>
          <w:tcPr>
            <w:tcW w:w="2160" w:type="dxa"/>
            <w:vAlign w:val="bottom"/>
            <w:shd w:val="clear" w:color="auto" w:fill="7FB2DC"/>
          </w:tcPr>
          <w:p>
            <w:pPr>
              <w:ind w:left="180"/>
              <w:spacing w:after="0"/>
              <w:rPr>
                <w:sz w:val="20"/>
                <w:szCs w:val="20"/>
                <w:color w:val="auto"/>
              </w:rPr>
            </w:pPr>
            <w:r>
              <w:rPr>
                <w:rFonts w:ascii="Arial" w:cs="Arial" w:eastAsia="Arial" w:hAnsi="Arial"/>
                <w:sz w:val="17"/>
                <w:szCs w:val="17"/>
                <w:color w:val="auto"/>
              </w:rPr>
              <w:t>Long-term Equity</w:t>
            </w:r>
          </w:p>
        </w:tc>
      </w:tr>
      <w:tr>
        <w:trPr>
          <w:trHeight w:val="221"/>
        </w:trPr>
        <w:tc>
          <w:tcPr>
            <w:tcW w:w="1860" w:type="dxa"/>
            <w:vAlign w:val="bottom"/>
            <w:shd w:val="clear" w:color="auto" w:fill="CCCCCC"/>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shd w:val="clear" w:color="auto" w:fill="B2D1EA"/>
          </w:tcPr>
          <w:p>
            <w:pPr>
              <w:spacing w:after="0"/>
              <w:rPr>
                <w:sz w:val="19"/>
                <w:szCs w:val="19"/>
                <w:color w:val="auto"/>
              </w:rPr>
            </w:pPr>
          </w:p>
        </w:tc>
        <w:tc>
          <w:tcPr>
            <w:tcW w:w="2100" w:type="dxa"/>
            <w:vAlign w:val="bottom"/>
            <w:shd w:val="clear" w:color="auto" w:fill="B2D1EA"/>
          </w:tcPr>
          <w:p>
            <w:pPr>
              <w:spacing w:after="0"/>
              <w:rPr>
                <w:sz w:val="20"/>
                <w:szCs w:val="20"/>
                <w:color w:val="auto"/>
              </w:rPr>
            </w:pPr>
            <w:r>
              <w:rPr>
                <w:rFonts w:ascii="Arial" w:cs="Arial" w:eastAsia="Arial" w:hAnsi="Arial"/>
                <w:sz w:val="17"/>
                <w:szCs w:val="17"/>
                <w:color w:val="auto"/>
              </w:rPr>
              <w:t>Bonus Award</w:t>
            </w:r>
          </w:p>
        </w:tc>
        <w:tc>
          <w:tcPr>
            <w:tcW w:w="620" w:type="dxa"/>
            <w:vAlign w:val="bottom"/>
          </w:tcPr>
          <w:p>
            <w:pPr>
              <w:spacing w:after="0"/>
              <w:rPr>
                <w:sz w:val="19"/>
                <w:szCs w:val="19"/>
                <w:color w:val="auto"/>
              </w:rPr>
            </w:pPr>
          </w:p>
        </w:tc>
        <w:tc>
          <w:tcPr>
            <w:tcW w:w="2160" w:type="dxa"/>
            <w:vAlign w:val="bottom"/>
            <w:shd w:val="clear" w:color="auto" w:fill="7FB2DC"/>
          </w:tcPr>
          <w:p>
            <w:pPr>
              <w:ind w:left="180"/>
              <w:spacing w:after="0"/>
              <w:rPr>
                <w:sz w:val="20"/>
                <w:szCs w:val="20"/>
                <w:color w:val="auto"/>
              </w:rPr>
            </w:pPr>
            <w:r>
              <w:rPr>
                <w:rFonts w:ascii="Arial" w:cs="Arial" w:eastAsia="Arial" w:hAnsi="Arial"/>
                <w:sz w:val="17"/>
                <w:szCs w:val="17"/>
                <w:color w:val="auto"/>
              </w:rPr>
              <w:t>Compensation</w:t>
            </w:r>
          </w:p>
        </w:tc>
      </w:tr>
      <w:tr>
        <w:trPr>
          <w:trHeight w:val="130"/>
        </w:trPr>
        <w:tc>
          <w:tcPr>
            <w:tcW w:w="1860" w:type="dxa"/>
            <w:vAlign w:val="bottom"/>
            <w:shd w:val="clear" w:color="auto" w:fill="CCCCCC"/>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shd w:val="clear" w:color="auto" w:fill="B2D1EA"/>
          </w:tcPr>
          <w:p>
            <w:pPr>
              <w:spacing w:after="0"/>
              <w:rPr>
                <w:sz w:val="11"/>
                <w:szCs w:val="11"/>
                <w:color w:val="auto"/>
              </w:rPr>
            </w:pPr>
          </w:p>
        </w:tc>
        <w:tc>
          <w:tcPr>
            <w:tcW w:w="2100" w:type="dxa"/>
            <w:vAlign w:val="bottom"/>
            <w:shd w:val="clear" w:color="auto" w:fill="B2D1EA"/>
          </w:tcPr>
          <w:p>
            <w:pPr>
              <w:spacing w:after="0"/>
              <w:rPr>
                <w:sz w:val="11"/>
                <w:szCs w:val="11"/>
                <w:color w:val="auto"/>
              </w:rPr>
            </w:pPr>
          </w:p>
        </w:tc>
        <w:tc>
          <w:tcPr>
            <w:tcW w:w="620" w:type="dxa"/>
            <w:vAlign w:val="bottom"/>
          </w:tcPr>
          <w:p>
            <w:pPr>
              <w:spacing w:after="0"/>
              <w:rPr>
                <w:sz w:val="11"/>
                <w:szCs w:val="11"/>
                <w:color w:val="auto"/>
              </w:rPr>
            </w:pPr>
          </w:p>
        </w:tc>
        <w:tc>
          <w:tcPr>
            <w:tcW w:w="2160" w:type="dxa"/>
            <w:vAlign w:val="bottom"/>
            <w:shd w:val="clear" w:color="auto" w:fill="7FB2DC"/>
          </w:tcPr>
          <w:p>
            <w:pPr>
              <w:spacing w:after="0"/>
              <w:rPr>
                <w:sz w:val="11"/>
                <w:szCs w:val="11"/>
                <w:color w:val="auto"/>
              </w:rPr>
            </w:pPr>
          </w:p>
        </w:tc>
      </w:tr>
      <w:tr>
        <w:trPr>
          <w:trHeight w:val="248"/>
        </w:trPr>
        <w:tc>
          <w:tcPr>
            <w:tcW w:w="2480" w:type="dxa"/>
            <w:vAlign w:val="bottom"/>
            <w:gridSpan w:val="2"/>
          </w:tcPr>
          <w:p>
            <w:pPr>
              <w:spacing w:after="0"/>
              <w:rPr>
                <w:sz w:val="20"/>
                <w:szCs w:val="20"/>
                <w:color w:val="auto"/>
              </w:rPr>
            </w:pPr>
            <w:r>
              <w:rPr>
                <w:rFonts w:ascii="Arial" w:cs="Arial" w:eastAsia="Arial" w:hAnsi="Arial"/>
                <w:sz w:val="17"/>
                <w:szCs w:val="17"/>
                <w:color w:val="auto"/>
              </w:rPr>
              <w:t>• Attract and retain</w:t>
            </w:r>
          </w:p>
        </w:tc>
        <w:tc>
          <w:tcPr>
            <w:tcW w:w="180" w:type="dxa"/>
            <w:vAlign w:val="bottom"/>
          </w:tcPr>
          <w:p>
            <w:pPr>
              <w:ind w:left="100"/>
              <w:spacing w:after="0"/>
              <w:rPr>
                <w:sz w:val="20"/>
                <w:szCs w:val="20"/>
                <w:color w:val="auto"/>
              </w:rPr>
            </w:pPr>
            <w:r>
              <w:rPr>
                <w:rFonts w:ascii="Arial" w:cs="Arial" w:eastAsia="Arial" w:hAnsi="Arial"/>
                <w:sz w:val="17"/>
                <w:szCs w:val="17"/>
                <w:color w:val="auto"/>
              </w:rPr>
              <w:t>•</w:t>
            </w:r>
          </w:p>
        </w:tc>
        <w:tc>
          <w:tcPr>
            <w:tcW w:w="2100" w:type="dxa"/>
            <w:vAlign w:val="bottom"/>
          </w:tcPr>
          <w:p>
            <w:pPr>
              <w:ind w:left="80"/>
              <w:spacing w:after="0"/>
              <w:rPr>
                <w:sz w:val="20"/>
                <w:szCs w:val="20"/>
                <w:color w:val="auto"/>
              </w:rPr>
            </w:pPr>
            <w:r>
              <w:rPr>
                <w:rFonts w:ascii="Arial" w:cs="Arial" w:eastAsia="Arial" w:hAnsi="Arial"/>
                <w:sz w:val="17"/>
                <w:szCs w:val="17"/>
                <w:color w:val="auto"/>
              </w:rPr>
              <w:t>Link pay and short-term</w:t>
            </w:r>
          </w:p>
        </w:tc>
        <w:tc>
          <w:tcPr>
            <w:tcW w:w="620" w:type="dxa"/>
            <w:vAlign w:val="bottom"/>
          </w:tcPr>
          <w:p>
            <w:pPr>
              <w:spacing w:after="0"/>
              <w:rPr>
                <w:sz w:val="21"/>
                <w:szCs w:val="21"/>
                <w:color w:val="auto"/>
              </w:rPr>
            </w:pPr>
          </w:p>
        </w:tc>
        <w:tc>
          <w:tcPr>
            <w:tcW w:w="2160" w:type="dxa"/>
            <w:vAlign w:val="bottom"/>
          </w:tcPr>
          <w:p>
            <w:pPr>
              <w:ind w:left="100"/>
              <w:spacing w:after="0"/>
              <w:rPr>
                <w:sz w:val="20"/>
                <w:szCs w:val="20"/>
                <w:color w:val="auto"/>
              </w:rPr>
            </w:pPr>
            <w:r>
              <w:rPr>
                <w:rFonts w:ascii="Arial" w:cs="Arial" w:eastAsia="Arial" w:hAnsi="Arial"/>
                <w:sz w:val="17"/>
                <w:szCs w:val="17"/>
                <w:color w:val="auto"/>
              </w:rPr>
              <w:t>• Link pay and long- term</w:t>
            </w:r>
          </w:p>
        </w:tc>
      </w:tr>
      <w:tr>
        <w:trPr>
          <w:trHeight w:val="221"/>
        </w:trPr>
        <w:tc>
          <w:tcPr>
            <w:tcW w:w="2480" w:type="dxa"/>
            <w:vAlign w:val="bottom"/>
            <w:gridSpan w:val="2"/>
          </w:tcPr>
          <w:p>
            <w:pPr>
              <w:ind w:left="140"/>
              <w:spacing w:after="0"/>
              <w:rPr>
                <w:sz w:val="20"/>
                <w:szCs w:val="20"/>
                <w:color w:val="auto"/>
              </w:rPr>
            </w:pPr>
            <w:r>
              <w:rPr>
                <w:rFonts w:ascii="Arial" w:cs="Arial" w:eastAsia="Arial" w:hAnsi="Arial"/>
                <w:sz w:val="17"/>
                <w:szCs w:val="17"/>
                <w:color w:val="auto"/>
              </w:rPr>
              <w:t>executive talent</w:t>
            </w:r>
          </w:p>
        </w:tc>
        <w:tc>
          <w:tcPr>
            <w:tcW w:w="180" w:type="dxa"/>
            <w:vAlign w:val="bottom"/>
          </w:tcPr>
          <w:p>
            <w:pPr>
              <w:spacing w:after="0"/>
              <w:rPr>
                <w:sz w:val="19"/>
                <w:szCs w:val="19"/>
                <w:color w:val="auto"/>
              </w:rPr>
            </w:pPr>
          </w:p>
        </w:tc>
        <w:tc>
          <w:tcPr>
            <w:tcW w:w="2100" w:type="dxa"/>
            <w:vAlign w:val="bottom"/>
          </w:tcPr>
          <w:p>
            <w:pPr>
              <w:ind w:left="60"/>
              <w:spacing w:after="0"/>
              <w:rPr>
                <w:sz w:val="20"/>
                <w:szCs w:val="20"/>
                <w:color w:val="auto"/>
              </w:rPr>
            </w:pPr>
            <w:r>
              <w:rPr>
                <w:rFonts w:ascii="Arial" w:cs="Arial" w:eastAsia="Arial" w:hAnsi="Arial"/>
                <w:sz w:val="17"/>
                <w:szCs w:val="17"/>
                <w:color w:val="auto"/>
              </w:rPr>
              <w:t>Company performance</w:t>
            </w:r>
          </w:p>
        </w:tc>
        <w:tc>
          <w:tcPr>
            <w:tcW w:w="620" w:type="dxa"/>
            <w:vAlign w:val="bottom"/>
          </w:tcPr>
          <w:p>
            <w:pPr>
              <w:spacing w:after="0"/>
              <w:rPr>
                <w:sz w:val="19"/>
                <w:szCs w:val="19"/>
                <w:color w:val="auto"/>
              </w:rPr>
            </w:pPr>
          </w:p>
        </w:tc>
        <w:tc>
          <w:tcPr>
            <w:tcW w:w="2160" w:type="dxa"/>
            <w:vAlign w:val="bottom"/>
          </w:tcPr>
          <w:p>
            <w:pPr>
              <w:ind w:left="240"/>
              <w:spacing w:after="0"/>
              <w:rPr>
                <w:sz w:val="20"/>
                <w:szCs w:val="20"/>
                <w:color w:val="auto"/>
              </w:rPr>
            </w:pPr>
            <w:r>
              <w:rPr>
                <w:rFonts w:ascii="Arial" w:cs="Arial" w:eastAsia="Arial" w:hAnsi="Arial"/>
                <w:sz w:val="17"/>
                <w:szCs w:val="17"/>
                <w:color w:val="auto"/>
              </w:rPr>
              <w:t>Company performance</w:t>
            </w:r>
          </w:p>
        </w:tc>
      </w:tr>
      <w:tr>
        <w:trPr>
          <w:trHeight w:val="261"/>
        </w:trPr>
        <w:tc>
          <w:tcPr>
            <w:tcW w:w="2480" w:type="dxa"/>
            <w:vAlign w:val="bottom"/>
            <w:gridSpan w:val="2"/>
          </w:tcPr>
          <w:p>
            <w:pPr>
              <w:spacing w:after="0"/>
              <w:rPr>
                <w:sz w:val="20"/>
                <w:szCs w:val="20"/>
                <w:color w:val="auto"/>
              </w:rPr>
            </w:pPr>
            <w:r>
              <w:rPr>
                <w:rFonts w:ascii="Arial" w:cs="Arial" w:eastAsia="Arial" w:hAnsi="Arial"/>
                <w:sz w:val="17"/>
                <w:szCs w:val="17"/>
                <w:color w:val="auto"/>
              </w:rPr>
              <w:t>• Provide stable source of</w:t>
            </w:r>
          </w:p>
        </w:tc>
        <w:tc>
          <w:tcPr>
            <w:tcW w:w="180" w:type="dxa"/>
            <w:vAlign w:val="bottom"/>
          </w:tcPr>
          <w:p>
            <w:pPr>
              <w:ind w:left="100"/>
              <w:spacing w:after="0"/>
              <w:rPr>
                <w:sz w:val="20"/>
                <w:szCs w:val="20"/>
                <w:color w:val="auto"/>
              </w:rPr>
            </w:pPr>
            <w:r>
              <w:rPr>
                <w:rFonts w:ascii="Arial" w:cs="Arial" w:eastAsia="Arial" w:hAnsi="Arial"/>
                <w:sz w:val="17"/>
                <w:szCs w:val="17"/>
                <w:color w:val="auto"/>
              </w:rPr>
              <w:t>•</w:t>
            </w:r>
          </w:p>
        </w:tc>
        <w:tc>
          <w:tcPr>
            <w:tcW w:w="2100" w:type="dxa"/>
            <w:vAlign w:val="bottom"/>
          </w:tcPr>
          <w:p>
            <w:pPr>
              <w:ind w:left="80"/>
              <w:spacing w:after="0"/>
              <w:rPr>
                <w:sz w:val="20"/>
                <w:szCs w:val="20"/>
                <w:color w:val="auto"/>
              </w:rPr>
            </w:pPr>
            <w:r>
              <w:rPr>
                <w:rFonts w:ascii="Arial" w:cs="Arial" w:eastAsia="Arial" w:hAnsi="Arial"/>
                <w:sz w:val="17"/>
                <w:szCs w:val="17"/>
                <w:color w:val="auto"/>
              </w:rPr>
              <w:t>Motivate and reward</w:t>
            </w:r>
          </w:p>
        </w:tc>
        <w:tc>
          <w:tcPr>
            <w:tcW w:w="620" w:type="dxa"/>
            <w:vAlign w:val="bottom"/>
          </w:tcPr>
          <w:p>
            <w:pPr>
              <w:spacing w:after="0"/>
              <w:rPr>
                <w:sz w:val="22"/>
                <w:szCs w:val="22"/>
                <w:color w:val="auto"/>
              </w:rPr>
            </w:pPr>
          </w:p>
        </w:tc>
        <w:tc>
          <w:tcPr>
            <w:tcW w:w="2160" w:type="dxa"/>
            <w:vAlign w:val="bottom"/>
          </w:tcPr>
          <w:p>
            <w:pPr>
              <w:ind w:left="100"/>
              <w:spacing w:after="0"/>
              <w:rPr>
                <w:sz w:val="20"/>
                <w:szCs w:val="20"/>
                <w:color w:val="auto"/>
              </w:rPr>
            </w:pPr>
            <w:r>
              <w:rPr>
                <w:rFonts w:ascii="Arial" w:cs="Arial" w:eastAsia="Arial" w:hAnsi="Arial"/>
                <w:sz w:val="17"/>
                <w:szCs w:val="17"/>
                <w:color w:val="auto"/>
              </w:rPr>
              <w:t>• Align the interests</w:t>
            </w:r>
          </w:p>
        </w:tc>
      </w:tr>
      <w:tr>
        <w:trPr>
          <w:trHeight w:val="208"/>
        </w:trPr>
        <w:tc>
          <w:tcPr>
            <w:tcW w:w="2480" w:type="dxa"/>
            <w:vAlign w:val="bottom"/>
            <w:gridSpan w:val="2"/>
          </w:tcPr>
          <w:p>
            <w:pPr>
              <w:ind w:left="140"/>
              <w:spacing w:after="0"/>
              <w:rPr>
                <w:sz w:val="20"/>
                <w:szCs w:val="20"/>
                <w:color w:val="auto"/>
              </w:rPr>
            </w:pPr>
            <w:r>
              <w:rPr>
                <w:rFonts w:ascii="Arial" w:cs="Arial" w:eastAsia="Arial" w:hAnsi="Arial"/>
                <w:sz w:val="17"/>
                <w:szCs w:val="17"/>
                <w:color w:val="auto"/>
              </w:rPr>
              <w:t>income</w:t>
            </w:r>
          </w:p>
        </w:tc>
        <w:tc>
          <w:tcPr>
            <w:tcW w:w="180" w:type="dxa"/>
            <w:vAlign w:val="bottom"/>
          </w:tcPr>
          <w:p>
            <w:pPr>
              <w:spacing w:after="0"/>
              <w:rPr>
                <w:sz w:val="18"/>
                <w:szCs w:val="18"/>
                <w:color w:val="auto"/>
              </w:rPr>
            </w:pPr>
          </w:p>
        </w:tc>
        <w:tc>
          <w:tcPr>
            <w:tcW w:w="2100" w:type="dxa"/>
            <w:vAlign w:val="bottom"/>
          </w:tcPr>
          <w:p>
            <w:pPr>
              <w:ind w:left="60"/>
              <w:spacing w:after="0"/>
              <w:rPr>
                <w:sz w:val="20"/>
                <w:szCs w:val="20"/>
                <w:color w:val="auto"/>
              </w:rPr>
            </w:pPr>
            <w:r>
              <w:rPr>
                <w:rFonts w:ascii="Arial" w:cs="Arial" w:eastAsia="Arial" w:hAnsi="Arial"/>
                <w:sz w:val="17"/>
                <w:szCs w:val="17"/>
                <w:color w:val="auto"/>
              </w:rPr>
              <w:t>executives for</w:t>
            </w:r>
          </w:p>
        </w:tc>
        <w:tc>
          <w:tcPr>
            <w:tcW w:w="620" w:type="dxa"/>
            <w:vAlign w:val="bottom"/>
          </w:tcPr>
          <w:p>
            <w:pPr>
              <w:spacing w:after="0"/>
              <w:rPr>
                <w:sz w:val="18"/>
                <w:szCs w:val="18"/>
                <w:color w:val="auto"/>
              </w:rPr>
            </w:pPr>
          </w:p>
        </w:tc>
        <w:tc>
          <w:tcPr>
            <w:tcW w:w="2160" w:type="dxa"/>
            <w:vAlign w:val="bottom"/>
          </w:tcPr>
          <w:p>
            <w:pPr>
              <w:ind w:left="240"/>
              <w:spacing w:after="0"/>
              <w:rPr>
                <w:sz w:val="20"/>
                <w:szCs w:val="20"/>
                <w:color w:val="auto"/>
              </w:rPr>
            </w:pPr>
            <w:r>
              <w:rPr>
                <w:rFonts w:ascii="Arial" w:cs="Arial" w:eastAsia="Arial" w:hAnsi="Arial"/>
                <w:sz w:val="17"/>
                <w:szCs w:val="17"/>
                <w:color w:val="auto"/>
              </w:rPr>
              <w:t>of executives with</w:t>
            </w:r>
          </w:p>
        </w:tc>
      </w:tr>
      <w:tr>
        <w:trPr>
          <w:trHeight w:val="208"/>
        </w:trPr>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ind w:left="60"/>
              <w:spacing w:after="0"/>
              <w:rPr>
                <w:sz w:val="20"/>
                <w:szCs w:val="20"/>
                <w:color w:val="auto"/>
              </w:rPr>
            </w:pPr>
            <w:r>
              <w:rPr>
                <w:rFonts w:ascii="Arial" w:cs="Arial" w:eastAsia="Arial" w:hAnsi="Arial"/>
                <w:sz w:val="17"/>
                <w:szCs w:val="17"/>
                <w:color w:val="auto"/>
              </w:rPr>
              <w:t>achieving short-term</w:t>
            </w:r>
          </w:p>
        </w:tc>
        <w:tc>
          <w:tcPr>
            <w:tcW w:w="620" w:type="dxa"/>
            <w:vAlign w:val="bottom"/>
          </w:tcPr>
          <w:p>
            <w:pPr>
              <w:spacing w:after="0"/>
              <w:rPr>
                <w:sz w:val="18"/>
                <w:szCs w:val="18"/>
                <w:color w:val="auto"/>
              </w:rPr>
            </w:pPr>
          </w:p>
        </w:tc>
        <w:tc>
          <w:tcPr>
            <w:tcW w:w="2160" w:type="dxa"/>
            <w:vAlign w:val="bottom"/>
          </w:tcPr>
          <w:p>
            <w:pPr>
              <w:ind w:left="240"/>
              <w:spacing w:after="0"/>
              <w:rPr>
                <w:sz w:val="20"/>
                <w:szCs w:val="20"/>
                <w:color w:val="auto"/>
              </w:rPr>
            </w:pPr>
            <w:r>
              <w:rPr>
                <w:rFonts w:ascii="Arial" w:cs="Arial" w:eastAsia="Arial" w:hAnsi="Arial"/>
                <w:sz w:val="17"/>
                <w:szCs w:val="17"/>
                <w:color w:val="auto"/>
              </w:rPr>
              <w:t>shareholders by</w:t>
            </w:r>
          </w:p>
        </w:tc>
      </w:tr>
      <w:tr>
        <w:trPr>
          <w:trHeight w:val="208"/>
        </w:trPr>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ind w:left="60"/>
              <w:spacing w:after="0"/>
              <w:rPr>
                <w:sz w:val="20"/>
                <w:szCs w:val="20"/>
                <w:color w:val="auto"/>
              </w:rPr>
            </w:pPr>
            <w:r>
              <w:rPr>
                <w:rFonts w:ascii="Arial" w:cs="Arial" w:eastAsia="Arial" w:hAnsi="Arial"/>
                <w:sz w:val="17"/>
                <w:szCs w:val="17"/>
                <w:color w:val="auto"/>
              </w:rPr>
              <w:t>Company financial</w:t>
            </w:r>
          </w:p>
        </w:tc>
        <w:tc>
          <w:tcPr>
            <w:tcW w:w="620" w:type="dxa"/>
            <w:vAlign w:val="bottom"/>
          </w:tcPr>
          <w:p>
            <w:pPr>
              <w:spacing w:after="0"/>
              <w:rPr>
                <w:sz w:val="18"/>
                <w:szCs w:val="18"/>
                <w:color w:val="auto"/>
              </w:rPr>
            </w:pPr>
          </w:p>
        </w:tc>
        <w:tc>
          <w:tcPr>
            <w:tcW w:w="2160" w:type="dxa"/>
            <w:vAlign w:val="bottom"/>
          </w:tcPr>
          <w:p>
            <w:pPr>
              <w:ind w:left="240"/>
              <w:spacing w:after="0"/>
              <w:rPr>
                <w:sz w:val="20"/>
                <w:szCs w:val="20"/>
                <w:color w:val="auto"/>
              </w:rPr>
            </w:pPr>
            <w:r>
              <w:rPr>
                <w:rFonts w:ascii="Arial" w:cs="Arial" w:eastAsia="Arial" w:hAnsi="Arial"/>
                <w:sz w:val="17"/>
                <w:szCs w:val="17"/>
                <w:color w:val="auto"/>
              </w:rPr>
              <w:t>rewarding long-term</w:t>
            </w:r>
          </w:p>
        </w:tc>
      </w:tr>
      <w:tr>
        <w:trPr>
          <w:trHeight w:val="208"/>
        </w:trPr>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ind w:left="60"/>
              <w:spacing w:after="0"/>
              <w:rPr>
                <w:sz w:val="20"/>
                <w:szCs w:val="20"/>
                <w:color w:val="auto"/>
              </w:rPr>
            </w:pPr>
            <w:r>
              <w:rPr>
                <w:rFonts w:ascii="Arial" w:cs="Arial" w:eastAsia="Arial" w:hAnsi="Arial"/>
                <w:sz w:val="17"/>
                <w:szCs w:val="17"/>
                <w:color w:val="auto"/>
                <w:w w:val="93"/>
              </w:rPr>
              <w:t>objectives aligned with value</w:t>
            </w:r>
          </w:p>
        </w:tc>
        <w:tc>
          <w:tcPr>
            <w:tcW w:w="620" w:type="dxa"/>
            <w:vAlign w:val="bottom"/>
          </w:tcPr>
          <w:p>
            <w:pPr>
              <w:spacing w:after="0"/>
              <w:rPr>
                <w:sz w:val="18"/>
                <w:szCs w:val="18"/>
                <w:color w:val="auto"/>
              </w:rPr>
            </w:pPr>
          </w:p>
        </w:tc>
        <w:tc>
          <w:tcPr>
            <w:tcW w:w="2160" w:type="dxa"/>
            <w:vAlign w:val="bottom"/>
          </w:tcPr>
          <w:p>
            <w:pPr>
              <w:ind w:left="240"/>
              <w:spacing w:after="0"/>
              <w:rPr>
                <w:sz w:val="20"/>
                <w:szCs w:val="20"/>
                <w:color w:val="auto"/>
              </w:rPr>
            </w:pPr>
            <w:r>
              <w:rPr>
                <w:rFonts w:ascii="Arial" w:cs="Arial" w:eastAsia="Arial" w:hAnsi="Arial"/>
                <w:sz w:val="17"/>
                <w:szCs w:val="17"/>
                <w:color w:val="auto"/>
              </w:rPr>
              <w:t>stock price appreciation</w:t>
            </w:r>
          </w:p>
        </w:tc>
      </w:tr>
      <w:tr>
        <w:trPr>
          <w:trHeight w:val="221"/>
        </w:trPr>
        <w:tc>
          <w:tcPr>
            <w:tcW w:w="1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ind w:left="60"/>
              <w:spacing w:after="0"/>
              <w:rPr>
                <w:sz w:val="20"/>
                <w:szCs w:val="20"/>
                <w:color w:val="auto"/>
              </w:rPr>
            </w:pPr>
            <w:r>
              <w:rPr>
                <w:rFonts w:ascii="Arial" w:cs="Arial" w:eastAsia="Arial" w:hAnsi="Arial"/>
                <w:sz w:val="17"/>
                <w:szCs w:val="17"/>
                <w:color w:val="auto"/>
              </w:rPr>
              <w:t>creation</w:t>
            </w:r>
          </w:p>
        </w:tc>
        <w:tc>
          <w:tcPr>
            <w:tcW w:w="620" w:type="dxa"/>
            <w:vAlign w:val="bottom"/>
          </w:tcPr>
          <w:p>
            <w:pPr>
              <w:spacing w:after="0"/>
              <w:rPr>
                <w:sz w:val="19"/>
                <w:szCs w:val="19"/>
                <w:color w:val="auto"/>
              </w:rPr>
            </w:pPr>
          </w:p>
        </w:tc>
        <w:tc>
          <w:tcPr>
            <w:tcW w:w="2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1605280</wp:posOffset>
            </wp:positionH>
            <wp:positionV relativeFrom="paragraph">
              <wp:posOffset>-1403350</wp:posOffset>
            </wp:positionV>
            <wp:extent cx="156845" cy="156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6845" cy="156845"/>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-1403350</wp:posOffset>
            </wp:positionV>
            <wp:extent cx="156845" cy="156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6845" cy="156845"/>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-1403350</wp:posOffset>
            </wp:positionV>
            <wp:extent cx="156845" cy="156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6845" cy="156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left="67" w:right="360"/>
        <w:spacing w:after="0" w:line="356" w:lineRule="auto"/>
        <w:rPr>
          <w:sz w:val="20"/>
          <w:szCs w:val="20"/>
          <w:color w:val="auto"/>
        </w:rPr>
      </w:pPr>
      <w:r>
        <w:rPr>
          <w:rFonts w:ascii="Arial" w:cs="Arial" w:eastAsia="Arial" w:hAnsi="Arial"/>
          <w:sz w:val="15"/>
          <w:szCs w:val="15"/>
          <w:color w:val="auto"/>
        </w:rPr>
        <w:t>Retirement and Other Employee Benefits</w:t>
      </w:r>
    </w:p>
    <w:p>
      <w:pPr>
        <w:spacing w:after="0" w:line="87" w:lineRule="exact"/>
        <w:rPr>
          <w:sz w:val="20"/>
          <w:szCs w:val="20"/>
          <w:color w:val="auto"/>
        </w:rPr>
      </w:pPr>
    </w:p>
    <w:p>
      <w:pPr>
        <w:jc w:val="both"/>
        <w:ind w:left="147" w:right="200" w:hanging="147"/>
        <w:spacing w:after="0" w:line="323" w:lineRule="auto"/>
        <w:tabs>
          <w:tab w:leader="none" w:pos="155"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Retain executive talent by providing financial protection and security</w:t>
      </w:r>
    </w:p>
    <w:p>
      <w:pPr>
        <w:spacing w:after="0" w:line="1240" w:lineRule="exact"/>
        <w:rPr>
          <w:sz w:val="20"/>
          <w:szCs w:val="20"/>
          <w:color w:val="auto"/>
        </w:rPr>
      </w:pPr>
    </w:p>
    <w:p>
      <w:pPr>
        <w:sectPr>
          <w:pgSz w:w="11900" w:h="16838" w:orient="portrait"/>
          <w:cols w:equalWidth="0" w:num="2">
            <w:col w:w="8020" w:space="693"/>
            <w:col w:w="1927"/>
          </w:cols>
          <w:pgMar w:left="320" w:top="447" w:right="939" w:bottom="1440" w:gutter="0" w:footer="0" w:header="0"/>
          <w:type w:val="continuous"/>
        </w:sectPr>
      </w:pPr>
    </w:p>
    <w:p>
      <w:pPr>
        <w:ind w:left="480"/>
        <w:spacing w:after="0"/>
        <w:rPr>
          <w:sz w:val="20"/>
          <w:szCs w:val="20"/>
          <w:color w:val="auto"/>
        </w:rPr>
      </w:pPr>
      <w:r>
        <w:rPr>
          <w:rFonts w:ascii="Arial" w:cs="Arial" w:eastAsia="Arial" w:hAnsi="Arial"/>
          <w:sz w:val="19"/>
          <w:szCs w:val="19"/>
          <w:b w:val="1"/>
          <w:bCs w:val="1"/>
          <w:color w:val="333333"/>
        </w:rPr>
        <w:t>Base Salary</w:t>
      </w:r>
    </w:p>
    <w:p>
      <w:pPr>
        <w:spacing w:after="0" w:line="57" w:lineRule="exact"/>
        <w:rPr>
          <w:sz w:val="20"/>
          <w:szCs w:val="20"/>
          <w:color w:val="auto"/>
        </w:rPr>
      </w:pPr>
    </w:p>
    <w:p>
      <w:pPr>
        <w:ind w:left="480"/>
        <w:spacing w:after="0" w:line="270" w:lineRule="auto"/>
        <w:rPr>
          <w:sz w:val="20"/>
          <w:szCs w:val="20"/>
          <w:color w:val="auto"/>
        </w:rPr>
      </w:pPr>
      <w:r>
        <w:rPr>
          <w:rFonts w:ascii="Arial" w:cs="Arial" w:eastAsia="Arial" w:hAnsi="Arial"/>
          <w:sz w:val="17"/>
          <w:szCs w:val="17"/>
          <w:color w:val="auto"/>
        </w:rPr>
        <w:t>We use salaries for similar positions within our peer group as an important factor in setting a base salary that can attract and retain talent. When setting the fiscal 2020 base salary for each individual NEO, the Compensation Committee also considered other factors, including the scope of the role and the performance and experience of the individual.</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333333"/>
        </w:rPr>
        <w:t>Fiscal 2020 Executive Performance Incentive Plan</w:t>
      </w:r>
    </w:p>
    <w:p>
      <w:pPr>
        <w:spacing w:after="0" w:line="57" w:lineRule="exact"/>
        <w:rPr>
          <w:sz w:val="20"/>
          <w:szCs w:val="20"/>
          <w:color w:val="auto"/>
        </w:rPr>
      </w:pPr>
    </w:p>
    <w:p>
      <w:pPr>
        <w:ind w:left="480" w:right="300"/>
        <w:spacing w:after="0" w:line="286" w:lineRule="auto"/>
        <w:rPr>
          <w:sz w:val="20"/>
          <w:szCs w:val="20"/>
          <w:color w:val="auto"/>
        </w:rPr>
      </w:pPr>
      <w:r>
        <w:rPr>
          <w:rFonts w:ascii="Arial" w:cs="Arial" w:eastAsia="Arial" w:hAnsi="Arial"/>
          <w:sz w:val="17"/>
          <w:szCs w:val="17"/>
          <w:color w:val="auto"/>
        </w:rPr>
        <w:t>In September 2019, the Compensation Committee approved the terms of our executive performance incentive plan for fiscal 2020. The plan is designed to be variable, depending on ADI’s operating results.</w:t>
      </w:r>
    </w:p>
    <w:p>
      <w:pPr>
        <w:spacing w:after="0" w:line="54" w:lineRule="exact"/>
        <w:rPr>
          <w:sz w:val="20"/>
          <w:szCs w:val="20"/>
          <w:color w:val="auto"/>
        </w:rPr>
      </w:pPr>
    </w:p>
    <w:p>
      <w:pPr>
        <w:ind w:left="480" w:right="80"/>
        <w:spacing w:after="0" w:line="286" w:lineRule="auto"/>
        <w:rPr>
          <w:sz w:val="20"/>
          <w:szCs w:val="20"/>
          <w:color w:val="auto"/>
        </w:rPr>
      </w:pPr>
      <w:r>
        <w:rPr>
          <w:rFonts w:ascii="Arial" w:cs="Arial" w:eastAsia="Arial" w:hAnsi="Arial"/>
          <w:sz w:val="17"/>
          <w:szCs w:val="17"/>
          <w:color w:val="auto"/>
        </w:rPr>
        <w:t>All executive officers, including our NEOs, participated in our fiscal 2020 executive performance incentive plan. We calculated and paid bonuses under the fiscal 2020 plan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125095</wp:posOffset>
            </wp:positionV>
            <wp:extent cx="4188460" cy="8921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188460"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640"/>
          </w:cols>
          <w:pgMar w:left="320" w:top="447" w:right="939" w:bottom="1440" w:gutter="0" w:footer="0" w:header="0"/>
          <w:type w:val="continuous"/>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both"/>
        <w:ind w:left="480" w:right="380"/>
        <w:spacing w:after="0" w:line="265" w:lineRule="auto"/>
        <w:rPr>
          <w:sz w:val="20"/>
          <w:szCs w:val="20"/>
          <w:color w:val="auto"/>
        </w:rPr>
      </w:pPr>
      <w:r>
        <w:rPr>
          <w:rFonts w:ascii="Arial" w:cs="Arial" w:eastAsia="Arial" w:hAnsi="Arial"/>
          <w:sz w:val="17"/>
          <w:szCs w:val="17"/>
          <w:b w:val="1"/>
          <w:bCs w:val="1"/>
          <w:color w:val="0066BA"/>
        </w:rPr>
        <w:t xml:space="preserve">Individual Target Bonus Percentage. </w:t>
      </w:r>
      <w:r>
        <w:rPr>
          <w:rFonts w:ascii="Arial" w:cs="Arial" w:eastAsia="Arial" w:hAnsi="Arial"/>
          <w:sz w:val="17"/>
          <w:szCs w:val="17"/>
          <w:color w:val="000000"/>
        </w:rPr>
        <w:t>For fiscal 2020, the Compensation Committee set target percentages of 150% of base salary for our Chief</w:t>
      </w:r>
      <w:r>
        <w:rPr>
          <w:rFonts w:ascii="Arial" w:cs="Arial" w:eastAsia="Arial" w:hAnsi="Arial"/>
          <w:sz w:val="17"/>
          <w:szCs w:val="17"/>
          <w:b w:val="1"/>
          <w:bCs w:val="1"/>
          <w:color w:val="0066BA"/>
        </w:rPr>
        <w:t xml:space="preserve"> </w:t>
      </w:r>
      <w:r>
        <w:rPr>
          <w:rFonts w:ascii="Arial" w:cs="Arial" w:eastAsia="Arial" w:hAnsi="Arial"/>
          <w:sz w:val="17"/>
          <w:szCs w:val="17"/>
          <w:color w:val="000000"/>
        </w:rPr>
        <w:t>Executive Officer and 100% of base salary for our other NEOs. The Compensation Committee selected these target bonus percentages to ensure that a substantial portion of each NEO’s cash compensation is performance-based and linked directly to our business performance, and to ensure that total compensation is competitive with those in similar positions within our peer group. Setting our Chief Executive Officer’s target at 150% also ties the majority of his cash compensation directly to Company performance.</w:t>
      </w:r>
    </w:p>
    <w:p>
      <w:pPr>
        <w:spacing w:after="0" w:line="66" w:lineRule="exact"/>
        <w:rPr>
          <w:sz w:val="20"/>
          <w:szCs w:val="20"/>
          <w:color w:val="auto"/>
        </w:rPr>
      </w:pPr>
    </w:p>
    <w:p>
      <w:pPr>
        <w:ind w:left="480" w:right="240"/>
        <w:spacing w:after="0" w:line="285" w:lineRule="auto"/>
        <w:rPr>
          <w:sz w:val="20"/>
          <w:szCs w:val="20"/>
          <w:color w:val="auto"/>
        </w:rPr>
      </w:pPr>
      <w:r>
        <w:rPr>
          <w:rFonts w:ascii="Arial" w:cs="Arial" w:eastAsia="Arial" w:hAnsi="Arial"/>
          <w:sz w:val="16"/>
          <w:szCs w:val="16"/>
          <w:b w:val="1"/>
          <w:bCs w:val="1"/>
          <w:color w:val="0066BA"/>
        </w:rPr>
        <w:t xml:space="preserve">Bonus Payout Factor. </w:t>
      </w:r>
      <w:r>
        <w:rPr>
          <w:rFonts w:ascii="Arial" w:cs="Arial" w:eastAsia="Arial" w:hAnsi="Arial"/>
          <w:sz w:val="16"/>
          <w:szCs w:val="16"/>
          <w:color w:val="000000"/>
        </w:rPr>
        <w:t>For fiscal 2020, we based the Bonus Payout Factor for the applicable quarterly bonus period on our OPBT margin and year-over-year revenue growth compared to the same quarter in the prior year. While our executive performance incentive plan contains quarterly performance targets, the Compensation Committee designed this plan to drive long-term performance. The targets are directly linked to our long-term corporate strategy of profitable growth, which drives shareholder value. We believe this combination ensures that we encourage a long-term focus on our business objectives, while measuring and rewarding progress against those objectives on a quarterly basis.</w:t>
      </w:r>
    </w:p>
    <w:p>
      <w:pPr>
        <w:spacing w:after="0" w:line="58" w:lineRule="exact"/>
        <w:rPr>
          <w:sz w:val="20"/>
          <w:szCs w:val="20"/>
          <w:color w:val="auto"/>
        </w:rPr>
      </w:pPr>
    </w:p>
    <w:p>
      <w:pPr>
        <w:ind w:left="480" w:right="240"/>
        <w:spacing w:after="0" w:line="302" w:lineRule="auto"/>
        <w:rPr>
          <w:sz w:val="20"/>
          <w:szCs w:val="20"/>
          <w:color w:val="auto"/>
        </w:rPr>
      </w:pPr>
      <w:r>
        <w:rPr>
          <w:rFonts w:ascii="Arial" w:cs="Arial" w:eastAsia="Arial" w:hAnsi="Arial"/>
          <w:sz w:val="15"/>
          <w:szCs w:val="15"/>
          <w:color w:val="auto"/>
        </w:rPr>
        <w:t>The Compensation Committee reviews and approves our performance targets, and historically these targets have not been re-set during the performance period, regardless of Company performance or economic conditions. We believe that this approach fosters accountability for our business results and is in keeping with our core belief that variable compensation expense, which increases when our performance is good and contracts when it is poor, gives us maximum flexibility to operate our business. While the OPBT margin and year-over-year revenue growth targets are typically set annually, we measure performance against those targets on a quarterly basis, applying the corresponding Bonus Payout Factor to base salary for that quarter, and pay the bonus amounts to our NEOs on a semi-annual basis following the end of the second and fourth quarters.</w:t>
      </w:r>
    </w:p>
    <w:p>
      <w:pPr>
        <w:spacing w:after="0" w:line="51" w:lineRule="exact"/>
        <w:rPr>
          <w:sz w:val="20"/>
          <w:szCs w:val="20"/>
          <w:color w:val="auto"/>
        </w:rPr>
      </w:pPr>
    </w:p>
    <w:p>
      <w:pPr>
        <w:ind w:left="480" w:right="200"/>
        <w:spacing w:after="0" w:line="263" w:lineRule="auto"/>
        <w:rPr>
          <w:sz w:val="20"/>
          <w:szCs w:val="20"/>
          <w:color w:val="auto"/>
        </w:rPr>
      </w:pPr>
      <w:r>
        <w:rPr>
          <w:rFonts w:ascii="Arial" w:cs="Arial" w:eastAsia="Arial" w:hAnsi="Arial"/>
          <w:sz w:val="17"/>
          <w:szCs w:val="17"/>
          <w:color w:val="auto"/>
        </w:rPr>
        <w:t>In setting performance targets for our executive performance incentive plan, multiple factors are considered including our actual past business results, estimates of multi-year performance from our long-term strategic planning, and the performance of market competitors. Based on our evaluation of these factors</w:t>
      </w:r>
      <w:r>
        <w:rPr>
          <w:rFonts w:ascii="Arial" w:cs="Arial" w:eastAsia="Arial" w:hAnsi="Arial"/>
          <w:sz w:val="14"/>
          <w:szCs w:val="14"/>
          <w:color w:val="auto"/>
        </w:rPr>
        <w:t>1</w:t>
      </w:r>
      <w:r>
        <w:rPr>
          <w:rFonts w:ascii="Arial" w:cs="Arial" w:eastAsia="Arial" w:hAnsi="Arial"/>
          <w:sz w:val="17"/>
          <w:szCs w:val="17"/>
          <w:color w:val="auto"/>
        </w:rPr>
        <w:t>, the Compensation Committee determined that our fiscal 2020 OPBT margin and year-over-year revenue growth targets would remain the same as fiscal 2019 and that these quarterly performance targets were sufficiently rigorous and consistent with the Company’s long-term financial model.</w:t>
      </w:r>
    </w:p>
    <w:p>
      <w:pPr>
        <w:spacing w:after="0" w:line="7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Compensation Committee implemented the following targets for fiscal 2020:</w:t>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226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50% of Bonus Based on</w:t>
            </w:r>
          </w:p>
        </w:tc>
        <w:tc>
          <w:tcPr>
            <w:tcW w:w="2680" w:type="dxa"/>
            <w:vAlign w:val="bottom"/>
            <w:shd w:val="clear" w:color="auto" w:fill="0066BA"/>
          </w:tcPr>
          <w:p>
            <w:pPr>
              <w:jc w:val="right"/>
              <w:spacing w:after="0"/>
              <w:rPr>
                <w:sz w:val="20"/>
                <w:szCs w:val="20"/>
                <w:color w:val="auto"/>
              </w:rPr>
            </w:pPr>
            <w:r>
              <w:rPr>
                <w:rFonts w:ascii="Arial" w:cs="Arial" w:eastAsia="Arial" w:hAnsi="Arial"/>
                <w:sz w:val="14"/>
                <w:szCs w:val="14"/>
                <w:b w:val="1"/>
                <w:bCs w:val="1"/>
                <w:color w:val="FFFFFF"/>
              </w:rPr>
              <w:t>Bonus Payout</w:t>
            </w:r>
          </w:p>
        </w:tc>
        <w:tc>
          <w:tcPr>
            <w:tcW w:w="2680" w:type="dxa"/>
            <w:vAlign w:val="bottom"/>
            <w:shd w:val="clear" w:color="auto" w:fill="0066BA"/>
          </w:tcPr>
          <w:p>
            <w:pPr>
              <w:jc w:val="right"/>
              <w:spacing w:after="0"/>
              <w:rPr>
                <w:sz w:val="20"/>
                <w:szCs w:val="20"/>
                <w:color w:val="auto"/>
              </w:rPr>
            </w:pPr>
            <w:r>
              <w:rPr>
                <w:rFonts w:ascii="Arial" w:cs="Arial" w:eastAsia="Arial" w:hAnsi="Arial"/>
                <w:sz w:val="14"/>
                <w:szCs w:val="14"/>
                <w:b w:val="1"/>
                <w:bCs w:val="1"/>
                <w:color w:val="FFFFFF"/>
              </w:rPr>
              <w:t>50% of Bonus Based</w:t>
            </w:r>
          </w:p>
        </w:tc>
        <w:tc>
          <w:tcPr>
            <w:tcW w:w="2660" w:type="dxa"/>
            <w:vAlign w:val="bottom"/>
            <w:shd w:val="clear" w:color="auto" w:fill="0066BA"/>
          </w:tcPr>
          <w:p>
            <w:pPr>
              <w:jc w:val="right"/>
              <w:spacing w:after="0"/>
              <w:rPr>
                <w:sz w:val="20"/>
                <w:szCs w:val="20"/>
                <w:color w:val="auto"/>
              </w:rPr>
            </w:pPr>
            <w:r>
              <w:rPr>
                <w:rFonts w:ascii="Arial" w:cs="Arial" w:eastAsia="Arial" w:hAnsi="Arial"/>
                <w:sz w:val="14"/>
                <w:szCs w:val="14"/>
                <w:b w:val="1"/>
                <w:bCs w:val="1"/>
                <w:color w:val="FFFFFF"/>
              </w:rPr>
              <w:t>Bonus Payout</w:t>
            </w:r>
          </w:p>
        </w:tc>
      </w:tr>
      <w:tr>
        <w:trPr>
          <w:trHeight w:val="182"/>
        </w:trPr>
        <w:tc>
          <w:tcPr>
            <w:tcW w:w="226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OPBT Margin</w:t>
            </w:r>
          </w:p>
        </w:tc>
        <w:tc>
          <w:tcPr>
            <w:tcW w:w="2680" w:type="dxa"/>
            <w:vAlign w:val="bottom"/>
            <w:shd w:val="clear" w:color="auto" w:fill="0066BA"/>
          </w:tcPr>
          <w:p>
            <w:pPr>
              <w:jc w:val="right"/>
              <w:spacing w:after="0"/>
              <w:rPr>
                <w:sz w:val="20"/>
                <w:szCs w:val="20"/>
                <w:color w:val="auto"/>
              </w:rPr>
            </w:pPr>
            <w:r>
              <w:rPr>
                <w:rFonts w:ascii="Arial" w:cs="Arial" w:eastAsia="Arial" w:hAnsi="Arial"/>
                <w:sz w:val="14"/>
                <w:szCs w:val="14"/>
                <w:b w:val="1"/>
                <w:bCs w:val="1"/>
                <w:color w:val="FFFFFF"/>
              </w:rPr>
              <w:t>Factor</w:t>
            </w:r>
          </w:p>
        </w:tc>
        <w:tc>
          <w:tcPr>
            <w:tcW w:w="2680" w:type="dxa"/>
            <w:vAlign w:val="bottom"/>
            <w:shd w:val="clear" w:color="auto" w:fill="0066BA"/>
          </w:tcPr>
          <w:p>
            <w:pPr>
              <w:jc w:val="right"/>
              <w:spacing w:after="0"/>
              <w:rPr>
                <w:sz w:val="20"/>
                <w:szCs w:val="20"/>
                <w:color w:val="auto"/>
              </w:rPr>
            </w:pPr>
            <w:r>
              <w:rPr>
                <w:rFonts w:ascii="Arial" w:cs="Arial" w:eastAsia="Arial" w:hAnsi="Arial"/>
                <w:sz w:val="14"/>
                <w:szCs w:val="14"/>
                <w:b w:val="1"/>
                <w:bCs w:val="1"/>
                <w:color w:val="FFFFFF"/>
              </w:rPr>
              <w:t>on Revenue Growth</w:t>
            </w:r>
          </w:p>
        </w:tc>
        <w:tc>
          <w:tcPr>
            <w:tcW w:w="2660" w:type="dxa"/>
            <w:vAlign w:val="bottom"/>
            <w:shd w:val="clear" w:color="auto" w:fill="0066BA"/>
          </w:tcPr>
          <w:p>
            <w:pPr>
              <w:jc w:val="right"/>
              <w:spacing w:after="0"/>
              <w:rPr>
                <w:sz w:val="20"/>
                <w:szCs w:val="20"/>
                <w:color w:val="auto"/>
              </w:rPr>
            </w:pPr>
            <w:r>
              <w:rPr>
                <w:rFonts w:ascii="Arial" w:cs="Arial" w:eastAsia="Arial" w:hAnsi="Arial"/>
                <w:sz w:val="14"/>
                <w:szCs w:val="14"/>
                <w:b w:val="1"/>
                <w:bCs w:val="1"/>
                <w:color w:val="FFFFFF"/>
              </w:rPr>
              <w:t>Factor</w:t>
            </w:r>
          </w:p>
        </w:tc>
      </w:tr>
      <w:tr>
        <w:trPr>
          <w:trHeight w:val="103"/>
        </w:trPr>
        <w:tc>
          <w:tcPr>
            <w:tcW w:w="2260" w:type="dxa"/>
            <w:vAlign w:val="bottom"/>
            <w:shd w:val="clear" w:color="auto" w:fill="0066BA"/>
          </w:tcPr>
          <w:p>
            <w:pPr>
              <w:spacing w:after="0"/>
              <w:rPr>
                <w:sz w:val="8"/>
                <w:szCs w:val="8"/>
                <w:color w:val="auto"/>
              </w:rPr>
            </w:pPr>
          </w:p>
        </w:tc>
        <w:tc>
          <w:tcPr>
            <w:tcW w:w="2680" w:type="dxa"/>
            <w:vAlign w:val="bottom"/>
            <w:shd w:val="clear" w:color="auto" w:fill="0066BA"/>
          </w:tcPr>
          <w:p>
            <w:pPr>
              <w:spacing w:after="0"/>
              <w:rPr>
                <w:sz w:val="8"/>
                <w:szCs w:val="8"/>
                <w:color w:val="auto"/>
              </w:rPr>
            </w:pPr>
          </w:p>
        </w:tc>
        <w:tc>
          <w:tcPr>
            <w:tcW w:w="2680" w:type="dxa"/>
            <w:vAlign w:val="bottom"/>
            <w:shd w:val="clear" w:color="auto" w:fill="0066BA"/>
          </w:tcPr>
          <w:p>
            <w:pPr>
              <w:spacing w:after="0"/>
              <w:rPr>
                <w:sz w:val="8"/>
                <w:szCs w:val="8"/>
                <w:color w:val="auto"/>
              </w:rPr>
            </w:pPr>
          </w:p>
        </w:tc>
        <w:tc>
          <w:tcPr>
            <w:tcW w:w="2660" w:type="dxa"/>
            <w:vAlign w:val="bottom"/>
            <w:shd w:val="clear" w:color="auto" w:fill="0066BA"/>
          </w:tcPr>
          <w:p>
            <w:pPr>
              <w:spacing w:after="0"/>
              <w:rPr>
                <w:sz w:val="8"/>
                <w:szCs w:val="8"/>
                <w:color w:val="auto"/>
              </w:rPr>
            </w:pPr>
          </w:p>
        </w:tc>
      </w:tr>
      <w:tr>
        <w:trPr>
          <w:trHeight w:val="260"/>
        </w:trPr>
        <w:tc>
          <w:tcPr>
            <w:tcW w:w="2260" w:type="dxa"/>
            <w:vAlign w:val="bottom"/>
          </w:tcPr>
          <w:p>
            <w:pPr>
              <w:ind w:left="60"/>
              <w:spacing w:after="0"/>
              <w:rPr>
                <w:sz w:val="20"/>
                <w:szCs w:val="20"/>
                <w:color w:val="auto"/>
              </w:rPr>
            </w:pPr>
            <w:r>
              <w:rPr>
                <w:rFonts w:ascii="Arial" w:cs="Arial" w:eastAsia="Arial" w:hAnsi="Arial"/>
                <w:sz w:val="17"/>
                <w:szCs w:val="17"/>
                <w:color w:val="auto"/>
              </w:rPr>
              <w:t>£36%</w:t>
            </w:r>
          </w:p>
        </w:tc>
        <w:tc>
          <w:tcPr>
            <w:tcW w:w="26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0%</w:t>
            </w:r>
          </w:p>
        </w:tc>
        <w:tc>
          <w:tcPr>
            <w:tcW w:w="2680" w:type="dxa"/>
            <w:vAlign w:val="bottom"/>
          </w:tcPr>
          <w:p>
            <w:pPr>
              <w:jc w:val="right"/>
              <w:spacing w:after="0"/>
              <w:rPr>
                <w:sz w:val="20"/>
                <w:szCs w:val="20"/>
                <w:color w:val="auto"/>
              </w:rPr>
            </w:pPr>
            <w:r>
              <w:rPr>
                <w:rFonts w:ascii="Arial" w:cs="Arial" w:eastAsia="Arial" w:hAnsi="Arial"/>
                <w:sz w:val="17"/>
                <w:szCs w:val="17"/>
                <w:color w:val="auto"/>
              </w:rPr>
              <w:t>£0%</w:t>
            </w:r>
          </w:p>
        </w:tc>
        <w:tc>
          <w:tcPr>
            <w:tcW w:w="26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0%</w:t>
            </w:r>
          </w:p>
        </w:tc>
      </w:tr>
      <w:tr>
        <w:trPr>
          <w:trHeight w:val="240"/>
        </w:trPr>
        <w:tc>
          <w:tcPr>
            <w:tcW w:w="226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39%</w:t>
            </w:r>
          </w:p>
        </w:tc>
        <w:tc>
          <w:tcPr>
            <w:tcW w:w="26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100%</w:t>
            </w:r>
          </w:p>
        </w:tc>
        <w:tc>
          <w:tcPr>
            <w:tcW w:w="2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100%</w:t>
            </w:r>
          </w:p>
        </w:tc>
      </w:tr>
      <w:tr>
        <w:trPr>
          <w:trHeight w:val="240"/>
        </w:trPr>
        <w:tc>
          <w:tcPr>
            <w:tcW w:w="226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42%</w:t>
            </w:r>
          </w:p>
        </w:tc>
        <w:tc>
          <w:tcPr>
            <w:tcW w:w="26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200%</w:t>
            </w:r>
          </w:p>
        </w:tc>
        <w:tc>
          <w:tcPr>
            <w:tcW w:w="2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2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200%</w:t>
            </w:r>
          </w:p>
        </w:tc>
      </w:tr>
      <w:tr>
        <w:trPr>
          <w:trHeight w:val="220"/>
        </w:trPr>
        <w:tc>
          <w:tcPr>
            <w:tcW w:w="226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³45%</w:t>
            </w:r>
          </w:p>
        </w:tc>
        <w:tc>
          <w:tcPr>
            <w:tcW w:w="26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300%</w:t>
            </w:r>
          </w:p>
        </w:tc>
        <w:tc>
          <w:tcPr>
            <w:tcW w:w="2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³15%</w:t>
            </w:r>
          </w:p>
        </w:tc>
        <w:tc>
          <w:tcPr>
            <w:tcW w:w="2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300%</w:t>
            </w:r>
          </w:p>
        </w:tc>
      </w:tr>
      <w:tr>
        <w:trPr>
          <w:trHeight w:val="20"/>
        </w:trPr>
        <w:tc>
          <w:tcPr>
            <w:tcW w:w="2260" w:type="dxa"/>
            <w:vAlign w:val="bottom"/>
            <w:shd w:val="clear" w:color="auto" w:fill="0066BA"/>
          </w:tcPr>
          <w:p>
            <w:pPr>
              <w:spacing w:after="0" w:line="20" w:lineRule="exact"/>
              <w:rPr>
                <w:sz w:val="1"/>
                <w:szCs w:val="1"/>
                <w:color w:val="auto"/>
              </w:rPr>
            </w:pPr>
          </w:p>
        </w:tc>
        <w:tc>
          <w:tcPr>
            <w:tcW w:w="2680" w:type="dxa"/>
            <w:vAlign w:val="bottom"/>
            <w:shd w:val="clear" w:color="auto" w:fill="0066BA"/>
          </w:tcPr>
          <w:p>
            <w:pPr>
              <w:spacing w:after="0" w:line="20" w:lineRule="exact"/>
              <w:rPr>
                <w:sz w:val="1"/>
                <w:szCs w:val="1"/>
                <w:color w:val="auto"/>
              </w:rPr>
            </w:pPr>
          </w:p>
        </w:tc>
        <w:tc>
          <w:tcPr>
            <w:tcW w:w="2680" w:type="dxa"/>
            <w:vAlign w:val="bottom"/>
            <w:shd w:val="clear" w:color="auto" w:fill="0066BA"/>
          </w:tcPr>
          <w:p>
            <w:pPr>
              <w:spacing w:after="0" w:line="20" w:lineRule="exact"/>
              <w:rPr>
                <w:sz w:val="1"/>
                <w:szCs w:val="1"/>
                <w:color w:val="auto"/>
              </w:rPr>
            </w:pPr>
          </w:p>
        </w:tc>
        <w:tc>
          <w:tcPr>
            <w:tcW w:w="2660" w:type="dxa"/>
            <w:vAlign w:val="bottom"/>
            <w:shd w:val="clear" w:color="auto" w:fill="0066BA"/>
          </w:tcPr>
          <w:p>
            <w:pPr>
              <w:spacing w:after="0" w:line="20" w:lineRule="exact"/>
              <w:rPr>
                <w:sz w:val="1"/>
                <w:szCs w:val="1"/>
                <w:color w:val="auto"/>
              </w:rPr>
            </w:pPr>
          </w:p>
        </w:tc>
      </w:tr>
    </w:tbl>
    <w:p>
      <w:pPr>
        <w:spacing w:after="0" w:line="92" w:lineRule="exact"/>
        <w:rPr>
          <w:sz w:val="20"/>
          <w:szCs w:val="20"/>
          <w:color w:val="auto"/>
        </w:rPr>
      </w:pPr>
    </w:p>
    <w:p>
      <w:pPr>
        <w:jc w:val="both"/>
        <w:ind w:left="480" w:right="260"/>
        <w:spacing w:after="0" w:line="286" w:lineRule="auto"/>
        <w:rPr>
          <w:sz w:val="20"/>
          <w:szCs w:val="20"/>
          <w:color w:val="auto"/>
        </w:rPr>
      </w:pPr>
      <w:r>
        <w:rPr>
          <w:rFonts w:ascii="Arial" w:cs="Arial" w:eastAsia="Arial" w:hAnsi="Arial"/>
          <w:sz w:val="17"/>
          <w:szCs w:val="17"/>
          <w:color w:val="auto"/>
        </w:rPr>
        <w:t>We also have a floor on the OPBT margin target so that profitability at or below 36% will result in no bonus payments for that performance period, regardless of revenue growth levels.</w:t>
      </w:r>
    </w:p>
    <w:p>
      <w:pPr>
        <w:spacing w:after="0" w:line="54" w:lineRule="exact"/>
        <w:rPr>
          <w:sz w:val="20"/>
          <w:szCs w:val="20"/>
          <w:color w:val="auto"/>
        </w:rPr>
      </w:pPr>
    </w:p>
    <w:p>
      <w:pPr>
        <w:ind w:left="480" w:right="300"/>
        <w:spacing w:after="0" w:line="261" w:lineRule="auto"/>
        <w:rPr>
          <w:sz w:val="20"/>
          <w:szCs w:val="20"/>
          <w:color w:val="auto"/>
        </w:rPr>
      </w:pPr>
      <w:r>
        <w:rPr>
          <w:rFonts w:ascii="Arial" w:cs="Arial" w:eastAsia="Arial" w:hAnsi="Arial"/>
          <w:sz w:val="17"/>
          <w:szCs w:val="17"/>
          <w:color w:val="auto"/>
        </w:rPr>
        <w:t>While fiscal 2020 represented a year of strategic progress for ADI, our results were partly impacted by the economic volatility and supply chain disruptions related to the COVID-19 pandemic. We actively managed operating expenses, and for fiscal 2020, we delivered reported operating margin of 26.7% and adjusted operating margin of 39.9%. Specifically, while performance against our quarterly profitability targets was between threshold and target for the first half of fiscal 2020, we met or exceeded our quarterly profitability targets in the second half of the year. Revenue was $5.6 billion in fiscal 2020, down modestly year-over-year. Importantly, we saw continued improvement quarter to quarter as evidenced by our second half revenue</w:t>
      </w:r>
    </w:p>
    <w:p>
      <w:pPr>
        <w:spacing w:after="0" w:line="205" w:lineRule="exact"/>
        <w:rPr>
          <w:sz w:val="20"/>
          <w:szCs w:val="20"/>
          <w:color w:val="auto"/>
        </w:rPr>
      </w:pPr>
    </w:p>
    <w:p>
      <w:pPr>
        <w:ind w:left="680" w:right="180" w:hanging="205"/>
        <w:spacing w:after="0" w:line="236" w:lineRule="auto"/>
        <w:tabs>
          <w:tab w:leader="none" w:pos="680" w:val="left"/>
        </w:tabs>
        <w:numPr>
          <w:ilvl w:val="0"/>
          <w:numId w:val="44"/>
        </w:numPr>
        <w:rPr>
          <w:rFonts w:ascii="Arial" w:cs="Arial" w:eastAsia="Arial" w:hAnsi="Arial"/>
          <w:sz w:val="13"/>
          <w:szCs w:val="13"/>
          <w:i w:val="1"/>
          <w:iCs w:val="1"/>
          <w:color w:val="auto"/>
        </w:rPr>
      </w:pPr>
      <w:r>
        <w:rPr>
          <w:rFonts w:ascii="Arial" w:cs="Arial" w:eastAsia="Arial" w:hAnsi="Arial"/>
          <w:sz w:val="13"/>
          <w:szCs w:val="13"/>
          <w:i w:val="1"/>
          <w:iCs w:val="1"/>
          <w:color w:val="auto"/>
        </w:rPr>
        <w:t>Note: The Compensation Committee may adjust the OPBT margin and year-over-year revenue growth metrics in its sole discretion to exclude special items such as (but not limited to) restructuring-related expense, acquisition-related expense, amortization of intangibles, gain or loss on disposition of businesses, non-recurring royalty payments, and other similar non-cash or non-recurring items. The Compensation Committee may, in its discretion, exclude these items in order to prevent payments under the plan from being adversely or advantageously affected by special items. For purposes of determining the Bonus Payout Factor for each quarter of fiscal 2020, OPBT margin was adjusted to exclude acquisition-related expenses, acquisition-related transaction costs, charitable foundation contribution and restructuring-related expenses, consistent with the non-GAAP adjustments included in our fiscal 2020 quarterly earnings releases.</w:t>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940"/>
          </w:cols>
          <w:pgMar w:left="320" w:top="447" w:right="6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both"/>
        <w:ind w:left="480" w:right="60"/>
        <w:spacing w:after="0" w:line="265" w:lineRule="auto"/>
        <w:rPr>
          <w:sz w:val="20"/>
          <w:szCs w:val="20"/>
          <w:color w:val="auto"/>
        </w:rPr>
      </w:pPr>
      <w:r>
        <w:rPr>
          <w:rFonts w:ascii="Arial" w:cs="Arial" w:eastAsia="Arial" w:hAnsi="Arial"/>
          <w:sz w:val="17"/>
          <w:szCs w:val="17"/>
          <w:color w:val="auto"/>
        </w:rPr>
        <w:t>increasing 14% when compared to the first half. As a result, we exceeded our year-over-year revenue growth target in the fourth quarter but did not meet our year-over-year revenue growth targets for the remainder of fiscal 2020. For a summary of our fiscal 2020 financial results, see page 31 of this proxy statement. For fiscal 2020, the calculated OPBT Margin, Year-Over-Year Revenue Growth and Bonus Payout Factor under our executive performance incentive program for each quarter were as follows:</w:t>
      </w:r>
    </w:p>
    <w:p>
      <w:pPr>
        <w:spacing w:after="0" w:line="216"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186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Quarter</w:t>
            </w:r>
          </w:p>
        </w:tc>
        <w:tc>
          <w:tcPr>
            <w:tcW w:w="200" w:type="dxa"/>
            <w:vAlign w:val="bottom"/>
            <w:shd w:val="clear" w:color="auto" w:fill="0066BA"/>
          </w:tcPr>
          <w:p>
            <w:pPr>
              <w:spacing w:after="0"/>
              <w:rPr>
                <w:sz w:val="18"/>
                <w:szCs w:val="18"/>
                <w:color w:val="auto"/>
              </w:rPr>
            </w:pPr>
          </w:p>
        </w:tc>
        <w:tc>
          <w:tcPr>
            <w:tcW w:w="2880" w:type="dxa"/>
            <w:vAlign w:val="bottom"/>
            <w:gridSpan w:val="2"/>
            <w:shd w:val="clear" w:color="auto" w:fill="0066BA"/>
          </w:tcPr>
          <w:p>
            <w:pPr>
              <w:jc w:val="right"/>
              <w:spacing w:after="0"/>
              <w:rPr>
                <w:sz w:val="20"/>
                <w:szCs w:val="20"/>
                <w:color w:val="auto"/>
              </w:rPr>
            </w:pPr>
            <w:r>
              <w:rPr>
                <w:rFonts w:ascii="Arial" w:cs="Arial" w:eastAsia="Arial" w:hAnsi="Arial"/>
                <w:sz w:val="14"/>
                <w:szCs w:val="14"/>
                <w:b w:val="1"/>
                <w:bCs w:val="1"/>
                <w:color w:val="FFFFFF"/>
              </w:rPr>
              <w:t>OPBT Margin (50% weight)</w:t>
            </w:r>
          </w:p>
        </w:tc>
        <w:tc>
          <w:tcPr>
            <w:tcW w:w="420" w:type="dxa"/>
            <w:vAlign w:val="bottom"/>
            <w:shd w:val="clear" w:color="auto" w:fill="0066BA"/>
          </w:tcPr>
          <w:p>
            <w:pPr>
              <w:spacing w:after="0"/>
              <w:rPr>
                <w:sz w:val="18"/>
                <w:szCs w:val="18"/>
                <w:color w:val="auto"/>
              </w:rPr>
            </w:pPr>
          </w:p>
        </w:tc>
        <w:tc>
          <w:tcPr>
            <w:tcW w:w="3060" w:type="dxa"/>
            <w:vAlign w:val="bottom"/>
            <w:gridSpan w:val="2"/>
            <w:shd w:val="clear" w:color="auto" w:fill="0066BA"/>
          </w:tcPr>
          <w:p>
            <w:pPr>
              <w:jc w:val="right"/>
              <w:spacing w:after="0"/>
              <w:rPr>
                <w:sz w:val="20"/>
                <w:szCs w:val="20"/>
                <w:color w:val="auto"/>
              </w:rPr>
            </w:pPr>
            <w:r>
              <w:rPr>
                <w:rFonts w:ascii="Arial" w:cs="Arial" w:eastAsia="Arial" w:hAnsi="Arial"/>
                <w:sz w:val="14"/>
                <w:szCs w:val="14"/>
                <w:b w:val="1"/>
                <w:bCs w:val="1"/>
                <w:color w:val="FFFFFF"/>
              </w:rPr>
              <w:t>Revenue Growth (50% weight)</w:t>
            </w:r>
          </w:p>
        </w:tc>
        <w:tc>
          <w:tcPr>
            <w:tcW w:w="1860" w:type="dxa"/>
            <w:vAlign w:val="bottom"/>
            <w:shd w:val="clear" w:color="auto" w:fill="0066BA"/>
          </w:tcPr>
          <w:p>
            <w:pPr>
              <w:jc w:val="right"/>
              <w:spacing w:after="0"/>
              <w:rPr>
                <w:sz w:val="20"/>
                <w:szCs w:val="20"/>
                <w:color w:val="auto"/>
              </w:rPr>
            </w:pPr>
            <w:r>
              <w:rPr>
                <w:rFonts w:ascii="Arial" w:cs="Arial" w:eastAsia="Arial" w:hAnsi="Arial"/>
                <w:sz w:val="14"/>
                <w:szCs w:val="14"/>
                <w:b w:val="1"/>
                <w:bCs w:val="1"/>
                <w:color w:val="FFFFFF"/>
              </w:rPr>
              <w:t>Quarterly Bonus Payout</w:t>
            </w:r>
          </w:p>
        </w:tc>
        <w:tc>
          <w:tcPr>
            <w:tcW w:w="0" w:type="dxa"/>
            <w:vAlign w:val="bottom"/>
          </w:tcPr>
          <w:p>
            <w:pPr>
              <w:spacing w:after="0"/>
              <w:rPr>
                <w:sz w:val="1"/>
                <w:szCs w:val="1"/>
                <w:color w:val="auto"/>
              </w:rPr>
            </w:pPr>
          </w:p>
        </w:tc>
      </w:tr>
      <w:tr>
        <w:trPr>
          <w:trHeight w:val="96"/>
        </w:trPr>
        <w:tc>
          <w:tcPr>
            <w:tcW w:w="1860" w:type="dxa"/>
            <w:vAlign w:val="bottom"/>
            <w:shd w:val="clear" w:color="auto" w:fill="0066BA"/>
          </w:tcPr>
          <w:p>
            <w:pPr>
              <w:spacing w:after="0"/>
              <w:rPr>
                <w:sz w:val="8"/>
                <w:szCs w:val="8"/>
                <w:color w:val="auto"/>
              </w:rPr>
            </w:pPr>
          </w:p>
        </w:tc>
        <w:tc>
          <w:tcPr>
            <w:tcW w:w="200" w:type="dxa"/>
            <w:vAlign w:val="bottom"/>
            <w:shd w:val="clear" w:color="auto" w:fill="0066BA"/>
          </w:tcPr>
          <w:p>
            <w:pPr>
              <w:spacing w:after="0"/>
              <w:rPr>
                <w:sz w:val="8"/>
                <w:szCs w:val="8"/>
                <w:color w:val="auto"/>
              </w:rPr>
            </w:pPr>
          </w:p>
        </w:tc>
        <w:tc>
          <w:tcPr>
            <w:tcW w:w="1580" w:type="dxa"/>
            <w:vAlign w:val="bottom"/>
            <w:shd w:val="clear" w:color="auto" w:fill="0066BA"/>
          </w:tcPr>
          <w:p>
            <w:pPr>
              <w:spacing w:after="0"/>
              <w:rPr>
                <w:sz w:val="8"/>
                <w:szCs w:val="8"/>
                <w:color w:val="auto"/>
              </w:rPr>
            </w:pPr>
          </w:p>
        </w:tc>
        <w:tc>
          <w:tcPr>
            <w:tcW w:w="1300" w:type="dxa"/>
            <w:vAlign w:val="bottom"/>
            <w:shd w:val="clear" w:color="auto" w:fill="0066BA"/>
          </w:tcPr>
          <w:p>
            <w:pPr>
              <w:spacing w:after="0"/>
              <w:rPr>
                <w:sz w:val="8"/>
                <w:szCs w:val="8"/>
                <w:color w:val="auto"/>
              </w:rPr>
            </w:pPr>
          </w:p>
        </w:tc>
        <w:tc>
          <w:tcPr>
            <w:tcW w:w="420" w:type="dxa"/>
            <w:vAlign w:val="bottom"/>
            <w:shd w:val="clear" w:color="auto" w:fill="0066BA"/>
          </w:tcPr>
          <w:p>
            <w:pPr>
              <w:spacing w:after="0"/>
              <w:rPr>
                <w:sz w:val="8"/>
                <w:szCs w:val="8"/>
                <w:color w:val="auto"/>
              </w:rPr>
            </w:pPr>
          </w:p>
        </w:tc>
        <w:tc>
          <w:tcPr>
            <w:tcW w:w="1700" w:type="dxa"/>
            <w:vAlign w:val="bottom"/>
            <w:shd w:val="clear" w:color="auto" w:fill="0066BA"/>
          </w:tcPr>
          <w:p>
            <w:pPr>
              <w:spacing w:after="0"/>
              <w:rPr>
                <w:sz w:val="8"/>
                <w:szCs w:val="8"/>
                <w:color w:val="auto"/>
              </w:rPr>
            </w:pPr>
          </w:p>
        </w:tc>
        <w:tc>
          <w:tcPr>
            <w:tcW w:w="1360" w:type="dxa"/>
            <w:vAlign w:val="bottom"/>
            <w:shd w:val="clear" w:color="auto" w:fill="0066BA"/>
          </w:tcPr>
          <w:p>
            <w:pPr>
              <w:spacing w:after="0"/>
              <w:rPr>
                <w:sz w:val="8"/>
                <w:szCs w:val="8"/>
                <w:color w:val="auto"/>
              </w:rPr>
            </w:pPr>
          </w:p>
        </w:tc>
        <w:tc>
          <w:tcPr>
            <w:tcW w:w="1860" w:type="dxa"/>
            <w:vAlign w:val="bottom"/>
            <w:vMerge w:val="restart"/>
            <w:shd w:val="clear" w:color="auto" w:fill="0066BA"/>
          </w:tcPr>
          <w:p>
            <w:pPr>
              <w:jc w:val="right"/>
              <w:spacing w:after="0"/>
              <w:rPr>
                <w:sz w:val="20"/>
                <w:szCs w:val="20"/>
                <w:color w:val="auto"/>
              </w:rPr>
            </w:pPr>
            <w:r>
              <w:rPr>
                <w:rFonts w:ascii="Arial" w:cs="Arial" w:eastAsia="Arial" w:hAnsi="Arial"/>
                <w:sz w:val="14"/>
                <w:szCs w:val="14"/>
                <w:b w:val="1"/>
                <w:bCs w:val="1"/>
                <w:color w:val="FFFFFF"/>
              </w:rPr>
              <w:t>Factor (average)</w:t>
            </w:r>
          </w:p>
        </w:tc>
        <w:tc>
          <w:tcPr>
            <w:tcW w:w="0" w:type="dxa"/>
            <w:vAlign w:val="bottom"/>
          </w:tcPr>
          <w:p>
            <w:pPr>
              <w:spacing w:after="0"/>
              <w:rPr>
                <w:sz w:val="1"/>
                <w:szCs w:val="1"/>
                <w:color w:val="auto"/>
              </w:rPr>
            </w:pPr>
          </w:p>
        </w:tc>
      </w:tr>
      <w:tr>
        <w:trPr>
          <w:trHeight w:val="86"/>
        </w:trPr>
        <w:tc>
          <w:tcPr>
            <w:tcW w:w="1860" w:type="dxa"/>
            <w:vAlign w:val="bottom"/>
            <w:shd w:val="clear" w:color="auto" w:fill="0066BA"/>
          </w:tcPr>
          <w:p>
            <w:pPr>
              <w:spacing w:after="0"/>
              <w:rPr>
                <w:sz w:val="7"/>
                <w:szCs w:val="7"/>
                <w:color w:val="auto"/>
              </w:rPr>
            </w:pPr>
          </w:p>
        </w:tc>
        <w:tc>
          <w:tcPr>
            <w:tcW w:w="200" w:type="dxa"/>
            <w:vAlign w:val="bottom"/>
            <w:shd w:val="clear" w:color="auto" w:fill="0066BA"/>
          </w:tcPr>
          <w:p>
            <w:pPr>
              <w:spacing w:after="0"/>
              <w:rPr>
                <w:sz w:val="7"/>
                <w:szCs w:val="7"/>
                <w:color w:val="auto"/>
              </w:rPr>
            </w:pPr>
          </w:p>
        </w:tc>
        <w:tc>
          <w:tcPr>
            <w:tcW w:w="1580" w:type="dxa"/>
            <w:vAlign w:val="bottom"/>
            <w:vMerge w:val="restart"/>
            <w:shd w:val="clear" w:color="auto" w:fill="0066BA"/>
          </w:tcPr>
          <w:p>
            <w:pPr>
              <w:jc w:val="right"/>
              <w:ind w:right="176"/>
              <w:spacing w:after="0"/>
              <w:rPr>
                <w:sz w:val="20"/>
                <w:szCs w:val="20"/>
                <w:color w:val="auto"/>
              </w:rPr>
            </w:pPr>
            <w:r>
              <w:rPr>
                <w:rFonts w:ascii="Arial" w:cs="Arial" w:eastAsia="Arial" w:hAnsi="Arial"/>
                <w:sz w:val="12"/>
                <w:szCs w:val="12"/>
                <w:b w:val="1"/>
                <w:bCs w:val="1"/>
                <w:color w:val="FFFFFF"/>
              </w:rPr>
              <w:t>OPBT Margin (by</w:t>
            </w:r>
          </w:p>
        </w:tc>
        <w:tc>
          <w:tcPr>
            <w:tcW w:w="1300" w:type="dxa"/>
            <w:vAlign w:val="bottom"/>
            <w:vMerge w:val="restart"/>
            <w:shd w:val="clear" w:color="auto" w:fill="0066BA"/>
          </w:tcPr>
          <w:p>
            <w:pPr>
              <w:jc w:val="right"/>
              <w:spacing w:after="0"/>
              <w:rPr>
                <w:sz w:val="20"/>
                <w:szCs w:val="20"/>
                <w:color w:val="auto"/>
              </w:rPr>
            </w:pPr>
            <w:r>
              <w:rPr>
                <w:rFonts w:ascii="Arial" w:cs="Arial" w:eastAsia="Arial" w:hAnsi="Arial"/>
                <w:sz w:val="12"/>
                <w:szCs w:val="12"/>
                <w:b w:val="1"/>
                <w:bCs w:val="1"/>
                <w:color w:val="FFFFFF"/>
              </w:rPr>
              <w:t>Bonus Payout</w:t>
            </w:r>
          </w:p>
        </w:tc>
        <w:tc>
          <w:tcPr>
            <w:tcW w:w="420" w:type="dxa"/>
            <w:vAlign w:val="bottom"/>
            <w:shd w:val="clear" w:color="auto" w:fill="0066BA"/>
          </w:tcPr>
          <w:p>
            <w:pPr>
              <w:spacing w:after="0"/>
              <w:rPr>
                <w:sz w:val="7"/>
                <w:szCs w:val="7"/>
                <w:color w:val="auto"/>
              </w:rPr>
            </w:pPr>
          </w:p>
        </w:tc>
        <w:tc>
          <w:tcPr>
            <w:tcW w:w="1700" w:type="dxa"/>
            <w:vAlign w:val="bottom"/>
            <w:vMerge w:val="restart"/>
            <w:shd w:val="clear" w:color="auto" w:fill="0066BA"/>
          </w:tcPr>
          <w:p>
            <w:pPr>
              <w:jc w:val="right"/>
              <w:ind w:right="156"/>
              <w:spacing w:after="0"/>
              <w:rPr>
                <w:sz w:val="20"/>
                <w:szCs w:val="20"/>
                <w:color w:val="auto"/>
              </w:rPr>
            </w:pPr>
            <w:r>
              <w:rPr>
                <w:rFonts w:ascii="Arial" w:cs="Arial" w:eastAsia="Arial" w:hAnsi="Arial"/>
                <w:sz w:val="12"/>
                <w:szCs w:val="12"/>
                <w:b w:val="1"/>
                <w:bCs w:val="1"/>
                <w:color w:val="FFFFFF"/>
              </w:rPr>
              <w:t>YOY Revenue</w:t>
            </w:r>
          </w:p>
        </w:tc>
        <w:tc>
          <w:tcPr>
            <w:tcW w:w="1360" w:type="dxa"/>
            <w:vAlign w:val="bottom"/>
            <w:vMerge w:val="restart"/>
            <w:shd w:val="clear" w:color="auto" w:fill="0066BA"/>
          </w:tcPr>
          <w:p>
            <w:pPr>
              <w:jc w:val="right"/>
              <w:spacing w:after="0"/>
              <w:rPr>
                <w:sz w:val="20"/>
                <w:szCs w:val="20"/>
                <w:color w:val="auto"/>
              </w:rPr>
            </w:pPr>
            <w:r>
              <w:rPr>
                <w:rFonts w:ascii="Arial" w:cs="Arial" w:eastAsia="Arial" w:hAnsi="Arial"/>
                <w:sz w:val="12"/>
                <w:szCs w:val="12"/>
                <w:b w:val="1"/>
                <w:bCs w:val="1"/>
                <w:color w:val="FFFFFF"/>
              </w:rPr>
              <w:t>Bonus Payout Factor</w:t>
            </w:r>
          </w:p>
        </w:tc>
        <w:tc>
          <w:tcPr>
            <w:tcW w:w="1860" w:type="dxa"/>
            <w:vAlign w:val="bottom"/>
            <w:vMerge w:val="continue"/>
            <w:shd w:val="clear" w:color="auto" w:fill="0066BA"/>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860" w:type="dxa"/>
            <w:vAlign w:val="bottom"/>
            <w:shd w:val="clear" w:color="auto" w:fill="0066BA"/>
          </w:tcPr>
          <w:p>
            <w:pPr>
              <w:spacing w:after="0"/>
              <w:rPr>
                <w:sz w:val="10"/>
                <w:szCs w:val="10"/>
                <w:color w:val="auto"/>
              </w:rPr>
            </w:pPr>
          </w:p>
        </w:tc>
        <w:tc>
          <w:tcPr>
            <w:tcW w:w="200" w:type="dxa"/>
            <w:vAlign w:val="bottom"/>
            <w:shd w:val="clear" w:color="auto" w:fill="0066BA"/>
          </w:tcPr>
          <w:p>
            <w:pPr>
              <w:spacing w:after="0"/>
              <w:rPr>
                <w:sz w:val="10"/>
                <w:szCs w:val="10"/>
                <w:color w:val="auto"/>
              </w:rPr>
            </w:pPr>
          </w:p>
        </w:tc>
        <w:tc>
          <w:tcPr>
            <w:tcW w:w="1580" w:type="dxa"/>
            <w:vAlign w:val="bottom"/>
            <w:vMerge w:val="continue"/>
            <w:shd w:val="clear" w:color="auto" w:fill="0066BA"/>
          </w:tcPr>
          <w:p>
            <w:pPr>
              <w:spacing w:after="0"/>
              <w:rPr>
                <w:sz w:val="10"/>
                <w:szCs w:val="10"/>
                <w:color w:val="auto"/>
              </w:rPr>
            </w:pPr>
          </w:p>
        </w:tc>
        <w:tc>
          <w:tcPr>
            <w:tcW w:w="1300" w:type="dxa"/>
            <w:vAlign w:val="bottom"/>
            <w:vMerge w:val="continue"/>
            <w:shd w:val="clear" w:color="auto" w:fill="0066BA"/>
          </w:tcPr>
          <w:p>
            <w:pPr>
              <w:spacing w:after="0"/>
              <w:rPr>
                <w:sz w:val="10"/>
                <w:szCs w:val="10"/>
                <w:color w:val="auto"/>
              </w:rPr>
            </w:pPr>
          </w:p>
        </w:tc>
        <w:tc>
          <w:tcPr>
            <w:tcW w:w="420" w:type="dxa"/>
            <w:vAlign w:val="bottom"/>
            <w:shd w:val="clear" w:color="auto" w:fill="0066BA"/>
          </w:tcPr>
          <w:p>
            <w:pPr>
              <w:spacing w:after="0"/>
              <w:rPr>
                <w:sz w:val="10"/>
                <w:szCs w:val="10"/>
                <w:color w:val="auto"/>
              </w:rPr>
            </w:pPr>
          </w:p>
        </w:tc>
        <w:tc>
          <w:tcPr>
            <w:tcW w:w="1700" w:type="dxa"/>
            <w:vAlign w:val="bottom"/>
            <w:vMerge w:val="continue"/>
            <w:shd w:val="clear" w:color="auto" w:fill="0066BA"/>
          </w:tcPr>
          <w:p>
            <w:pPr>
              <w:spacing w:after="0"/>
              <w:rPr>
                <w:sz w:val="10"/>
                <w:szCs w:val="10"/>
                <w:color w:val="auto"/>
              </w:rPr>
            </w:pPr>
          </w:p>
        </w:tc>
        <w:tc>
          <w:tcPr>
            <w:tcW w:w="1360" w:type="dxa"/>
            <w:vAlign w:val="bottom"/>
            <w:vMerge w:val="continue"/>
            <w:shd w:val="clear" w:color="auto" w:fill="0066BA"/>
          </w:tcPr>
          <w:p>
            <w:pPr>
              <w:spacing w:after="0"/>
              <w:rPr>
                <w:sz w:val="10"/>
                <w:szCs w:val="10"/>
                <w:color w:val="auto"/>
              </w:rPr>
            </w:pPr>
          </w:p>
        </w:tc>
        <w:tc>
          <w:tcPr>
            <w:tcW w:w="1860" w:type="dxa"/>
            <w:vAlign w:val="bottom"/>
            <w:shd w:val="clear" w:color="auto" w:fill="0066BA"/>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860" w:type="dxa"/>
            <w:vAlign w:val="bottom"/>
            <w:shd w:val="clear" w:color="auto" w:fill="0066BA"/>
          </w:tcPr>
          <w:p>
            <w:pPr>
              <w:spacing w:after="0"/>
              <w:rPr>
                <w:sz w:val="14"/>
                <w:szCs w:val="14"/>
                <w:color w:val="auto"/>
              </w:rPr>
            </w:pPr>
          </w:p>
        </w:tc>
        <w:tc>
          <w:tcPr>
            <w:tcW w:w="200" w:type="dxa"/>
            <w:vAlign w:val="bottom"/>
            <w:shd w:val="clear" w:color="auto" w:fill="0066BA"/>
          </w:tcPr>
          <w:p>
            <w:pPr>
              <w:spacing w:after="0"/>
              <w:rPr>
                <w:sz w:val="14"/>
                <w:szCs w:val="14"/>
                <w:color w:val="auto"/>
              </w:rPr>
            </w:pPr>
          </w:p>
        </w:tc>
        <w:tc>
          <w:tcPr>
            <w:tcW w:w="1580" w:type="dxa"/>
            <w:vAlign w:val="bottom"/>
            <w:shd w:val="clear" w:color="auto" w:fill="0066BA"/>
          </w:tcPr>
          <w:p>
            <w:pPr>
              <w:jc w:val="right"/>
              <w:ind w:right="176"/>
              <w:spacing w:after="0"/>
              <w:rPr>
                <w:sz w:val="20"/>
                <w:szCs w:val="20"/>
                <w:color w:val="auto"/>
              </w:rPr>
            </w:pPr>
            <w:r>
              <w:rPr>
                <w:rFonts w:ascii="Arial" w:cs="Arial" w:eastAsia="Arial" w:hAnsi="Arial"/>
                <w:sz w:val="12"/>
                <w:szCs w:val="12"/>
                <w:b w:val="1"/>
                <w:bCs w:val="1"/>
                <w:color w:val="FFFFFF"/>
              </w:rPr>
              <w:t>quarter)</w:t>
            </w:r>
          </w:p>
        </w:tc>
        <w:tc>
          <w:tcPr>
            <w:tcW w:w="1300" w:type="dxa"/>
            <w:vAlign w:val="bottom"/>
            <w:shd w:val="clear" w:color="auto" w:fill="0066BA"/>
          </w:tcPr>
          <w:p>
            <w:pPr>
              <w:jc w:val="right"/>
              <w:spacing w:after="0"/>
              <w:rPr>
                <w:sz w:val="20"/>
                <w:szCs w:val="20"/>
                <w:color w:val="auto"/>
              </w:rPr>
            </w:pPr>
            <w:r>
              <w:rPr>
                <w:rFonts w:ascii="Arial" w:cs="Arial" w:eastAsia="Arial" w:hAnsi="Arial"/>
                <w:sz w:val="12"/>
                <w:szCs w:val="12"/>
                <w:b w:val="1"/>
                <w:bCs w:val="1"/>
                <w:color w:val="FFFFFF"/>
              </w:rPr>
              <w:t>Factor (by quarter)</w:t>
            </w:r>
          </w:p>
        </w:tc>
        <w:tc>
          <w:tcPr>
            <w:tcW w:w="420" w:type="dxa"/>
            <w:vAlign w:val="bottom"/>
            <w:shd w:val="clear" w:color="auto" w:fill="0066BA"/>
          </w:tcPr>
          <w:p>
            <w:pPr>
              <w:spacing w:after="0"/>
              <w:rPr>
                <w:sz w:val="14"/>
                <w:szCs w:val="14"/>
                <w:color w:val="auto"/>
              </w:rPr>
            </w:pPr>
          </w:p>
        </w:tc>
        <w:tc>
          <w:tcPr>
            <w:tcW w:w="1700" w:type="dxa"/>
            <w:vAlign w:val="bottom"/>
            <w:shd w:val="clear" w:color="auto" w:fill="0066BA"/>
          </w:tcPr>
          <w:p>
            <w:pPr>
              <w:jc w:val="right"/>
              <w:ind w:right="156"/>
              <w:spacing w:after="0"/>
              <w:rPr>
                <w:sz w:val="20"/>
                <w:szCs w:val="20"/>
                <w:color w:val="auto"/>
              </w:rPr>
            </w:pPr>
            <w:r>
              <w:rPr>
                <w:rFonts w:ascii="Arial" w:cs="Arial" w:eastAsia="Arial" w:hAnsi="Arial"/>
                <w:sz w:val="12"/>
                <w:szCs w:val="12"/>
                <w:b w:val="1"/>
                <w:bCs w:val="1"/>
                <w:color w:val="FFFFFF"/>
              </w:rPr>
              <w:t>Growth (by quarter)</w:t>
            </w:r>
          </w:p>
        </w:tc>
        <w:tc>
          <w:tcPr>
            <w:tcW w:w="1360" w:type="dxa"/>
            <w:vAlign w:val="bottom"/>
            <w:shd w:val="clear" w:color="auto" w:fill="0066BA"/>
          </w:tcPr>
          <w:p>
            <w:pPr>
              <w:jc w:val="right"/>
              <w:spacing w:after="0"/>
              <w:rPr>
                <w:sz w:val="20"/>
                <w:szCs w:val="20"/>
                <w:color w:val="auto"/>
              </w:rPr>
            </w:pPr>
            <w:r>
              <w:rPr>
                <w:rFonts w:ascii="Arial" w:cs="Arial" w:eastAsia="Arial" w:hAnsi="Arial"/>
                <w:sz w:val="12"/>
                <w:szCs w:val="12"/>
                <w:b w:val="1"/>
                <w:bCs w:val="1"/>
                <w:color w:val="FFFFFF"/>
              </w:rPr>
              <w:t>(by quarter)</w:t>
            </w:r>
          </w:p>
        </w:tc>
        <w:tc>
          <w:tcPr>
            <w:tcW w:w="1860" w:type="dxa"/>
            <w:vAlign w:val="bottom"/>
            <w:shd w:val="clear" w:color="auto" w:fill="0066BA"/>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860" w:type="dxa"/>
            <w:vAlign w:val="bottom"/>
            <w:shd w:val="clear" w:color="auto" w:fill="0066BA"/>
          </w:tcPr>
          <w:p>
            <w:pPr>
              <w:spacing w:after="0"/>
              <w:rPr>
                <w:sz w:val="8"/>
                <w:szCs w:val="8"/>
                <w:color w:val="auto"/>
              </w:rPr>
            </w:pPr>
          </w:p>
        </w:tc>
        <w:tc>
          <w:tcPr>
            <w:tcW w:w="200" w:type="dxa"/>
            <w:vAlign w:val="bottom"/>
            <w:shd w:val="clear" w:color="auto" w:fill="0066BA"/>
          </w:tcPr>
          <w:p>
            <w:pPr>
              <w:spacing w:after="0"/>
              <w:rPr>
                <w:sz w:val="8"/>
                <w:szCs w:val="8"/>
                <w:color w:val="auto"/>
              </w:rPr>
            </w:pPr>
          </w:p>
        </w:tc>
        <w:tc>
          <w:tcPr>
            <w:tcW w:w="1580" w:type="dxa"/>
            <w:vAlign w:val="bottom"/>
            <w:shd w:val="clear" w:color="auto" w:fill="0066BA"/>
          </w:tcPr>
          <w:p>
            <w:pPr>
              <w:spacing w:after="0"/>
              <w:rPr>
                <w:sz w:val="8"/>
                <w:szCs w:val="8"/>
                <w:color w:val="auto"/>
              </w:rPr>
            </w:pPr>
          </w:p>
        </w:tc>
        <w:tc>
          <w:tcPr>
            <w:tcW w:w="1300" w:type="dxa"/>
            <w:vAlign w:val="bottom"/>
            <w:shd w:val="clear" w:color="auto" w:fill="0066BA"/>
          </w:tcPr>
          <w:p>
            <w:pPr>
              <w:spacing w:after="0"/>
              <w:rPr>
                <w:sz w:val="8"/>
                <w:szCs w:val="8"/>
                <w:color w:val="auto"/>
              </w:rPr>
            </w:pPr>
          </w:p>
        </w:tc>
        <w:tc>
          <w:tcPr>
            <w:tcW w:w="420" w:type="dxa"/>
            <w:vAlign w:val="bottom"/>
            <w:shd w:val="clear" w:color="auto" w:fill="0066BA"/>
          </w:tcPr>
          <w:p>
            <w:pPr>
              <w:spacing w:after="0"/>
              <w:rPr>
                <w:sz w:val="8"/>
                <w:szCs w:val="8"/>
                <w:color w:val="auto"/>
              </w:rPr>
            </w:pPr>
          </w:p>
        </w:tc>
        <w:tc>
          <w:tcPr>
            <w:tcW w:w="1700" w:type="dxa"/>
            <w:vAlign w:val="bottom"/>
            <w:shd w:val="clear" w:color="auto" w:fill="0066BA"/>
          </w:tcPr>
          <w:p>
            <w:pPr>
              <w:spacing w:after="0"/>
              <w:rPr>
                <w:sz w:val="8"/>
                <w:szCs w:val="8"/>
                <w:color w:val="auto"/>
              </w:rPr>
            </w:pPr>
          </w:p>
        </w:tc>
        <w:tc>
          <w:tcPr>
            <w:tcW w:w="1360" w:type="dxa"/>
            <w:vAlign w:val="bottom"/>
            <w:shd w:val="clear" w:color="auto" w:fill="0066BA"/>
          </w:tcPr>
          <w:p>
            <w:pPr>
              <w:spacing w:after="0"/>
              <w:rPr>
                <w:sz w:val="8"/>
                <w:szCs w:val="8"/>
                <w:color w:val="auto"/>
              </w:rPr>
            </w:pPr>
          </w:p>
        </w:tc>
        <w:tc>
          <w:tcPr>
            <w:tcW w:w="1860" w:type="dxa"/>
            <w:vAlign w:val="bottom"/>
            <w:shd w:val="clear" w:color="auto" w:fill="0066BA"/>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1860" w:type="dxa"/>
            <w:vAlign w:val="bottom"/>
          </w:tcPr>
          <w:p>
            <w:pPr>
              <w:ind w:left="60"/>
              <w:spacing w:after="0"/>
              <w:rPr>
                <w:sz w:val="20"/>
                <w:szCs w:val="20"/>
                <w:color w:val="auto"/>
              </w:rPr>
            </w:pPr>
            <w:r>
              <w:rPr>
                <w:rFonts w:ascii="Arial" w:cs="Arial" w:eastAsia="Arial" w:hAnsi="Arial"/>
                <w:sz w:val="17"/>
                <w:szCs w:val="17"/>
                <w:b w:val="1"/>
                <w:bCs w:val="1"/>
                <w:color w:val="0066BA"/>
              </w:rPr>
              <w:t>Q1</w:t>
            </w:r>
          </w:p>
        </w:tc>
        <w:tc>
          <w:tcPr>
            <w:tcW w:w="1780" w:type="dxa"/>
            <w:vAlign w:val="bottom"/>
            <w:tcBorders>
              <w:bottom w:val="single" w:sz="8" w:color="EAEAEA"/>
            </w:tcBorders>
            <w:gridSpan w:val="2"/>
            <w:shd w:val="clear" w:color="auto" w:fill="EAEAEA"/>
          </w:tcPr>
          <w:p>
            <w:pPr>
              <w:jc w:val="right"/>
              <w:ind w:right="256"/>
              <w:spacing w:after="0"/>
              <w:rPr>
                <w:sz w:val="20"/>
                <w:szCs w:val="20"/>
                <w:color w:val="auto"/>
              </w:rPr>
            </w:pPr>
            <w:r>
              <w:rPr>
                <w:rFonts w:ascii="Arial" w:cs="Arial" w:eastAsia="Arial" w:hAnsi="Arial"/>
                <w:sz w:val="17"/>
                <w:szCs w:val="17"/>
                <w:color w:val="auto"/>
              </w:rPr>
              <w:t>36.9%</w:t>
            </w:r>
          </w:p>
        </w:tc>
        <w:tc>
          <w:tcPr>
            <w:tcW w:w="1300" w:type="dxa"/>
            <w:vAlign w:val="bottom"/>
            <w:tcBorders>
              <w:bottom w:val="single" w:sz="8" w:color="EAEAEA"/>
            </w:tcBorders>
            <w:shd w:val="clear" w:color="auto" w:fill="EAEAEA"/>
          </w:tcPr>
          <w:p>
            <w:pPr>
              <w:jc w:val="right"/>
              <w:ind w:right="2"/>
              <w:spacing w:after="0"/>
              <w:rPr>
                <w:sz w:val="20"/>
                <w:szCs w:val="20"/>
                <w:color w:val="auto"/>
              </w:rPr>
            </w:pPr>
            <w:r>
              <w:rPr>
                <w:rFonts w:ascii="Arial" w:cs="Arial" w:eastAsia="Arial" w:hAnsi="Arial"/>
                <w:sz w:val="17"/>
                <w:szCs w:val="17"/>
                <w:color w:val="auto"/>
              </w:rPr>
              <w:t>30%</w:t>
            </w:r>
          </w:p>
        </w:tc>
        <w:tc>
          <w:tcPr>
            <w:tcW w:w="2120" w:type="dxa"/>
            <w:vAlign w:val="bottom"/>
            <w:gridSpan w:val="2"/>
          </w:tcPr>
          <w:p>
            <w:pPr>
              <w:jc w:val="right"/>
              <w:ind w:right="176"/>
              <w:spacing w:after="0"/>
              <w:rPr>
                <w:sz w:val="20"/>
                <w:szCs w:val="20"/>
                <w:color w:val="auto"/>
              </w:rPr>
            </w:pPr>
            <w:r>
              <w:rPr>
                <w:rFonts w:ascii="Arial" w:cs="Arial" w:eastAsia="Arial" w:hAnsi="Arial"/>
                <w:sz w:val="17"/>
                <w:szCs w:val="17"/>
                <w:color w:val="auto"/>
              </w:rPr>
              <w:t>(15.4)%</w:t>
            </w:r>
          </w:p>
        </w:tc>
        <w:tc>
          <w:tcPr>
            <w:tcW w:w="1360" w:type="dxa"/>
            <w:vAlign w:val="bottom"/>
          </w:tcPr>
          <w:p>
            <w:pPr>
              <w:jc w:val="right"/>
              <w:ind w:right="2"/>
              <w:spacing w:after="0"/>
              <w:rPr>
                <w:sz w:val="20"/>
                <w:szCs w:val="20"/>
                <w:color w:val="auto"/>
              </w:rPr>
            </w:pPr>
            <w:r>
              <w:rPr>
                <w:rFonts w:ascii="Arial" w:cs="Arial" w:eastAsia="Arial" w:hAnsi="Arial"/>
                <w:sz w:val="17"/>
                <w:szCs w:val="17"/>
                <w:color w:val="auto"/>
              </w:rPr>
              <w:t>0%</w:t>
            </w:r>
          </w:p>
        </w:tc>
        <w:tc>
          <w:tcPr>
            <w:tcW w:w="18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92"/>
        </w:trPr>
        <w:tc>
          <w:tcPr>
            <w:tcW w:w="186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Q2</w:t>
            </w:r>
          </w:p>
        </w:tc>
        <w:tc>
          <w:tcPr>
            <w:tcW w:w="1780" w:type="dxa"/>
            <w:vAlign w:val="bottom"/>
            <w:tcBorders>
              <w:top w:val="single" w:sz="8" w:color="auto"/>
              <w:bottom w:val="single" w:sz="8" w:color="EAEAEA"/>
            </w:tcBorders>
            <w:gridSpan w:val="2"/>
            <w:shd w:val="clear" w:color="auto" w:fill="EAEAEA"/>
          </w:tcPr>
          <w:p>
            <w:pPr>
              <w:jc w:val="right"/>
              <w:ind w:right="256"/>
              <w:spacing w:after="0"/>
              <w:rPr>
                <w:sz w:val="20"/>
                <w:szCs w:val="20"/>
                <w:color w:val="auto"/>
              </w:rPr>
            </w:pPr>
            <w:r>
              <w:rPr>
                <w:rFonts w:ascii="Arial" w:cs="Arial" w:eastAsia="Arial" w:hAnsi="Arial"/>
                <w:sz w:val="17"/>
                <w:szCs w:val="17"/>
                <w:color w:val="auto"/>
              </w:rPr>
              <w:t>38.0%</w:t>
            </w:r>
          </w:p>
        </w:tc>
        <w:tc>
          <w:tcPr>
            <w:tcW w:w="1300" w:type="dxa"/>
            <w:vAlign w:val="bottom"/>
            <w:tcBorders>
              <w:top w:val="single" w:sz="8" w:color="auto"/>
              <w:bottom w:val="single" w:sz="8" w:color="EAEAEA"/>
            </w:tcBorders>
            <w:shd w:val="clear" w:color="auto" w:fill="EAEAEA"/>
          </w:tcPr>
          <w:p>
            <w:pPr>
              <w:jc w:val="right"/>
              <w:ind w:right="2"/>
              <w:spacing w:after="0"/>
              <w:rPr>
                <w:sz w:val="20"/>
                <w:szCs w:val="20"/>
                <w:color w:val="auto"/>
              </w:rPr>
            </w:pPr>
            <w:r>
              <w:rPr>
                <w:rFonts w:ascii="Arial" w:cs="Arial" w:eastAsia="Arial" w:hAnsi="Arial"/>
                <w:sz w:val="17"/>
                <w:szCs w:val="17"/>
                <w:color w:val="auto"/>
              </w:rPr>
              <w:t>68%</w:t>
            </w:r>
          </w:p>
        </w:tc>
        <w:tc>
          <w:tcPr>
            <w:tcW w:w="2120" w:type="dxa"/>
            <w:vAlign w:val="bottom"/>
            <w:tcBorders>
              <w:top w:val="single" w:sz="8" w:color="auto"/>
            </w:tcBorders>
            <w:gridSpan w:val="2"/>
          </w:tcPr>
          <w:p>
            <w:pPr>
              <w:jc w:val="right"/>
              <w:ind w:right="176"/>
              <w:spacing w:after="0"/>
              <w:rPr>
                <w:sz w:val="20"/>
                <w:szCs w:val="20"/>
                <w:color w:val="auto"/>
              </w:rPr>
            </w:pPr>
            <w:r>
              <w:rPr>
                <w:rFonts w:ascii="Arial" w:cs="Arial" w:eastAsia="Arial" w:hAnsi="Arial"/>
                <w:sz w:val="17"/>
                <w:szCs w:val="17"/>
                <w:color w:val="auto"/>
              </w:rPr>
              <w:t>(13.8)%</w:t>
            </w:r>
          </w:p>
        </w:tc>
        <w:tc>
          <w:tcPr>
            <w:tcW w:w="1360" w:type="dxa"/>
            <w:vAlign w:val="bottom"/>
            <w:tcBorders>
              <w:top w:val="single" w:sz="8" w:color="auto"/>
            </w:tcBorders>
          </w:tcPr>
          <w:p>
            <w:pPr>
              <w:jc w:val="right"/>
              <w:ind w:right="2"/>
              <w:spacing w:after="0"/>
              <w:rPr>
                <w:sz w:val="20"/>
                <w:szCs w:val="20"/>
                <w:color w:val="auto"/>
              </w:rPr>
            </w:pPr>
            <w:r>
              <w:rPr>
                <w:rFonts w:ascii="Arial" w:cs="Arial" w:eastAsia="Arial" w:hAnsi="Arial"/>
                <w:sz w:val="17"/>
                <w:szCs w:val="17"/>
                <w:color w:val="auto"/>
              </w:rPr>
              <w:t>0%</w:t>
            </w:r>
          </w:p>
        </w:tc>
        <w:tc>
          <w:tcPr>
            <w:tcW w:w="18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92"/>
        </w:trPr>
        <w:tc>
          <w:tcPr>
            <w:tcW w:w="186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Q3</w:t>
            </w:r>
          </w:p>
        </w:tc>
        <w:tc>
          <w:tcPr>
            <w:tcW w:w="1780" w:type="dxa"/>
            <w:vAlign w:val="bottom"/>
            <w:tcBorders>
              <w:top w:val="single" w:sz="8" w:color="auto"/>
              <w:bottom w:val="single" w:sz="8" w:color="EAEAEA"/>
            </w:tcBorders>
            <w:gridSpan w:val="2"/>
            <w:shd w:val="clear" w:color="auto" w:fill="EAEAEA"/>
          </w:tcPr>
          <w:p>
            <w:pPr>
              <w:jc w:val="right"/>
              <w:ind w:right="256"/>
              <w:spacing w:after="0"/>
              <w:rPr>
                <w:sz w:val="20"/>
                <w:szCs w:val="20"/>
                <w:color w:val="auto"/>
              </w:rPr>
            </w:pPr>
            <w:r>
              <w:rPr>
                <w:rFonts w:ascii="Arial" w:cs="Arial" w:eastAsia="Arial" w:hAnsi="Arial"/>
                <w:sz w:val="17"/>
                <w:szCs w:val="17"/>
                <w:color w:val="auto"/>
              </w:rPr>
              <w:t>42.3%</w:t>
            </w:r>
          </w:p>
        </w:tc>
        <w:tc>
          <w:tcPr>
            <w:tcW w:w="1300" w:type="dxa"/>
            <w:vAlign w:val="bottom"/>
            <w:tcBorders>
              <w:top w:val="single" w:sz="8" w:color="auto"/>
              <w:bottom w:val="single" w:sz="8" w:color="EAEAEA"/>
            </w:tcBorders>
            <w:shd w:val="clear" w:color="auto" w:fill="EAEAEA"/>
          </w:tcPr>
          <w:p>
            <w:pPr>
              <w:jc w:val="right"/>
              <w:ind w:right="2"/>
              <w:spacing w:after="0"/>
              <w:rPr>
                <w:sz w:val="20"/>
                <w:szCs w:val="20"/>
                <w:color w:val="auto"/>
              </w:rPr>
            </w:pPr>
            <w:r>
              <w:rPr>
                <w:rFonts w:ascii="Arial" w:cs="Arial" w:eastAsia="Arial" w:hAnsi="Arial"/>
                <w:sz w:val="17"/>
                <w:szCs w:val="17"/>
                <w:color w:val="auto"/>
              </w:rPr>
              <w:t>210%</w:t>
            </w:r>
          </w:p>
        </w:tc>
        <w:tc>
          <w:tcPr>
            <w:tcW w:w="2120" w:type="dxa"/>
            <w:vAlign w:val="bottom"/>
            <w:tcBorders>
              <w:top w:val="single" w:sz="8" w:color="auto"/>
            </w:tcBorders>
            <w:gridSpan w:val="2"/>
          </w:tcPr>
          <w:p>
            <w:pPr>
              <w:jc w:val="right"/>
              <w:ind w:right="176"/>
              <w:spacing w:after="0"/>
              <w:rPr>
                <w:sz w:val="20"/>
                <w:szCs w:val="20"/>
                <w:color w:val="auto"/>
              </w:rPr>
            </w:pPr>
            <w:r>
              <w:rPr>
                <w:rFonts w:ascii="Arial" w:cs="Arial" w:eastAsia="Arial" w:hAnsi="Arial"/>
                <w:sz w:val="17"/>
                <w:szCs w:val="17"/>
                <w:color w:val="auto"/>
              </w:rPr>
              <w:t>1.6%</w:t>
            </w:r>
          </w:p>
        </w:tc>
        <w:tc>
          <w:tcPr>
            <w:tcW w:w="1360" w:type="dxa"/>
            <w:vAlign w:val="bottom"/>
            <w:tcBorders>
              <w:top w:val="single" w:sz="8" w:color="auto"/>
            </w:tcBorders>
          </w:tcPr>
          <w:p>
            <w:pPr>
              <w:jc w:val="right"/>
              <w:ind w:right="2"/>
              <w:spacing w:after="0"/>
              <w:rPr>
                <w:sz w:val="20"/>
                <w:szCs w:val="20"/>
                <w:color w:val="auto"/>
              </w:rPr>
            </w:pPr>
            <w:r>
              <w:rPr>
                <w:rFonts w:ascii="Arial" w:cs="Arial" w:eastAsia="Arial" w:hAnsi="Arial"/>
                <w:sz w:val="17"/>
                <w:szCs w:val="17"/>
                <w:color w:val="auto"/>
              </w:rPr>
              <w:t>0%</w:t>
            </w:r>
          </w:p>
        </w:tc>
        <w:tc>
          <w:tcPr>
            <w:tcW w:w="18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72"/>
        </w:trPr>
        <w:tc>
          <w:tcPr>
            <w:tcW w:w="186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Q4</w:t>
            </w:r>
          </w:p>
        </w:tc>
        <w:tc>
          <w:tcPr>
            <w:tcW w:w="1780" w:type="dxa"/>
            <w:vAlign w:val="bottom"/>
            <w:tcBorders>
              <w:top w:val="single" w:sz="8" w:color="auto"/>
              <w:bottom w:val="single" w:sz="8" w:color="EAEAEA"/>
            </w:tcBorders>
            <w:gridSpan w:val="2"/>
            <w:shd w:val="clear" w:color="auto" w:fill="EAEAEA"/>
          </w:tcPr>
          <w:p>
            <w:pPr>
              <w:jc w:val="right"/>
              <w:ind w:right="256"/>
              <w:spacing w:after="0"/>
              <w:rPr>
                <w:sz w:val="20"/>
                <w:szCs w:val="20"/>
                <w:color w:val="auto"/>
              </w:rPr>
            </w:pPr>
            <w:r>
              <w:rPr>
                <w:rFonts w:ascii="Arial" w:cs="Arial" w:eastAsia="Arial" w:hAnsi="Arial"/>
                <w:sz w:val="17"/>
                <w:szCs w:val="17"/>
                <w:color w:val="auto"/>
              </w:rPr>
              <w:t>41.7%</w:t>
            </w:r>
          </w:p>
        </w:tc>
        <w:tc>
          <w:tcPr>
            <w:tcW w:w="1300" w:type="dxa"/>
            <w:vAlign w:val="bottom"/>
            <w:tcBorders>
              <w:top w:val="single" w:sz="8" w:color="auto"/>
              <w:bottom w:val="single" w:sz="8" w:color="EAEAEA"/>
            </w:tcBorders>
            <w:shd w:val="clear" w:color="auto" w:fill="EAEAEA"/>
          </w:tcPr>
          <w:p>
            <w:pPr>
              <w:jc w:val="right"/>
              <w:ind w:right="2"/>
              <w:spacing w:after="0"/>
              <w:rPr>
                <w:sz w:val="20"/>
                <w:szCs w:val="20"/>
                <w:color w:val="auto"/>
              </w:rPr>
            </w:pPr>
            <w:r>
              <w:rPr>
                <w:rFonts w:ascii="Arial" w:cs="Arial" w:eastAsia="Arial" w:hAnsi="Arial"/>
                <w:sz w:val="17"/>
                <w:szCs w:val="17"/>
                <w:color w:val="auto"/>
              </w:rPr>
              <w:t>190%</w:t>
            </w:r>
          </w:p>
        </w:tc>
        <w:tc>
          <w:tcPr>
            <w:tcW w:w="2120" w:type="dxa"/>
            <w:vAlign w:val="bottom"/>
            <w:tcBorders>
              <w:top w:val="single" w:sz="8" w:color="auto"/>
            </w:tcBorders>
            <w:gridSpan w:val="2"/>
          </w:tcPr>
          <w:p>
            <w:pPr>
              <w:jc w:val="right"/>
              <w:ind w:right="176"/>
              <w:spacing w:after="0"/>
              <w:rPr>
                <w:sz w:val="20"/>
                <w:szCs w:val="20"/>
                <w:color w:val="auto"/>
              </w:rPr>
            </w:pPr>
            <w:r>
              <w:rPr>
                <w:rFonts w:ascii="Arial" w:cs="Arial" w:eastAsia="Arial" w:hAnsi="Arial"/>
                <w:sz w:val="17"/>
                <w:szCs w:val="17"/>
                <w:color w:val="auto"/>
              </w:rPr>
              <w:t>5.8%</w:t>
            </w:r>
          </w:p>
        </w:tc>
        <w:tc>
          <w:tcPr>
            <w:tcW w:w="1360" w:type="dxa"/>
            <w:vAlign w:val="bottom"/>
            <w:tcBorders>
              <w:top w:val="single" w:sz="8" w:color="auto"/>
            </w:tcBorders>
          </w:tcPr>
          <w:p>
            <w:pPr>
              <w:jc w:val="right"/>
              <w:ind w:right="2"/>
              <w:spacing w:after="0"/>
              <w:rPr>
                <w:sz w:val="20"/>
                <w:szCs w:val="20"/>
                <w:color w:val="auto"/>
              </w:rPr>
            </w:pPr>
            <w:r>
              <w:rPr>
                <w:rFonts w:ascii="Arial" w:cs="Arial" w:eastAsia="Arial" w:hAnsi="Arial"/>
                <w:sz w:val="17"/>
                <w:szCs w:val="17"/>
                <w:color w:val="auto"/>
              </w:rPr>
              <w:t>115%</w:t>
            </w:r>
          </w:p>
        </w:tc>
        <w:tc>
          <w:tcPr>
            <w:tcW w:w="18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0"/>
        </w:trPr>
        <w:tc>
          <w:tcPr>
            <w:tcW w:w="1860" w:type="dxa"/>
            <w:vAlign w:val="bottom"/>
            <w:shd w:val="clear" w:color="auto" w:fill="0066BA"/>
          </w:tcPr>
          <w:p>
            <w:pPr>
              <w:spacing w:after="0" w:line="20" w:lineRule="exact"/>
              <w:rPr>
                <w:sz w:val="1"/>
                <w:szCs w:val="1"/>
                <w:color w:val="auto"/>
              </w:rPr>
            </w:pPr>
          </w:p>
        </w:tc>
        <w:tc>
          <w:tcPr>
            <w:tcW w:w="200" w:type="dxa"/>
            <w:vAlign w:val="bottom"/>
            <w:shd w:val="clear" w:color="auto" w:fill="0066BA"/>
          </w:tcPr>
          <w:p>
            <w:pPr>
              <w:spacing w:after="0" w:line="20" w:lineRule="exact"/>
              <w:rPr>
                <w:sz w:val="1"/>
                <w:szCs w:val="1"/>
                <w:color w:val="auto"/>
              </w:rPr>
            </w:pPr>
          </w:p>
        </w:tc>
        <w:tc>
          <w:tcPr>
            <w:tcW w:w="1580" w:type="dxa"/>
            <w:vAlign w:val="bottom"/>
            <w:shd w:val="clear" w:color="auto" w:fill="0066BA"/>
          </w:tcPr>
          <w:p>
            <w:pPr>
              <w:spacing w:after="0" w:line="20" w:lineRule="exact"/>
              <w:rPr>
                <w:sz w:val="1"/>
                <w:szCs w:val="1"/>
                <w:color w:val="auto"/>
              </w:rPr>
            </w:pPr>
          </w:p>
        </w:tc>
        <w:tc>
          <w:tcPr>
            <w:tcW w:w="1300" w:type="dxa"/>
            <w:vAlign w:val="bottom"/>
            <w:shd w:val="clear" w:color="auto" w:fill="0066BA"/>
          </w:tcPr>
          <w:p>
            <w:pPr>
              <w:spacing w:after="0" w:line="20" w:lineRule="exact"/>
              <w:rPr>
                <w:sz w:val="1"/>
                <w:szCs w:val="1"/>
                <w:color w:val="auto"/>
              </w:rPr>
            </w:pPr>
          </w:p>
        </w:tc>
        <w:tc>
          <w:tcPr>
            <w:tcW w:w="420" w:type="dxa"/>
            <w:vAlign w:val="bottom"/>
            <w:shd w:val="clear" w:color="auto" w:fill="0066BA"/>
          </w:tcPr>
          <w:p>
            <w:pPr>
              <w:spacing w:after="0" w:line="20" w:lineRule="exact"/>
              <w:rPr>
                <w:sz w:val="1"/>
                <w:szCs w:val="1"/>
                <w:color w:val="auto"/>
              </w:rPr>
            </w:pPr>
          </w:p>
        </w:tc>
        <w:tc>
          <w:tcPr>
            <w:tcW w:w="1700" w:type="dxa"/>
            <w:vAlign w:val="bottom"/>
            <w:shd w:val="clear" w:color="auto" w:fill="0066BA"/>
          </w:tcPr>
          <w:p>
            <w:pPr>
              <w:spacing w:after="0" w:line="20" w:lineRule="exact"/>
              <w:rPr>
                <w:sz w:val="1"/>
                <w:szCs w:val="1"/>
                <w:color w:val="auto"/>
              </w:rPr>
            </w:pPr>
          </w:p>
        </w:tc>
        <w:tc>
          <w:tcPr>
            <w:tcW w:w="1360" w:type="dxa"/>
            <w:vAlign w:val="bottom"/>
            <w:shd w:val="clear" w:color="auto" w:fill="0066BA"/>
          </w:tcPr>
          <w:p>
            <w:pPr>
              <w:spacing w:after="0" w:line="20" w:lineRule="exact"/>
              <w:rPr>
                <w:sz w:val="1"/>
                <w:szCs w:val="1"/>
                <w:color w:val="auto"/>
              </w:rPr>
            </w:pPr>
          </w:p>
        </w:tc>
        <w:tc>
          <w:tcPr>
            <w:tcW w:w="1860" w:type="dxa"/>
            <w:vAlign w:val="bottom"/>
            <w:shd w:val="clear" w:color="auto" w:fill="0066B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80" w:right="340"/>
        <w:spacing w:after="0" w:line="286" w:lineRule="auto"/>
        <w:rPr>
          <w:sz w:val="20"/>
          <w:szCs w:val="20"/>
          <w:color w:val="auto"/>
        </w:rPr>
      </w:pPr>
      <w:r>
        <w:rPr>
          <w:rFonts w:ascii="Arial" w:cs="Arial" w:eastAsia="Arial" w:hAnsi="Arial"/>
          <w:sz w:val="17"/>
          <w:szCs w:val="17"/>
          <w:color w:val="auto"/>
        </w:rPr>
        <w:t>Aggregate payments under our executive performance incentive plan were made at 77% of target, compared to 95% in fiscal 2019 and 183% in fiscal 2018.</w:t>
      </w:r>
    </w:p>
    <w:p>
      <w:pPr>
        <w:spacing w:after="0" w:line="24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333333"/>
        </w:rPr>
        <w:t>Base Salary and Individual Target Bonus Percentages</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During fiscal 2020, the Compensation Committee approved base salaries and target bonus percentages for our NEOs as specified in the table below:</w:t>
      </w:r>
    </w:p>
    <w:p>
      <w:pPr>
        <w:spacing w:after="0" w:line="282" w:lineRule="exact"/>
        <w:rPr>
          <w:sz w:val="20"/>
          <w:szCs w:val="20"/>
          <w:color w:val="auto"/>
        </w:rPr>
      </w:pPr>
    </w:p>
    <w:tbl>
      <w:tblPr>
        <w:tblLayout w:type="fixed"/>
        <w:tblInd w:w="480" w:type="dxa"/>
        <w:tblCellMar>
          <w:top w:w="0" w:type="dxa"/>
          <w:left w:w="0" w:type="dxa"/>
          <w:bottom w:w="0" w:type="dxa"/>
          <w:right w:w="0" w:type="dxa"/>
        </w:tblCellMar>
      </w:tblPr>
      <w:tr>
        <w:trPr>
          <w:trHeight w:val="223"/>
        </w:trPr>
        <w:tc>
          <w:tcPr>
            <w:tcW w:w="3720" w:type="dxa"/>
            <w:vAlign w:val="bottom"/>
            <w:shd w:val="clear" w:color="auto" w:fill="0066BA"/>
          </w:tcPr>
          <w:p>
            <w:pPr>
              <w:ind w:left="220"/>
              <w:spacing w:after="0"/>
              <w:rPr>
                <w:sz w:val="20"/>
                <w:szCs w:val="20"/>
                <w:color w:val="auto"/>
              </w:rPr>
            </w:pPr>
            <w:r>
              <w:rPr>
                <w:rFonts w:ascii="Arial" w:cs="Arial" w:eastAsia="Arial" w:hAnsi="Arial"/>
                <w:sz w:val="14"/>
                <w:szCs w:val="14"/>
                <w:b w:val="1"/>
                <w:bCs w:val="1"/>
                <w:color w:val="FFFFFF"/>
              </w:rPr>
              <w:t>Name of Executive</w:t>
            </w:r>
          </w:p>
        </w:tc>
        <w:tc>
          <w:tcPr>
            <w:tcW w:w="180" w:type="dxa"/>
            <w:vAlign w:val="bottom"/>
            <w:shd w:val="clear" w:color="auto" w:fill="0066BA"/>
          </w:tcPr>
          <w:p>
            <w:pPr>
              <w:spacing w:after="0"/>
              <w:rPr>
                <w:sz w:val="19"/>
                <w:szCs w:val="19"/>
                <w:color w:val="auto"/>
              </w:rPr>
            </w:pPr>
          </w:p>
        </w:tc>
        <w:tc>
          <w:tcPr>
            <w:tcW w:w="820" w:type="dxa"/>
            <w:vAlign w:val="bottom"/>
            <w:shd w:val="clear" w:color="auto" w:fill="0066BA"/>
          </w:tcPr>
          <w:p>
            <w:pPr>
              <w:jc w:val="right"/>
              <w:ind w:right="126"/>
              <w:spacing w:after="0"/>
              <w:rPr>
                <w:sz w:val="20"/>
                <w:szCs w:val="20"/>
                <w:color w:val="auto"/>
              </w:rPr>
            </w:pPr>
            <w:r>
              <w:rPr>
                <w:rFonts w:ascii="Arial" w:cs="Arial" w:eastAsia="Arial" w:hAnsi="Arial"/>
                <w:sz w:val="14"/>
                <w:szCs w:val="14"/>
                <w:b w:val="1"/>
                <w:bCs w:val="1"/>
                <w:color w:val="FFFFFF"/>
              </w:rPr>
              <w:t>Fiscal</w:t>
            </w:r>
          </w:p>
        </w:tc>
        <w:tc>
          <w:tcPr>
            <w:tcW w:w="280" w:type="dxa"/>
            <w:vAlign w:val="bottom"/>
            <w:shd w:val="clear" w:color="auto" w:fill="0066BA"/>
          </w:tcPr>
          <w:p>
            <w:pPr>
              <w:spacing w:after="0"/>
              <w:rPr>
                <w:sz w:val="19"/>
                <w:szCs w:val="19"/>
                <w:color w:val="auto"/>
              </w:rPr>
            </w:pPr>
          </w:p>
        </w:tc>
        <w:tc>
          <w:tcPr>
            <w:tcW w:w="800" w:type="dxa"/>
            <w:vAlign w:val="bottom"/>
            <w:shd w:val="clear" w:color="auto" w:fill="0066BA"/>
          </w:tcPr>
          <w:p>
            <w:pPr>
              <w:jc w:val="right"/>
              <w:ind w:right="106"/>
              <w:spacing w:after="0"/>
              <w:rPr>
                <w:sz w:val="20"/>
                <w:szCs w:val="20"/>
                <w:color w:val="auto"/>
              </w:rPr>
            </w:pPr>
            <w:r>
              <w:rPr>
                <w:rFonts w:ascii="Arial" w:cs="Arial" w:eastAsia="Arial" w:hAnsi="Arial"/>
                <w:sz w:val="14"/>
                <w:szCs w:val="14"/>
                <w:b w:val="1"/>
                <w:bCs w:val="1"/>
                <w:color w:val="FFFFFF"/>
              </w:rPr>
              <w:t>Fiscal</w:t>
            </w:r>
          </w:p>
        </w:tc>
        <w:tc>
          <w:tcPr>
            <w:tcW w:w="980" w:type="dxa"/>
            <w:vAlign w:val="bottom"/>
            <w:shd w:val="clear" w:color="auto" w:fill="0066BA"/>
          </w:tcPr>
          <w:p>
            <w:pPr>
              <w:jc w:val="right"/>
              <w:ind w:right="124"/>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0066BA"/>
          </w:tcPr>
          <w:p>
            <w:pPr>
              <w:jc w:val="right"/>
              <w:ind w:right="106"/>
              <w:spacing w:after="0"/>
              <w:rPr>
                <w:sz w:val="20"/>
                <w:szCs w:val="20"/>
                <w:color w:val="auto"/>
              </w:rPr>
            </w:pPr>
            <w:r>
              <w:rPr>
                <w:rFonts w:ascii="Arial" w:cs="Arial" w:eastAsia="Arial" w:hAnsi="Arial"/>
                <w:sz w:val="14"/>
                <w:szCs w:val="14"/>
                <w:b w:val="1"/>
                <w:bCs w:val="1"/>
                <w:color w:val="FFFFFF"/>
              </w:rPr>
              <w:t>Fiscal 2020</w:t>
            </w:r>
          </w:p>
        </w:tc>
        <w:tc>
          <w:tcPr>
            <w:tcW w:w="1280" w:type="dxa"/>
            <w:vAlign w:val="bottom"/>
            <w:shd w:val="clear" w:color="auto" w:fill="0066BA"/>
          </w:tcPr>
          <w:p>
            <w:pPr>
              <w:jc w:val="right"/>
              <w:ind w:right="106"/>
              <w:spacing w:after="0"/>
              <w:rPr>
                <w:sz w:val="20"/>
                <w:szCs w:val="20"/>
                <w:color w:val="auto"/>
              </w:rPr>
            </w:pPr>
            <w:r>
              <w:rPr>
                <w:rFonts w:ascii="Arial" w:cs="Arial" w:eastAsia="Arial" w:hAnsi="Arial"/>
                <w:sz w:val="14"/>
                <w:szCs w:val="14"/>
                <w:b w:val="1"/>
                <w:bCs w:val="1"/>
                <w:color w:val="FFFFFF"/>
              </w:rPr>
              <w:t>Fiscal 2019</w:t>
            </w:r>
          </w:p>
        </w:tc>
        <w:tc>
          <w:tcPr>
            <w:tcW w:w="960" w:type="dxa"/>
            <w:vAlign w:val="bottom"/>
            <w:shd w:val="clear" w:color="auto" w:fill="0066BA"/>
          </w:tcPr>
          <w:p>
            <w:pPr>
              <w:jc w:val="right"/>
              <w:ind w:right="104"/>
              <w:spacing w:after="0"/>
              <w:rPr>
                <w:sz w:val="20"/>
                <w:szCs w:val="20"/>
                <w:color w:val="auto"/>
              </w:rPr>
            </w:pPr>
            <w:r>
              <w:rPr>
                <w:rFonts w:ascii="Arial" w:cs="Arial" w:eastAsia="Arial" w:hAnsi="Arial"/>
                <w:sz w:val="14"/>
                <w:szCs w:val="14"/>
                <w:b w:val="1"/>
                <w:bCs w:val="1"/>
                <w:color w:val="FFFFFF"/>
              </w:rPr>
              <w:t>%</w:t>
            </w:r>
          </w:p>
        </w:tc>
        <w:tc>
          <w:tcPr>
            <w:tcW w:w="20" w:type="dxa"/>
            <w:vAlign w:val="bottom"/>
            <w:shd w:val="clear" w:color="auto" w:fill="0066BA"/>
          </w:tcPr>
          <w:p>
            <w:pPr>
              <w:spacing w:after="0"/>
              <w:rPr>
                <w:sz w:val="19"/>
                <w:szCs w:val="19"/>
                <w:color w:val="auto"/>
              </w:rPr>
            </w:pPr>
          </w:p>
        </w:tc>
      </w:tr>
      <w:tr>
        <w:trPr>
          <w:trHeight w:val="156"/>
        </w:trPr>
        <w:tc>
          <w:tcPr>
            <w:tcW w:w="3720" w:type="dxa"/>
            <w:vAlign w:val="bottom"/>
            <w:shd w:val="clear" w:color="auto" w:fill="0066BA"/>
          </w:tcPr>
          <w:p>
            <w:pPr>
              <w:spacing w:after="0"/>
              <w:rPr>
                <w:sz w:val="13"/>
                <w:szCs w:val="13"/>
                <w:color w:val="auto"/>
              </w:rPr>
            </w:pPr>
          </w:p>
        </w:tc>
        <w:tc>
          <w:tcPr>
            <w:tcW w:w="180" w:type="dxa"/>
            <w:vAlign w:val="bottom"/>
            <w:shd w:val="clear" w:color="auto" w:fill="0066BA"/>
          </w:tcPr>
          <w:p>
            <w:pPr>
              <w:spacing w:after="0"/>
              <w:rPr>
                <w:sz w:val="13"/>
                <w:szCs w:val="13"/>
                <w:color w:val="auto"/>
              </w:rPr>
            </w:pPr>
          </w:p>
        </w:tc>
        <w:tc>
          <w:tcPr>
            <w:tcW w:w="820" w:type="dxa"/>
            <w:vAlign w:val="bottom"/>
            <w:shd w:val="clear" w:color="auto" w:fill="0066BA"/>
          </w:tcPr>
          <w:p>
            <w:pPr>
              <w:jc w:val="right"/>
              <w:ind w:right="126"/>
              <w:spacing w:after="0" w:line="156" w:lineRule="exact"/>
              <w:rPr>
                <w:sz w:val="20"/>
                <w:szCs w:val="20"/>
                <w:color w:val="auto"/>
              </w:rPr>
            </w:pPr>
            <w:r>
              <w:rPr>
                <w:rFonts w:ascii="Arial" w:cs="Arial" w:eastAsia="Arial" w:hAnsi="Arial"/>
                <w:sz w:val="14"/>
                <w:szCs w:val="14"/>
                <w:b w:val="1"/>
                <w:bCs w:val="1"/>
                <w:color w:val="FFFFFF"/>
              </w:rPr>
              <w:t>2020</w:t>
            </w:r>
          </w:p>
        </w:tc>
        <w:tc>
          <w:tcPr>
            <w:tcW w:w="280" w:type="dxa"/>
            <w:vAlign w:val="bottom"/>
            <w:shd w:val="clear" w:color="auto" w:fill="0066BA"/>
          </w:tcPr>
          <w:p>
            <w:pPr>
              <w:spacing w:after="0"/>
              <w:rPr>
                <w:sz w:val="13"/>
                <w:szCs w:val="13"/>
                <w:color w:val="auto"/>
              </w:rPr>
            </w:pPr>
          </w:p>
        </w:tc>
        <w:tc>
          <w:tcPr>
            <w:tcW w:w="800" w:type="dxa"/>
            <w:vAlign w:val="bottom"/>
            <w:shd w:val="clear" w:color="auto" w:fill="0066BA"/>
          </w:tcPr>
          <w:p>
            <w:pPr>
              <w:jc w:val="right"/>
              <w:ind w:right="106"/>
              <w:spacing w:after="0" w:line="156" w:lineRule="exact"/>
              <w:rPr>
                <w:sz w:val="20"/>
                <w:szCs w:val="20"/>
                <w:color w:val="auto"/>
              </w:rPr>
            </w:pPr>
            <w:r>
              <w:rPr>
                <w:rFonts w:ascii="Arial" w:cs="Arial" w:eastAsia="Arial" w:hAnsi="Arial"/>
                <w:sz w:val="14"/>
                <w:szCs w:val="14"/>
                <w:b w:val="1"/>
                <w:bCs w:val="1"/>
                <w:color w:val="FFFFFF"/>
              </w:rPr>
              <w:t>2019</w:t>
            </w:r>
          </w:p>
        </w:tc>
        <w:tc>
          <w:tcPr>
            <w:tcW w:w="980" w:type="dxa"/>
            <w:vAlign w:val="bottom"/>
            <w:shd w:val="clear" w:color="auto" w:fill="0066BA"/>
          </w:tcPr>
          <w:p>
            <w:pPr>
              <w:jc w:val="right"/>
              <w:ind w:right="124"/>
              <w:spacing w:after="0" w:line="156" w:lineRule="exact"/>
              <w:rPr>
                <w:sz w:val="20"/>
                <w:szCs w:val="20"/>
                <w:color w:val="auto"/>
              </w:rPr>
            </w:pPr>
            <w:r>
              <w:rPr>
                <w:rFonts w:ascii="Arial" w:cs="Arial" w:eastAsia="Arial" w:hAnsi="Arial"/>
                <w:sz w:val="14"/>
                <w:szCs w:val="14"/>
                <w:b w:val="1"/>
                <w:bCs w:val="1"/>
                <w:color w:val="FFFFFF"/>
              </w:rPr>
              <w:t>Increase</w:t>
            </w:r>
          </w:p>
        </w:tc>
        <w:tc>
          <w:tcPr>
            <w:tcW w:w="1260" w:type="dxa"/>
            <w:vAlign w:val="bottom"/>
            <w:shd w:val="clear" w:color="auto" w:fill="0066BA"/>
          </w:tcPr>
          <w:p>
            <w:pPr>
              <w:jc w:val="right"/>
              <w:ind w:right="106"/>
              <w:spacing w:after="0" w:line="156" w:lineRule="exact"/>
              <w:rPr>
                <w:sz w:val="20"/>
                <w:szCs w:val="20"/>
                <w:color w:val="auto"/>
              </w:rPr>
            </w:pPr>
            <w:r>
              <w:rPr>
                <w:rFonts w:ascii="Arial" w:cs="Arial" w:eastAsia="Arial" w:hAnsi="Arial"/>
                <w:sz w:val="14"/>
                <w:szCs w:val="14"/>
                <w:b w:val="1"/>
                <w:bCs w:val="1"/>
                <w:color w:val="FFFFFF"/>
              </w:rPr>
              <w:t>Individual</w:t>
            </w:r>
          </w:p>
        </w:tc>
        <w:tc>
          <w:tcPr>
            <w:tcW w:w="1280" w:type="dxa"/>
            <w:vAlign w:val="bottom"/>
            <w:shd w:val="clear" w:color="auto" w:fill="0066BA"/>
          </w:tcPr>
          <w:p>
            <w:pPr>
              <w:jc w:val="right"/>
              <w:ind w:right="106"/>
              <w:spacing w:after="0" w:line="156" w:lineRule="exact"/>
              <w:rPr>
                <w:sz w:val="20"/>
                <w:szCs w:val="20"/>
                <w:color w:val="auto"/>
              </w:rPr>
            </w:pPr>
            <w:r>
              <w:rPr>
                <w:rFonts w:ascii="Arial" w:cs="Arial" w:eastAsia="Arial" w:hAnsi="Arial"/>
                <w:sz w:val="14"/>
                <w:szCs w:val="14"/>
                <w:b w:val="1"/>
                <w:bCs w:val="1"/>
                <w:color w:val="FFFFFF"/>
              </w:rPr>
              <w:t>Individual</w:t>
            </w:r>
          </w:p>
        </w:tc>
        <w:tc>
          <w:tcPr>
            <w:tcW w:w="960" w:type="dxa"/>
            <w:vAlign w:val="bottom"/>
            <w:shd w:val="clear" w:color="auto" w:fill="0066BA"/>
          </w:tcPr>
          <w:p>
            <w:pPr>
              <w:jc w:val="right"/>
              <w:ind w:right="104"/>
              <w:spacing w:after="0" w:line="156" w:lineRule="exact"/>
              <w:rPr>
                <w:sz w:val="20"/>
                <w:szCs w:val="20"/>
                <w:color w:val="auto"/>
              </w:rPr>
            </w:pPr>
            <w:r>
              <w:rPr>
                <w:rFonts w:ascii="Arial" w:cs="Arial" w:eastAsia="Arial" w:hAnsi="Arial"/>
                <w:sz w:val="14"/>
                <w:szCs w:val="14"/>
                <w:b w:val="1"/>
                <w:bCs w:val="1"/>
                <w:color w:val="FFFFFF"/>
              </w:rPr>
              <w:t>Increase</w:t>
            </w:r>
          </w:p>
        </w:tc>
        <w:tc>
          <w:tcPr>
            <w:tcW w:w="20" w:type="dxa"/>
            <w:vAlign w:val="bottom"/>
            <w:shd w:val="clear" w:color="auto" w:fill="0066BA"/>
          </w:tcPr>
          <w:p>
            <w:pPr>
              <w:spacing w:after="0"/>
              <w:rPr>
                <w:sz w:val="13"/>
                <w:szCs w:val="13"/>
                <w:color w:val="auto"/>
              </w:rPr>
            </w:pPr>
          </w:p>
        </w:tc>
      </w:tr>
      <w:tr>
        <w:trPr>
          <w:trHeight w:val="156"/>
        </w:trPr>
        <w:tc>
          <w:tcPr>
            <w:tcW w:w="3720" w:type="dxa"/>
            <w:vAlign w:val="bottom"/>
            <w:shd w:val="clear" w:color="auto" w:fill="0066BA"/>
          </w:tcPr>
          <w:p>
            <w:pPr>
              <w:spacing w:after="0"/>
              <w:rPr>
                <w:sz w:val="13"/>
                <w:szCs w:val="13"/>
                <w:color w:val="auto"/>
              </w:rPr>
            </w:pPr>
          </w:p>
        </w:tc>
        <w:tc>
          <w:tcPr>
            <w:tcW w:w="180" w:type="dxa"/>
            <w:vAlign w:val="bottom"/>
            <w:shd w:val="clear" w:color="auto" w:fill="0066BA"/>
          </w:tcPr>
          <w:p>
            <w:pPr>
              <w:spacing w:after="0"/>
              <w:rPr>
                <w:sz w:val="13"/>
                <w:szCs w:val="13"/>
                <w:color w:val="auto"/>
              </w:rPr>
            </w:pPr>
          </w:p>
        </w:tc>
        <w:tc>
          <w:tcPr>
            <w:tcW w:w="820" w:type="dxa"/>
            <w:vAlign w:val="bottom"/>
            <w:shd w:val="clear" w:color="auto" w:fill="0066BA"/>
          </w:tcPr>
          <w:p>
            <w:pPr>
              <w:jc w:val="right"/>
              <w:ind w:right="126"/>
              <w:spacing w:after="0" w:line="156" w:lineRule="exact"/>
              <w:rPr>
                <w:sz w:val="20"/>
                <w:szCs w:val="20"/>
                <w:color w:val="auto"/>
              </w:rPr>
            </w:pPr>
            <w:r>
              <w:rPr>
                <w:rFonts w:ascii="Arial" w:cs="Arial" w:eastAsia="Arial" w:hAnsi="Arial"/>
                <w:sz w:val="14"/>
                <w:szCs w:val="14"/>
                <w:b w:val="1"/>
                <w:bCs w:val="1"/>
                <w:color w:val="FFFFFF"/>
              </w:rPr>
              <w:t>Base</w:t>
            </w:r>
          </w:p>
        </w:tc>
        <w:tc>
          <w:tcPr>
            <w:tcW w:w="280" w:type="dxa"/>
            <w:vAlign w:val="bottom"/>
            <w:shd w:val="clear" w:color="auto" w:fill="0066BA"/>
          </w:tcPr>
          <w:p>
            <w:pPr>
              <w:spacing w:after="0"/>
              <w:rPr>
                <w:sz w:val="13"/>
                <w:szCs w:val="13"/>
                <w:color w:val="auto"/>
              </w:rPr>
            </w:pPr>
          </w:p>
        </w:tc>
        <w:tc>
          <w:tcPr>
            <w:tcW w:w="800" w:type="dxa"/>
            <w:vAlign w:val="bottom"/>
            <w:shd w:val="clear" w:color="auto" w:fill="0066BA"/>
          </w:tcPr>
          <w:p>
            <w:pPr>
              <w:jc w:val="right"/>
              <w:ind w:right="106"/>
              <w:spacing w:after="0" w:line="156" w:lineRule="exact"/>
              <w:rPr>
                <w:sz w:val="20"/>
                <w:szCs w:val="20"/>
                <w:color w:val="auto"/>
              </w:rPr>
            </w:pPr>
            <w:r>
              <w:rPr>
                <w:rFonts w:ascii="Arial" w:cs="Arial" w:eastAsia="Arial" w:hAnsi="Arial"/>
                <w:sz w:val="14"/>
                <w:szCs w:val="14"/>
                <w:b w:val="1"/>
                <w:bCs w:val="1"/>
                <w:color w:val="FFFFFF"/>
              </w:rPr>
              <w:t>Base</w:t>
            </w:r>
          </w:p>
        </w:tc>
        <w:tc>
          <w:tcPr>
            <w:tcW w:w="980" w:type="dxa"/>
            <w:vAlign w:val="bottom"/>
            <w:shd w:val="clear" w:color="auto" w:fill="0066BA"/>
          </w:tcPr>
          <w:p>
            <w:pPr>
              <w:spacing w:after="0"/>
              <w:rPr>
                <w:sz w:val="13"/>
                <w:szCs w:val="13"/>
                <w:color w:val="auto"/>
              </w:rPr>
            </w:pPr>
          </w:p>
        </w:tc>
        <w:tc>
          <w:tcPr>
            <w:tcW w:w="1260" w:type="dxa"/>
            <w:vAlign w:val="bottom"/>
            <w:shd w:val="clear" w:color="auto" w:fill="0066BA"/>
          </w:tcPr>
          <w:p>
            <w:pPr>
              <w:jc w:val="right"/>
              <w:ind w:right="106"/>
              <w:spacing w:after="0" w:line="156" w:lineRule="exact"/>
              <w:rPr>
                <w:sz w:val="20"/>
                <w:szCs w:val="20"/>
                <w:color w:val="auto"/>
              </w:rPr>
            </w:pPr>
            <w:r>
              <w:rPr>
                <w:rFonts w:ascii="Arial" w:cs="Arial" w:eastAsia="Arial" w:hAnsi="Arial"/>
                <w:sz w:val="14"/>
                <w:szCs w:val="14"/>
                <w:b w:val="1"/>
                <w:bCs w:val="1"/>
                <w:color w:val="FFFFFF"/>
              </w:rPr>
              <w:t>Target Bonus</w:t>
            </w:r>
          </w:p>
        </w:tc>
        <w:tc>
          <w:tcPr>
            <w:tcW w:w="1280" w:type="dxa"/>
            <w:vAlign w:val="bottom"/>
            <w:shd w:val="clear" w:color="auto" w:fill="0066BA"/>
          </w:tcPr>
          <w:p>
            <w:pPr>
              <w:jc w:val="right"/>
              <w:ind w:right="106"/>
              <w:spacing w:after="0" w:line="156" w:lineRule="exact"/>
              <w:rPr>
                <w:sz w:val="20"/>
                <w:szCs w:val="20"/>
                <w:color w:val="auto"/>
              </w:rPr>
            </w:pPr>
            <w:r>
              <w:rPr>
                <w:rFonts w:ascii="Arial" w:cs="Arial" w:eastAsia="Arial" w:hAnsi="Arial"/>
                <w:sz w:val="14"/>
                <w:szCs w:val="14"/>
                <w:b w:val="1"/>
                <w:bCs w:val="1"/>
                <w:color w:val="FFFFFF"/>
              </w:rPr>
              <w:t>Target Bonus</w:t>
            </w:r>
          </w:p>
        </w:tc>
        <w:tc>
          <w:tcPr>
            <w:tcW w:w="960" w:type="dxa"/>
            <w:vAlign w:val="bottom"/>
            <w:shd w:val="clear" w:color="auto" w:fill="0066BA"/>
          </w:tcPr>
          <w:p>
            <w:pPr>
              <w:spacing w:after="0"/>
              <w:rPr>
                <w:sz w:val="13"/>
                <w:szCs w:val="13"/>
                <w:color w:val="auto"/>
              </w:rPr>
            </w:pPr>
          </w:p>
        </w:tc>
        <w:tc>
          <w:tcPr>
            <w:tcW w:w="20" w:type="dxa"/>
            <w:vAlign w:val="bottom"/>
            <w:shd w:val="clear" w:color="auto" w:fill="0066BA"/>
          </w:tcPr>
          <w:p>
            <w:pPr>
              <w:spacing w:after="0"/>
              <w:rPr>
                <w:sz w:val="13"/>
                <w:szCs w:val="13"/>
                <w:color w:val="auto"/>
              </w:rPr>
            </w:pPr>
          </w:p>
        </w:tc>
      </w:tr>
      <w:tr>
        <w:trPr>
          <w:trHeight w:val="156"/>
        </w:trPr>
        <w:tc>
          <w:tcPr>
            <w:tcW w:w="3720" w:type="dxa"/>
            <w:vAlign w:val="bottom"/>
            <w:shd w:val="clear" w:color="auto" w:fill="0066BA"/>
          </w:tcPr>
          <w:p>
            <w:pPr>
              <w:spacing w:after="0"/>
              <w:rPr>
                <w:sz w:val="13"/>
                <w:szCs w:val="13"/>
                <w:color w:val="auto"/>
              </w:rPr>
            </w:pPr>
          </w:p>
        </w:tc>
        <w:tc>
          <w:tcPr>
            <w:tcW w:w="180" w:type="dxa"/>
            <w:vAlign w:val="bottom"/>
            <w:shd w:val="clear" w:color="auto" w:fill="0066BA"/>
          </w:tcPr>
          <w:p>
            <w:pPr>
              <w:spacing w:after="0"/>
              <w:rPr>
                <w:sz w:val="13"/>
                <w:szCs w:val="13"/>
                <w:color w:val="auto"/>
              </w:rPr>
            </w:pPr>
          </w:p>
        </w:tc>
        <w:tc>
          <w:tcPr>
            <w:tcW w:w="820" w:type="dxa"/>
            <w:vAlign w:val="bottom"/>
            <w:shd w:val="clear" w:color="auto" w:fill="0066BA"/>
          </w:tcPr>
          <w:p>
            <w:pPr>
              <w:jc w:val="right"/>
              <w:ind w:right="126"/>
              <w:spacing w:after="0" w:line="156" w:lineRule="exact"/>
              <w:rPr>
                <w:sz w:val="20"/>
                <w:szCs w:val="20"/>
                <w:color w:val="auto"/>
              </w:rPr>
            </w:pPr>
            <w:r>
              <w:rPr>
                <w:rFonts w:ascii="Arial" w:cs="Arial" w:eastAsia="Arial" w:hAnsi="Arial"/>
                <w:sz w:val="14"/>
                <w:szCs w:val="14"/>
                <w:b w:val="1"/>
                <w:bCs w:val="1"/>
                <w:color w:val="FFFFFF"/>
              </w:rPr>
              <w:t>Salary</w:t>
            </w:r>
          </w:p>
        </w:tc>
        <w:tc>
          <w:tcPr>
            <w:tcW w:w="280" w:type="dxa"/>
            <w:vAlign w:val="bottom"/>
            <w:shd w:val="clear" w:color="auto" w:fill="0066BA"/>
          </w:tcPr>
          <w:p>
            <w:pPr>
              <w:spacing w:after="0"/>
              <w:rPr>
                <w:sz w:val="13"/>
                <w:szCs w:val="13"/>
                <w:color w:val="auto"/>
              </w:rPr>
            </w:pPr>
          </w:p>
        </w:tc>
        <w:tc>
          <w:tcPr>
            <w:tcW w:w="800" w:type="dxa"/>
            <w:vAlign w:val="bottom"/>
            <w:shd w:val="clear" w:color="auto" w:fill="0066BA"/>
          </w:tcPr>
          <w:p>
            <w:pPr>
              <w:jc w:val="right"/>
              <w:ind w:right="106"/>
              <w:spacing w:after="0" w:line="156" w:lineRule="exact"/>
              <w:rPr>
                <w:sz w:val="20"/>
                <w:szCs w:val="20"/>
                <w:color w:val="auto"/>
              </w:rPr>
            </w:pPr>
            <w:r>
              <w:rPr>
                <w:rFonts w:ascii="Arial" w:cs="Arial" w:eastAsia="Arial" w:hAnsi="Arial"/>
                <w:sz w:val="14"/>
                <w:szCs w:val="14"/>
                <w:b w:val="1"/>
                <w:bCs w:val="1"/>
                <w:color w:val="FFFFFF"/>
              </w:rPr>
              <w:t>Salary</w:t>
            </w:r>
          </w:p>
        </w:tc>
        <w:tc>
          <w:tcPr>
            <w:tcW w:w="980" w:type="dxa"/>
            <w:vAlign w:val="bottom"/>
            <w:shd w:val="clear" w:color="auto" w:fill="0066BA"/>
          </w:tcPr>
          <w:p>
            <w:pPr>
              <w:spacing w:after="0"/>
              <w:rPr>
                <w:sz w:val="13"/>
                <w:szCs w:val="13"/>
                <w:color w:val="auto"/>
              </w:rPr>
            </w:pPr>
          </w:p>
        </w:tc>
        <w:tc>
          <w:tcPr>
            <w:tcW w:w="1260" w:type="dxa"/>
            <w:vAlign w:val="bottom"/>
            <w:shd w:val="clear" w:color="auto" w:fill="0066BA"/>
          </w:tcPr>
          <w:p>
            <w:pPr>
              <w:jc w:val="right"/>
              <w:ind w:right="106"/>
              <w:spacing w:after="0" w:line="156" w:lineRule="exact"/>
              <w:rPr>
                <w:sz w:val="20"/>
                <w:szCs w:val="20"/>
                <w:color w:val="auto"/>
              </w:rPr>
            </w:pPr>
            <w:r>
              <w:rPr>
                <w:rFonts w:ascii="Arial" w:cs="Arial" w:eastAsia="Arial" w:hAnsi="Arial"/>
                <w:sz w:val="14"/>
                <w:szCs w:val="14"/>
                <w:b w:val="1"/>
                <w:bCs w:val="1"/>
                <w:color w:val="FFFFFF"/>
              </w:rPr>
              <w:t>as % of</w:t>
            </w:r>
          </w:p>
        </w:tc>
        <w:tc>
          <w:tcPr>
            <w:tcW w:w="1280" w:type="dxa"/>
            <w:vAlign w:val="bottom"/>
            <w:shd w:val="clear" w:color="auto" w:fill="0066BA"/>
          </w:tcPr>
          <w:p>
            <w:pPr>
              <w:jc w:val="right"/>
              <w:ind w:right="106"/>
              <w:spacing w:after="0" w:line="156" w:lineRule="exact"/>
              <w:rPr>
                <w:sz w:val="20"/>
                <w:szCs w:val="20"/>
                <w:color w:val="auto"/>
              </w:rPr>
            </w:pPr>
            <w:r>
              <w:rPr>
                <w:rFonts w:ascii="Arial" w:cs="Arial" w:eastAsia="Arial" w:hAnsi="Arial"/>
                <w:sz w:val="14"/>
                <w:szCs w:val="14"/>
                <w:b w:val="1"/>
                <w:bCs w:val="1"/>
                <w:color w:val="FFFFFF"/>
              </w:rPr>
              <w:t>as % of</w:t>
            </w:r>
          </w:p>
        </w:tc>
        <w:tc>
          <w:tcPr>
            <w:tcW w:w="960" w:type="dxa"/>
            <w:vAlign w:val="bottom"/>
            <w:shd w:val="clear" w:color="auto" w:fill="0066BA"/>
          </w:tcPr>
          <w:p>
            <w:pPr>
              <w:spacing w:after="0"/>
              <w:rPr>
                <w:sz w:val="13"/>
                <w:szCs w:val="13"/>
                <w:color w:val="auto"/>
              </w:rPr>
            </w:pPr>
          </w:p>
        </w:tc>
        <w:tc>
          <w:tcPr>
            <w:tcW w:w="20" w:type="dxa"/>
            <w:vAlign w:val="bottom"/>
            <w:shd w:val="clear" w:color="auto" w:fill="0066BA"/>
          </w:tcPr>
          <w:p>
            <w:pPr>
              <w:spacing w:after="0"/>
              <w:rPr>
                <w:sz w:val="13"/>
                <w:szCs w:val="13"/>
                <w:color w:val="auto"/>
              </w:rPr>
            </w:pPr>
          </w:p>
        </w:tc>
      </w:tr>
      <w:tr>
        <w:trPr>
          <w:trHeight w:val="182"/>
        </w:trPr>
        <w:tc>
          <w:tcPr>
            <w:tcW w:w="3720" w:type="dxa"/>
            <w:vAlign w:val="bottom"/>
            <w:shd w:val="clear" w:color="auto" w:fill="0066BA"/>
          </w:tcPr>
          <w:p>
            <w:pPr>
              <w:spacing w:after="0"/>
              <w:rPr>
                <w:sz w:val="15"/>
                <w:szCs w:val="15"/>
                <w:color w:val="auto"/>
              </w:rPr>
            </w:pPr>
          </w:p>
        </w:tc>
        <w:tc>
          <w:tcPr>
            <w:tcW w:w="180" w:type="dxa"/>
            <w:vAlign w:val="bottom"/>
            <w:shd w:val="clear" w:color="auto" w:fill="0066BA"/>
          </w:tcPr>
          <w:p>
            <w:pPr>
              <w:spacing w:after="0"/>
              <w:rPr>
                <w:sz w:val="15"/>
                <w:szCs w:val="15"/>
                <w:color w:val="auto"/>
              </w:rPr>
            </w:pPr>
          </w:p>
        </w:tc>
        <w:tc>
          <w:tcPr>
            <w:tcW w:w="820" w:type="dxa"/>
            <w:vAlign w:val="bottom"/>
            <w:shd w:val="clear" w:color="auto" w:fill="0066BA"/>
          </w:tcPr>
          <w:p>
            <w:pPr>
              <w:spacing w:after="0"/>
              <w:rPr>
                <w:sz w:val="15"/>
                <w:szCs w:val="15"/>
                <w:color w:val="auto"/>
              </w:rPr>
            </w:pPr>
          </w:p>
        </w:tc>
        <w:tc>
          <w:tcPr>
            <w:tcW w:w="280" w:type="dxa"/>
            <w:vAlign w:val="bottom"/>
            <w:shd w:val="clear" w:color="auto" w:fill="0066BA"/>
          </w:tcPr>
          <w:p>
            <w:pPr>
              <w:spacing w:after="0"/>
              <w:rPr>
                <w:sz w:val="15"/>
                <w:szCs w:val="15"/>
                <w:color w:val="auto"/>
              </w:rPr>
            </w:pPr>
          </w:p>
        </w:tc>
        <w:tc>
          <w:tcPr>
            <w:tcW w:w="800" w:type="dxa"/>
            <w:vAlign w:val="bottom"/>
            <w:shd w:val="clear" w:color="auto" w:fill="0066BA"/>
          </w:tcPr>
          <w:p>
            <w:pPr>
              <w:spacing w:after="0"/>
              <w:rPr>
                <w:sz w:val="15"/>
                <w:szCs w:val="15"/>
                <w:color w:val="auto"/>
              </w:rPr>
            </w:pPr>
          </w:p>
        </w:tc>
        <w:tc>
          <w:tcPr>
            <w:tcW w:w="980" w:type="dxa"/>
            <w:vAlign w:val="bottom"/>
            <w:shd w:val="clear" w:color="auto" w:fill="0066BA"/>
          </w:tcPr>
          <w:p>
            <w:pPr>
              <w:spacing w:after="0"/>
              <w:rPr>
                <w:sz w:val="15"/>
                <w:szCs w:val="15"/>
                <w:color w:val="auto"/>
              </w:rPr>
            </w:pPr>
          </w:p>
        </w:tc>
        <w:tc>
          <w:tcPr>
            <w:tcW w:w="1260" w:type="dxa"/>
            <w:vAlign w:val="bottom"/>
            <w:shd w:val="clear" w:color="auto" w:fill="0066BA"/>
          </w:tcPr>
          <w:p>
            <w:pPr>
              <w:jc w:val="right"/>
              <w:ind w:right="106"/>
              <w:spacing w:after="0"/>
              <w:rPr>
                <w:sz w:val="20"/>
                <w:szCs w:val="20"/>
                <w:color w:val="auto"/>
              </w:rPr>
            </w:pPr>
            <w:r>
              <w:rPr>
                <w:rFonts w:ascii="Arial" w:cs="Arial" w:eastAsia="Arial" w:hAnsi="Arial"/>
                <w:sz w:val="14"/>
                <w:szCs w:val="14"/>
                <w:b w:val="1"/>
                <w:bCs w:val="1"/>
                <w:color w:val="FFFFFF"/>
              </w:rPr>
              <w:t>Base Salary</w:t>
            </w:r>
          </w:p>
        </w:tc>
        <w:tc>
          <w:tcPr>
            <w:tcW w:w="1280" w:type="dxa"/>
            <w:vAlign w:val="bottom"/>
            <w:shd w:val="clear" w:color="auto" w:fill="0066BA"/>
          </w:tcPr>
          <w:p>
            <w:pPr>
              <w:jc w:val="right"/>
              <w:ind w:right="106"/>
              <w:spacing w:after="0"/>
              <w:rPr>
                <w:sz w:val="20"/>
                <w:szCs w:val="20"/>
                <w:color w:val="auto"/>
              </w:rPr>
            </w:pPr>
            <w:r>
              <w:rPr>
                <w:rFonts w:ascii="Arial" w:cs="Arial" w:eastAsia="Arial" w:hAnsi="Arial"/>
                <w:sz w:val="14"/>
                <w:szCs w:val="14"/>
                <w:b w:val="1"/>
                <w:bCs w:val="1"/>
                <w:color w:val="FFFFFF"/>
              </w:rPr>
              <w:t>Base Salary</w:t>
            </w:r>
          </w:p>
        </w:tc>
        <w:tc>
          <w:tcPr>
            <w:tcW w:w="960" w:type="dxa"/>
            <w:vAlign w:val="bottom"/>
            <w:shd w:val="clear" w:color="auto" w:fill="0066BA"/>
          </w:tcPr>
          <w:p>
            <w:pPr>
              <w:spacing w:after="0"/>
              <w:rPr>
                <w:sz w:val="15"/>
                <w:szCs w:val="15"/>
                <w:color w:val="auto"/>
              </w:rPr>
            </w:pPr>
          </w:p>
        </w:tc>
        <w:tc>
          <w:tcPr>
            <w:tcW w:w="20" w:type="dxa"/>
            <w:vAlign w:val="bottom"/>
            <w:shd w:val="clear" w:color="auto" w:fill="0066BA"/>
          </w:tcPr>
          <w:p>
            <w:pPr>
              <w:spacing w:after="0"/>
              <w:rPr>
                <w:sz w:val="15"/>
                <w:szCs w:val="15"/>
                <w:color w:val="auto"/>
              </w:rPr>
            </w:pPr>
          </w:p>
        </w:tc>
      </w:tr>
      <w:tr>
        <w:trPr>
          <w:trHeight w:val="116"/>
        </w:trPr>
        <w:tc>
          <w:tcPr>
            <w:tcW w:w="3720" w:type="dxa"/>
            <w:vAlign w:val="bottom"/>
            <w:shd w:val="clear" w:color="auto" w:fill="0066BA"/>
          </w:tcPr>
          <w:p>
            <w:pPr>
              <w:spacing w:after="0"/>
              <w:rPr>
                <w:sz w:val="10"/>
                <w:szCs w:val="10"/>
                <w:color w:val="auto"/>
              </w:rPr>
            </w:pPr>
          </w:p>
        </w:tc>
        <w:tc>
          <w:tcPr>
            <w:tcW w:w="180" w:type="dxa"/>
            <w:vAlign w:val="bottom"/>
            <w:shd w:val="clear" w:color="auto" w:fill="0066BA"/>
          </w:tcPr>
          <w:p>
            <w:pPr>
              <w:spacing w:after="0"/>
              <w:rPr>
                <w:sz w:val="10"/>
                <w:szCs w:val="10"/>
                <w:color w:val="auto"/>
              </w:rPr>
            </w:pPr>
          </w:p>
        </w:tc>
        <w:tc>
          <w:tcPr>
            <w:tcW w:w="820" w:type="dxa"/>
            <w:vAlign w:val="bottom"/>
            <w:shd w:val="clear" w:color="auto" w:fill="0066BA"/>
          </w:tcPr>
          <w:p>
            <w:pPr>
              <w:spacing w:after="0"/>
              <w:rPr>
                <w:sz w:val="10"/>
                <w:szCs w:val="10"/>
                <w:color w:val="auto"/>
              </w:rPr>
            </w:pPr>
          </w:p>
        </w:tc>
        <w:tc>
          <w:tcPr>
            <w:tcW w:w="280" w:type="dxa"/>
            <w:vAlign w:val="bottom"/>
            <w:shd w:val="clear" w:color="auto" w:fill="0066BA"/>
          </w:tcPr>
          <w:p>
            <w:pPr>
              <w:spacing w:after="0"/>
              <w:rPr>
                <w:sz w:val="10"/>
                <w:szCs w:val="10"/>
                <w:color w:val="auto"/>
              </w:rPr>
            </w:pPr>
          </w:p>
        </w:tc>
        <w:tc>
          <w:tcPr>
            <w:tcW w:w="800" w:type="dxa"/>
            <w:vAlign w:val="bottom"/>
            <w:shd w:val="clear" w:color="auto" w:fill="0066BA"/>
          </w:tcPr>
          <w:p>
            <w:pPr>
              <w:spacing w:after="0"/>
              <w:rPr>
                <w:sz w:val="10"/>
                <w:szCs w:val="10"/>
                <w:color w:val="auto"/>
              </w:rPr>
            </w:pPr>
          </w:p>
        </w:tc>
        <w:tc>
          <w:tcPr>
            <w:tcW w:w="980" w:type="dxa"/>
            <w:vAlign w:val="bottom"/>
            <w:shd w:val="clear" w:color="auto" w:fill="0066BA"/>
          </w:tcPr>
          <w:p>
            <w:pPr>
              <w:spacing w:after="0"/>
              <w:rPr>
                <w:sz w:val="10"/>
                <w:szCs w:val="10"/>
                <w:color w:val="auto"/>
              </w:rPr>
            </w:pPr>
          </w:p>
        </w:tc>
        <w:tc>
          <w:tcPr>
            <w:tcW w:w="1260" w:type="dxa"/>
            <w:vAlign w:val="bottom"/>
            <w:shd w:val="clear" w:color="auto" w:fill="0066BA"/>
          </w:tcPr>
          <w:p>
            <w:pPr>
              <w:spacing w:after="0"/>
              <w:rPr>
                <w:sz w:val="10"/>
                <w:szCs w:val="10"/>
                <w:color w:val="auto"/>
              </w:rPr>
            </w:pPr>
          </w:p>
        </w:tc>
        <w:tc>
          <w:tcPr>
            <w:tcW w:w="1280" w:type="dxa"/>
            <w:vAlign w:val="bottom"/>
            <w:shd w:val="clear" w:color="auto" w:fill="0066BA"/>
          </w:tcPr>
          <w:p>
            <w:pPr>
              <w:spacing w:after="0"/>
              <w:rPr>
                <w:sz w:val="10"/>
                <w:szCs w:val="10"/>
                <w:color w:val="auto"/>
              </w:rPr>
            </w:pPr>
          </w:p>
        </w:tc>
        <w:tc>
          <w:tcPr>
            <w:tcW w:w="960" w:type="dxa"/>
            <w:vAlign w:val="bottom"/>
            <w:shd w:val="clear" w:color="auto" w:fill="0066BA"/>
          </w:tcPr>
          <w:p>
            <w:pPr>
              <w:spacing w:after="0"/>
              <w:rPr>
                <w:sz w:val="10"/>
                <w:szCs w:val="10"/>
                <w:color w:val="auto"/>
              </w:rPr>
            </w:pPr>
          </w:p>
        </w:tc>
        <w:tc>
          <w:tcPr>
            <w:tcW w:w="20" w:type="dxa"/>
            <w:vAlign w:val="bottom"/>
            <w:shd w:val="clear" w:color="auto" w:fill="0066BA"/>
          </w:tcPr>
          <w:p>
            <w:pPr>
              <w:spacing w:after="0"/>
              <w:rPr>
                <w:sz w:val="10"/>
                <w:szCs w:val="10"/>
                <w:color w:val="auto"/>
              </w:rPr>
            </w:pPr>
          </w:p>
        </w:tc>
      </w:tr>
      <w:tr>
        <w:trPr>
          <w:trHeight w:val="224"/>
        </w:trPr>
        <w:tc>
          <w:tcPr>
            <w:tcW w:w="3720" w:type="dxa"/>
            <w:vAlign w:val="bottom"/>
          </w:tcPr>
          <w:p>
            <w:pPr>
              <w:ind w:left="60"/>
              <w:spacing w:after="0"/>
              <w:rPr>
                <w:sz w:val="20"/>
                <w:szCs w:val="20"/>
                <w:color w:val="auto"/>
              </w:rPr>
            </w:pPr>
            <w:r>
              <w:rPr>
                <w:rFonts w:ascii="Arial" w:cs="Arial" w:eastAsia="Arial" w:hAnsi="Arial"/>
                <w:sz w:val="16"/>
                <w:szCs w:val="16"/>
                <w:b w:val="1"/>
                <w:bCs w:val="1"/>
                <w:color w:val="0066BA"/>
              </w:rPr>
              <w:t>Vincent Roche</w:t>
            </w:r>
          </w:p>
        </w:tc>
        <w:tc>
          <w:tcPr>
            <w:tcW w:w="180" w:type="dxa"/>
            <w:vAlign w:val="bottom"/>
            <w:shd w:val="clear" w:color="auto" w:fill="EAEAEA"/>
          </w:tcPr>
          <w:p>
            <w:pPr>
              <w:spacing w:after="0"/>
              <w:rPr>
                <w:sz w:val="19"/>
                <w:szCs w:val="19"/>
                <w:color w:val="auto"/>
              </w:rPr>
            </w:pPr>
          </w:p>
        </w:tc>
        <w:tc>
          <w:tcPr>
            <w:tcW w:w="820" w:type="dxa"/>
            <w:vAlign w:val="bottom"/>
            <w:shd w:val="clear" w:color="auto" w:fill="EAEAEA"/>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shd w:val="clear" w:color="auto" w:fill="EAEAEA"/>
          </w:tcPr>
          <w:p>
            <w:pPr>
              <w:spacing w:after="0"/>
              <w:rPr>
                <w:sz w:val="19"/>
                <w:szCs w:val="19"/>
                <w:color w:val="auto"/>
              </w:rPr>
            </w:pPr>
          </w:p>
        </w:tc>
        <w:tc>
          <w:tcPr>
            <w:tcW w:w="1260" w:type="dxa"/>
            <w:vAlign w:val="bottom"/>
          </w:tcPr>
          <w:p>
            <w:pPr>
              <w:spacing w:after="0"/>
              <w:rPr>
                <w:sz w:val="19"/>
                <w:szCs w:val="19"/>
                <w:color w:val="auto"/>
              </w:rPr>
            </w:pPr>
          </w:p>
        </w:tc>
        <w:tc>
          <w:tcPr>
            <w:tcW w:w="1280" w:type="dxa"/>
            <w:vAlign w:val="bottom"/>
            <w:shd w:val="clear" w:color="auto" w:fill="EAEAEA"/>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3720" w:type="dxa"/>
            <w:vAlign w:val="bottom"/>
          </w:tcPr>
          <w:p>
            <w:pPr>
              <w:ind w:left="60"/>
              <w:spacing w:after="0"/>
              <w:rPr>
                <w:sz w:val="20"/>
                <w:szCs w:val="20"/>
                <w:color w:val="auto"/>
              </w:rPr>
            </w:pPr>
            <w:r>
              <w:rPr>
                <w:rFonts w:ascii="Arial" w:cs="Arial" w:eastAsia="Arial" w:hAnsi="Arial"/>
                <w:sz w:val="16"/>
                <w:szCs w:val="16"/>
                <w:color w:val="auto"/>
              </w:rPr>
              <w:t>President &amp;</w:t>
            </w:r>
          </w:p>
        </w:tc>
        <w:tc>
          <w:tcPr>
            <w:tcW w:w="180" w:type="dxa"/>
            <w:vAlign w:val="bottom"/>
            <w:shd w:val="clear" w:color="auto" w:fill="EAEAEA"/>
          </w:tcPr>
          <w:p>
            <w:pPr>
              <w:spacing w:after="0"/>
              <w:rPr>
                <w:sz w:val="16"/>
                <w:szCs w:val="16"/>
                <w:color w:val="auto"/>
              </w:rPr>
            </w:pPr>
          </w:p>
        </w:tc>
        <w:tc>
          <w:tcPr>
            <w:tcW w:w="820" w:type="dxa"/>
            <w:vAlign w:val="bottom"/>
            <w:shd w:val="clear" w:color="auto" w:fill="EAEAEA"/>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shd w:val="clear" w:color="auto" w:fill="EAEAEA"/>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shd w:val="clear" w:color="auto" w:fill="EAEAEA"/>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70"/>
        </w:trPr>
        <w:tc>
          <w:tcPr>
            <w:tcW w:w="3720" w:type="dxa"/>
            <w:vAlign w:val="bottom"/>
          </w:tcPr>
          <w:p>
            <w:pPr>
              <w:ind w:left="60"/>
              <w:spacing w:after="0"/>
              <w:rPr>
                <w:sz w:val="20"/>
                <w:szCs w:val="20"/>
                <w:color w:val="auto"/>
              </w:rPr>
            </w:pPr>
            <w:r>
              <w:rPr>
                <w:rFonts w:ascii="Arial" w:cs="Arial" w:eastAsia="Arial" w:hAnsi="Arial"/>
                <w:sz w:val="16"/>
                <w:szCs w:val="16"/>
                <w:color w:val="auto"/>
              </w:rPr>
              <w:t>Chief Executive Officer</w:t>
            </w:r>
          </w:p>
        </w:tc>
        <w:tc>
          <w:tcPr>
            <w:tcW w:w="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AEAEA"/>
            </w:tcBorders>
            <w:shd w:val="clear" w:color="auto" w:fill="EAEAEA"/>
          </w:tcPr>
          <w:p>
            <w:pPr>
              <w:jc w:val="right"/>
              <w:ind w:right="126"/>
              <w:spacing w:after="0"/>
              <w:rPr>
                <w:sz w:val="20"/>
                <w:szCs w:val="20"/>
                <w:color w:val="auto"/>
              </w:rPr>
            </w:pPr>
            <w:r>
              <w:rPr>
                <w:rFonts w:ascii="Arial" w:cs="Arial" w:eastAsia="Arial" w:hAnsi="Arial"/>
                <w:sz w:val="16"/>
                <w:szCs w:val="16"/>
                <w:color w:val="auto"/>
                <w:w w:val="84"/>
              </w:rPr>
              <w:t>1,050,000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06"/>
              <w:spacing w:after="0"/>
              <w:rPr>
                <w:sz w:val="20"/>
                <w:szCs w:val="20"/>
                <w:color w:val="auto"/>
              </w:rPr>
            </w:pPr>
            <w:r>
              <w:rPr>
                <w:rFonts w:ascii="Arial" w:cs="Arial" w:eastAsia="Arial" w:hAnsi="Arial"/>
                <w:sz w:val="16"/>
                <w:szCs w:val="16"/>
                <w:color w:val="auto"/>
                <w:w w:val="84"/>
              </w:rPr>
              <w:t>1,050,000</w:t>
            </w:r>
          </w:p>
        </w:tc>
        <w:tc>
          <w:tcPr>
            <w:tcW w:w="980" w:type="dxa"/>
            <w:vAlign w:val="bottom"/>
            <w:tcBorders>
              <w:bottom w:val="single" w:sz="8" w:color="EAEAEA"/>
            </w:tcBorders>
            <w:shd w:val="clear" w:color="auto" w:fill="EAEAEA"/>
          </w:tcPr>
          <w:p>
            <w:pPr>
              <w:jc w:val="right"/>
              <w:ind w:right="124"/>
              <w:spacing w:after="0"/>
              <w:rPr>
                <w:sz w:val="20"/>
                <w:szCs w:val="20"/>
                <w:color w:val="auto"/>
              </w:rPr>
            </w:pPr>
            <w:r>
              <w:rPr>
                <w:rFonts w:ascii="Arial" w:cs="Arial" w:eastAsia="Arial" w:hAnsi="Arial"/>
                <w:sz w:val="16"/>
                <w:szCs w:val="16"/>
                <w:color w:val="auto"/>
              </w:rPr>
              <w:t>0%</w:t>
            </w:r>
          </w:p>
        </w:tc>
        <w:tc>
          <w:tcPr>
            <w:tcW w:w="1260" w:type="dxa"/>
            <w:vAlign w:val="bottom"/>
          </w:tcPr>
          <w:p>
            <w:pPr>
              <w:jc w:val="right"/>
              <w:ind w:right="106"/>
              <w:spacing w:after="0"/>
              <w:rPr>
                <w:sz w:val="20"/>
                <w:szCs w:val="20"/>
                <w:color w:val="auto"/>
              </w:rPr>
            </w:pPr>
            <w:r>
              <w:rPr>
                <w:rFonts w:ascii="Arial" w:cs="Arial" w:eastAsia="Arial" w:hAnsi="Arial"/>
                <w:sz w:val="16"/>
                <w:szCs w:val="16"/>
                <w:color w:val="auto"/>
              </w:rPr>
              <w:t>150%</w:t>
            </w:r>
          </w:p>
        </w:tc>
        <w:tc>
          <w:tcPr>
            <w:tcW w:w="1280" w:type="dxa"/>
            <w:vAlign w:val="bottom"/>
            <w:tcBorders>
              <w:bottom w:val="single" w:sz="8" w:color="EAEAEA"/>
            </w:tcBorders>
            <w:shd w:val="clear" w:color="auto" w:fill="EAEAEA"/>
          </w:tcPr>
          <w:p>
            <w:pPr>
              <w:jc w:val="right"/>
              <w:ind w:right="106"/>
              <w:spacing w:after="0"/>
              <w:rPr>
                <w:sz w:val="20"/>
                <w:szCs w:val="20"/>
                <w:color w:val="auto"/>
              </w:rPr>
            </w:pPr>
            <w:r>
              <w:rPr>
                <w:rFonts w:ascii="Arial" w:cs="Arial" w:eastAsia="Arial" w:hAnsi="Arial"/>
                <w:sz w:val="16"/>
                <w:szCs w:val="16"/>
                <w:color w:val="auto"/>
              </w:rPr>
              <w:t>150%</w:t>
            </w:r>
          </w:p>
        </w:tc>
        <w:tc>
          <w:tcPr>
            <w:tcW w:w="960" w:type="dxa"/>
            <w:vAlign w:val="bottom"/>
          </w:tcPr>
          <w:p>
            <w:pPr>
              <w:jc w:val="right"/>
              <w:ind w:right="104"/>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23"/>
                <w:szCs w:val="23"/>
                <w:color w:val="auto"/>
              </w:rPr>
            </w:pPr>
          </w:p>
        </w:tc>
      </w:tr>
      <w:tr>
        <w:trPr>
          <w:trHeight w:val="217"/>
        </w:trPr>
        <w:tc>
          <w:tcPr>
            <w:tcW w:w="37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Prashanth Mahendra-Rajah</w:t>
            </w:r>
          </w:p>
        </w:tc>
        <w:tc>
          <w:tcPr>
            <w:tcW w:w="180" w:type="dxa"/>
            <w:vAlign w:val="bottom"/>
            <w:tcBorders>
              <w:top w:val="single" w:sz="8" w:color="auto"/>
            </w:tcBorders>
            <w:shd w:val="clear" w:color="auto" w:fill="EAEAEA"/>
          </w:tcPr>
          <w:p>
            <w:pPr>
              <w:spacing w:after="0"/>
              <w:rPr>
                <w:sz w:val="18"/>
                <w:szCs w:val="18"/>
                <w:color w:val="auto"/>
              </w:rPr>
            </w:pPr>
          </w:p>
        </w:tc>
        <w:tc>
          <w:tcPr>
            <w:tcW w:w="820" w:type="dxa"/>
            <w:vAlign w:val="bottom"/>
            <w:tcBorders>
              <w:top w:val="single" w:sz="8" w:color="auto"/>
            </w:tcBorders>
            <w:shd w:val="clear" w:color="auto" w:fill="EAEAEA"/>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shd w:val="clear" w:color="auto" w:fill="EAEAEA"/>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shd w:val="clear" w:color="auto" w:fill="EAEAEA"/>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3720" w:type="dxa"/>
            <w:vAlign w:val="bottom"/>
          </w:tcPr>
          <w:p>
            <w:pPr>
              <w:ind w:left="60"/>
              <w:spacing w:after="0"/>
              <w:rPr>
                <w:sz w:val="20"/>
                <w:szCs w:val="20"/>
                <w:color w:val="auto"/>
              </w:rPr>
            </w:pPr>
            <w:r>
              <w:rPr>
                <w:rFonts w:ascii="Arial" w:cs="Arial" w:eastAsia="Arial" w:hAnsi="Arial"/>
                <w:sz w:val="16"/>
                <w:szCs w:val="16"/>
                <w:color w:val="auto"/>
              </w:rPr>
              <w:t>Senior Vice President, Finance</w:t>
            </w:r>
          </w:p>
        </w:tc>
        <w:tc>
          <w:tcPr>
            <w:tcW w:w="180" w:type="dxa"/>
            <w:vAlign w:val="bottom"/>
            <w:shd w:val="clear" w:color="auto" w:fill="EAEAEA"/>
          </w:tcPr>
          <w:p>
            <w:pPr>
              <w:spacing w:after="0"/>
              <w:rPr>
                <w:sz w:val="16"/>
                <w:szCs w:val="16"/>
                <w:color w:val="auto"/>
              </w:rPr>
            </w:pPr>
          </w:p>
        </w:tc>
        <w:tc>
          <w:tcPr>
            <w:tcW w:w="820" w:type="dxa"/>
            <w:vAlign w:val="bottom"/>
            <w:shd w:val="clear" w:color="auto" w:fill="EAEAEA"/>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shd w:val="clear" w:color="auto" w:fill="EAEAEA"/>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shd w:val="clear" w:color="auto" w:fill="EAEAEA"/>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70"/>
        </w:trPr>
        <w:tc>
          <w:tcPr>
            <w:tcW w:w="3720" w:type="dxa"/>
            <w:vAlign w:val="bottom"/>
          </w:tcPr>
          <w:p>
            <w:pPr>
              <w:ind w:left="60"/>
              <w:spacing w:after="0"/>
              <w:rPr>
                <w:sz w:val="20"/>
                <w:szCs w:val="20"/>
                <w:color w:val="auto"/>
              </w:rPr>
            </w:pPr>
            <w:r>
              <w:rPr>
                <w:rFonts w:ascii="Arial" w:cs="Arial" w:eastAsia="Arial" w:hAnsi="Arial"/>
                <w:sz w:val="16"/>
                <w:szCs w:val="16"/>
                <w:color w:val="auto"/>
              </w:rPr>
              <w:t>and Chief Financial Officer</w:t>
            </w:r>
          </w:p>
        </w:tc>
        <w:tc>
          <w:tcPr>
            <w:tcW w:w="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AEAEA"/>
            </w:tcBorders>
            <w:shd w:val="clear" w:color="auto" w:fill="EAEAEA"/>
          </w:tcPr>
          <w:p>
            <w:pPr>
              <w:jc w:val="right"/>
              <w:ind w:right="126"/>
              <w:spacing w:after="0"/>
              <w:rPr>
                <w:sz w:val="20"/>
                <w:szCs w:val="20"/>
                <w:color w:val="auto"/>
              </w:rPr>
            </w:pPr>
            <w:r>
              <w:rPr>
                <w:rFonts w:ascii="Arial" w:cs="Arial" w:eastAsia="Arial" w:hAnsi="Arial"/>
                <w:sz w:val="16"/>
                <w:szCs w:val="16"/>
                <w:color w:val="auto"/>
              </w:rPr>
              <w:t>575,000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06"/>
              <w:spacing w:after="0"/>
              <w:rPr>
                <w:sz w:val="20"/>
                <w:szCs w:val="20"/>
                <w:color w:val="auto"/>
              </w:rPr>
            </w:pPr>
            <w:r>
              <w:rPr>
                <w:rFonts w:ascii="Arial" w:cs="Arial" w:eastAsia="Arial" w:hAnsi="Arial"/>
                <w:sz w:val="16"/>
                <w:szCs w:val="16"/>
                <w:color w:val="auto"/>
              </w:rPr>
              <w:t>575,000</w:t>
            </w:r>
          </w:p>
        </w:tc>
        <w:tc>
          <w:tcPr>
            <w:tcW w:w="980" w:type="dxa"/>
            <w:vAlign w:val="bottom"/>
            <w:tcBorders>
              <w:bottom w:val="single" w:sz="8" w:color="EAEAEA"/>
            </w:tcBorders>
            <w:shd w:val="clear" w:color="auto" w:fill="EAEAEA"/>
          </w:tcPr>
          <w:p>
            <w:pPr>
              <w:jc w:val="right"/>
              <w:ind w:right="124"/>
              <w:spacing w:after="0"/>
              <w:rPr>
                <w:sz w:val="20"/>
                <w:szCs w:val="20"/>
                <w:color w:val="auto"/>
              </w:rPr>
            </w:pPr>
            <w:r>
              <w:rPr>
                <w:rFonts w:ascii="Arial" w:cs="Arial" w:eastAsia="Arial" w:hAnsi="Arial"/>
                <w:sz w:val="16"/>
                <w:szCs w:val="16"/>
                <w:color w:val="auto"/>
              </w:rPr>
              <w:t>0%</w:t>
            </w:r>
          </w:p>
        </w:tc>
        <w:tc>
          <w:tcPr>
            <w:tcW w:w="1260" w:type="dxa"/>
            <w:vAlign w:val="bottom"/>
          </w:tcPr>
          <w:p>
            <w:pPr>
              <w:jc w:val="right"/>
              <w:ind w:right="106"/>
              <w:spacing w:after="0"/>
              <w:rPr>
                <w:sz w:val="20"/>
                <w:szCs w:val="20"/>
                <w:color w:val="auto"/>
              </w:rPr>
            </w:pPr>
            <w:r>
              <w:rPr>
                <w:rFonts w:ascii="Arial" w:cs="Arial" w:eastAsia="Arial" w:hAnsi="Arial"/>
                <w:sz w:val="16"/>
                <w:szCs w:val="16"/>
                <w:color w:val="auto"/>
              </w:rPr>
              <w:t>100%</w:t>
            </w:r>
          </w:p>
        </w:tc>
        <w:tc>
          <w:tcPr>
            <w:tcW w:w="1280" w:type="dxa"/>
            <w:vAlign w:val="bottom"/>
            <w:tcBorders>
              <w:bottom w:val="single" w:sz="8" w:color="EAEAEA"/>
            </w:tcBorders>
            <w:shd w:val="clear" w:color="auto" w:fill="EAEAEA"/>
          </w:tcPr>
          <w:p>
            <w:pPr>
              <w:jc w:val="right"/>
              <w:ind w:right="106"/>
              <w:spacing w:after="0"/>
              <w:rPr>
                <w:sz w:val="20"/>
                <w:szCs w:val="20"/>
                <w:color w:val="auto"/>
              </w:rPr>
            </w:pPr>
            <w:r>
              <w:rPr>
                <w:rFonts w:ascii="Arial" w:cs="Arial" w:eastAsia="Arial" w:hAnsi="Arial"/>
                <w:sz w:val="16"/>
                <w:szCs w:val="16"/>
                <w:color w:val="auto"/>
              </w:rPr>
              <w:t>100%</w:t>
            </w:r>
          </w:p>
        </w:tc>
        <w:tc>
          <w:tcPr>
            <w:tcW w:w="960" w:type="dxa"/>
            <w:vAlign w:val="bottom"/>
          </w:tcPr>
          <w:p>
            <w:pPr>
              <w:jc w:val="right"/>
              <w:ind w:right="104"/>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23"/>
                <w:szCs w:val="23"/>
                <w:color w:val="auto"/>
              </w:rPr>
            </w:pPr>
          </w:p>
        </w:tc>
      </w:tr>
      <w:tr>
        <w:trPr>
          <w:trHeight w:val="217"/>
        </w:trPr>
        <w:tc>
          <w:tcPr>
            <w:tcW w:w="37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Martin Cotter</w:t>
            </w:r>
          </w:p>
        </w:tc>
        <w:tc>
          <w:tcPr>
            <w:tcW w:w="180" w:type="dxa"/>
            <w:vAlign w:val="bottom"/>
            <w:tcBorders>
              <w:top w:val="single" w:sz="8" w:color="auto"/>
            </w:tcBorders>
            <w:shd w:val="clear" w:color="auto" w:fill="EAEAEA"/>
          </w:tcPr>
          <w:p>
            <w:pPr>
              <w:spacing w:after="0"/>
              <w:rPr>
                <w:sz w:val="18"/>
                <w:szCs w:val="18"/>
                <w:color w:val="auto"/>
              </w:rPr>
            </w:pPr>
          </w:p>
        </w:tc>
        <w:tc>
          <w:tcPr>
            <w:tcW w:w="820" w:type="dxa"/>
            <w:vAlign w:val="bottom"/>
            <w:tcBorders>
              <w:top w:val="single" w:sz="8" w:color="auto"/>
            </w:tcBorders>
            <w:shd w:val="clear" w:color="auto" w:fill="EAEAEA"/>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shd w:val="clear" w:color="auto" w:fill="EAEAEA"/>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shd w:val="clear" w:color="auto" w:fill="EAEAEA"/>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3720" w:type="dxa"/>
            <w:vAlign w:val="bottom"/>
          </w:tcPr>
          <w:p>
            <w:pPr>
              <w:ind w:left="60"/>
              <w:spacing w:after="0"/>
              <w:rPr>
                <w:sz w:val="20"/>
                <w:szCs w:val="20"/>
                <w:color w:val="auto"/>
              </w:rPr>
            </w:pPr>
            <w:r>
              <w:rPr>
                <w:rFonts w:ascii="Arial" w:cs="Arial" w:eastAsia="Arial" w:hAnsi="Arial"/>
                <w:sz w:val="16"/>
                <w:szCs w:val="16"/>
                <w:color w:val="auto"/>
              </w:rPr>
              <w:t>Senior Vice President, Worldwide</w:t>
            </w:r>
          </w:p>
        </w:tc>
        <w:tc>
          <w:tcPr>
            <w:tcW w:w="180" w:type="dxa"/>
            <w:vAlign w:val="bottom"/>
            <w:shd w:val="clear" w:color="auto" w:fill="EAEAEA"/>
          </w:tcPr>
          <w:p>
            <w:pPr>
              <w:spacing w:after="0"/>
              <w:rPr>
                <w:sz w:val="16"/>
                <w:szCs w:val="16"/>
                <w:color w:val="auto"/>
              </w:rPr>
            </w:pPr>
          </w:p>
        </w:tc>
        <w:tc>
          <w:tcPr>
            <w:tcW w:w="820" w:type="dxa"/>
            <w:vAlign w:val="bottom"/>
            <w:shd w:val="clear" w:color="auto" w:fill="EAEAEA"/>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shd w:val="clear" w:color="auto" w:fill="EAEAEA"/>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shd w:val="clear" w:color="auto" w:fill="EAEAEA"/>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70"/>
        </w:trPr>
        <w:tc>
          <w:tcPr>
            <w:tcW w:w="3720" w:type="dxa"/>
            <w:vAlign w:val="bottom"/>
          </w:tcPr>
          <w:p>
            <w:pPr>
              <w:ind w:left="60"/>
              <w:spacing w:after="0"/>
              <w:rPr>
                <w:sz w:val="20"/>
                <w:szCs w:val="20"/>
                <w:color w:val="auto"/>
              </w:rPr>
            </w:pPr>
            <w:r>
              <w:rPr>
                <w:rFonts w:ascii="Arial" w:cs="Arial" w:eastAsia="Arial" w:hAnsi="Arial"/>
                <w:sz w:val="16"/>
                <w:szCs w:val="16"/>
                <w:color w:val="auto"/>
              </w:rPr>
              <w:t>Sales &amp; Digital Marketing</w:t>
            </w:r>
          </w:p>
        </w:tc>
        <w:tc>
          <w:tcPr>
            <w:tcW w:w="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AEAEA"/>
            </w:tcBorders>
            <w:shd w:val="clear" w:color="auto" w:fill="EAEAEA"/>
          </w:tcPr>
          <w:p>
            <w:pPr>
              <w:jc w:val="right"/>
              <w:ind w:right="126"/>
              <w:spacing w:after="0"/>
              <w:rPr>
                <w:sz w:val="20"/>
                <w:szCs w:val="20"/>
                <w:color w:val="auto"/>
              </w:rPr>
            </w:pPr>
            <w:r>
              <w:rPr>
                <w:rFonts w:ascii="Arial" w:cs="Arial" w:eastAsia="Arial" w:hAnsi="Arial"/>
                <w:sz w:val="16"/>
                <w:szCs w:val="16"/>
                <w:color w:val="auto"/>
              </w:rPr>
              <w:t>460,000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06"/>
              <w:spacing w:after="0"/>
              <w:rPr>
                <w:sz w:val="20"/>
                <w:szCs w:val="20"/>
                <w:color w:val="auto"/>
              </w:rPr>
            </w:pPr>
            <w:r>
              <w:rPr>
                <w:rFonts w:ascii="Arial" w:cs="Arial" w:eastAsia="Arial" w:hAnsi="Arial"/>
                <w:sz w:val="16"/>
                <w:szCs w:val="16"/>
                <w:color w:val="auto"/>
              </w:rPr>
              <w:t>460,000</w:t>
            </w:r>
          </w:p>
        </w:tc>
        <w:tc>
          <w:tcPr>
            <w:tcW w:w="980" w:type="dxa"/>
            <w:vAlign w:val="bottom"/>
            <w:tcBorders>
              <w:bottom w:val="single" w:sz="8" w:color="EAEAEA"/>
            </w:tcBorders>
            <w:shd w:val="clear" w:color="auto" w:fill="EAEAEA"/>
          </w:tcPr>
          <w:p>
            <w:pPr>
              <w:jc w:val="right"/>
              <w:ind w:right="124"/>
              <w:spacing w:after="0"/>
              <w:rPr>
                <w:sz w:val="20"/>
                <w:szCs w:val="20"/>
                <w:color w:val="auto"/>
              </w:rPr>
            </w:pPr>
            <w:r>
              <w:rPr>
                <w:rFonts w:ascii="Arial" w:cs="Arial" w:eastAsia="Arial" w:hAnsi="Arial"/>
                <w:sz w:val="16"/>
                <w:szCs w:val="16"/>
                <w:color w:val="auto"/>
              </w:rPr>
              <w:t>0%</w:t>
            </w:r>
          </w:p>
        </w:tc>
        <w:tc>
          <w:tcPr>
            <w:tcW w:w="1260" w:type="dxa"/>
            <w:vAlign w:val="bottom"/>
          </w:tcPr>
          <w:p>
            <w:pPr>
              <w:jc w:val="right"/>
              <w:ind w:right="106"/>
              <w:spacing w:after="0"/>
              <w:rPr>
                <w:sz w:val="20"/>
                <w:szCs w:val="20"/>
                <w:color w:val="auto"/>
              </w:rPr>
            </w:pPr>
            <w:r>
              <w:rPr>
                <w:rFonts w:ascii="Arial" w:cs="Arial" w:eastAsia="Arial" w:hAnsi="Arial"/>
                <w:sz w:val="16"/>
                <w:szCs w:val="16"/>
                <w:color w:val="auto"/>
              </w:rPr>
              <w:t>100%</w:t>
            </w:r>
          </w:p>
        </w:tc>
        <w:tc>
          <w:tcPr>
            <w:tcW w:w="1280" w:type="dxa"/>
            <w:vAlign w:val="bottom"/>
            <w:tcBorders>
              <w:bottom w:val="single" w:sz="8" w:color="EAEAEA"/>
            </w:tcBorders>
            <w:shd w:val="clear" w:color="auto" w:fill="EAEAEA"/>
          </w:tcPr>
          <w:p>
            <w:pPr>
              <w:jc w:val="right"/>
              <w:ind w:right="106"/>
              <w:spacing w:after="0"/>
              <w:rPr>
                <w:sz w:val="20"/>
                <w:szCs w:val="20"/>
                <w:color w:val="auto"/>
              </w:rPr>
            </w:pPr>
            <w:r>
              <w:rPr>
                <w:rFonts w:ascii="Arial" w:cs="Arial" w:eastAsia="Arial" w:hAnsi="Arial"/>
                <w:sz w:val="16"/>
                <w:szCs w:val="16"/>
                <w:color w:val="auto"/>
              </w:rPr>
              <w:t>100%</w:t>
            </w:r>
          </w:p>
        </w:tc>
        <w:tc>
          <w:tcPr>
            <w:tcW w:w="960" w:type="dxa"/>
            <w:vAlign w:val="bottom"/>
          </w:tcPr>
          <w:p>
            <w:pPr>
              <w:jc w:val="right"/>
              <w:ind w:right="104"/>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23"/>
                <w:szCs w:val="23"/>
                <w:color w:val="auto"/>
              </w:rPr>
            </w:pPr>
          </w:p>
        </w:tc>
      </w:tr>
      <w:tr>
        <w:trPr>
          <w:trHeight w:val="217"/>
        </w:trPr>
        <w:tc>
          <w:tcPr>
            <w:tcW w:w="37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John Hassett</w:t>
            </w:r>
          </w:p>
        </w:tc>
        <w:tc>
          <w:tcPr>
            <w:tcW w:w="180" w:type="dxa"/>
            <w:vAlign w:val="bottom"/>
            <w:tcBorders>
              <w:top w:val="single" w:sz="8" w:color="auto"/>
            </w:tcBorders>
            <w:shd w:val="clear" w:color="auto" w:fill="EAEAEA"/>
          </w:tcPr>
          <w:p>
            <w:pPr>
              <w:spacing w:after="0"/>
              <w:rPr>
                <w:sz w:val="18"/>
                <w:szCs w:val="18"/>
                <w:color w:val="auto"/>
              </w:rPr>
            </w:pPr>
          </w:p>
        </w:tc>
        <w:tc>
          <w:tcPr>
            <w:tcW w:w="820" w:type="dxa"/>
            <w:vAlign w:val="bottom"/>
            <w:tcBorders>
              <w:top w:val="single" w:sz="8" w:color="auto"/>
            </w:tcBorders>
            <w:shd w:val="clear" w:color="auto" w:fill="EAEAEA"/>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shd w:val="clear" w:color="auto" w:fill="EAEAEA"/>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shd w:val="clear" w:color="auto" w:fill="EAEAEA"/>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3720" w:type="dxa"/>
            <w:vAlign w:val="bottom"/>
          </w:tcPr>
          <w:p>
            <w:pPr>
              <w:ind w:left="60"/>
              <w:spacing w:after="0"/>
              <w:rPr>
                <w:sz w:val="20"/>
                <w:szCs w:val="20"/>
                <w:color w:val="auto"/>
              </w:rPr>
            </w:pPr>
            <w:r>
              <w:rPr>
                <w:rFonts w:ascii="Arial" w:cs="Arial" w:eastAsia="Arial" w:hAnsi="Arial"/>
                <w:sz w:val="16"/>
                <w:szCs w:val="16"/>
                <w:color w:val="auto"/>
              </w:rPr>
              <w:t>Senior Vice President,</w:t>
            </w:r>
          </w:p>
        </w:tc>
        <w:tc>
          <w:tcPr>
            <w:tcW w:w="180" w:type="dxa"/>
            <w:vAlign w:val="bottom"/>
            <w:shd w:val="clear" w:color="auto" w:fill="EAEAEA"/>
          </w:tcPr>
          <w:p>
            <w:pPr>
              <w:spacing w:after="0"/>
              <w:rPr>
                <w:sz w:val="16"/>
                <w:szCs w:val="16"/>
                <w:color w:val="auto"/>
              </w:rPr>
            </w:pPr>
          </w:p>
        </w:tc>
        <w:tc>
          <w:tcPr>
            <w:tcW w:w="820" w:type="dxa"/>
            <w:vAlign w:val="bottom"/>
            <w:shd w:val="clear" w:color="auto" w:fill="EAEAEA"/>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shd w:val="clear" w:color="auto" w:fill="EAEAEA"/>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shd w:val="clear" w:color="auto" w:fill="EAEAEA"/>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70"/>
        </w:trPr>
        <w:tc>
          <w:tcPr>
            <w:tcW w:w="3720" w:type="dxa"/>
            <w:vAlign w:val="bottom"/>
          </w:tcPr>
          <w:p>
            <w:pPr>
              <w:ind w:left="60"/>
              <w:spacing w:after="0"/>
              <w:rPr>
                <w:sz w:val="20"/>
                <w:szCs w:val="20"/>
                <w:color w:val="auto"/>
              </w:rPr>
            </w:pPr>
            <w:r>
              <w:rPr>
                <w:rFonts w:ascii="Arial" w:cs="Arial" w:eastAsia="Arial" w:hAnsi="Arial"/>
                <w:sz w:val="16"/>
                <w:szCs w:val="16"/>
                <w:color w:val="auto"/>
              </w:rPr>
              <w:t>Industrial and Consumer</w:t>
            </w:r>
          </w:p>
        </w:tc>
        <w:tc>
          <w:tcPr>
            <w:tcW w:w="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AEAEA"/>
            </w:tcBorders>
            <w:shd w:val="clear" w:color="auto" w:fill="EAEAEA"/>
          </w:tcPr>
          <w:p>
            <w:pPr>
              <w:jc w:val="right"/>
              <w:ind w:right="126"/>
              <w:spacing w:after="0"/>
              <w:rPr>
                <w:sz w:val="20"/>
                <w:szCs w:val="20"/>
                <w:color w:val="auto"/>
              </w:rPr>
            </w:pPr>
            <w:r>
              <w:rPr>
                <w:rFonts w:ascii="Arial" w:cs="Arial" w:eastAsia="Arial" w:hAnsi="Arial"/>
                <w:sz w:val="16"/>
                <w:szCs w:val="16"/>
                <w:color w:val="auto"/>
              </w:rPr>
              <w:t>475,000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06"/>
              <w:spacing w:after="0"/>
              <w:rPr>
                <w:sz w:val="20"/>
                <w:szCs w:val="20"/>
                <w:color w:val="auto"/>
              </w:rPr>
            </w:pPr>
            <w:r>
              <w:rPr>
                <w:rFonts w:ascii="Arial" w:cs="Arial" w:eastAsia="Arial" w:hAnsi="Arial"/>
                <w:sz w:val="16"/>
                <w:szCs w:val="16"/>
                <w:color w:val="auto"/>
              </w:rPr>
              <w:t>475,000</w:t>
            </w:r>
          </w:p>
        </w:tc>
        <w:tc>
          <w:tcPr>
            <w:tcW w:w="980" w:type="dxa"/>
            <w:vAlign w:val="bottom"/>
            <w:tcBorders>
              <w:bottom w:val="single" w:sz="8" w:color="EAEAEA"/>
            </w:tcBorders>
            <w:shd w:val="clear" w:color="auto" w:fill="EAEAEA"/>
          </w:tcPr>
          <w:p>
            <w:pPr>
              <w:jc w:val="right"/>
              <w:ind w:right="124"/>
              <w:spacing w:after="0"/>
              <w:rPr>
                <w:sz w:val="20"/>
                <w:szCs w:val="20"/>
                <w:color w:val="auto"/>
              </w:rPr>
            </w:pPr>
            <w:r>
              <w:rPr>
                <w:rFonts w:ascii="Arial" w:cs="Arial" w:eastAsia="Arial" w:hAnsi="Arial"/>
                <w:sz w:val="16"/>
                <w:szCs w:val="16"/>
                <w:color w:val="auto"/>
              </w:rPr>
              <w:t>0%</w:t>
            </w:r>
          </w:p>
        </w:tc>
        <w:tc>
          <w:tcPr>
            <w:tcW w:w="1260" w:type="dxa"/>
            <w:vAlign w:val="bottom"/>
          </w:tcPr>
          <w:p>
            <w:pPr>
              <w:jc w:val="right"/>
              <w:ind w:right="106"/>
              <w:spacing w:after="0"/>
              <w:rPr>
                <w:sz w:val="20"/>
                <w:szCs w:val="20"/>
                <w:color w:val="auto"/>
              </w:rPr>
            </w:pPr>
            <w:r>
              <w:rPr>
                <w:rFonts w:ascii="Arial" w:cs="Arial" w:eastAsia="Arial" w:hAnsi="Arial"/>
                <w:sz w:val="16"/>
                <w:szCs w:val="16"/>
                <w:color w:val="auto"/>
              </w:rPr>
              <w:t>100%</w:t>
            </w:r>
          </w:p>
        </w:tc>
        <w:tc>
          <w:tcPr>
            <w:tcW w:w="1280" w:type="dxa"/>
            <w:vAlign w:val="bottom"/>
            <w:tcBorders>
              <w:bottom w:val="single" w:sz="8" w:color="EAEAEA"/>
            </w:tcBorders>
            <w:shd w:val="clear" w:color="auto" w:fill="EAEAEA"/>
          </w:tcPr>
          <w:p>
            <w:pPr>
              <w:jc w:val="right"/>
              <w:ind w:right="106"/>
              <w:spacing w:after="0"/>
              <w:rPr>
                <w:sz w:val="20"/>
                <w:szCs w:val="20"/>
                <w:color w:val="auto"/>
              </w:rPr>
            </w:pPr>
            <w:r>
              <w:rPr>
                <w:rFonts w:ascii="Arial" w:cs="Arial" w:eastAsia="Arial" w:hAnsi="Arial"/>
                <w:sz w:val="16"/>
                <w:szCs w:val="16"/>
                <w:color w:val="auto"/>
              </w:rPr>
              <w:t>100%</w:t>
            </w:r>
          </w:p>
        </w:tc>
        <w:tc>
          <w:tcPr>
            <w:tcW w:w="960" w:type="dxa"/>
            <w:vAlign w:val="bottom"/>
          </w:tcPr>
          <w:p>
            <w:pPr>
              <w:jc w:val="right"/>
              <w:ind w:right="104"/>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23"/>
                <w:szCs w:val="23"/>
                <w:color w:val="auto"/>
              </w:rPr>
            </w:pPr>
          </w:p>
        </w:tc>
      </w:tr>
      <w:tr>
        <w:trPr>
          <w:trHeight w:val="217"/>
        </w:trPr>
        <w:tc>
          <w:tcPr>
            <w:tcW w:w="37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Steve Pietkiewicz</w:t>
            </w:r>
          </w:p>
        </w:tc>
        <w:tc>
          <w:tcPr>
            <w:tcW w:w="180" w:type="dxa"/>
            <w:vAlign w:val="bottom"/>
            <w:tcBorders>
              <w:top w:val="single" w:sz="8" w:color="auto"/>
            </w:tcBorders>
            <w:shd w:val="clear" w:color="auto" w:fill="EAEAEA"/>
          </w:tcPr>
          <w:p>
            <w:pPr>
              <w:spacing w:after="0"/>
              <w:rPr>
                <w:sz w:val="18"/>
                <w:szCs w:val="18"/>
                <w:color w:val="auto"/>
              </w:rPr>
            </w:pPr>
          </w:p>
        </w:tc>
        <w:tc>
          <w:tcPr>
            <w:tcW w:w="820" w:type="dxa"/>
            <w:vAlign w:val="bottom"/>
            <w:tcBorders>
              <w:top w:val="single" w:sz="8" w:color="auto"/>
            </w:tcBorders>
            <w:shd w:val="clear" w:color="auto" w:fill="EAEAEA"/>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shd w:val="clear" w:color="auto" w:fill="EAEAEA"/>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shd w:val="clear" w:color="auto" w:fill="EAEAEA"/>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3720" w:type="dxa"/>
            <w:vAlign w:val="bottom"/>
          </w:tcPr>
          <w:p>
            <w:pPr>
              <w:ind w:left="60"/>
              <w:spacing w:after="0"/>
              <w:rPr>
                <w:sz w:val="20"/>
                <w:szCs w:val="20"/>
                <w:color w:val="auto"/>
              </w:rPr>
            </w:pPr>
            <w:r>
              <w:rPr>
                <w:rFonts w:ascii="Arial" w:cs="Arial" w:eastAsia="Arial" w:hAnsi="Arial"/>
                <w:sz w:val="16"/>
                <w:szCs w:val="16"/>
                <w:color w:val="auto"/>
              </w:rPr>
              <w:t>Senior Vice President,</w:t>
            </w:r>
          </w:p>
        </w:tc>
        <w:tc>
          <w:tcPr>
            <w:tcW w:w="180" w:type="dxa"/>
            <w:vAlign w:val="bottom"/>
            <w:shd w:val="clear" w:color="auto" w:fill="EAEAEA"/>
          </w:tcPr>
          <w:p>
            <w:pPr>
              <w:spacing w:after="0"/>
              <w:rPr>
                <w:sz w:val="16"/>
                <w:szCs w:val="16"/>
                <w:color w:val="auto"/>
              </w:rPr>
            </w:pPr>
          </w:p>
        </w:tc>
        <w:tc>
          <w:tcPr>
            <w:tcW w:w="820" w:type="dxa"/>
            <w:vAlign w:val="bottom"/>
            <w:shd w:val="clear" w:color="auto" w:fill="EAEAEA"/>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shd w:val="clear" w:color="auto" w:fill="EAEAEA"/>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shd w:val="clear" w:color="auto" w:fill="EAEAEA"/>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3720" w:type="dxa"/>
            <w:vAlign w:val="bottom"/>
          </w:tcPr>
          <w:p>
            <w:pPr>
              <w:ind w:left="60"/>
              <w:spacing w:after="0"/>
              <w:rPr>
                <w:sz w:val="20"/>
                <w:szCs w:val="20"/>
                <w:color w:val="auto"/>
              </w:rPr>
            </w:pPr>
            <w:r>
              <w:rPr>
                <w:rFonts w:ascii="Arial" w:cs="Arial" w:eastAsia="Arial" w:hAnsi="Arial"/>
                <w:sz w:val="16"/>
                <w:szCs w:val="16"/>
                <w:color w:val="auto"/>
              </w:rPr>
              <w:t>Power Products</w:t>
            </w:r>
          </w:p>
        </w:tc>
        <w:tc>
          <w:tcPr>
            <w:tcW w:w="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AEAEA"/>
            </w:tcBorders>
            <w:shd w:val="clear" w:color="auto" w:fill="EAEAEA"/>
          </w:tcPr>
          <w:p>
            <w:pPr>
              <w:jc w:val="right"/>
              <w:ind w:right="126"/>
              <w:spacing w:after="0"/>
              <w:rPr>
                <w:sz w:val="20"/>
                <w:szCs w:val="20"/>
                <w:color w:val="auto"/>
              </w:rPr>
            </w:pPr>
            <w:r>
              <w:rPr>
                <w:rFonts w:ascii="Arial" w:cs="Arial" w:eastAsia="Arial" w:hAnsi="Arial"/>
                <w:sz w:val="16"/>
                <w:szCs w:val="16"/>
                <w:color w:val="auto"/>
              </w:rPr>
              <w:t>450,000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06"/>
              <w:spacing w:after="0"/>
              <w:rPr>
                <w:sz w:val="20"/>
                <w:szCs w:val="20"/>
                <w:color w:val="auto"/>
              </w:rPr>
            </w:pPr>
            <w:r>
              <w:rPr>
                <w:rFonts w:ascii="Arial" w:cs="Arial" w:eastAsia="Arial" w:hAnsi="Arial"/>
                <w:sz w:val="16"/>
                <w:szCs w:val="16"/>
                <w:color w:val="auto"/>
              </w:rPr>
              <w:t>450,000</w:t>
            </w:r>
          </w:p>
        </w:tc>
        <w:tc>
          <w:tcPr>
            <w:tcW w:w="980" w:type="dxa"/>
            <w:vAlign w:val="bottom"/>
            <w:tcBorders>
              <w:bottom w:val="single" w:sz="8" w:color="EAEAEA"/>
            </w:tcBorders>
            <w:shd w:val="clear" w:color="auto" w:fill="EAEAEA"/>
          </w:tcPr>
          <w:p>
            <w:pPr>
              <w:jc w:val="right"/>
              <w:ind w:right="124"/>
              <w:spacing w:after="0"/>
              <w:rPr>
                <w:sz w:val="20"/>
                <w:szCs w:val="20"/>
                <w:color w:val="auto"/>
              </w:rPr>
            </w:pPr>
            <w:r>
              <w:rPr>
                <w:rFonts w:ascii="Arial" w:cs="Arial" w:eastAsia="Arial" w:hAnsi="Arial"/>
                <w:sz w:val="16"/>
                <w:szCs w:val="16"/>
                <w:color w:val="auto"/>
              </w:rPr>
              <w:t>0%</w:t>
            </w:r>
          </w:p>
        </w:tc>
        <w:tc>
          <w:tcPr>
            <w:tcW w:w="1260" w:type="dxa"/>
            <w:vAlign w:val="bottom"/>
          </w:tcPr>
          <w:p>
            <w:pPr>
              <w:jc w:val="right"/>
              <w:ind w:right="106"/>
              <w:spacing w:after="0"/>
              <w:rPr>
                <w:sz w:val="20"/>
                <w:szCs w:val="20"/>
                <w:color w:val="auto"/>
              </w:rPr>
            </w:pPr>
            <w:r>
              <w:rPr>
                <w:rFonts w:ascii="Arial" w:cs="Arial" w:eastAsia="Arial" w:hAnsi="Arial"/>
                <w:sz w:val="16"/>
                <w:szCs w:val="16"/>
                <w:color w:val="auto"/>
              </w:rPr>
              <w:t>100%</w:t>
            </w:r>
          </w:p>
        </w:tc>
        <w:tc>
          <w:tcPr>
            <w:tcW w:w="1280" w:type="dxa"/>
            <w:vAlign w:val="bottom"/>
            <w:tcBorders>
              <w:bottom w:val="single" w:sz="8" w:color="EAEAEA"/>
            </w:tcBorders>
            <w:shd w:val="clear" w:color="auto" w:fill="EAEAEA"/>
          </w:tcPr>
          <w:p>
            <w:pPr>
              <w:jc w:val="right"/>
              <w:ind w:right="106"/>
              <w:spacing w:after="0"/>
              <w:rPr>
                <w:sz w:val="20"/>
                <w:szCs w:val="20"/>
                <w:color w:val="auto"/>
              </w:rPr>
            </w:pPr>
            <w:r>
              <w:rPr>
                <w:rFonts w:ascii="Arial" w:cs="Arial" w:eastAsia="Arial" w:hAnsi="Arial"/>
                <w:sz w:val="16"/>
                <w:szCs w:val="16"/>
                <w:color w:val="auto"/>
              </w:rPr>
              <w:t>90%</w:t>
            </w:r>
          </w:p>
        </w:tc>
        <w:tc>
          <w:tcPr>
            <w:tcW w:w="960" w:type="dxa"/>
            <w:vAlign w:val="bottom"/>
          </w:tcPr>
          <w:p>
            <w:pPr>
              <w:jc w:val="right"/>
              <w:ind w:right="104"/>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21"/>
                <w:szCs w:val="21"/>
                <w:color w:val="auto"/>
              </w:rPr>
            </w:pPr>
          </w:p>
        </w:tc>
      </w:tr>
      <w:tr>
        <w:trPr>
          <w:trHeight w:val="20"/>
        </w:trPr>
        <w:tc>
          <w:tcPr>
            <w:tcW w:w="3720" w:type="dxa"/>
            <w:vAlign w:val="bottom"/>
            <w:shd w:val="clear" w:color="auto" w:fill="0066BA"/>
          </w:tcPr>
          <w:p>
            <w:pPr>
              <w:spacing w:after="0" w:line="20" w:lineRule="exact"/>
              <w:rPr>
                <w:sz w:val="1"/>
                <w:szCs w:val="1"/>
                <w:color w:val="auto"/>
              </w:rPr>
            </w:pPr>
          </w:p>
        </w:tc>
        <w:tc>
          <w:tcPr>
            <w:tcW w:w="180" w:type="dxa"/>
            <w:vAlign w:val="bottom"/>
            <w:shd w:val="clear" w:color="auto" w:fill="0066BA"/>
          </w:tcPr>
          <w:p>
            <w:pPr>
              <w:spacing w:after="0" w:line="20" w:lineRule="exact"/>
              <w:rPr>
                <w:sz w:val="1"/>
                <w:szCs w:val="1"/>
                <w:color w:val="auto"/>
              </w:rPr>
            </w:pPr>
          </w:p>
        </w:tc>
        <w:tc>
          <w:tcPr>
            <w:tcW w:w="820" w:type="dxa"/>
            <w:vAlign w:val="bottom"/>
            <w:shd w:val="clear" w:color="auto" w:fill="0066BA"/>
          </w:tcPr>
          <w:p>
            <w:pPr>
              <w:spacing w:after="0" w:line="20" w:lineRule="exact"/>
              <w:rPr>
                <w:sz w:val="1"/>
                <w:szCs w:val="1"/>
                <w:color w:val="auto"/>
              </w:rPr>
            </w:pPr>
          </w:p>
        </w:tc>
        <w:tc>
          <w:tcPr>
            <w:tcW w:w="280" w:type="dxa"/>
            <w:vAlign w:val="bottom"/>
            <w:shd w:val="clear" w:color="auto" w:fill="0066BA"/>
          </w:tcPr>
          <w:p>
            <w:pPr>
              <w:spacing w:after="0" w:line="20" w:lineRule="exact"/>
              <w:rPr>
                <w:sz w:val="1"/>
                <w:szCs w:val="1"/>
                <w:color w:val="auto"/>
              </w:rPr>
            </w:pPr>
          </w:p>
        </w:tc>
        <w:tc>
          <w:tcPr>
            <w:tcW w:w="800" w:type="dxa"/>
            <w:vAlign w:val="bottom"/>
            <w:shd w:val="clear" w:color="auto" w:fill="0066BA"/>
          </w:tcPr>
          <w:p>
            <w:pPr>
              <w:spacing w:after="0" w:line="20" w:lineRule="exact"/>
              <w:rPr>
                <w:sz w:val="1"/>
                <w:szCs w:val="1"/>
                <w:color w:val="auto"/>
              </w:rPr>
            </w:pPr>
          </w:p>
        </w:tc>
        <w:tc>
          <w:tcPr>
            <w:tcW w:w="980" w:type="dxa"/>
            <w:vAlign w:val="bottom"/>
            <w:shd w:val="clear" w:color="auto" w:fill="0066BA"/>
          </w:tcPr>
          <w:p>
            <w:pPr>
              <w:spacing w:after="0" w:line="20" w:lineRule="exact"/>
              <w:rPr>
                <w:sz w:val="1"/>
                <w:szCs w:val="1"/>
                <w:color w:val="auto"/>
              </w:rPr>
            </w:pPr>
          </w:p>
        </w:tc>
        <w:tc>
          <w:tcPr>
            <w:tcW w:w="1260" w:type="dxa"/>
            <w:vAlign w:val="bottom"/>
            <w:shd w:val="clear" w:color="auto" w:fill="0066BA"/>
          </w:tcPr>
          <w:p>
            <w:pPr>
              <w:spacing w:after="0" w:line="20" w:lineRule="exact"/>
              <w:rPr>
                <w:sz w:val="1"/>
                <w:szCs w:val="1"/>
                <w:color w:val="auto"/>
              </w:rPr>
            </w:pPr>
          </w:p>
        </w:tc>
        <w:tc>
          <w:tcPr>
            <w:tcW w:w="1280" w:type="dxa"/>
            <w:vAlign w:val="bottom"/>
            <w:shd w:val="clear" w:color="auto" w:fill="0066BA"/>
          </w:tcPr>
          <w:p>
            <w:pPr>
              <w:spacing w:after="0" w:line="20" w:lineRule="exact"/>
              <w:rPr>
                <w:sz w:val="1"/>
                <w:szCs w:val="1"/>
                <w:color w:val="auto"/>
              </w:rPr>
            </w:pPr>
          </w:p>
        </w:tc>
        <w:tc>
          <w:tcPr>
            <w:tcW w:w="960" w:type="dxa"/>
            <w:vAlign w:val="bottom"/>
            <w:shd w:val="clear" w:color="auto" w:fill="0066B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ind w:left="480" w:right="20"/>
        <w:spacing w:after="0" w:line="311" w:lineRule="auto"/>
        <w:rPr>
          <w:sz w:val="20"/>
          <w:szCs w:val="20"/>
          <w:color w:val="auto"/>
        </w:rPr>
      </w:pPr>
      <w:r>
        <w:rPr>
          <w:rFonts w:ascii="Arial" w:cs="Arial" w:eastAsia="Arial" w:hAnsi="Arial"/>
          <w:sz w:val="15"/>
          <w:szCs w:val="15"/>
          <w:color w:val="auto"/>
        </w:rPr>
        <w:t>In March 2020, as part of our standard annual review cycle, the Compensation Committee reviewed the base salaries and individual target bonus for our NEOs. They considered several factors, including their performance, tenure, job responsibilities, market benchmark information from our peer group and the uncertainties to the broader economy resulting from the COVID-19 pandemic. The Compensation Committee decided to make no changes to base salary and bonus targets for the NEOs in 2020, with the exception of an increase to the individual target bonus for Mr. Pietkiewicz.</w:t>
      </w:r>
    </w:p>
    <w:p>
      <w:pPr>
        <w:spacing w:after="0" w:line="236"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333333"/>
        </w:rPr>
        <w:t>Equity Compensation</w:t>
      </w:r>
    </w:p>
    <w:p>
      <w:pPr>
        <w:spacing w:after="0" w:line="109" w:lineRule="exact"/>
        <w:rPr>
          <w:sz w:val="20"/>
          <w:szCs w:val="20"/>
          <w:color w:val="auto"/>
        </w:rPr>
      </w:pPr>
    </w:p>
    <w:p>
      <w:pPr>
        <w:ind w:left="480" w:right="340"/>
        <w:spacing w:after="0" w:line="287" w:lineRule="auto"/>
        <w:rPr>
          <w:sz w:val="20"/>
          <w:szCs w:val="20"/>
          <w:color w:val="auto"/>
        </w:rPr>
      </w:pPr>
      <w:r>
        <w:rPr>
          <w:rFonts w:ascii="Arial" w:cs="Arial" w:eastAsia="Arial" w:hAnsi="Arial"/>
          <w:sz w:val="16"/>
          <w:szCs w:val="16"/>
          <w:color w:val="auto"/>
        </w:rPr>
        <w:t>Our equity compensation program is a broad-based, long-term employee rewards program that is intended to attract, retain and motivate our employees, officers and directors and to align their interests with those of our shareholders. We believe that our equity program is critical to our efforts to hire and retain the best talent in the extremely competitive analog semiconductor industry. All equity awards granted to our executive officers in fiscal 2020 were made under the Company’s 2020 Equity Incentive Plan, or the 2020 Plan.</w:t>
      </w:r>
    </w:p>
    <w:p>
      <w:pPr>
        <w:spacing w:after="0" w:line="200" w:lineRule="exact"/>
        <w:rPr>
          <w:sz w:val="20"/>
          <w:szCs w:val="20"/>
          <w:color w:val="auto"/>
        </w:rPr>
      </w:pPr>
    </w:p>
    <w:p>
      <w:pPr>
        <w:spacing w:after="0" w:line="28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0780"/>
          </w:cols>
          <w:pgMar w:left="320" w:top="447" w:right="79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1920" w:right="1760"/>
        <w:spacing w:after="0" w:line="299" w:lineRule="auto"/>
        <w:rPr>
          <w:sz w:val="20"/>
          <w:szCs w:val="20"/>
          <w:color w:val="auto"/>
        </w:rPr>
      </w:pPr>
      <w:r>
        <w:rPr>
          <w:rFonts w:ascii="Arial" w:cs="Arial" w:eastAsia="Arial" w:hAnsi="Arial"/>
          <w:sz w:val="16"/>
          <w:szCs w:val="16"/>
          <w:b w:val="1"/>
          <w:bCs w:val="1"/>
          <w:color w:val="0066BA"/>
        </w:rPr>
        <w:t xml:space="preserve">Equity Mix. </w:t>
      </w:r>
      <w:r>
        <w:rPr>
          <w:rFonts w:ascii="Arial" w:cs="Arial" w:eastAsia="Arial" w:hAnsi="Arial"/>
          <w:sz w:val="16"/>
          <w:szCs w:val="16"/>
          <w:color w:val="000000"/>
        </w:rPr>
        <w:t>A significant amount of our executives’ total compensation is in the form of equity awards,</w:t>
      </w:r>
      <w:r>
        <w:rPr>
          <w:rFonts w:ascii="Arial" w:cs="Arial" w:eastAsia="Arial" w:hAnsi="Arial"/>
          <w:sz w:val="16"/>
          <w:szCs w:val="16"/>
          <w:b w:val="1"/>
          <w:bCs w:val="1"/>
          <w:color w:val="0066BA"/>
        </w:rPr>
        <w:t xml:space="preserve"> </w:t>
      </w:r>
      <w:r>
        <w:rPr>
          <w:rFonts w:ascii="Arial" w:cs="Arial" w:eastAsia="Arial" w:hAnsi="Arial"/>
          <w:sz w:val="16"/>
          <w:szCs w:val="16"/>
          <w:color w:val="000000"/>
        </w:rPr>
        <w:t>the value of which is directly tied to our stock price performance over the long term. In fiscal 2020, approximately 73% of the average total target compensation of our NEOs was in the form of equity.</w:t>
      </w:r>
    </w:p>
    <w:p>
      <w:pPr>
        <w:spacing w:after="0" w:line="47" w:lineRule="exact"/>
        <w:rPr>
          <w:sz w:val="20"/>
          <w:szCs w:val="20"/>
          <w:color w:val="auto"/>
        </w:rPr>
      </w:pPr>
    </w:p>
    <w:p>
      <w:pPr>
        <w:ind w:left="1920" w:right="1860"/>
        <w:spacing w:after="0" w:line="286" w:lineRule="auto"/>
        <w:rPr>
          <w:sz w:val="20"/>
          <w:szCs w:val="20"/>
          <w:color w:val="auto"/>
        </w:rPr>
      </w:pPr>
      <w:r>
        <w:rPr>
          <w:rFonts w:ascii="Arial" w:cs="Arial" w:eastAsia="Arial" w:hAnsi="Arial"/>
          <w:sz w:val="17"/>
          <w:szCs w:val="17"/>
          <w:color w:val="auto"/>
        </w:rPr>
        <w:t>In fiscal 2020, the form and mix of equity awards delivered as part of our annual equity award program for our NEOs was as follows:</w:t>
      </w:r>
    </w:p>
    <w:p>
      <w:pPr>
        <w:spacing w:after="0" w:line="181"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1180" w:type="dxa"/>
            <w:vAlign w:val="bottom"/>
            <w:shd w:val="clear" w:color="auto" w:fill="0066BA"/>
          </w:tcPr>
          <w:p>
            <w:pPr>
              <w:ind w:left="80"/>
              <w:spacing w:after="0"/>
              <w:rPr>
                <w:sz w:val="20"/>
                <w:szCs w:val="20"/>
                <w:color w:val="auto"/>
              </w:rPr>
            </w:pPr>
            <w:r>
              <w:rPr>
                <w:rFonts w:ascii="Arial" w:cs="Arial" w:eastAsia="Arial" w:hAnsi="Arial"/>
                <w:sz w:val="14"/>
                <w:szCs w:val="14"/>
                <w:b w:val="1"/>
                <w:bCs w:val="1"/>
                <w:color w:val="FFFFFF"/>
              </w:rPr>
              <w:t>Equity</w:t>
            </w:r>
          </w:p>
        </w:tc>
        <w:tc>
          <w:tcPr>
            <w:tcW w:w="74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Value of</w:t>
            </w:r>
          </w:p>
        </w:tc>
        <w:tc>
          <w:tcPr>
            <w:tcW w:w="1360" w:type="dxa"/>
            <w:vAlign w:val="bottom"/>
            <w:shd w:val="clear" w:color="auto" w:fill="0066BA"/>
          </w:tcPr>
          <w:p>
            <w:pPr>
              <w:ind w:left="140"/>
              <w:spacing w:after="0"/>
              <w:rPr>
                <w:sz w:val="20"/>
                <w:szCs w:val="20"/>
                <w:color w:val="auto"/>
              </w:rPr>
            </w:pPr>
            <w:r>
              <w:rPr>
                <w:rFonts w:ascii="Arial" w:cs="Arial" w:eastAsia="Arial" w:hAnsi="Arial"/>
                <w:sz w:val="14"/>
                <w:szCs w:val="14"/>
                <w:b w:val="1"/>
                <w:bCs w:val="1"/>
                <w:color w:val="FFFFFF"/>
              </w:rPr>
              <w:t>Purpose</w:t>
            </w:r>
          </w:p>
        </w:tc>
        <w:tc>
          <w:tcPr>
            <w:tcW w:w="1780" w:type="dxa"/>
            <w:vAlign w:val="bottom"/>
            <w:shd w:val="clear" w:color="auto" w:fill="0066BA"/>
          </w:tcPr>
          <w:p>
            <w:pPr>
              <w:ind w:left="100"/>
              <w:spacing w:after="0"/>
              <w:rPr>
                <w:sz w:val="20"/>
                <w:szCs w:val="20"/>
                <w:color w:val="auto"/>
              </w:rPr>
            </w:pPr>
            <w:r>
              <w:rPr>
                <w:rFonts w:ascii="Arial" w:cs="Arial" w:eastAsia="Arial" w:hAnsi="Arial"/>
                <w:sz w:val="14"/>
                <w:szCs w:val="14"/>
                <w:b w:val="1"/>
                <w:bCs w:val="1"/>
                <w:color w:val="FFFFFF"/>
              </w:rPr>
              <w:t>Time Period</w:t>
            </w:r>
          </w:p>
        </w:tc>
        <w:tc>
          <w:tcPr>
            <w:tcW w:w="1300" w:type="dxa"/>
            <w:vAlign w:val="bottom"/>
            <w:shd w:val="clear" w:color="auto" w:fill="0066BA"/>
          </w:tcPr>
          <w:p>
            <w:pPr>
              <w:ind w:left="80"/>
              <w:spacing w:after="0"/>
              <w:rPr>
                <w:sz w:val="20"/>
                <w:szCs w:val="20"/>
                <w:color w:val="auto"/>
              </w:rPr>
            </w:pPr>
            <w:r>
              <w:rPr>
                <w:rFonts w:ascii="Arial" w:cs="Arial" w:eastAsia="Arial" w:hAnsi="Arial"/>
                <w:sz w:val="14"/>
                <w:szCs w:val="14"/>
                <w:b w:val="1"/>
                <w:bCs w:val="1"/>
                <w:color w:val="FFFFFF"/>
              </w:rPr>
              <w:t>Performance</w:t>
            </w:r>
          </w:p>
        </w:tc>
        <w:tc>
          <w:tcPr>
            <w:tcW w:w="1040" w:type="dxa"/>
            <w:vAlign w:val="bottom"/>
            <w:shd w:val="clear" w:color="auto" w:fill="0066BA"/>
          </w:tcPr>
          <w:p>
            <w:pPr>
              <w:ind w:left="80"/>
              <w:spacing w:after="0"/>
              <w:rPr>
                <w:sz w:val="20"/>
                <w:szCs w:val="20"/>
                <w:color w:val="auto"/>
              </w:rPr>
            </w:pPr>
            <w:r>
              <w:rPr>
                <w:rFonts w:ascii="Arial" w:cs="Arial" w:eastAsia="Arial" w:hAnsi="Arial"/>
                <w:sz w:val="14"/>
                <w:szCs w:val="14"/>
                <w:b w:val="1"/>
                <w:bCs w:val="1"/>
                <w:color w:val="FFFFFF"/>
              </w:rPr>
              <w:t>Payout</w:t>
            </w:r>
          </w:p>
        </w:tc>
        <w:tc>
          <w:tcPr>
            <w:tcW w:w="0" w:type="dxa"/>
            <w:vAlign w:val="bottom"/>
          </w:tcPr>
          <w:p>
            <w:pPr>
              <w:spacing w:after="0"/>
              <w:rPr>
                <w:sz w:val="1"/>
                <w:szCs w:val="1"/>
                <w:color w:val="auto"/>
              </w:rPr>
            </w:pPr>
          </w:p>
        </w:tc>
      </w:tr>
      <w:tr>
        <w:trPr>
          <w:trHeight w:val="156"/>
        </w:trPr>
        <w:tc>
          <w:tcPr>
            <w:tcW w:w="1180" w:type="dxa"/>
            <w:vAlign w:val="bottom"/>
            <w:shd w:val="clear" w:color="auto" w:fill="0066BA"/>
          </w:tcPr>
          <w:p>
            <w:pPr>
              <w:ind w:left="80"/>
              <w:spacing w:after="0" w:line="156" w:lineRule="exact"/>
              <w:rPr>
                <w:sz w:val="20"/>
                <w:szCs w:val="20"/>
                <w:color w:val="auto"/>
              </w:rPr>
            </w:pPr>
            <w:r>
              <w:rPr>
                <w:rFonts w:ascii="Arial" w:cs="Arial" w:eastAsia="Arial" w:hAnsi="Arial"/>
                <w:sz w:val="14"/>
                <w:szCs w:val="14"/>
                <w:b w:val="1"/>
                <w:bCs w:val="1"/>
                <w:color w:val="FFFFFF"/>
              </w:rPr>
              <w:t>Award Type</w:t>
            </w:r>
          </w:p>
        </w:tc>
        <w:tc>
          <w:tcPr>
            <w:tcW w:w="740" w:type="dxa"/>
            <w:vAlign w:val="bottom"/>
            <w:shd w:val="clear" w:color="auto" w:fill="0066BA"/>
          </w:tcPr>
          <w:p>
            <w:pPr>
              <w:ind w:left="60"/>
              <w:spacing w:after="0" w:line="156" w:lineRule="exact"/>
              <w:rPr>
                <w:sz w:val="20"/>
                <w:szCs w:val="20"/>
                <w:color w:val="auto"/>
              </w:rPr>
            </w:pPr>
            <w:r>
              <w:rPr>
                <w:rFonts w:ascii="Arial" w:cs="Arial" w:eastAsia="Arial" w:hAnsi="Arial"/>
                <w:sz w:val="14"/>
                <w:szCs w:val="14"/>
                <w:b w:val="1"/>
                <w:bCs w:val="1"/>
                <w:color w:val="FFFFFF"/>
              </w:rPr>
              <w:t>Annual</w:t>
            </w:r>
          </w:p>
        </w:tc>
        <w:tc>
          <w:tcPr>
            <w:tcW w:w="1360" w:type="dxa"/>
            <w:vAlign w:val="bottom"/>
            <w:shd w:val="clear" w:color="auto" w:fill="0066BA"/>
          </w:tcPr>
          <w:p>
            <w:pPr>
              <w:spacing w:after="0"/>
              <w:rPr>
                <w:sz w:val="13"/>
                <w:szCs w:val="13"/>
                <w:color w:val="auto"/>
              </w:rPr>
            </w:pPr>
          </w:p>
        </w:tc>
        <w:tc>
          <w:tcPr>
            <w:tcW w:w="1780" w:type="dxa"/>
            <w:vAlign w:val="bottom"/>
            <w:shd w:val="clear" w:color="auto" w:fill="0066BA"/>
          </w:tcPr>
          <w:p>
            <w:pPr>
              <w:spacing w:after="0"/>
              <w:rPr>
                <w:sz w:val="13"/>
                <w:szCs w:val="13"/>
                <w:color w:val="auto"/>
              </w:rPr>
            </w:pPr>
          </w:p>
        </w:tc>
        <w:tc>
          <w:tcPr>
            <w:tcW w:w="1300" w:type="dxa"/>
            <w:vAlign w:val="bottom"/>
            <w:shd w:val="clear" w:color="auto" w:fill="0066BA"/>
          </w:tcPr>
          <w:p>
            <w:pPr>
              <w:ind w:left="80"/>
              <w:spacing w:after="0" w:line="156" w:lineRule="exact"/>
              <w:rPr>
                <w:sz w:val="20"/>
                <w:szCs w:val="20"/>
                <w:color w:val="auto"/>
              </w:rPr>
            </w:pPr>
            <w:r>
              <w:rPr>
                <w:rFonts w:ascii="Arial" w:cs="Arial" w:eastAsia="Arial" w:hAnsi="Arial"/>
                <w:sz w:val="14"/>
                <w:szCs w:val="14"/>
                <w:b w:val="1"/>
                <w:bCs w:val="1"/>
                <w:color w:val="FFFFFF"/>
              </w:rPr>
              <w:t>Metrics</w:t>
            </w:r>
          </w:p>
        </w:tc>
        <w:tc>
          <w:tcPr>
            <w:tcW w:w="1040" w:type="dxa"/>
            <w:vAlign w:val="bottom"/>
            <w:shd w:val="clear" w:color="auto" w:fill="0066BA"/>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80" w:type="dxa"/>
            <w:vAlign w:val="bottom"/>
            <w:shd w:val="clear" w:color="auto" w:fill="0066BA"/>
          </w:tcPr>
          <w:p>
            <w:pPr>
              <w:spacing w:after="0"/>
              <w:rPr>
                <w:sz w:val="15"/>
                <w:szCs w:val="15"/>
                <w:color w:val="auto"/>
              </w:rPr>
            </w:pPr>
          </w:p>
        </w:tc>
        <w:tc>
          <w:tcPr>
            <w:tcW w:w="74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Grant</w:t>
            </w:r>
          </w:p>
        </w:tc>
        <w:tc>
          <w:tcPr>
            <w:tcW w:w="1360" w:type="dxa"/>
            <w:vAlign w:val="bottom"/>
            <w:shd w:val="clear" w:color="auto" w:fill="0066BA"/>
          </w:tcPr>
          <w:p>
            <w:pPr>
              <w:spacing w:after="0"/>
              <w:rPr>
                <w:sz w:val="15"/>
                <w:szCs w:val="15"/>
                <w:color w:val="auto"/>
              </w:rPr>
            </w:pPr>
          </w:p>
        </w:tc>
        <w:tc>
          <w:tcPr>
            <w:tcW w:w="1780" w:type="dxa"/>
            <w:vAlign w:val="bottom"/>
            <w:shd w:val="clear" w:color="auto" w:fill="0066BA"/>
          </w:tcPr>
          <w:p>
            <w:pPr>
              <w:spacing w:after="0"/>
              <w:rPr>
                <w:sz w:val="15"/>
                <w:szCs w:val="15"/>
                <w:color w:val="auto"/>
              </w:rPr>
            </w:pPr>
          </w:p>
        </w:tc>
        <w:tc>
          <w:tcPr>
            <w:tcW w:w="1300" w:type="dxa"/>
            <w:vAlign w:val="bottom"/>
            <w:shd w:val="clear" w:color="auto" w:fill="0066BA"/>
          </w:tcPr>
          <w:p>
            <w:pPr>
              <w:spacing w:after="0"/>
              <w:rPr>
                <w:sz w:val="15"/>
                <w:szCs w:val="15"/>
                <w:color w:val="auto"/>
              </w:rPr>
            </w:pPr>
          </w:p>
        </w:tc>
        <w:tc>
          <w:tcPr>
            <w:tcW w:w="1040" w:type="dxa"/>
            <w:vAlign w:val="bottom"/>
            <w:shd w:val="clear" w:color="auto" w:fill="0066BA"/>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1180" w:type="dxa"/>
            <w:vAlign w:val="bottom"/>
            <w:shd w:val="clear" w:color="auto" w:fill="0066BA"/>
          </w:tcPr>
          <w:p>
            <w:pPr>
              <w:spacing w:after="0"/>
              <w:rPr>
                <w:sz w:val="8"/>
                <w:szCs w:val="8"/>
                <w:color w:val="auto"/>
              </w:rPr>
            </w:pPr>
          </w:p>
        </w:tc>
        <w:tc>
          <w:tcPr>
            <w:tcW w:w="740" w:type="dxa"/>
            <w:vAlign w:val="bottom"/>
            <w:shd w:val="clear" w:color="auto" w:fill="0066BA"/>
          </w:tcPr>
          <w:p>
            <w:pPr>
              <w:spacing w:after="0"/>
              <w:rPr>
                <w:sz w:val="8"/>
                <w:szCs w:val="8"/>
                <w:color w:val="auto"/>
              </w:rPr>
            </w:pPr>
          </w:p>
        </w:tc>
        <w:tc>
          <w:tcPr>
            <w:tcW w:w="1360" w:type="dxa"/>
            <w:vAlign w:val="bottom"/>
            <w:shd w:val="clear" w:color="auto" w:fill="0066BA"/>
          </w:tcPr>
          <w:p>
            <w:pPr>
              <w:spacing w:after="0"/>
              <w:rPr>
                <w:sz w:val="8"/>
                <w:szCs w:val="8"/>
                <w:color w:val="auto"/>
              </w:rPr>
            </w:pPr>
          </w:p>
        </w:tc>
        <w:tc>
          <w:tcPr>
            <w:tcW w:w="1780" w:type="dxa"/>
            <w:vAlign w:val="bottom"/>
            <w:shd w:val="clear" w:color="auto" w:fill="0066BA"/>
          </w:tcPr>
          <w:p>
            <w:pPr>
              <w:spacing w:after="0"/>
              <w:rPr>
                <w:sz w:val="8"/>
                <w:szCs w:val="8"/>
                <w:color w:val="auto"/>
              </w:rPr>
            </w:pPr>
          </w:p>
        </w:tc>
        <w:tc>
          <w:tcPr>
            <w:tcW w:w="1300" w:type="dxa"/>
            <w:vAlign w:val="bottom"/>
            <w:shd w:val="clear" w:color="auto" w:fill="0066BA"/>
          </w:tcPr>
          <w:p>
            <w:pPr>
              <w:spacing w:after="0"/>
              <w:rPr>
                <w:sz w:val="8"/>
                <w:szCs w:val="8"/>
                <w:color w:val="auto"/>
              </w:rPr>
            </w:pPr>
          </w:p>
        </w:tc>
        <w:tc>
          <w:tcPr>
            <w:tcW w:w="1040" w:type="dxa"/>
            <w:vAlign w:val="bottom"/>
            <w:shd w:val="clear" w:color="auto" w:fill="0066BA"/>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tcPr>
          <w:p>
            <w:pPr>
              <w:ind w:left="140"/>
              <w:spacing w:after="0"/>
              <w:rPr>
                <w:sz w:val="20"/>
                <w:szCs w:val="20"/>
                <w:color w:val="auto"/>
              </w:rPr>
            </w:pPr>
            <w:r>
              <w:rPr>
                <w:rFonts w:ascii="Arial" w:cs="Arial" w:eastAsia="Arial" w:hAnsi="Arial"/>
                <w:sz w:val="16"/>
                <w:szCs w:val="16"/>
                <w:color w:val="auto"/>
              </w:rPr>
              <w:t>Align NEOs’ and</w:t>
            </w:r>
          </w:p>
        </w:tc>
        <w:tc>
          <w:tcPr>
            <w:tcW w:w="1780" w:type="dxa"/>
            <w:vAlign w:val="bottom"/>
            <w:vMerge w:val="restart"/>
          </w:tcPr>
          <w:p>
            <w:pPr>
              <w:ind w:left="100"/>
              <w:spacing w:after="0"/>
              <w:rPr>
                <w:sz w:val="20"/>
                <w:szCs w:val="20"/>
                <w:color w:val="auto"/>
              </w:rPr>
            </w:pPr>
            <w:r>
              <w:rPr>
                <w:rFonts w:ascii="Arial" w:cs="Arial" w:eastAsia="Arial" w:hAnsi="Arial"/>
                <w:sz w:val="16"/>
                <w:szCs w:val="16"/>
                <w:color w:val="auto"/>
              </w:rPr>
              <w:t>3-year performance</w:t>
            </w:r>
          </w:p>
        </w:tc>
        <w:tc>
          <w:tcPr>
            <w:tcW w:w="1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ind w:left="140"/>
              <w:spacing w:after="0" w:line="182" w:lineRule="exact"/>
              <w:rPr>
                <w:sz w:val="20"/>
                <w:szCs w:val="20"/>
                <w:color w:val="auto"/>
              </w:rPr>
            </w:pPr>
            <w:r>
              <w:rPr>
                <w:rFonts w:ascii="Arial" w:cs="Arial" w:eastAsia="Arial" w:hAnsi="Arial"/>
                <w:sz w:val="16"/>
                <w:szCs w:val="16"/>
                <w:color w:val="auto"/>
              </w:rPr>
              <w:t>shareholders’</w:t>
            </w:r>
          </w:p>
        </w:tc>
        <w:tc>
          <w:tcPr>
            <w:tcW w:w="1780" w:type="dxa"/>
            <w:vAlign w:val="bottom"/>
            <w:vMerge w:val="continue"/>
          </w:tcPr>
          <w:p>
            <w:pPr>
              <w:spacing w:after="0"/>
              <w:rPr>
                <w:sz w:val="15"/>
                <w:szCs w:val="15"/>
                <w:color w:val="auto"/>
              </w:rPr>
            </w:pPr>
          </w:p>
        </w:tc>
        <w:tc>
          <w:tcPr>
            <w:tcW w:w="1300" w:type="dxa"/>
            <w:vAlign w:val="bottom"/>
          </w:tcPr>
          <w:p>
            <w:pPr>
              <w:ind w:left="80"/>
              <w:spacing w:after="0" w:line="182" w:lineRule="exact"/>
              <w:rPr>
                <w:sz w:val="20"/>
                <w:szCs w:val="20"/>
                <w:color w:val="auto"/>
              </w:rPr>
            </w:pPr>
            <w:r>
              <w:rPr>
                <w:rFonts w:ascii="Arial" w:cs="Arial" w:eastAsia="Arial" w:hAnsi="Arial"/>
                <w:sz w:val="16"/>
                <w:szCs w:val="16"/>
                <w:color w:val="auto"/>
                <w:w w:val="96"/>
              </w:rPr>
              <w:t>ADI’s 3-year TSR</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180" w:type="dxa"/>
            <w:vAlign w:val="bottom"/>
          </w:tcPr>
          <w:p>
            <w:pPr>
              <w:ind w:left="80"/>
              <w:spacing w:after="0"/>
              <w:rPr>
                <w:sz w:val="20"/>
                <w:szCs w:val="20"/>
                <w:color w:val="auto"/>
              </w:rPr>
            </w:pPr>
            <w:r>
              <w:rPr>
                <w:rFonts w:ascii="Arial" w:cs="Arial" w:eastAsia="Arial" w:hAnsi="Arial"/>
                <w:sz w:val="16"/>
                <w:szCs w:val="16"/>
                <w:color w:val="auto"/>
              </w:rPr>
              <w:t>Relative TSR</w:t>
            </w:r>
          </w:p>
        </w:tc>
        <w:tc>
          <w:tcPr>
            <w:tcW w:w="740" w:type="dxa"/>
            <w:vAlign w:val="bottom"/>
            <w:vMerge w:val="restart"/>
          </w:tcPr>
          <w:p>
            <w:pPr>
              <w:ind w:left="60"/>
              <w:spacing w:after="0"/>
              <w:rPr>
                <w:sz w:val="20"/>
                <w:szCs w:val="20"/>
                <w:color w:val="auto"/>
              </w:rPr>
            </w:pPr>
            <w:r>
              <w:rPr>
                <w:rFonts w:ascii="Arial" w:cs="Arial" w:eastAsia="Arial" w:hAnsi="Arial"/>
                <w:sz w:val="16"/>
                <w:szCs w:val="16"/>
                <w:color w:val="auto"/>
              </w:rPr>
              <w:t>25%</w:t>
            </w:r>
          </w:p>
        </w:tc>
        <w:tc>
          <w:tcPr>
            <w:tcW w:w="1360" w:type="dxa"/>
            <w:vAlign w:val="bottom"/>
          </w:tcPr>
          <w:p>
            <w:pPr>
              <w:ind w:left="140"/>
              <w:spacing w:after="0"/>
              <w:rPr>
                <w:sz w:val="20"/>
                <w:szCs w:val="20"/>
                <w:color w:val="auto"/>
              </w:rPr>
            </w:pPr>
            <w:r>
              <w:rPr>
                <w:rFonts w:ascii="Arial" w:cs="Arial" w:eastAsia="Arial" w:hAnsi="Arial"/>
                <w:sz w:val="16"/>
                <w:szCs w:val="16"/>
                <w:color w:val="auto"/>
              </w:rPr>
              <w:t>interests to drive</w:t>
            </w:r>
          </w:p>
        </w:tc>
        <w:tc>
          <w:tcPr>
            <w:tcW w:w="1780" w:type="dxa"/>
            <w:vAlign w:val="bottom"/>
          </w:tcPr>
          <w:p>
            <w:pPr>
              <w:ind w:left="100"/>
              <w:spacing w:after="0"/>
              <w:rPr>
                <w:sz w:val="20"/>
                <w:szCs w:val="20"/>
                <w:color w:val="auto"/>
              </w:rPr>
            </w:pPr>
            <w:r>
              <w:rPr>
                <w:rFonts w:ascii="Arial" w:cs="Arial" w:eastAsia="Arial" w:hAnsi="Arial"/>
                <w:sz w:val="16"/>
                <w:szCs w:val="16"/>
                <w:color w:val="auto"/>
              </w:rPr>
              <w:t>period. Earned shares</w:t>
            </w:r>
          </w:p>
        </w:tc>
        <w:tc>
          <w:tcPr>
            <w:tcW w:w="1300" w:type="dxa"/>
            <w:vAlign w:val="bottom"/>
          </w:tcPr>
          <w:p>
            <w:pPr>
              <w:ind w:left="80"/>
              <w:spacing w:after="0"/>
              <w:rPr>
                <w:sz w:val="20"/>
                <w:szCs w:val="20"/>
                <w:color w:val="auto"/>
              </w:rPr>
            </w:pPr>
            <w:r>
              <w:rPr>
                <w:rFonts w:ascii="Arial" w:cs="Arial" w:eastAsia="Arial" w:hAnsi="Arial"/>
                <w:sz w:val="16"/>
                <w:szCs w:val="16"/>
                <w:color w:val="auto"/>
              </w:rPr>
              <w:t>com- pared to</w:t>
            </w:r>
          </w:p>
        </w:tc>
        <w:tc>
          <w:tcPr>
            <w:tcW w:w="1040" w:type="dxa"/>
            <w:vAlign w:val="bottom"/>
            <w:vMerge w:val="restart"/>
          </w:tcPr>
          <w:p>
            <w:pPr>
              <w:ind w:left="80"/>
              <w:spacing w:after="0"/>
              <w:rPr>
                <w:sz w:val="20"/>
                <w:szCs w:val="20"/>
                <w:color w:val="auto"/>
              </w:rPr>
            </w:pPr>
            <w:r>
              <w:rPr>
                <w:rFonts w:ascii="Arial" w:cs="Arial" w:eastAsia="Arial" w:hAnsi="Arial"/>
                <w:sz w:val="16"/>
                <w:szCs w:val="16"/>
                <w:color w:val="auto"/>
              </w:rPr>
              <w:t>0-200%</w:t>
            </w:r>
          </w:p>
        </w:tc>
        <w:tc>
          <w:tcPr>
            <w:tcW w:w="0" w:type="dxa"/>
            <w:vAlign w:val="bottom"/>
          </w:tcPr>
          <w:p>
            <w:pPr>
              <w:spacing w:after="0"/>
              <w:rPr>
                <w:sz w:val="1"/>
                <w:szCs w:val="1"/>
                <w:color w:val="auto"/>
              </w:rPr>
            </w:pPr>
          </w:p>
        </w:tc>
      </w:tr>
      <w:tr>
        <w:trPr>
          <w:trHeight w:val="108"/>
        </w:trPr>
        <w:tc>
          <w:tcPr>
            <w:tcW w:w="1180" w:type="dxa"/>
            <w:vAlign w:val="bottom"/>
            <w:vMerge w:val="restart"/>
          </w:tcPr>
          <w:p>
            <w:pPr>
              <w:ind w:left="80"/>
              <w:spacing w:after="0"/>
              <w:rPr>
                <w:sz w:val="20"/>
                <w:szCs w:val="20"/>
                <w:color w:val="auto"/>
              </w:rPr>
            </w:pPr>
            <w:r>
              <w:rPr>
                <w:rFonts w:ascii="Arial" w:cs="Arial" w:eastAsia="Arial" w:hAnsi="Arial"/>
                <w:sz w:val="16"/>
                <w:szCs w:val="16"/>
                <w:color w:val="auto"/>
              </w:rPr>
              <w:t>PRSUs</w:t>
            </w:r>
          </w:p>
        </w:tc>
        <w:tc>
          <w:tcPr>
            <w:tcW w:w="740" w:type="dxa"/>
            <w:vAlign w:val="bottom"/>
            <w:vMerge w:val="continue"/>
          </w:tcPr>
          <w:p>
            <w:pPr>
              <w:spacing w:after="0"/>
              <w:rPr>
                <w:sz w:val="9"/>
                <w:szCs w:val="9"/>
                <w:color w:val="auto"/>
              </w:rPr>
            </w:pPr>
          </w:p>
        </w:tc>
        <w:tc>
          <w:tcPr>
            <w:tcW w:w="1360" w:type="dxa"/>
            <w:vAlign w:val="bottom"/>
            <w:vMerge w:val="restart"/>
          </w:tcPr>
          <w:p>
            <w:pPr>
              <w:ind w:left="140"/>
              <w:spacing w:after="0"/>
              <w:rPr>
                <w:sz w:val="20"/>
                <w:szCs w:val="20"/>
                <w:color w:val="auto"/>
              </w:rPr>
            </w:pPr>
            <w:r>
              <w:rPr>
                <w:rFonts w:ascii="Arial" w:cs="Arial" w:eastAsia="Arial" w:hAnsi="Arial"/>
                <w:sz w:val="16"/>
                <w:szCs w:val="16"/>
                <w:color w:val="auto"/>
              </w:rPr>
              <w:t>superior TSR</w:t>
            </w:r>
          </w:p>
        </w:tc>
        <w:tc>
          <w:tcPr>
            <w:tcW w:w="1780" w:type="dxa"/>
            <w:vAlign w:val="bottom"/>
            <w:vMerge w:val="restart"/>
          </w:tcPr>
          <w:p>
            <w:pPr>
              <w:ind w:left="100"/>
              <w:spacing w:after="0"/>
              <w:rPr>
                <w:sz w:val="20"/>
                <w:szCs w:val="20"/>
                <w:color w:val="auto"/>
              </w:rPr>
            </w:pPr>
            <w:r>
              <w:rPr>
                <w:rFonts w:ascii="Arial" w:cs="Arial" w:eastAsia="Arial" w:hAnsi="Arial"/>
                <w:sz w:val="16"/>
                <w:szCs w:val="16"/>
                <w:color w:val="auto"/>
                <w:w w:val="94"/>
              </w:rPr>
              <w:t>(if any) vest 3 years + 14</w:t>
            </w:r>
          </w:p>
        </w:tc>
        <w:tc>
          <w:tcPr>
            <w:tcW w:w="1300" w:type="dxa"/>
            <w:vAlign w:val="bottom"/>
            <w:vMerge w:val="restart"/>
          </w:tcPr>
          <w:p>
            <w:pPr>
              <w:ind w:left="80"/>
              <w:spacing w:after="0"/>
              <w:rPr>
                <w:sz w:val="20"/>
                <w:szCs w:val="20"/>
                <w:color w:val="auto"/>
              </w:rPr>
            </w:pPr>
            <w:r>
              <w:rPr>
                <w:rFonts w:ascii="Arial" w:cs="Arial" w:eastAsia="Arial" w:hAnsi="Arial"/>
                <w:sz w:val="16"/>
                <w:szCs w:val="16"/>
                <w:color w:val="auto"/>
              </w:rPr>
              <w:t>median of a</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ind w:left="140"/>
              <w:spacing w:after="0"/>
              <w:rPr>
                <w:sz w:val="20"/>
                <w:szCs w:val="20"/>
                <w:color w:val="auto"/>
              </w:rPr>
            </w:pPr>
            <w:r>
              <w:rPr>
                <w:rFonts w:ascii="Arial" w:cs="Arial" w:eastAsia="Arial" w:hAnsi="Arial"/>
                <w:sz w:val="16"/>
                <w:szCs w:val="16"/>
                <w:color w:val="auto"/>
              </w:rPr>
              <w:t>relative to</w:t>
            </w:r>
          </w:p>
        </w:tc>
        <w:tc>
          <w:tcPr>
            <w:tcW w:w="1780" w:type="dxa"/>
            <w:vAlign w:val="bottom"/>
          </w:tcPr>
          <w:p>
            <w:pPr>
              <w:ind w:left="100"/>
              <w:spacing w:after="0"/>
              <w:rPr>
                <w:sz w:val="20"/>
                <w:szCs w:val="20"/>
                <w:color w:val="auto"/>
              </w:rPr>
            </w:pPr>
            <w:r>
              <w:rPr>
                <w:rFonts w:ascii="Arial" w:cs="Arial" w:eastAsia="Arial" w:hAnsi="Arial"/>
                <w:sz w:val="16"/>
                <w:szCs w:val="16"/>
                <w:color w:val="auto"/>
              </w:rPr>
              <w:t>days after grant date</w:t>
            </w:r>
          </w:p>
        </w:tc>
        <w:tc>
          <w:tcPr>
            <w:tcW w:w="1300" w:type="dxa"/>
            <w:vAlign w:val="bottom"/>
          </w:tcPr>
          <w:p>
            <w:pPr>
              <w:ind w:left="80"/>
              <w:spacing w:after="0"/>
              <w:rPr>
                <w:sz w:val="20"/>
                <w:szCs w:val="20"/>
                <w:color w:val="auto"/>
              </w:rPr>
            </w:pPr>
            <w:r>
              <w:rPr>
                <w:rFonts w:ascii="Arial" w:cs="Arial" w:eastAsia="Arial" w:hAnsi="Arial"/>
                <w:sz w:val="16"/>
                <w:szCs w:val="16"/>
                <w:color w:val="auto"/>
                <w:w w:val="94"/>
              </w:rPr>
              <w:t>comparator group</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ind w:left="140"/>
              <w:spacing w:after="0"/>
              <w:rPr>
                <w:sz w:val="20"/>
                <w:szCs w:val="20"/>
                <w:color w:val="auto"/>
              </w:rPr>
            </w:pPr>
            <w:r>
              <w:rPr>
                <w:rFonts w:ascii="Arial" w:cs="Arial" w:eastAsia="Arial" w:hAnsi="Arial"/>
                <w:sz w:val="16"/>
                <w:szCs w:val="16"/>
                <w:color w:val="auto"/>
                <w:w w:val="93"/>
              </w:rPr>
              <w:t>comparison group</w:t>
            </w:r>
          </w:p>
        </w:tc>
        <w:tc>
          <w:tcPr>
            <w:tcW w:w="1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1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80" w:type="dxa"/>
            <w:vAlign w:val="bottom"/>
          </w:tcPr>
          <w:p>
            <w:pPr>
              <w:ind w:left="100"/>
              <w:spacing w:after="0"/>
              <w:rPr>
                <w:sz w:val="20"/>
                <w:szCs w:val="20"/>
                <w:color w:val="auto"/>
              </w:rPr>
            </w:pPr>
            <w:r>
              <w:rPr>
                <w:rFonts w:ascii="Arial" w:cs="Arial" w:eastAsia="Arial" w:hAnsi="Arial"/>
                <w:sz w:val="16"/>
                <w:szCs w:val="16"/>
                <w:color w:val="auto"/>
                <w:w w:val="91"/>
              </w:rPr>
              <w:t>1-year, 2-year cumulative</w:t>
            </w: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60" w:type="dxa"/>
            <w:vAlign w:val="bottom"/>
            <w:vMerge w:val="restart"/>
          </w:tcPr>
          <w:p>
            <w:pPr>
              <w:ind w:left="140"/>
              <w:spacing w:after="0"/>
              <w:rPr>
                <w:sz w:val="20"/>
                <w:szCs w:val="20"/>
                <w:color w:val="auto"/>
              </w:rPr>
            </w:pPr>
            <w:r>
              <w:rPr>
                <w:rFonts w:ascii="Arial" w:cs="Arial" w:eastAsia="Arial" w:hAnsi="Arial"/>
                <w:sz w:val="16"/>
                <w:szCs w:val="16"/>
                <w:color w:val="auto"/>
              </w:rPr>
              <w:t>Align NEOs’ and</w:t>
            </w:r>
          </w:p>
        </w:tc>
        <w:tc>
          <w:tcPr>
            <w:tcW w:w="1780" w:type="dxa"/>
            <w:vAlign w:val="bottom"/>
          </w:tcPr>
          <w:p>
            <w:pPr>
              <w:ind w:left="100"/>
              <w:spacing w:after="0"/>
              <w:rPr>
                <w:sz w:val="20"/>
                <w:szCs w:val="20"/>
                <w:color w:val="auto"/>
              </w:rPr>
            </w:pPr>
            <w:r>
              <w:rPr>
                <w:rFonts w:ascii="Arial" w:cs="Arial" w:eastAsia="Arial" w:hAnsi="Arial"/>
                <w:sz w:val="16"/>
                <w:szCs w:val="16"/>
                <w:color w:val="auto"/>
              </w:rPr>
              <w:t>and 3-year cumulative</w:t>
            </w:r>
          </w:p>
        </w:tc>
        <w:tc>
          <w:tcPr>
            <w:tcW w:w="1300" w:type="dxa"/>
            <w:vAlign w:val="bottom"/>
          </w:tcPr>
          <w:p>
            <w:pPr>
              <w:ind w:left="80"/>
              <w:spacing w:after="0"/>
              <w:rPr>
                <w:sz w:val="20"/>
                <w:szCs w:val="20"/>
                <w:color w:val="auto"/>
              </w:rPr>
            </w:pPr>
            <w:r>
              <w:rPr>
                <w:rFonts w:ascii="Arial" w:cs="Arial" w:eastAsia="Arial" w:hAnsi="Arial"/>
                <w:sz w:val="16"/>
                <w:szCs w:val="16"/>
                <w:color w:val="auto"/>
              </w:rPr>
              <w:t>1-year, 2-year</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780" w:type="dxa"/>
            <w:vAlign w:val="bottom"/>
            <w:vMerge w:val="restart"/>
          </w:tcPr>
          <w:p>
            <w:pPr>
              <w:ind w:left="100"/>
              <w:spacing w:after="0"/>
              <w:rPr>
                <w:sz w:val="20"/>
                <w:szCs w:val="20"/>
                <w:color w:val="auto"/>
              </w:rPr>
            </w:pPr>
            <w:r>
              <w:rPr>
                <w:rFonts w:ascii="Arial" w:cs="Arial" w:eastAsia="Arial" w:hAnsi="Arial"/>
                <w:sz w:val="16"/>
                <w:szCs w:val="16"/>
                <w:color w:val="auto"/>
              </w:rPr>
              <w:t>performance periods;</w:t>
            </w:r>
          </w:p>
        </w:tc>
        <w:tc>
          <w:tcPr>
            <w:tcW w:w="1300" w:type="dxa"/>
            <w:vAlign w:val="bottom"/>
            <w:vMerge w:val="restart"/>
          </w:tcPr>
          <w:p>
            <w:pPr>
              <w:ind w:left="80"/>
              <w:spacing w:after="0"/>
              <w:rPr>
                <w:sz w:val="20"/>
                <w:szCs w:val="20"/>
                <w:color w:val="auto"/>
              </w:rPr>
            </w:pPr>
            <w:r>
              <w:rPr>
                <w:rFonts w:ascii="Arial" w:cs="Arial" w:eastAsia="Arial" w:hAnsi="Arial"/>
                <w:sz w:val="16"/>
                <w:szCs w:val="16"/>
                <w:color w:val="auto"/>
              </w:rPr>
              <w:t>cumulative and</w:t>
            </w: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180" w:type="dxa"/>
            <w:vAlign w:val="bottom"/>
            <w:vMerge w:val="restart"/>
          </w:tcPr>
          <w:p>
            <w:pPr>
              <w:ind w:left="80"/>
              <w:spacing w:after="0"/>
              <w:rPr>
                <w:sz w:val="20"/>
                <w:szCs w:val="20"/>
                <w:color w:val="auto"/>
              </w:rPr>
            </w:pPr>
            <w:r>
              <w:rPr>
                <w:rFonts w:ascii="Arial" w:cs="Arial" w:eastAsia="Arial" w:hAnsi="Arial"/>
                <w:sz w:val="16"/>
                <w:szCs w:val="16"/>
                <w:color w:val="auto"/>
                <w:w w:val="96"/>
              </w:rPr>
              <w:t>Financial Metric</w:t>
            </w:r>
          </w:p>
        </w:tc>
        <w:tc>
          <w:tcPr>
            <w:tcW w:w="740" w:type="dxa"/>
            <w:vAlign w:val="bottom"/>
          </w:tcPr>
          <w:p>
            <w:pPr>
              <w:spacing w:after="0"/>
              <w:rPr>
                <w:sz w:val="9"/>
                <w:szCs w:val="9"/>
                <w:color w:val="auto"/>
              </w:rPr>
            </w:pPr>
          </w:p>
        </w:tc>
        <w:tc>
          <w:tcPr>
            <w:tcW w:w="1360" w:type="dxa"/>
            <w:vAlign w:val="bottom"/>
            <w:vMerge w:val="restart"/>
          </w:tcPr>
          <w:p>
            <w:pPr>
              <w:ind w:left="140"/>
              <w:spacing w:after="0"/>
              <w:rPr>
                <w:sz w:val="20"/>
                <w:szCs w:val="20"/>
                <w:color w:val="auto"/>
              </w:rPr>
            </w:pPr>
            <w:r>
              <w:rPr>
                <w:rFonts w:ascii="Arial" w:cs="Arial" w:eastAsia="Arial" w:hAnsi="Arial"/>
                <w:sz w:val="16"/>
                <w:szCs w:val="16"/>
                <w:color w:val="auto"/>
              </w:rPr>
              <w:t>shareholders’</w:t>
            </w:r>
          </w:p>
        </w:tc>
        <w:tc>
          <w:tcPr>
            <w:tcW w:w="178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180" w:type="dxa"/>
            <w:vAlign w:val="bottom"/>
            <w:vMerge w:val="continue"/>
          </w:tcPr>
          <w:p>
            <w:pPr>
              <w:spacing w:after="0"/>
              <w:rPr>
                <w:sz w:val="13"/>
                <w:szCs w:val="13"/>
                <w:color w:val="auto"/>
              </w:rPr>
            </w:pPr>
          </w:p>
        </w:tc>
        <w:tc>
          <w:tcPr>
            <w:tcW w:w="740" w:type="dxa"/>
            <w:vAlign w:val="bottom"/>
          </w:tcPr>
          <w:p>
            <w:pPr>
              <w:ind w:left="60"/>
              <w:spacing w:after="0" w:line="153" w:lineRule="exact"/>
              <w:rPr>
                <w:sz w:val="20"/>
                <w:szCs w:val="20"/>
                <w:color w:val="auto"/>
              </w:rPr>
            </w:pPr>
            <w:r>
              <w:rPr>
                <w:rFonts w:ascii="Arial" w:cs="Arial" w:eastAsia="Arial" w:hAnsi="Arial"/>
                <w:sz w:val="16"/>
                <w:szCs w:val="16"/>
                <w:color w:val="auto"/>
              </w:rPr>
              <w:t>25%</w:t>
            </w:r>
          </w:p>
        </w:tc>
        <w:tc>
          <w:tcPr>
            <w:tcW w:w="1360" w:type="dxa"/>
            <w:vAlign w:val="bottom"/>
            <w:vMerge w:val="continue"/>
          </w:tcPr>
          <w:p>
            <w:pPr>
              <w:spacing w:after="0"/>
              <w:rPr>
                <w:sz w:val="13"/>
                <w:szCs w:val="13"/>
                <w:color w:val="auto"/>
              </w:rPr>
            </w:pPr>
          </w:p>
        </w:tc>
        <w:tc>
          <w:tcPr>
            <w:tcW w:w="1780" w:type="dxa"/>
            <w:vAlign w:val="bottom"/>
          </w:tcPr>
          <w:p>
            <w:pPr>
              <w:ind w:left="100"/>
              <w:spacing w:after="0" w:line="153" w:lineRule="exact"/>
              <w:rPr>
                <w:sz w:val="20"/>
                <w:szCs w:val="20"/>
                <w:color w:val="auto"/>
              </w:rPr>
            </w:pPr>
            <w:r>
              <w:rPr>
                <w:rFonts w:ascii="Arial" w:cs="Arial" w:eastAsia="Arial" w:hAnsi="Arial"/>
                <w:sz w:val="16"/>
                <w:szCs w:val="16"/>
                <w:color w:val="auto"/>
              </w:rPr>
              <w:t>earned shares (if any)</w:t>
            </w:r>
          </w:p>
        </w:tc>
        <w:tc>
          <w:tcPr>
            <w:tcW w:w="1300" w:type="dxa"/>
            <w:vAlign w:val="bottom"/>
          </w:tcPr>
          <w:p>
            <w:pPr>
              <w:ind w:left="80"/>
              <w:spacing w:after="0" w:line="153" w:lineRule="exact"/>
              <w:rPr>
                <w:sz w:val="20"/>
                <w:szCs w:val="20"/>
                <w:color w:val="auto"/>
              </w:rPr>
            </w:pPr>
            <w:r>
              <w:rPr>
                <w:rFonts w:ascii="Arial" w:cs="Arial" w:eastAsia="Arial" w:hAnsi="Arial"/>
                <w:sz w:val="16"/>
                <w:szCs w:val="16"/>
                <w:color w:val="auto"/>
                <w:w w:val="95"/>
              </w:rPr>
              <w:t>3-year cumulative</w:t>
            </w:r>
          </w:p>
        </w:tc>
        <w:tc>
          <w:tcPr>
            <w:tcW w:w="1040" w:type="dxa"/>
            <w:vAlign w:val="bottom"/>
          </w:tcPr>
          <w:p>
            <w:pPr>
              <w:ind w:left="80"/>
              <w:spacing w:after="0" w:line="153" w:lineRule="exact"/>
              <w:rPr>
                <w:sz w:val="20"/>
                <w:szCs w:val="20"/>
                <w:color w:val="auto"/>
              </w:rPr>
            </w:pPr>
            <w:r>
              <w:rPr>
                <w:rFonts w:ascii="Arial" w:cs="Arial" w:eastAsia="Arial" w:hAnsi="Arial"/>
                <w:sz w:val="16"/>
                <w:szCs w:val="16"/>
                <w:color w:val="auto"/>
              </w:rPr>
              <w:t>0-200%</w:t>
            </w:r>
          </w:p>
        </w:tc>
        <w:tc>
          <w:tcPr>
            <w:tcW w:w="0" w:type="dxa"/>
            <w:vAlign w:val="bottom"/>
          </w:tcPr>
          <w:p>
            <w:pPr>
              <w:spacing w:after="0"/>
              <w:rPr>
                <w:sz w:val="1"/>
                <w:szCs w:val="1"/>
                <w:color w:val="auto"/>
              </w:rPr>
            </w:pPr>
          </w:p>
        </w:tc>
      </w:tr>
      <w:tr>
        <w:trPr>
          <w:trHeight w:val="133"/>
        </w:trPr>
        <w:tc>
          <w:tcPr>
            <w:tcW w:w="1180" w:type="dxa"/>
            <w:vAlign w:val="bottom"/>
          </w:tcPr>
          <w:p>
            <w:pPr>
              <w:ind w:left="80"/>
              <w:spacing w:after="0" w:line="133" w:lineRule="exact"/>
              <w:rPr>
                <w:sz w:val="20"/>
                <w:szCs w:val="20"/>
                <w:color w:val="auto"/>
              </w:rPr>
            </w:pPr>
            <w:r>
              <w:rPr>
                <w:rFonts w:ascii="Arial" w:cs="Arial" w:eastAsia="Arial" w:hAnsi="Arial"/>
                <w:sz w:val="14"/>
                <w:szCs w:val="14"/>
                <w:color w:val="auto"/>
              </w:rPr>
              <w:t>PRSUs</w:t>
            </w:r>
          </w:p>
        </w:tc>
        <w:tc>
          <w:tcPr>
            <w:tcW w:w="740" w:type="dxa"/>
            <w:vAlign w:val="bottom"/>
          </w:tcPr>
          <w:p>
            <w:pPr>
              <w:spacing w:after="0"/>
              <w:rPr>
                <w:sz w:val="11"/>
                <w:szCs w:val="11"/>
                <w:color w:val="auto"/>
              </w:rPr>
            </w:pPr>
          </w:p>
        </w:tc>
        <w:tc>
          <w:tcPr>
            <w:tcW w:w="1360" w:type="dxa"/>
            <w:vAlign w:val="bottom"/>
          </w:tcPr>
          <w:p>
            <w:pPr>
              <w:ind w:left="140"/>
              <w:spacing w:after="0" w:line="133" w:lineRule="exact"/>
              <w:rPr>
                <w:sz w:val="20"/>
                <w:szCs w:val="20"/>
                <w:color w:val="auto"/>
              </w:rPr>
            </w:pPr>
            <w:r>
              <w:rPr>
                <w:rFonts w:ascii="Arial" w:cs="Arial" w:eastAsia="Arial" w:hAnsi="Arial"/>
                <w:sz w:val="14"/>
                <w:szCs w:val="14"/>
                <w:color w:val="auto"/>
              </w:rPr>
              <w:t>interests in long-</w:t>
            </w:r>
          </w:p>
        </w:tc>
        <w:tc>
          <w:tcPr>
            <w:tcW w:w="1780" w:type="dxa"/>
            <w:vAlign w:val="bottom"/>
            <w:vMerge w:val="restart"/>
          </w:tcPr>
          <w:p>
            <w:pPr>
              <w:ind w:left="100"/>
              <w:spacing w:after="0"/>
              <w:rPr>
                <w:sz w:val="20"/>
                <w:szCs w:val="20"/>
                <w:color w:val="auto"/>
              </w:rPr>
            </w:pPr>
            <w:r>
              <w:rPr>
                <w:rFonts w:ascii="Arial" w:cs="Arial" w:eastAsia="Arial" w:hAnsi="Arial"/>
                <w:sz w:val="16"/>
                <w:szCs w:val="16"/>
                <w:color w:val="auto"/>
                <w:w w:val="99"/>
              </w:rPr>
              <w:t>vest on 3rd anniversary</w:t>
            </w:r>
          </w:p>
        </w:tc>
        <w:tc>
          <w:tcPr>
            <w:tcW w:w="1300" w:type="dxa"/>
            <w:vAlign w:val="bottom"/>
            <w:vMerge w:val="restart"/>
          </w:tcPr>
          <w:p>
            <w:pPr>
              <w:ind w:left="80"/>
              <w:spacing w:after="0"/>
              <w:rPr>
                <w:sz w:val="20"/>
                <w:szCs w:val="20"/>
                <w:color w:val="auto"/>
              </w:rPr>
            </w:pPr>
            <w:r>
              <w:rPr>
                <w:rFonts w:ascii="Arial" w:cs="Arial" w:eastAsia="Arial" w:hAnsi="Arial"/>
                <w:sz w:val="16"/>
                <w:szCs w:val="16"/>
                <w:color w:val="auto"/>
              </w:rPr>
              <w:t>operating profit</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60" w:type="dxa"/>
            <w:vAlign w:val="bottom"/>
            <w:vMerge w:val="restart"/>
          </w:tcPr>
          <w:p>
            <w:pPr>
              <w:ind w:left="140"/>
              <w:spacing w:after="0"/>
              <w:rPr>
                <w:sz w:val="20"/>
                <w:szCs w:val="20"/>
                <w:color w:val="auto"/>
              </w:rPr>
            </w:pPr>
            <w:r>
              <w:rPr>
                <w:rFonts w:ascii="Arial" w:cs="Arial" w:eastAsia="Arial" w:hAnsi="Arial"/>
                <w:sz w:val="16"/>
                <w:szCs w:val="16"/>
                <w:color w:val="auto"/>
              </w:rPr>
              <w:t>term profitability</w:t>
            </w:r>
          </w:p>
        </w:tc>
        <w:tc>
          <w:tcPr>
            <w:tcW w:w="178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780" w:type="dxa"/>
            <w:vAlign w:val="bottom"/>
            <w:vMerge w:val="restart"/>
          </w:tcPr>
          <w:p>
            <w:pPr>
              <w:ind w:left="100"/>
              <w:spacing w:after="0"/>
              <w:rPr>
                <w:sz w:val="20"/>
                <w:szCs w:val="20"/>
                <w:color w:val="auto"/>
              </w:rPr>
            </w:pPr>
            <w:r>
              <w:rPr>
                <w:rFonts w:ascii="Arial" w:cs="Arial" w:eastAsia="Arial" w:hAnsi="Arial"/>
                <w:sz w:val="16"/>
                <w:szCs w:val="16"/>
                <w:color w:val="auto"/>
              </w:rPr>
              <w:t>of grant date. 3-year</w:t>
            </w:r>
          </w:p>
        </w:tc>
        <w:tc>
          <w:tcPr>
            <w:tcW w:w="1300" w:type="dxa"/>
            <w:vAlign w:val="bottom"/>
            <w:vMerge w:val="restart"/>
          </w:tcPr>
          <w:p>
            <w:pPr>
              <w:ind w:left="80"/>
              <w:spacing w:after="0"/>
              <w:rPr>
                <w:sz w:val="20"/>
                <w:szCs w:val="20"/>
                <w:color w:val="auto"/>
              </w:rPr>
            </w:pPr>
            <w:r>
              <w:rPr>
                <w:rFonts w:ascii="Arial" w:cs="Arial" w:eastAsia="Arial" w:hAnsi="Arial"/>
                <w:sz w:val="16"/>
                <w:szCs w:val="16"/>
                <w:color w:val="auto"/>
              </w:rPr>
              <w:t>(in dollars)</w:t>
            </w: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tcPr>
          <w:p>
            <w:pPr>
              <w:ind w:left="100"/>
              <w:spacing w:after="0"/>
              <w:rPr>
                <w:sz w:val="20"/>
                <w:szCs w:val="20"/>
                <w:color w:val="auto"/>
              </w:rPr>
            </w:pPr>
            <w:r>
              <w:rPr>
                <w:rFonts w:ascii="Arial" w:cs="Arial" w:eastAsia="Arial" w:hAnsi="Arial"/>
                <w:sz w:val="16"/>
                <w:szCs w:val="16"/>
                <w:color w:val="auto"/>
              </w:rPr>
              <w:t>cliff vesting</w:t>
            </w: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1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Arial" w:cs="Arial" w:eastAsia="Arial" w:hAnsi="Arial"/>
                <w:sz w:val="16"/>
                <w:szCs w:val="16"/>
                <w:color w:val="auto"/>
              </w:rPr>
              <w:t>Align NEOs’ and</w:t>
            </w:r>
          </w:p>
        </w:tc>
        <w:tc>
          <w:tcPr>
            <w:tcW w:w="1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vMerge w:val="restart"/>
          </w:tcPr>
          <w:p>
            <w:pPr>
              <w:ind w:left="80"/>
              <w:spacing w:after="0"/>
              <w:rPr>
                <w:sz w:val="20"/>
                <w:szCs w:val="20"/>
                <w:color w:val="auto"/>
              </w:rPr>
            </w:pPr>
            <w:r>
              <w:rPr>
                <w:rFonts w:ascii="Arial" w:cs="Arial" w:eastAsia="Arial" w:hAnsi="Arial"/>
                <w:sz w:val="16"/>
                <w:szCs w:val="16"/>
                <w:color w:val="auto"/>
              </w:rPr>
              <w:t>100% Value</w:t>
            </w:r>
          </w:p>
        </w:tc>
        <w:tc>
          <w:tcPr>
            <w:tcW w:w="0" w:type="dxa"/>
            <w:vAlign w:val="bottom"/>
          </w:tcPr>
          <w:p>
            <w:pPr>
              <w:spacing w:after="0"/>
              <w:rPr>
                <w:sz w:val="1"/>
                <w:szCs w:val="1"/>
                <w:color w:val="auto"/>
              </w:rPr>
            </w:pPr>
          </w:p>
        </w:tc>
      </w:tr>
      <w:tr>
        <w:trPr>
          <w:trHeight w:val="91"/>
        </w:trPr>
        <w:tc>
          <w:tcPr>
            <w:tcW w:w="1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60" w:type="dxa"/>
            <w:vAlign w:val="bottom"/>
            <w:vMerge w:val="restart"/>
          </w:tcPr>
          <w:p>
            <w:pPr>
              <w:ind w:left="140"/>
              <w:spacing w:after="0"/>
              <w:rPr>
                <w:sz w:val="20"/>
                <w:szCs w:val="20"/>
                <w:color w:val="auto"/>
              </w:rPr>
            </w:pPr>
            <w:r>
              <w:rPr>
                <w:rFonts w:ascii="Arial" w:cs="Arial" w:eastAsia="Arial" w:hAnsi="Arial"/>
                <w:sz w:val="16"/>
                <w:szCs w:val="16"/>
                <w:color w:val="auto"/>
              </w:rPr>
              <w:t>shareholders’</w:t>
            </w:r>
          </w:p>
        </w:tc>
        <w:tc>
          <w:tcPr>
            <w:tcW w:w="17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780" w:type="dxa"/>
            <w:vAlign w:val="bottom"/>
            <w:vMerge w:val="restart"/>
          </w:tcPr>
          <w:p>
            <w:pPr>
              <w:ind w:left="100"/>
              <w:spacing w:after="0"/>
              <w:rPr>
                <w:sz w:val="20"/>
                <w:szCs w:val="20"/>
                <w:color w:val="auto"/>
              </w:rPr>
            </w:pPr>
            <w:r>
              <w:rPr>
                <w:rFonts w:ascii="Arial" w:cs="Arial" w:eastAsia="Arial" w:hAnsi="Arial"/>
                <w:sz w:val="16"/>
                <w:szCs w:val="16"/>
                <w:color w:val="auto"/>
              </w:rPr>
              <w:t>• 4-year graded vesting</w:t>
            </w:r>
          </w:p>
        </w:tc>
        <w:tc>
          <w:tcPr>
            <w:tcW w:w="1300" w:type="dxa"/>
            <w:vAlign w:val="bottom"/>
            <w:vMerge w:val="restart"/>
          </w:tcPr>
          <w:p>
            <w:pPr>
              <w:ind w:left="80"/>
              <w:spacing w:after="0"/>
              <w:rPr>
                <w:sz w:val="20"/>
                <w:szCs w:val="20"/>
                <w:color w:val="auto"/>
              </w:rPr>
            </w:pPr>
            <w:r>
              <w:rPr>
                <w:rFonts w:ascii="Arial" w:cs="Arial" w:eastAsia="Arial" w:hAnsi="Arial"/>
                <w:sz w:val="16"/>
                <w:szCs w:val="16"/>
                <w:color w:val="auto"/>
              </w:rPr>
              <w:t>Absolute stock</w:t>
            </w:r>
          </w:p>
        </w:tc>
        <w:tc>
          <w:tcPr>
            <w:tcW w:w="1040" w:type="dxa"/>
            <w:vAlign w:val="bottom"/>
            <w:vMerge w:val="restart"/>
          </w:tcPr>
          <w:p>
            <w:pPr>
              <w:ind w:left="80"/>
              <w:spacing w:after="0"/>
              <w:rPr>
                <w:sz w:val="20"/>
                <w:szCs w:val="20"/>
                <w:color w:val="auto"/>
              </w:rPr>
            </w:pPr>
            <w:r>
              <w:rPr>
                <w:rFonts w:ascii="Arial" w:cs="Arial" w:eastAsia="Arial" w:hAnsi="Arial"/>
                <w:sz w:val="16"/>
                <w:szCs w:val="16"/>
                <w:color w:val="auto"/>
                <w:w w:val="95"/>
              </w:rPr>
              <w:t>only delivered</w:t>
            </w:r>
          </w:p>
        </w:tc>
        <w:tc>
          <w:tcPr>
            <w:tcW w:w="0" w:type="dxa"/>
            <w:vAlign w:val="bottom"/>
          </w:tcPr>
          <w:p>
            <w:pPr>
              <w:spacing w:after="0"/>
              <w:rPr>
                <w:sz w:val="1"/>
                <w:szCs w:val="1"/>
                <w:color w:val="auto"/>
              </w:rPr>
            </w:pPr>
          </w:p>
        </w:tc>
      </w:tr>
      <w:tr>
        <w:trPr>
          <w:trHeight w:val="91"/>
        </w:trPr>
        <w:tc>
          <w:tcPr>
            <w:tcW w:w="1180" w:type="dxa"/>
            <w:vAlign w:val="bottom"/>
            <w:vMerge w:val="restart"/>
          </w:tcPr>
          <w:p>
            <w:pPr>
              <w:ind w:left="80"/>
              <w:spacing w:after="0"/>
              <w:rPr>
                <w:sz w:val="20"/>
                <w:szCs w:val="20"/>
                <w:color w:val="auto"/>
              </w:rPr>
            </w:pPr>
            <w:r>
              <w:rPr>
                <w:rFonts w:ascii="Arial" w:cs="Arial" w:eastAsia="Arial" w:hAnsi="Arial"/>
                <w:sz w:val="16"/>
                <w:szCs w:val="16"/>
                <w:color w:val="auto"/>
              </w:rPr>
              <w:t>Stock Options</w:t>
            </w:r>
          </w:p>
        </w:tc>
        <w:tc>
          <w:tcPr>
            <w:tcW w:w="740" w:type="dxa"/>
            <w:vAlign w:val="bottom"/>
            <w:vMerge w:val="restart"/>
          </w:tcPr>
          <w:p>
            <w:pPr>
              <w:ind w:left="60"/>
              <w:spacing w:after="0"/>
              <w:rPr>
                <w:sz w:val="20"/>
                <w:szCs w:val="20"/>
                <w:color w:val="auto"/>
              </w:rPr>
            </w:pPr>
            <w:r>
              <w:rPr>
                <w:rFonts w:ascii="Arial" w:cs="Arial" w:eastAsia="Arial" w:hAnsi="Arial"/>
                <w:sz w:val="16"/>
                <w:szCs w:val="16"/>
                <w:color w:val="auto"/>
              </w:rPr>
              <w:t>25%</w:t>
            </w:r>
          </w:p>
        </w:tc>
        <w:tc>
          <w:tcPr>
            <w:tcW w:w="1360" w:type="dxa"/>
            <w:vAlign w:val="bottom"/>
            <w:vMerge w:val="restart"/>
          </w:tcPr>
          <w:p>
            <w:pPr>
              <w:ind w:left="140"/>
              <w:spacing w:after="0"/>
              <w:rPr>
                <w:sz w:val="20"/>
                <w:szCs w:val="20"/>
                <w:color w:val="auto"/>
              </w:rPr>
            </w:pPr>
            <w:r>
              <w:rPr>
                <w:rFonts w:ascii="Arial" w:cs="Arial" w:eastAsia="Arial" w:hAnsi="Arial"/>
                <w:sz w:val="16"/>
                <w:szCs w:val="16"/>
                <w:color w:val="auto"/>
              </w:rPr>
              <w:t>interests</w:t>
            </w:r>
          </w:p>
        </w:tc>
        <w:tc>
          <w:tcPr>
            <w:tcW w:w="17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780" w:type="dxa"/>
            <w:vAlign w:val="bottom"/>
            <w:vMerge w:val="restart"/>
          </w:tcPr>
          <w:p>
            <w:pPr>
              <w:ind w:left="100"/>
              <w:spacing w:after="0"/>
              <w:rPr>
                <w:sz w:val="20"/>
                <w:szCs w:val="20"/>
                <w:color w:val="auto"/>
              </w:rPr>
            </w:pPr>
            <w:r>
              <w:rPr>
                <w:rFonts w:ascii="Arial" w:cs="Arial" w:eastAsia="Arial" w:hAnsi="Arial"/>
                <w:sz w:val="16"/>
                <w:szCs w:val="16"/>
                <w:color w:val="auto"/>
              </w:rPr>
              <w:t>• 10-year term</w:t>
            </w:r>
          </w:p>
        </w:tc>
        <w:tc>
          <w:tcPr>
            <w:tcW w:w="1300" w:type="dxa"/>
            <w:vAlign w:val="bottom"/>
            <w:vMerge w:val="restart"/>
          </w:tcPr>
          <w:p>
            <w:pPr>
              <w:ind w:left="80"/>
              <w:spacing w:after="0"/>
              <w:rPr>
                <w:sz w:val="20"/>
                <w:szCs w:val="20"/>
                <w:color w:val="auto"/>
              </w:rPr>
            </w:pPr>
            <w:r>
              <w:rPr>
                <w:rFonts w:ascii="Arial" w:cs="Arial" w:eastAsia="Arial" w:hAnsi="Arial"/>
                <w:sz w:val="16"/>
                <w:szCs w:val="16"/>
                <w:color w:val="auto"/>
                <w:w w:val="94"/>
              </w:rPr>
              <w:t>price appreciation</w:t>
            </w:r>
          </w:p>
        </w:tc>
        <w:tc>
          <w:tcPr>
            <w:tcW w:w="1040" w:type="dxa"/>
            <w:vAlign w:val="bottom"/>
            <w:vMerge w:val="restart"/>
          </w:tcPr>
          <w:p>
            <w:pPr>
              <w:ind w:left="80"/>
              <w:spacing w:after="0"/>
              <w:rPr>
                <w:sz w:val="20"/>
                <w:szCs w:val="20"/>
                <w:color w:val="auto"/>
              </w:rPr>
            </w:pPr>
            <w:r>
              <w:rPr>
                <w:rFonts w:ascii="Arial" w:cs="Arial" w:eastAsia="Arial" w:hAnsi="Arial"/>
                <w:sz w:val="16"/>
                <w:szCs w:val="16"/>
                <w:color w:val="auto"/>
              </w:rPr>
              <w:t>if stock price</w:t>
            </w:r>
          </w:p>
        </w:tc>
        <w:tc>
          <w:tcPr>
            <w:tcW w:w="0" w:type="dxa"/>
            <w:vAlign w:val="bottom"/>
          </w:tcPr>
          <w:p>
            <w:pPr>
              <w:spacing w:after="0"/>
              <w:rPr>
                <w:sz w:val="1"/>
                <w:szCs w:val="1"/>
                <w:color w:val="auto"/>
              </w:rPr>
            </w:pPr>
          </w:p>
        </w:tc>
      </w:tr>
      <w:tr>
        <w:trPr>
          <w:trHeight w:val="91"/>
        </w:trPr>
        <w:tc>
          <w:tcPr>
            <w:tcW w:w="1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60" w:type="dxa"/>
            <w:vAlign w:val="bottom"/>
            <w:vMerge w:val="restart"/>
          </w:tcPr>
          <w:p>
            <w:pPr>
              <w:ind w:left="140"/>
              <w:spacing w:after="0"/>
              <w:rPr>
                <w:sz w:val="20"/>
                <w:szCs w:val="20"/>
                <w:color w:val="auto"/>
              </w:rPr>
            </w:pPr>
            <w:r>
              <w:rPr>
                <w:rFonts w:ascii="Arial" w:cs="Arial" w:eastAsia="Arial" w:hAnsi="Arial"/>
                <w:sz w:val="16"/>
                <w:szCs w:val="16"/>
                <w:color w:val="auto"/>
              </w:rPr>
              <w:t>in absolute stock</w:t>
            </w:r>
          </w:p>
        </w:tc>
        <w:tc>
          <w:tcPr>
            <w:tcW w:w="17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vMerge w:val="restart"/>
          </w:tcPr>
          <w:p>
            <w:pPr>
              <w:ind w:left="80"/>
              <w:spacing w:after="0"/>
              <w:rPr>
                <w:sz w:val="20"/>
                <w:szCs w:val="20"/>
                <w:color w:val="auto"/>
              </w:rPr>
            </w:pPr>
            <w:r>
              <w:rPr>
                <w:rFonts w:ascii="Arial" w:cs="Arial" w:eastAsia="Arial" w:hAnsi="Arial"/>
                <w:sz w:val="16"/>
                <w:szCs w:val="16"/>
                <w:color w:val="auto"/>
              </w:rPr>
              <w:t>appreciates</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60" w:type="dxa"/>
            <w:vAlign w:val="bottom"/>
            <w:vMerge w:val="restart"/>
          </w:tcPr>
          <w:p>
            <w:pPr>
              <w:ind w:left="140"/>
              <w:spacing w:after="0"/>
              <w:rPr>
                <w:sz w:val="20"/>
                <w:szCs w:val="20"/>
                <w:color w:val="auto"/>
              </w:rPr>
            </w:pPr>
            <w:r>
              <w:rPr>
                <w:rFonts w:ascii="Arial" w:cs="Arial" w:eastAsia="Arial" w:hAnsi="Arial"/>
                <w:sz w:val="16"/>
                <w:szCs w:val="16"/>
                <w:color w:val="auto"/>
                <w:w w:val="94"/>
              </w:rPr>
              <w:t>price appreciation</w:t>
            </w:r>
          </w:p>
        </w:tc>
        <w:tc>
          <w:tcPr>
            <w:tcW w:w="17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ind w:left="80"/>
              <w:spacing w:after="0"/>
              <w:rPr>
                <w:sz w:val="20"/>
                <w:szCs w:val="20"/>
                <w:color w:val="auto"/>
              </w:rPr>
            </w:pPr>
            <w:r>
              <w:rPr>
                <w:rFonts w:ascii="Arial" w:cs="Arial" w:eastAsia="Arial" w:hAnsi="Arial"/>
                <w:sz w:val="16"/>
                <w:szCs w:val="16"/>
                <w:color w:val="auto"/>
              </w:rPr>
              <w:t>100% Value</w:t>
            </w:r>
          </w:p>
        </w:tc>
        <w:tc>
          <w:tcPr>
            <w:tcW w:w="0" w:type="dxa"/>
            <w:vAlign w:val="bottom"/>
          </w:tcPr>
          <w:p>
            <w:pPr>
              <w:spacing w:after="0"/>
              <w:rPr>
                <w:sz w:val="1"/>
                <w:szCs w:val="1"/>
                <w:color w:val="auto"/>
              </w:rPr>
            </w:pPr>
          </w:p>
        </w:tc>
      </w:tr>
      <w:tr>
        <w:trPr>
          <w:trHeight w:val="195"/>
        </w:trPr>
        <w:tc>
          <w:tcPr>
            <w:tcW w:w="1180" w:type="dxa"/>
            <w:vAlign w:val="bottom"/>
          </w:tcPr>
          <w:p>
            <w:pPr>
              <w:ind w:left="80"/>
              <w:spacing w:after="0"/>
              <w:rPr>
                <w:sz w:val="20"/>
                <w:szCs w:val="20"/>
                <w:color w:val="auto"/>
              </w:rPr>
            </w:pPr>
            <w:r>
              <w:rPr>
                <w:rFonts w:ascii="Arial" w:cs="Arial" w:eastAsia="Arial" w:hAnsi="Arial"/>
                <w:sz w:val="16"/>
                <w:szCs w:val="16"/>
                <w:color w:val="auto"/>
              </w:rPr>
              <w:t>Time-Based</w:t>
            </w:r>
          </w:p>
        </w:tc>
        <w:tc>
          <w:tcPr>
            <w:tcW w:w="740" w:type="dxa"/>
            <w:vAlign w:val="bottom"/>
            <w:vMerge w:val="restart"/>
          </w:tcPr>
          <w:p>
            <w:pPr>
              <w:ind w:left="60"/>
              <w:spacing w:after="0"/>
              <w:rPr>
                <w:sz w:val="20"/>
                <w:szCs w:val="20"/>
                <w:color w:val="auto"/>
              </w:rPr>
            </w:pPr>
            <w:r>
              <w:rPr>
                <w:rFonts w:ascii="Arial" w:cs="Arial" w:eastAsia="Arial" w:hAnsi="Arial"/>
                <w:sz w:val="16"/>
                <w:szCs w:val="16"/>
                <w:color w:val="auto"/>
              </w:rPr>
              <w:t>25%</w:t>
            </w:r>
          </w:p>
        </w:tc>
        <w:tc>
          <w:tcPr>
            <w:tcW w:w="1360" w:type="dxa"/>
            <w:vAlign w:val="bottom"/>
          </w:tcPr>
          <w:p>
            <w:pPr>
              <w:ind w:left="140"/>
              <w:spacing w:after="0"/>
              <w:rPr>
                <w:sz w:val="20"/>
                <w:szCs w:val="20"/>
                <w:color w:val="auto"/>
              </w:rPr>
            </w:pPr>
            <w:r>
              <w:rPr>
                <w:rFonts w:ascii="Arial" w:cs="Arial" w:eastAsia="Arial" w:hAnsi="Arial"/>
                <w:sz w:val="16"/>
                <w:szCs w:val="16"/>
                <w:color w:val="auto"/>
              </w:rPr>
              <w:t>Retain key</w:t>
            </w:r>
          </w:p>
        </w:tc>
        <w:tc>
          <w:tcPr>
            <w:tcW w:w="1780" w:type="dxa"/>
            <w:vAlign w:val="bottom"/>
            <w:vMerge w:val="restart"/>
          </w:tcPr>
          <w:p>
            <w:pPr>
              <w:ind w:left="100"/>
              <w:spacing w:after="0"/>
              <w:rPr>
                <w:sz w:val="20"/>
                <w:szCs w:val="20"/>
                <w:color w:val="auto"/>
              </w:rPr>
            </w:pPr>
            <w:r>
              <w:rPr>
                <w:rFonts w:ascii="Arial" w:cs="Arial" w:eastAsia="Arial" w:hAnsi="Arial"/>
                <w:sz w:val="16"/>
                <w:szCs w:val="16"/>
                <w:color w:val="auto"/>
              </w:rPr>
              <w:t>4-year graded vesting</w:t>
            </w:r>
          </w:p>
        </w:tc>
        <w:tc>
          <w:tcPr>
            <w:tcW w:w="1300" w:type="dxa"/>
            <w:vAlign w:val="bottom"/>
            <w:vMerge w:val="restart"/>
          </w:tcPr>
          <w:p>
            <w:pPr>
              <w:ind w:left="80"/>
              <w:spacing w:after="0"/>
              <w:rPr>
                <w:sz w:val="20"/>
                <w:szCs w:val="20"/>
                <w:color w:val="auto"/>
              </w:rPr>
            </w:pPr>
            <w:r>
              <w:rPr>
                <w:rFonts w:ascii="Arial" w:cs="Arial" w:eastAsia="Arial" w:hAnsi="Arial"/>
                <w:sz w:val="16"/>
                <w:szCs w:val="16"/>
                <w:color w:val="auto"/>
              </w:rPr>
              <w:t>None</w:t>
            </w:r>
          </w:p>
        </w:tc>
        <w:tc>
          <w:tcPr>
            <w:tcW w:w="1040" w:type="dxa"/>
            <w:vAlign w:val="bottom"/>
          </w:tcPr>
          <w:p>
            <w:pPr>
              <w:ind w:left="80"/>
              <w:spacing w:after="0"/>
              <w:rPr>
                <w:sz w:val="20"/>
                <w:szCs w:val="20"/>
                <w:color w:val="auto"/>
              </w:rPr>
            </w:pPr>
            <w:r>
              <w:rPr>
                <w:rFonts w:ascii="Arial" w:cs="Arial" w:eastAsia="Arial" w:hAnsi="Arial"/>
                <w:sz w:val="16"/>
                <w:szCs w:val="16"/>
                <w:color w:val="auto"/>
              </w:rPr>
              <w:t>in line with</w:t>
            </w:r>
          </w:p>
        </w:tc>
        <w:tc>
          <w:tcPr>
            <w:tcW w:w="0" w:type="dxa"/>
            <w:vAlign w:val="bottom"/>
          </w:tcPr>
          <w:p>
            <w:pPr>
              <w:spacing w:after="0"/>
              <w:rPr>
                <w:sz w:val="1"/>
                <w:szCs w:val="1"/>
                <w:color w:val="auto"/>
              </w:rPr>
            </w:pPr>
          </w:p>
        </w:tc>
      </w:tr>
      <w:tr>
        <w:trPr>
          <w:trHeight w:val="95"/>
        </w:trPr>
        <w:tc>
          <w:tcPr>
            <w:tcW w:w="1180" w:type="dxa"/>
            <w:vAlign w:val="bottom"/>
            <w:vMerge w:val="restart"/>
          </w:tcPr>
          <w:p>
            <w:pPr>
              <w:ind w:left="80"/>
              <w:spacing w:after="0"/>
              <w:rPr>
                <w:sz w:val="20"/>
                <w:szCs w:val="20"/>
                <w:color w:val="auto"/>
              </w:rPr>
            </w:pPr>
            <w:r>
              <w:rPr>
                <w:rFonts w:ascii="Arial" w:cs="Arial" w:eastAsia="Arial" w:hAnsi="Arial"/>
                <w:sz w:val="16"/>
                <w:szCs w:val="16"/>
                <w:color w:val="auto"/>
              </w:rPr>
              <w:t>RSUs</w:t>
            </w:r>
          </w:p>
        </w:tc>
        <w:tc>
          <w:tcPr>
            <w:tcW w:w="740" w:type="dxa"/>
            <w:vAlign w:val="bottom"/>
            <w:vMerge w:val="continue"/>
          </w:tcPr>
          <w:p>
            <w:pPr>
              <w:spacing w:after="0"/>
              <w:rPr>
                <w:sz w:val="8"/>
                <w:szCs w:val="8"/>
                <w:color w:val="auto"/>
              </w:rPr>
            </w:pPr>
          </w:p>
        </w:tc>
        <w:tc>
          <w:tcPr>
            <w:tcW w:w="1360" w:type="dxa"/>
            <w:vAlign w:val="bottom"/>
            <w:vMerge w:val="restart"/>
          </w:tcPr>
          <w:p>
            <w:pPr>
              <w:ind w:left="140"/>
              <w:spacing w:after="0"/>
              <w:rPr>
                <w:sz w:val="20"/>
                <w:szCs w:val="20"/>
                <w:color w:val="auto"/>
              </w:rPr>
            </w:pPr>
            <w:r>
              <w:rPr>
                <w:rFonts w:ascii="Arial" w:cs="Arial" w:eastAsia="Arial" w:hAnsi="Arial"/>
                <w:sz w:val="16"/>
                <w:szCs w:val="16"/>
                <w:color w:val="auto"/>
              </w:rPr>
              <w:t>executives</w:t>
            </w:r>
          </w:p>
        </w:tc>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40" w:type="dxa"/>
            <w:vAlign w:val="bottom"/>
            <w:vMerge w:val="restart"/>
          </w:tcPr>
          <w:p>
            <w:pPr>
              <w:ind w:left="80"/>
              <w:spacing w:after="0"/>
              <w:rPr>
                <w:sz w:val="20"/>
                <w:szCs w:val="20"/>
                <w:color w:val="auto"/>
              </w:rPr>
            </w:pPr>
            <w:r>
              <w:rPr>
                <w:rFonts w:ascii="Arial" w:cs="Arial" w:eastAsia="Arial" w:hAnsi="Arial"/>
                <w:sz w:val="16"/>
                <w:szCs w:val="16"/>
                <w:color w:val="auto"/>
              </w:rPr>
              <w:t>stock price</w:t>
            </w:r>
          </w:p>
        </w:tc>
        <w:tc>
          <w:tcPr>
            <w:tcW w:w="0" w:type="dxa"/>
            <w:vAlign w:val="bottom"/>
          </w:tcPr>
          <w:p>
            <w:pPr>
              <w:spacing w:after="0"/>
              <w:rPr>
                <w:sz w:val="1"/>
                <w:szCs w:val="1"/>
                <w:color w:val="auto"/>
              </w:rPr>
            </w:pPr>
          </w:p>
        </w:tc>
      </w:tr>
      <w:tr>
        <w:trPr>
          <w:trHeight w:val="104"/>
        </w:trPr>
        <w:tc>
          <w:tcPr>
            <w:tcW w:w="118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1918970</wp:posOffset>
            </wp:positionH>
            <wp:positionV relativeFrom="paragraph">
              <wp:posOffset>-2886710</wp:posOffset>
            </wp:positionV>
            <wp:extent cx="462915" cy="3056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62915" cy="3056255"/>
                    </a:xfrm>
                    <a:prstGeom prst="rect">
                      <a:avLst/>
                    </a:prstGeom>
                    <a:noFill/>
                  </pic:spPr>
                </pic:pic>
              </a:graphicData>
            </a:graphic>
          </wp:anchor>
        </w:drawing>
        <w:drawing>
          <wp:anchor simplePos="0" relativeHeight="251657728" behindDoc="1" locked="0" layoutInCell="0" allowOverlap="1">
            <wp:simplePos x="0" y="0"/>
            <wp:positionH relativeFrom="column">
              <wp:posOffset>3274060</wp:posOffset>
            </wp:positionH>
            <wp:positionV relativeFrom="paragraph">
              <wp:posOffset>-2886710</wp:posOffset>
            </wp:positionV>
            <wp:extent cx="1115060" cy="3056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5060" cy="3056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-2886710</wp:posOffset>
            </wp:positionV>
            <wp:extent cx="694055" cy="3056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4055" cy="3056255"/>
                    </a:xfrm>
                    <a:prstGeom prst="rect">
                      <a:avLst/>
                    </a:prstGeom>
                    <a:noFill/>
                  </pic:spPr>
                </pic:pic>
              </a:graphicData>
            </a:graphic>
          </wp:anchor>
        </w:drawing>
      </w:r>
    </w:p>
    <w:p>
      <w:pPr>
        <w:ind w:left="8360"/>
        <w:spacing w:after="0"/>
        <w:rPr>
          <w:sz w:val="20"/>
          <w:szCs w:val="20"/>
          <w:color w:val="auto"/>
        </w:rPr>
      </w:pPr>
      <w:r>
        <w:rPr>
          <w:rFonts w:ascii="Arial" w:cs="Arial" w:eastAsia="Arial" w:hAnsi="Arial"/>
          <w:sz w:val="16"/>
          <w:szCs w:val="16"/>
          <w:color w:val="auto"/>
        </w:rPr>
        <w: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1216660</wp:posOffset>
            </wp:positionH>
            <wp:positionV relativeFrom="paragraph">
              <wp:posOffset>52070</wp:posOffset>
            </wp:positionV>
            <wp:extent cx="47002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700270" cy="8255"/>
                    </a:xfrm>
                    <a:prstGeom prst="rect">
                      <a:avLst/>
                    </a:prstGeom>
                    <a:noFill/>
                  </pic:spPr>
                </pic:pic>
              </a:graphicData>
            </a:graphic>
          </wp:anchor>
        </w:drawing>
      </w:r>
    </w:p>
    <w:p>
      <w:pPr>
        <w:spacing w:after="0" w:line="261" w:lineRule="exact"/>
        <w:rPr>
          <w:sz w:val="20"/>
          <w:szCs w:val="20"/>
          <w:color w:val="auto"/>
        </w:rPr>
      </w:pPr>
    </w:p>
    <w:p>
      <w:pPr>
        <w:ind w:left="1920"/>
        <w:spacing w:after="0"/>
        <w:rPr>
          <w:sz w:val="20"/>
          <w:szCs w:val="20"/>
          <w:color w:val="auto"/>
        </w:rPr>
      </w:pPr>
      <w:r>
        <w:rPr>
          <w:rFonts w:ascii="Arial" w:cs="Arial" w:eastAsia="Arial" w:hAnsi="Arial"/>
          <w:sz w:val="17"/>
          <w:szCs w:val="17"/>
          <w:b w:val="1"/>
          <w:bCs w:val="1"/>
          <w:color w:val="0066BA"/>
        </w:rPr>
        <w:t>Equity Vehicle Structure</w:t>
      </w:r>
    </w:p>
    <w:p>
      <w:pPr>
        <w:spacing w:after="0" w:line="108" w:lineRule="exact"/>
        <w:rPr>
          <w:sz w:val="20"/>
          <w:szCs w:val="20"/>
          <w:color w:val="auto"/>
        </w:rPr>
      </w:pPr>
    </w:p>
    <w:p>
      <w:pPr>
        <w:ind w:left="1920" w:right="1640"/>
        <w:spacing w:after="0" w:line="268" w:lineRule="auto"/>
        <w:rPr>
          <w:sz w:val="20"/>
          <w:szCs w:val="20"/>
          <w:color w:val="auto"/>
        </w:rPr>
      </w:pPr>
      <w:r>
        <w:rPr>
          <w:rFonts w:ascii="Arial" w:cs="Arial" w:eastAsia="Arial" w:hAnsi="Arial"/>
          <w:sz w:val="17"/>
          <w:szCs w:val="17"/>
          <w:b w:val="1"/>
          <w:bCs w:val="1"/>
          <w:color w:val="auto"/>
        </w:rPr>
        <w:t>PRSUs</w:t>
      </w:r>
      <w:r>
        <w:rPr>
          <w:rFonts w:ascii="Arial" w:cs="Arial" w:eastAsia="Arial" w:hAnsi="Arial"/>
          <w:sz w:val="17"/>
          <w:szCs w:val="17"/>
          <w:color w:val="auto"/>
        </w:rPr>
        <w:t>. For fiscal 2020, approximately 50% of our annual equity awards to our NEOs were in the form of</w:t>
      </w:r>
      <w:r>
        <w:rPr>
          <w:rFonts w:ascii="Arial" w:cs="Arial" w:eastAsia="Arial" w:hAnsi="Arial"/>
          <w:sz w:val="17"/>
          <w:szCs w:val="17"/>
          <w:b w:val="1"/>
          <w:bCs w:val="1"/>
          <w:color w:val="auto"/>
        </w:rPr>
        <w:t xml:space="preserve"> </w:t>
      </w:r>
      <w:r>
        <w:rPr>
          <w:rFonts w:ascii="Arial" w:cs="Arial" w:eastAsia="Arial" w:hAnsi="Arial"/>
          <w:sz w:val="17"/>
          <w:szCs w:val="17"/>
          <w:color w:val="auto"/>
        </w:rPr>
        <w:t>PRSUs. Our fiscal 2020 equity compensation program includes two types of PRSUs for our executives, relative TSR PRSUs and financial metric PRSUs, to ensure that a direct link exists between the value of our long-term incentives and the value that is created for our shareholders.</w:t>
      </w:r>
    </w:p>
    <w:p>
      <w:pPr>
        <w:spacing w:after="0" w:line="64" w:lineRule="exact"/>
        <w:rPr>
          <w:sz w:val="20"/>
          <w:szCs w:val="20"/>
          <w:color w:val="auto"/>
        </w:rPr>
      </w:pPr>
    </w:p>
    <w:p>
      <w:pPr>
        <w:ind w:left="1920" w:right="1620"/>
        <w:spacing w:after="0" w:line="277" w:lineRule="auto"/>
        <w:rPr>
          <w:sz w:val="20"/>
          <w:szCs w:val="20"/>
          <w:color w:val="auto"/>
        </w:rPr>
      </w:pPr>
      <w:r>
        <w:rPr>
          <w:rFonts w:ascii="Arial" w:cs="Arial" w:eastAsia="Arial" w:hAnsi="Arial"/>
          <w:sz w:val="16"/>
          <w:szCs w:val="16"/>
          <w:b w:val="1"/>
          <w:bCs w:val="1"/>
          <w:color w:val="0066BA"/>
        </w:rPr>
        <w:t xml:space="preserve">Relative TSR PRSUs. </w:t>
      </w:r>
      <w:r>
        <w:rPr>
          <w:rFonts w:ascii="Arial" w:cs="Arial" w:eastAsia="Arial" w:hAnsi="Arial"/>
          <w:sz w:val="16"/>
          <w:szCs w:val="16"/>
          <w:color w:val="000000"/>
        </w:rPr>
        <w:t>The number of shares of ADI common stock received by an executive officer</w:t>
      </w:r>
      <w:r>
        <w:rPr>
          <w:rFonts w:ascii="Arial" w:cs="Arial" w:eastAsia="Arial" w:hAnsi="Arial"/>
          <w:sz w:val="16"/>
          <w:szCs w:val="16"/>
          <w:b w:val="1"/>
          <w:bCs w:val="1"/>
          <w:color w:val="0066BA"/>
        </w:rPr>
        <w:t xml:space="preserve"> </w:t>
      </w:r>
      <w:r>
        <w:rPr>
          <w:rFonts w:ascii="Arial" w:cs="Arial" w:eastAsia="Arial" w:hAnsi="Arial"/>
          <w:sz w:val="16"/>
          <w:szCs w:val="16"/>
          <w:color w:val="000000"/>
        </w:rPr>
        <w:t>following vesting of the relative TSR PRSUs will range from 0% to a maximum of 200% of the target amount based on ADI’s TSR performance measured against the median TSR of an established comparator group over a three-year period, capped at a maximum of 100% of the initial number of PRSUs granted if the Company’s TSR is negative. For fiscal 2020, the performance parameters established by the Compensation Committee were equal to 100% plus or minus one and one-half times the difference between the Company’s TSR and the comparator group median TSR. This means that 0% of an award will vest if ADI’s TSR is -66.67% or lower than the TSR of the median company in the comparator group. Equally, an award will vest at a maximum 200% if ADI’s TSR is +66.67% or higher than the TSR of the median company in the comparator group. Attainment within performance parameters is subject to interpolation on a linear basis.</w:t>
      </w:r>
    </w:p>
    <w:p>
      <w:pPr>
        <w:spacing w:after="0" w:line="64" w:lineRule="exact"/>
        <w:rPr>
          <w:sz w:val="20"/>
          <w:szCs w:val="20"/>
          <w:color w:val="auto"/>
        </w:rPr>
      </w:pPr>
    </w:p>
    <w:p>
      <w:pPr>
        <w:ind w:left="1920" w:right="1780"/>
        <w:spacing w:after="0" w:line="259" w:lineRule="auto"/>
        <w:rPr>
          <w:sz w:val="20"/>
          <w:szCs w:val="20"/>
          <w:color w:val="auto"/>
        </w:rPr>
      </w:pPr>
      <w:r>
        <w:rPr>
          <w:rFonts w:ascii="Arial" w:cs="Arial" w:eastAsia="Arial" w:hAnsi="Arial"/>
          <w:sz w:val="17"/>
          <w:szCs w:val="17"/>
          <w:color w:val="auto"/>
        </w:rPr>
        <w:t>The comparative peer group consists of companies represented in the Philadelphia Semiconductor Index (SOX Index) as of the grant date that are included in the SOX Index for the entire performance period. The Compensation Committee chose this comparator group because it consists of publicly traded companies, which compete in the semiconductor industry, are representative of likely alternative investment opportunities for our investors, compete with us for talent, and are similar to ADI in their product and services offerings and business models. Consistent with our Compensation Committee’s desire to tie pay to performance, the value of each of these awards is directly linked to the long-term performance of our stock price.</w:t>
      </w:r>
    </w:p>
    <w:p>
      <w:pPr>
        <w:spacing w:after="0" w:line="76" w:lineRule="exact"/>
        <w:rPr>
          <w:sz w:val="20"/>
          <w:szCs w:val="20"/>
          <w:color w:val="auto"/>
        </w:rPr>
      </w:pPr>
    </w:p>
    <w:p>
      <w:pPr>
        <w:ind w:left="1920" w:right="1620"/>
        <w:spacing w:after="0" w:line="261" w:lineRule="auto"/>
        <w:rPr>
          <w:sz w:val="20"/>
          <w:szCs w:val="20"/>
          <w:color w:val="auto"/>
        </w:rPr>
      </w:pPr>
      <w:r>
        <w:rPr>
          <w:rFonts w:ascii="Arial" w:cs="Arial" w:eastAsia="Arial" w:hAnsi="Arial"/>
          <w:sz w:val="17"/>
          <w:szCs w:val="17"/>
          <w:b w:val="1"/>
          <w:bCs w:val="1"/>
          <w:color w:val="auto"/>
        </w:rPr>
        <w:t xml:space="preserve">2017-2020 TSR PRSUs Payouts. </w:t>
      </w:r>
      <w:r>
        <w:rPr>
          <w:rFonts w:ascii="Arial" w:cs="Arial" w:eastAsia="Arial" w:hAnsi="Arial"/>
          <w:sz w:val="17"/>
          <w:szCs w:val="17"/>
          <w:color w:val="auto"/>
        </w:rPr>
        <w:t>The relative TSR PRSUs granted on March 8, 2017 had a three-year</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period that ended on March 8, 2020. The comparator group designated by the Compensation Committee for the relative TSR PRSUs granted in fiscal 2017 once again consisted of the companies represented in the SOX Index as of the grant date that are included in the SOX Index for the entire performance period. On a three-year cumulative basis, our TSR performance was 53.03%, compared to the median comparative peer group TSR of 68.06%. The median comparative peer group TSR performance exceeded the Company’s TSR performance, which resulted in a payout percentage of 69.94% of target.</w:t>
      </w:r>
    </w:p>
    <w:p>
      <w:pPr>
        <w:sectPr>
          <w:pgSz w:w="11900" w:h="16838" w:orient="portrait"/>
          <w:cols w:equalWidth="0" w:num="1">
            <w:col w:w="10940"/>
          </w:cols>
          <w:pgMar w:left="320" w:top="447" w:right="639" w:bottom="545" w:gutter="0" w:footer="0" w:header="0"/>
        </w:sectPr>
      </w:pPr>
    </w:p>
    <w:p>
      <w:pPr>
        <w:spacing w:after="0" w:line="200" w:lineRule="exact"/>
        <w:rPr>
          <w:sz w:val="20"/>
          <w:szCs w:val="20"/>
          <w:color w:val="auto"/>
        </w:rPr>
      </w:pPr>
    </w:p>
    <w:p>
      <w:pPr>
        <w:spacing w:after="0" w:line="305" w:lineRule="exact"/>
        <w:rPr>
          <w:sz w:val="20"/>
          <w:szCs w:val="20"/>
          <w:color w:val="auto"/>
        </w:rPr>
      </w:pPr>
    </w:p>
    <w:p>
      <w:pPr>
        <w:ind w:left="1076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940"/>
          </w:cols>
          <w:pgMar w:left="320" w:top="447" w:right="639" w:bottom="545" w:gutter="0" w:footer="0" w:header="0"/>
          <w:type w:val="continuous"/>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480" w:right="20"/>
        <w:spacing w:after="0" w:line="297" w:lineRule="auto"/>
        <w:rPr>
          <w:sz w:val="20"/>
          <w:szCs w:val="20"/>
          <w:color w:val="auto"/>
        </w:rPr>
      </w:pPr>
      <w:r>
        <w:rPr>
          <w:rFonts w:ascii="Arial" w:cs="Arial" w:eastAsia="Arial" w:hAnsi="Arial"/>
          <w:sz w:val="15"/>
          <w:szCs w:val="15"/>
          <w:b w:val="1"/>
          <w:bCs w:val="1"/>
          <w:color w:val="0066BA"/>
        </w:rPr>
        <w:t xml:space="preserve">Financial Metric PRSUs. </w:t>
      </w:r>
      <w:r>
        <w:rPr>
          <w:rFonts w:ascii="Arial" w:cs="Arial" w:eastAsia="Arial" w:hAnsi="Arial"/>
          <w:sz w:val="15"/>
          <w:szCs w:val="15"/>
          <w:color w:val="000000"/>
        </w:rPr>
        <w:t>Beginning in fiscal 2019, the Compensation Committee has included financial metric PRSUs, based on non-GAAP</w:t>
      </w:r>
      <w:r>
        <w:rPr>
          <w:rFonts w:ascii="Arial" w:cs="Arial" w:eastAsia="Arial" w:hAnsi="Arial"/>
          <w:sz w:val="15"/>
          <w:szCs w:val="15"/>
          <w:b w:val="1"/>
          <w:bCs w:val="1"/>
          <w:color w:val="0066BA"/>
        </w:rPr>
        <w:t xml:space="preserve"> </w:t>
      </w:r>
      <w:r>
        <w:rPr>
          <w:rFonts w:ascii="Arial" w:cs="Arial" w:eastAsia="Arial" w:hAnsi="Arial"/>
          <w:sz w:val="15"/>
          <w:szCs w:val="15"/>
          <w:color w:val="000000"/>
        </w:rPr>
        <w:t>operating profit in dollars, for our executives to incentivize long-term profitable growth measured over one-year, two-year cumulative and three-year cumulative time periods. The Compensation Committee selected this metric because it is a key measure that executives use both internally to drive business decisions and externally when speaking to investors about Company results and progress against execution of the Company’s strategy. The number of shares of ADI common stock received by an executive officer following vesting of the financial metric PRSUs will range from 0% to a maximum of 200% of the target amount based on the Company’s one-year, two-year cumulative and three-year cumulative non-GAAP OPBT targets set by the Compensation Committee, measured as a dollar value. The Compensation Committee will determine the level of achievement of each tranche of financial metric PRSUs after the completion of each of the one-year, two-year cumulative and three-year cumulative performance periods. After such determination, the number of shares of ADI common stock earned by an executive remains subject to a time-based service requirement and will vest on the third anniversary of the grant date, subject to the executive’s employment through such date.</w:t>
      </w:r>
    </w:p>
    <w:p>
      <w:pPr>
        <w:spacing w:after="0" w:line="5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December 2020, the Compensation Committee determined the level of achievement of the current financial metrics PRSU grants as follows:</w:t>
      </w:r>
    </w:p>
    <w:p>
      <w:pPr>
        <w:spacing w:after="0" w:line="122" w:lineRule="exact"/>
        <w:rPr>
          <w:sz w:val="20"/>
          <w:szCs w:val="20"/>
          <w:color w:val="auto"/>
        </w:rPr>
      </w:pPr>
    </w:p>
    <w:p>
      <w:pPr>
        <w:ind w:left="480" w:right="20"/>
        <w:spacing w:after="0" w:line="268" w:lineRule="auto"/>
        <w:rPr>
          <w:sz w:val="20"/>
          <w:szCs w:val="20"/>
          <w:color w:val="auto"/>
        </w:rPr>
      </w:pPr>
      <w:r>
        <w:rPr>
          <w:rFonts w:ascii="Arial" w:cs="Arial" w:eastAsia="Arial" w:hAnsi="Arial"/>
          <w:sz w:val="17"/>
          <w:szCs w:val="17"/>
          <w:b w:val="1"/>
          <w:bCs w:val="1"/>
          <w:color w:val="auto"/>
        </w:rPr>
        <w:t xml:space="preserve">2019-2021 Financial Metric PRSUs: </w:t>
      </w:r>
      <w:r>
        <w:rPr>
          <w:rFonts w:ascii="Arial" w:cs="Arial" w:eastAsia="Arial" w:hAnsi="Arial"/>
          <w:sz w:val="17"/>
          <w:szCs w:val="17"/>
          <w:color w:val="auto"/>
        </w:rPr>
        <w:t>The targets were set at the beginning of fiscal 2019, and the awards were granted in March 2019.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Committee reviewed the achievement of the second tranche of these awards, covering the two-year cumulative non-GAAP operating profit for fiscal 2019 and fiscal 2020, and determined that the attainment threshold had not been met, resulting in 0 shares being earned by the Company’s executives under this incentive compensation vehicle for that period.</w:t>
      </w:r>
    </w:p>
    <w:p>
      <w:pPr>
        <w:spacing w:after="0" w:line="64" w:lineRule="exact"/>
        <w:rPr>
          <w:sz w:val="20"/>
          <w:szCs w:val="20"/>
          <w:color w:val="auto"/>
        </w:rPr>
      </w:pPr>
    </w:p>
    <w:p>
      <w:pPr>
        <w:ind w:left="480" w:right="380"/>
        <w:spacing w:after="0" w:line="285" w:lineRule="auto"/>
        <w:rPr>
          <w:sz w:val="20"/>
          <w:szCs w:val="20"/>
          <w:color w:val="auto"/>
        </w:rPr>
      </w:pPr>
      <w:r>
        <w:rPr>
          <w:rFonts w:ascii="Arial" w:cs="Arial" w:eastAsia="Arial" w:hAnsi="Arial"/>
          <w:sz w:val="16"/>
          <w:szCs w:val="16"/>
          <w:b w:val="1"/>
          <w:bCs w:val="1"/>
          <w:color w:val="auto"/>
        </w:rPr>
        <w:t xml:space="preserve">2020-2022 Financial Metric PRSUs: </w:t>
      </w:r>
      <w:r>
        <w:rPr>
          <w:rFonts w:ascii="Arial" w:cs="Arial" w:eastAsia="Arial" w:hAnsi="Arial"/>
          <w:sz w:val="16"/>
          <w:szCs w:val="16"/>
          <w:color w:val="auto"/>
        </w:rPr>
        <w:t>The targets were set at the beginning of fiscal 2020, and the awards were granted in March 2020.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reviewed the achievement of the first tranche of these awards, covering the one year non-GAAP operating profit for fiscal 2020, and determined that with a non-GAAP operating profit of $2.234 billion which was above the non-GAAP operating profit target attainment level of $2.143 billion and below the non-GAAP operating profit maximum attainment level of $2.250 billion, 185% of the shares subject to the first tranche were earned by the Company’s executives under this incentive compensation vehicle for that period.</w:t>
      </w:r>
    </w:p>
    <w:p>
      <w:pPr>
        <w:spacing w:after="0" w:line="52" w:lineRule="exact"/>
        <w:rPr>
          <w:sz w:val="20"/>
          <w:szCs w:val="20"/>
          <w:color w:val="auto"/>
        </w:rPr>
      </w:pPr>
    </w:p>
    <w:p>
      <w:pPr>
        <w:ind w:left="480" w:right="100"/>
        <w:spacing w:after="0" w:line="293" w:lineRule="auto"/>
        <w:rPr>
          <w:sz w:val="20"/>
          <w:szCs w:val="20"/>
          <w:color w:val="auto"/>
        </w:rPr>
      </w:pPr>
      <w:r>
        <w:rPr>
          <w:rFonts w:ascii="Arial" w:cs="Arial" w:eastAsia="Arial" w:hAnsi="Arial"/>
          <w:sz w:val="17"/>
          <w:szCs w:val="17"/>
          <w:b w:val="1"/>
          <w:bCs w:val="1"/>
          <w:color w:val="0066BA"/>
        </w:rPr>
        <w:t xml:space="preserve">Stock Options. </w:t>
      </w:r>
      <w:r>
        <w:rPr>
          <w:rFonts w:ascii="Arial" w:cs="Arial" w:eastAsia="Arial" w:hAnsi="Arial"/>
          <w:sz w:val="17"/>
          <w:szCs w:val="17"/>
          <w:color w:val="000000"/>
        </w:rPr>
        <w:t>We use stock options as a way to reward long-term value creation. Stock options granted to the NEOs in fiscal 2020 will vest 25%</w:t>
      </w:r>
      <w:r>
        <w:rPr>
          <w:rFonts w:ascii="Arial" w:cs="Arial" w:eastAsia="Arial" w:hAnsi="Arial"/>
          <w:sz w:val="17"/>
          <w:szCs w:val="17"/>
          <w:b w:val="1"/>
          <w:bCs w:val="1"/>
          <w:color w:val="0066BA"/>
        </w:rPr>
        <w:t xml:space="preserve"> </w:t>
      </w:r>
      <w:r>
        <w:rPr>
          <w:rFonts w:ascii="Arial" w:cs="Arial" w:eastAsia="Arial" w:hAnsi="Arial"/>
          <w:sz w:val="17"/>
          <w:szCs w:val="17"/>
          <w:color w:val="000000"/>
        </w:rPr>
        <w:t>per year on each of the first four anniversaries of March 15, 2020 and are subject to a 10 year term.</w:t>
      </w:r>
    </w:p>
    <w:p>
      <w:pPr>
        <w:spacing w:after="0" w:line="43" w:lineRule="exact"/>
        <w:rPr>
          <w:sz w:val="20"/>
          <w:szCs w:val="20"/>
          <w:color w:val="auto"/>
        </w:rPr>
      </w:pPr>
    </w:p>
    <w:p>
      <w:pPr>
        <w:ind w:left="480" w:right="180"/>
        <w:spacing w:after="0" w:line="268" w:lineRule="auto"/>
        <w:rPr>
          <w:sz w:val="20"/>
          <w:szCs w:val="20"/>
          <w:color w:val="auto"/>
        </w:rPr>
      </w:pPr>
      <w:r>
        <w:rPr>
          <w:rFonts w:ascii="Arial" w:cs="Arial" w:eastAsia="Arial" w:hAnsi="Arial"/>
          <w:sz w:val="17"/>
          <w:szCs w:val="17"/>
          <w:b w:val="1"/>
          <w:bCs w:val="1"/>
          <w:color w:val="0066BA"/>
        </w:rPr>
        <w:t xml:space="preserve">Time-Based RSUs. </w:t>
      </w:r>
      <w:r>
        <w:rPr>
          <w:rFonts w:ascii="Arial" w:cs="Arial" w:eastAsia="Arial" w:hAnsi="Arial"/>
          <w:sz w:val="17"/>
          <w:szCs w:val="17"/>
          <w:color w:val="000000"/>
        </w:rPr>
        <w:t>In a volatile stock market, time-based RSUs continue to provide value when stock options may not, which the Compensation</w:t>
      </w:r>
      <w:r>
        <w:rPr>
          <w:rFonts w:ascii="Arial" w:cs="Arial" w:eastAsia="Arial" w:hAnsi="Arial"/>
          <w:sz w:val="17"/>
          <w:szCs w:val="17"/>
          <w:b w:val="1"/>
          <w:bCs w:val="1"/>
          <w:color w:val="0066BA"/>
        </w:rPr>
        <w:t xml:space="preserve"> </w:t>
      </w:r>
      <w:r>
        <w:rPr>
          <w:rFonts w:ascii="Arial" w:cs="Arial" w:eastAsia="Arial" w:hAnsi="Arial"/>
          <w:sz w:val="17"/>
          <w:szCs w:val="17"/>
          <w:color w:val="000000"/>
        </w:rPr>
        <w:t>Committee believes will be useful in retaining talented executives and employees in uncertain economic times. In this way, we use time-based RSUs as a retention tool and to enable our executives to accumulate stock ownership in the Company. Time-based RSUs granted to the NEOs in fiscal 2020 will vest 25% per year on each of the first four anniversaries of March 15, 2020.</w:t>
      </w:r>
    </w:p>
    <w:p>
      <w:pPr>
        <w:spacing w:after="0" w:line="26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333333"/>
        </w:rPr>
        <w:t>Equity Awards Granted in Fiscal 2020</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fiscal 2020, the Compensation Committee granted equity awards to our NEOs as follows:</w:t>
      </w:r>
    </w:p>
    <w:p>
      <w:pPr>
        <w:spacing w:after="0" w:line="245"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368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Name</w:t>
            </w:r>
          </w:p>
        </w:tc>
        <w:tc>
          <w:tcPr>
            <w:tcW w:w="1220" w:type="dxa"/>
            <w:vAlign w:val="bottom"/>
            <w:shd w:val="clear" w:color="auto" w:fill="0066BA"/>
          </w:tcPr>
          <w:p>
            <w:pPr>
              <w:jc w:val="right"/>
              <w:ind w:right="98"/>
              <w:spacing w:after="0"/>
              <w:rPr>
                <w:sz w:val="20"/>
                <w:szCs w:val="20"/>
                <w:color w:val="auto"/>
              </w:rPr>
            </w:pPr>
            <w:r>
              <w:rPr>
                <w:rFonts w:ascii="Arial" w:cs="Arial" w:eastAsia="Arial" w:hAnsi="Arial"/>
                <w:sz w:val="14"/>
                <w:szCs w:val="14"/>
                <w:b w:val="1"/>
                <w:bCs w:val="1"/>
                <w:color w:val="FFFFFF"/>
              </w:rPr>
              <w:t>Stock</w:t>
            </w:r>
          </w:p>
        </w:tc>
        <w:tc>
          <w:tcPr>
            <w:tcW w:w="1240" w:type="dxa"/>
            <w:vAlign w:val="bottom"/>
            <w:shd w:val="clear" w:color="auto" w:fill="0066BA"/>
          </w:tcPr>
          <w:p>
            <w:pPr>
              <w:jc w:val="right"/>
              <w:ind w:right="120"/>
              <w:spacing w:after="0"/>
              <w:rPr>
                <w:sz w:val="20"/>
                <w:szCs w:val="20"/>
                <w:color w:val="auto"/>
              </w:rPr>
            </w:pPr>
            <w:r>
              <w:rPr>
                <w:rFonts w:ascii="Arial" w:cs="Arial" w:eastAsia="Arial" w:hAnsi="Arial"/>
                <w:sz w:val="14"/>
                <w:szCs w:val="14"/>
                <w:b w:val="1"/>
                <w:bCs w:val="1"/>
                <w:color w:val="FFFFFF"/>
              </w:rPr>
              <w:t>Time-</w:t>
            </w:r>
          </w:p>
        </w:tc>
        <w:tc>
          <w:tcPr>
            <w:tcW w:w="1220" w:type="dxa"/>
            <w:vAlign w:val="bottom"/>
            <w:shd w:val="clear" w:color="auto" w:fill="0066BA"/>
          </w:tcPr>
          <w:p>
            <w:pPr>
              <w:jc w:val="right"/>
              <w:ind w:right="120"/>
              <w:spacing w:after="0"/>
              <w:rPr>
                <w:sz w:val="20"/>
                <w:szCs w:val="20"/>
                <w:color w:val="auto"/>
              </w:rPr>
            </w:pPr>
            <w:r>
              <w:rPr>
                <w:rFonts w:ascii="Arial" w:cs="Arial" w:eastAsia="Arial" w:hAnsi="Arial"/>
                <w:sz w:val="14"/>
                <w:szCs w:val="14"/>
                <w:b w:val="1"/>
                <w:bCs w:val="1"/>
                <w:color w:val="FFFFFF"/>
              </w:rPr>
              <w:t>Relative</w:t>
            </w:r>
          </w:p>
        </w:tc>
        <w:tc>
          <w:tcPr>
            <w:tcW w:w="1300" w:type="dxa"/>
            <w:vAlign w:val="bottom"/>
            <w:shd w:val="clear" w:color="auto" w:fill="0066BA"/>
          </w:tcPr>
          <w:p>
            <w:pPr>
              <w:jc w:val="right"/>
              <w:ind w:right="100"/>
              <w:spacing w:after="0"/>
              <w:rPr>
                <w:sz w:val="20"/>
                <w:szCs w:val="20"/>
                <w:color w:val="auto"/>
              </w:rPr>
            </w:pPr>
            <w:r>
              <w:rPr>
                <w:rFonts w:ascii="Arial" w:cs="Arial" w:eastAsia="Arial" w:hAnsi="Arial"/>
                <w:sz w:val="14"/>
                <w:szCs w:val="14"/>
                <w:b w:val="1"/>
                <w:bCs w:val="1"/>
                <w:color w:val="FFFFFF"/>
              </w:rPr>
              <w:t>Financial</w:t>
            </w:r>
          </w:p>
        </w:tc>
        <w:tc>
          <w:tcPr>
            <w:tcW w:w="1620" w:type="dxa"/>
            <w:vAlign w:val="bottom"/>
            <w:shd w:val="clear" w:color="auto" w:fill="0066BA"/>
          </w:tcPr>
          <w:p>
            <w:pPr>
              <w:jc w:val="right"/>
              <w:ind w:right="100"/>
              <w:spacing w:after="0"/>
              <w:rPr>
                <w:sz w:val="20"/>
                <w:szCs w:val="20"/>
                <w:color w:val="auto"/>
              </w:rPr>
            </w:pPr>
            <w:r>
              <w:rPr>
                <w:rFonts w:ascii="Arial" w:cs="Arial" w:eastAsia="Arial" w:hAnsi="Arial"/>
                <w:sz w:val="14"/>
                <w:szCs w:val="14"/>
                <w:b w:val="1"/>
                <w:bCs w:val="1"/>
                <w:color w:val="FFFFFF"/>
              </w:rPr>
              <w:t>Total Grant</w:t>
            </w:r>
          </w:p>
        </w:tc>
      </w:tr>
      <w:tr>
        <w:trPr>
          <w:trHeight w:val="156"/>
        </w:trPr>
        <w:tc>
          <w:tcPr>
            <w:tcW w:w="3680" w:type="dxa"/>
            <w:vAlign w:val="bottom"/>
            <w:shd w:val="clear" w:color="auto" w:fill="0066BA"/>
          </w:tcPr>
          <w:p>
            <w:pPr>
              <w:spacing w:after="0"/>
              <w:rPr>
                <w:sz w:val="13"/>
                <w:szCs w:val="13"/>
                <w:color w:val="auto"/>
              </w:rPr>
            </w:pPr>
          </w:p>
        </w:tc>
        <w:tc>
          <w:tcPr>
            <w:tcW w:w="1220" w:type="dxa"/>
            <w:vAlign w:val="bottom"/>
            <w:shd w:val="clear" w:color="auto" w:fill="0066BA"/>
          </w:tcPr>
          <w:p>
            <w:pPr>
              <w:jc w:val="right"/>
              <w:ind w:right="98"/>
              <w:spacing w:after="0" w:line="156" w:lineRule="exact"/>
              <w:rPr>
                <w:sz w:val="20"/>
                <w:szCs w:val="20"/>
                <w:color w:val="auto"/>
              </w:rPr>
            </w:pPr>
            <w:r>
              <w:rPr>
                <w:rFonts w:ascii="Arial" w:cs="Arial" w:eastAsia="Arial" w:hAnsi="Arial"/>
                <w:sz w:val="14"/>
                <w:szCs w:val="14"/>
                <w:b w:val="1"/>
                <w:bCs w:val="1"/>
                <w:color w:val="FFFFFF"/>
              </w:rPr>
              <w:t>Options</w:t>
            </w:r>
          </w:p>
        </w:tc>
        <w:tc>
          <w:tcPr>
            <w:tcW w:w="1240" w:type="dxa"/>
            <w:vAlign w:val="bottom"/>
            <w:shd w:val="clear" w:color="auto" w:fill="0066BA"/>
          </w:tcPr>
          <w:p>
            <w:pPr>
              <w:jc w:val="right"/>
              <w:ind w:right="120"/>
              <w:spacing w:after="0" w:line="156" w:lineRule="exact"/>
              <w:rPr>
                <w:sz w:val="20"/>
                <w:szCs w:val="20"/>
                <w:color w:val="auto"/>
              </w:rPr>
            </w:pPr>
            <w:r>
              <w:rPr>
                <w:rFonts w:ascii="Arial" w:cs="Arial" w:eastAsia="Arial" w:hAnsi="Arial"/>
                <w:sz w:val="14"/>
                <w:szCs w:val="14"/>
                <w:b w:val="1"/>
                <w:bCs w:val="1"/>
                <w:color w:val="FFFFFF"/>
              </w:rPr>
              <w:t>based</w:t>
            </w:r>
          </w:p>
        </w:tc>
        <w:tc>
          <w:tcPr>
            <w:tcW w:w="1220" w:type="dxa"/>
            <w:vAlign w:val="bottom"/>
            <w:shd w:val="clear" w:color="auto" w:fill="0066BA"/>
          </w:tcPr>
          <w:p>
            <w:pPr>
              <w:jc w:val="right"/>
              <w:ind w:right="120"/>
              <w:spacing w:after="0" w:line="156" w:lineRule="exact"/>
              <w:rPr>
                <w:sz w:val="20"/>
                <w:szCs w:val="20"/>
                <w:color w:val="auto"/>
              </w:rPr>
            </w:pPr>
            <w:r>
              <w:rPr>
                <w:rFonts w:ascii="Arial" w:cs="Arial" w:eastAsia="Arial" w:hAnsi="Arial"/>
                <w:sz w:val="14"/>
                <w:szCs w:val="14"/>
                <w:b w:val="1"/>
                <w:bCs w:val="1"/>
                <w:color w:val="FFFFFF"/>
              </w:rPr>
              <w:t>TSR</w:t>
            </w:r>
          </w:p>
        </w:tc>
        <w:tc>
          <w:tcPr>
            <w:tcW w:w="1300" w:type="dxa"/>
            <w:vAlign w:val="bottom"/>
            <w:shd w:val="clear" w:color="auto" w:fill="0066BA"/>
          </w:tcPr>
          <w:p>
            <w:pPr>
              <w:jc w:val="right"/>
              <w:ind w:right="100"/>
              <w:spacing w:after="0" w:line="156" w:lineRule="exact"/>
              <w:rPr>
                <w:sz w:val="20"/>
                <w:szCs w:val="20"/>
                <w:color w:val="auto"/>
              </w:rPr>
            </w:pPr>
            <w:r>
              <w:rPr>
                <w:rFonts w:ascii="Arial" w:cs="Arial" w:eastAsia="Arial" w:hAnsi="Arial"/>
                <w:sz w:val="14"/>
                <w:szCs w:val="14"/>
                <w:b w:val="1"/>
                <w:bCs w:val="1"/>
                <w:color w:val="FFFFFF"/>
              </w:rPr>
              <w:t>Metric</w:t>
            </w:r>
          </w:p>
        </w:tc>
        <w:tc>
          <w:tcPr>
            <w:tcW w:w="1620" w:type="dxa"/>
            <w:vAlign w:val="bottom"/>
            <w:shd w:val="clear" w:color="auto" w:fill="0066BA"/>
          </w:tcPr>
          <w:p>
            <w:pPr>
              <w:jc w:val="right"/>
              <w:ind w:right="100"/>
              <w:spacing w:after="0" w:line="156" w:lineRule="exact"/>
              <w:rPr>
                <w:sz w:val="20"/>
                <w:szCs w:val="20"/>
                <w:color w:val="auto"/>
              </w:rPr>
            </w:pPr>
            <w:r>
              <w:rPr>
                <w:rFonts w:ascii="Arial" w:cs="Arial" w:eastAsia="Arial" w:hAnsi="Arial"/>
                <w:sz w:val="14"/>
                <w:szCs w:val="14"/>
                <w:b w:val="1"/>
                <w:bCs w:val="1"/>
                <w:color w:val="FFFFFF"/>
              </w:rPr>
              <w:t>Date</w:t>
            </w:r>
          </w:p>
        </w:tc>
      </w:tr>
      <w:tr>
        <w:trPr>
          <w:trHeight w:val="187"/>
        </w:trPr>
        <w:tc>
          <w:tcPr>
            <w:tcW w:w="3680" w:type="dxa"/>
            <w:vAlign w:val="bottom"/>
            <w:tcBorders>
              <w:bottom w:val="single" w:sz="8" w:color="0066BA"/>
            </w:tcBorders>
            <w:shd w:val="clear" w:color="auto" w:fill="0066BA"/>
          </w:tcPr>
          <w:p>
            <w:pPr>
              <w:spacing w:after="0"/>
              <w:rPr>
                <w:sz w:val="16"/>
                <w:szCs w:val="16"/>
                <w:color w:val="auto"/>
              </w:rPr>
            </w:pPr>
          </w:p>
        </w:tc>
        <w:tc>
          <w:tcPr>
            <w:tcW w:w="1220" w:type="dxa"/>
            <w:vAlign w:val="bottom"/>
            <w:tcBorders>
              <w:bottom w:val="single" w:sz="8" w:color="0066BA"/>
            </w:tcBorders>
            <w:shd w:val="clear" w:color="auto" w:fill="0066BA"/>
          </w:tcPr>
          <w:p>
            <w:pPr>
              <w:spacing w:after="0"/>
              <w:rPr>
                <w:sz w:val="16"/>
                <w:szCs w:val="16"/>
                <w:color w:val="auto"/>
              </w:rPr>
            </w:pPr>
          </w:p>
        </w:tc>
        <w:tc>
          <w:tcPr>
            <w:tcW w:w="1240" w:type="dxa"/>
            <w:vAlign w:val="bottom"/>
            <w:tcBorders>
              <w:bottom w:val="single" w:sz="8" w:color="0066BA"/>
            </w:tcBorders>
            <w:shd w:val="clear" w:color="auto" w:fill="0066BA"/>
          </w:tcPr>
          <w:p>
            <w:pPr>
              <w:jc w:val="right"/>
              <w:ind w:right="120"/>
              <w:spacing w:after="0"/>
              <w:rPr>
                <w:sz w:val="20"/>
                <w:szCs w:val="20"/>
                <w:color w:val="auto"/>
              </w:rPr>
            </w:pPr>
            <w:r>
              <w:rPr>
                <w:rFonts w:ascii="Arial" w:cs="Arial" w:eastAsia="Arial" w:hAnsi="Arial"/>
                <w:sz w:val="14"/>
                <w:szCs w:val="14"/>
                <w:b w:val="1"/>
                <w:bCs w:val="1"/>
                <w:color w:val="FFFFFF"/>
              </w:rPr>
              <w:t>RSUs</w:t>
            </w:r>
          </w:p>
        </w:tc>
        <w:tc>
          <w:tcPr>
            <w:tcW w:w="1220" w:type="dxa"/>
            <w:vAlign w:val="bottom"/>
            <w:tcBorders>
              <w:bottom w:val="single" w:sz="8" w:color="0066BA"/>
            </w:tcBorders>
            <w:shd w:val="clear" w:color="auto" w:fill="0066BA"/>
          </w:tcPr>
          <w:p>
            <w:pPr>
              <w:jc w:val="right"/>
              <w:ind w:right="120"/>
              <w:spacing w:after="0"/>
              <w:rPr>
                <w:sz w:val="20"/>
                <w:szCs w:val="20"/>
                <w:color w:val="auto"/>
              </w:rPr>
            </w:pPr>
            <w:r>
              <w:rPr>
                <w:rFonts w:ascii="Arial" w:cs="Arial" w:eastAsia="Arial" w:hAnsi="Arial"/>
                <w:sz w:val="14"/>
                <w:szCs w:val="14"/>
                <w:b w:val="1"/>
                <w:bCs w:val="1"/>
                <w:color w:val="FFFFFF"/>
              </w:rPr>
              <w:t>PRSUs</w:t>
            </w:r>
          </w:p>
        </w:tc>
        <w:tc>
          <w:tcPr>
            <w:tcW w:w="1300" w:type="dxa"/>
            <w:vAlign w:val="bottom"/>
            <w:tcBorders>
              <w:bottom w:val="single" w:sz="8" w:color="0066BA"/>
            </w:tcBorders>
            <w:shd w:val="clear" w:color="auto" w:fill="0066BA"/>
          </w:tcPr>
          <w:p>
            <w:pPr>
              <w:jc w:val="right"/>
              <w:ind w:right="100"/>
              <w:spacing w:after="0"/>
              <w:rPr>
                <w:sz w:val="20"/>
                <w:szCs w:val="20"/>
                <w:color w:val="auto"/>
              </w:rPr>
            </w:pPr>
            <w:r>
              <w:rPr>
                <w:rFonts w:ascii="Arial" w:cs="Arial" w:eastAsia="Arial" w:hAnsi="Arial"/>
                <w:sz w:val="14"/>
                <w:szCs w:val="14"/>
                <w:b w:val="1"/>
                <w:bCs w:val="1"/>
                <w:color w:val="FFFFFF"/>
              </w:rPr>
              <w:t>PRSUs</w:t>
            </w:r>
          </w:p>
        </w:tc>
        <w:tc>
          <w:tcPr>
            <w:tcW w:w="1620" w:type="dxa"/>
            <w:vAlign w:val="bottom"/>
            <w:tcBorders>
              <w:bottom w:val="single" w:sz="8" w:color="0066BA"/>
            </w:tcBorders>
            <w:shd w:val="clear" w:color="auto" w:fill="0066BA"/>
          </w:tcPr>
          <w:p>
            <w:pPr>
              <w:jc w:val="right"/>
              <w:ind w:right="100"/>
              <w:spacing w:after="0"/>
              <w:rPr>
                <w:sz w:val="20"/>
                <w:szCs w:val="20"/>
                <w:color w:val="auto"/>
              </w:rPr>
            </w:pPr>
            <w:r>
              <w:rPr>
                <w:rFonts w:ascii="Arial" w:cs="Arial" w:eastAsia="Arial" w:hAnsi="Arial"/>
                <w:sz w:val="14"/>
                <w:szCs w:val="14"/>
                <w:b w:val="1"/>
                <w:bCs w:val="1"/>
                <w:color w:val="FFFFFF"/>
              </w:rPr>
              <w:t>Fair Value</w:t>
            </w:r>
          </w:p>
        </w:tc>
      </w:tr>
      <w:tr>
        <w:trPr>
          <w:trHeight w:val="260"/>
        </w:trPr>
        <w:tc>
          <w:tcPr>
            <w:tcW w:w="3680" w:type="dxa"/>
            <w:vAlign w:val="bottom"/>
          </w:tcPr>
          <w:p>
            <w:pPr>
              <w:ind w:left="60"/>
              <w:spacing w:after="0"/>
              <w:rPr>
                <w:sz w:val="20"/>
                <w:szCs w:val="20"/>
                <w:color w:val="auto"/>
              </w:rPr>
            </w:pPr>
            <w:r>
              <w:rPr>
                <w:rFonts w:ascii="Arial" w:cs="Arial" w:eastAsia="Arial" w:hAnsi="Arial"/>
                <w:sz w:val="17"/>
                <w:szCs w:val="17"/>
                <w:b w:val="1"/>
                <w:bCs w:val="1"/>
                <w:color w:val="0066BA"/>
              </w:rPr>
              <w:t>Vincent Roche</w:t>
            </w:r>
          </w:p>
        </w:tc>
        <w:tc>
          <w:tcPr>
            <w:tcW w:w="1220" w:type="dxa"/>
            <w:vAlign w:val="bottom"/>
            <w:tcBorders>
              <w:bottom w:val="single" w:sz="8" w:color="EAEAEA"/>
            </w:tcBorders>
            <w:shd w:val="clear" w:color="auto" w:fill="EAEAEA"/>
          </w:tcPr>
          <w:p>
            <w:pPr>
              <w:jc w:val="right"/>
              <w:ind w:right="98"/>
              <w:spacing w:after="0"/>
              <w:rPr>
                <w:sz w:val="20"/>
                <w:szCs w:val="20"/>
                <w:color w:val="auto"/>
              </w:rPr>
            </w:pPr>
            <w:r>
              <w:rPr>
                <w:rFonts w:ascii="Arial" w:cs="Arial" w:eastAsia="Arial" w:hAnsi="Arial"/>
                <w:sz w:val="17"/>
                <w:szCs w:val="17"/>
                <w:color w:val="auto"/>
              </w:rPr>
              <w:t>134,620</w:t>
            </w:r>
          </w:p>
        </w:tc>
        <w:tc>
          <w:tcPr>
            <w:tcW w:w="1240" w:type="dxa"/>
            <w:vAlign w:val="bottom"/>
          </w:tcPr>
          <w:p>
            <w:pPr>
              <w:jc w:val="right"/>
              <w:ind w:right="120"/>
              <w:spacing w:after="0"/>
              <w:rPr>
                <w:sz w:val="20"/>
                <w:szCs w:val="20"/>
                <w:color w:val="auto"/>
              </w:rPr>
            </w:pPr>
            <w:r>
              <w:rPr>
                <w:rFonts w:ascii="Arial" w:cs="Arial" w:eastAsia="Arial" w:hAnsi="Arial"/>
                <w:sz w:val="17"/>
                <w:szCs w:val="17"/>
                <w:color w:val="auto"/>
              </w:rPr>
              <w:t>27,368</w:t>
            </w:r>
          </w:p>
        </w:tc>
        <w:tc>
          <w:tcPr>
            <w:tcW w:w="1220" w:type="dxa"/>
            <w:vAlign w:val="bottom"/>
            <w:tcBorders>
              <w:bottom w:val="single" w:sz="8" w:color="EAEAEA"/>
            </w:tcBorders>
            <w:shd w:val="clear" w:color="auto" w:fill="EAEAEA"/>
          </w:tcPr>
          <w:p>
            <w:pPr>
              <w:jc w:val="right"/>
              <w:ind w:right="120"/>
              <w:spacing w:after="0"/>
              <w:rPr>
                <w:sz w:val="20"/>
                <w:szCs w:val="20"/>
                <w:color w:val="auto"/>
              </w:rPr>
            </w:pPr>
            <w:r>
              <w:rPr>
                <w:rFonts w:ascii="Arial" w:cs="Arial" w:eastAsia="Arial" w:hAnsi="Arial"/>
                <w:sz w:val="17"/>
                <w:szCs w:val="17"/>
                <w:color w:val="auto"/>
              </w:rPr>
              <w:t>27,368</w:t>
            </w:r>
          </w:p>
        </w:tc>
        <w:tc>
          <w:tcPr>
            <w:tcW w:w="1300" w:type="dxa"/>
            <w:vAlign w:val="bottom"/>
          </w:tcPr>
          <w:p>
            <w:pPr>
              <w:jc w:val="right"/>
              <w:ind w:right="100"/>
              <w:spacing w:after="0"/>
              <w:rPr>
                <w:sz w:val="20"/>
                <w:szCs w:val="20"/>
                <w:color w:val="auto"/>
              </w:rPr>
            </w:pPr>
            <w:r>
              <w:rPr>
                <w:rFonts w:ascii="Arial" w:cs="Arial" w:eastAsia="Arial" w:hAnsi="Arial"/>
                <w:sz w:val="17"/>
                <w:szCs w:val="17"/>
                <w:color w:val="auto"/>
              </w:rPr>
              <w:t>27,368</w:t>
            </w:r>
          </w:p>
        </w:tc>
        <w:tc>
          <w:tcPr>
            <w:tcW w:w="1620" w:type="dxa"/>
            <w:vAlign w:val="bottom"/>
            <w:tcBorders>
              <w:bottom w:val="single" w:sz="8" w:color="EAEAEA"/>
            </w:tcBorders>
            <w:shd w:val="clear" w:color="auto" w:fill="EAEAEA"/>
          </w:tcPr>
          <w:p>
            <w:pPr>
              <w:jc w:val="right"/>
              <w:ind w:right="100"/>
              <w:spacing w:after="0"/>
              <w:rPr>
                <w:sz w:val="20"/>
                <w:szCs w:val="20"/>
                <w:color w:val="auto"/>
              </w:rPr>
            </w:pPr>
            <w:r>
              <w:rPr>
                <w:rFonts w:ascii="Arial" w:cs="Arial" w:eastAsia="Arial" w:hAnsi="Arial"/>
                <w:sz w:val="17"/>
                <w:szCs w:val="17"/>
                <w:color w:val="auto"/>
              </w:rPr>
              <w:t>$9,990,987</w:t>
            </w:r>
          </w:p>
        </w:tc>
      </w:tr>
      <w:tr>
        <w:trPr>
          <w:trHeight w:val="240"/>
        </w:trPr>
        <w:tc>
          <w:tcPr>
            <w:tcW w:w="368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Prashanth Mahendra-Rajah</w:t>
            </w:r>
          </w:p>
        </w:tc>
        <w:tc>
          <w:tcPr>
            <w:tcW w:w="1220" w:type="dxa"/>
            <w:vAlign w:val="bottom"/>
            <w:tcBorders>
              <w:top w:val="single" w:sz="8" w:color="auto"/>
              <w:bottom w:val="single" w:sz="8" w:color="EAEAEA"/>
            </w:tcBorders>
            <w:shd w:val="clear" w:color="auto" w:fill="EAEAEA"/>
          </w:tcPr>
          <w:p>
            <w:pPr>
              <w:jc w:val="right"/>
              <w:ind w:right="98"/>
              <w:spacing w:after="0"/>
              <w:rPr>
                <w:sz w:val="20"/>
                <w:szCs w:val="20"/>
                <w:color w:val="auto"/>
              </w:rPr>
            </w:pPr>
            <w:r>
              <w:rPr>
                <w:rFonts w:ascii="Arial" w:cs="Arial" w:eastAsia="Arial" w:hAnsi="Arial"/>
                <w:sz w:val="17"/>
                <w:szCs w:val="17"/>
                <w:color w:val="auto"/>
              </w:rPr>
              <w:t>35,001</w:t>
            </w:r>
          </w:p>
        </w:tc>
        <w:tc>
          <w:tcPr>
            <w:tcW w:w="1240" w:type="dxa"/>
            <w:vAlign w:val="bottom"/>
            <w:tcBorders>
              <w:top w:val="single" w:sz="8" w:color="auto"/>
            </w:tcBorders>
          </w:tcPr>
          <w:p>
            <w:pPr>
              <w:jc w:val="right"/>
              <w:ind w:right="120"/>
              <w:spacing w:after="0"/>
              <w:rPr>
                <w:sz w:val="20"/>
                <w:szCs w:val="20"/>
                <w:color w:val="auto"/>
              </w:rPr>
            </w:pPr>
            <w:r>
              <w:rPr>
                <w:rFonts w:ascii="Arial" w:cs="Arial" w:eastAsia="Arial" w:hAnsi="Arial"/>
                <w:sz w:val="17"/>
                <w:szCs w:val="17"/>
                <w:color w:val="auto"/>
              </w:rPr>
              <w:t>7,116</w:t>
            </w:r>
          </w:p>
        </w:tc>
        <w:tc>
          <w:tcPr>
            <w:tcW w:w="1220" w:type="dxa"/>
            <w:vAlign w:val="bottom"/>
            <w:tcBorders>
              <w:top w:val="single" w:sz="8" w:color="auto"/>
              <w:bottom w:val="single" w:sz="8" w:color="EAEAEA"/>
            </w:tcBorders>
            <w:shd w:val="clear" w:color="auto" w:fill="EAEAEA"/>
          </w:tcPr>
          <w:p>
            <w:pPr>
              <w:jc w:val="right"/>
              <w:ind w:right="120"/>
              <w:spacing w:after="0"/>
              <w:rPr>
                <w:sz w:val="20"/>
                <w:szCs w:val="20"/>
                <w:color w:val="auto"/>
              </w:rPr>
            </w:pPr>
            <w:r>
              <w:rPr>
                <w:rFonts w:ascii="Arial" w:cs="Arial" w:eastAsia="Arial" w:hAnsi="Arial"/>
                <w:sz w:val="17"/>
                <w:szCs w:val="17"/>
                <w:color w:val="auto"/>
              </w:rPr>
              <w:t>7,116</w:t>
            </w:r>
          </w:p>
        </w:tc>
        <w:tc>
          <w:tcPr>
            <w:tcW w:w="1300" w:type="dxa"/>
            <w:vAlign w:val="bottom"/>
            <w:tcBorders>
              <w:top w:val="single" w:sz="8" w:color="auto"/>
            </w:tcBorders>
          </w:tcPr>
          <w:p>
            <w:pPr>
              <w:jc w:val="right"/>
              <w:ind w:right="100"/>
              <w:spacing w:after="0"/>
              <w:rPr>
                <w:sz w:val="20"/>
                <w:szCs w:val="20"/>
                <w:color w:val="auto"/>
              </w:rPr>
            </w:pPr>
            <w:r>
              <w:rPr>
                <w:rFonts w:ascii="Arial" w:cs="Arial" w:eastAsia="Arial" w:hAnsi="Arial"/>
                <w:sz w:val="17"/>
                <w:szCs w:val="17"/>
                <w:color w:val="auto"/>
              </w:rPr>
              <w:t>7,116</w:t>
            </w:r>
          </w:p>
        </w:tc>
        <w:tc>
          <w:tcPr>
            <w:tcW w:w="1620" w:type="dxa"/>
            <w:vAlign w:val="bottom"/>
            <w:tcBorders>
              <w:top w:val="single" w:sz="8" w:color="auto"/>
              <w:bottom w:val="single" w:sz="8" w:color="EAEAEA"/>
            </w:tcBorders>
            <w:shd w:val="clear" w:color="auto" w:fill="EAEAEA"/>
          </w:tcPr>
          <w:p>
            <w:pPr>
              <w:jc w:val="right"/>
              <w:ind w:right="100"/>
              <w:spacing w:after="0"/>
              <w:rPr>
                <w:sz w:val="20"/>
                <w:szCs w:val="20"/>
                <w:color w:val="auto"/>
              </w:rPr>
            </w:pPr>
            <w:r>
              <w:rPr>
                <w:rFonts w:ascii="Arial" w:cs="Arial" w:eastAsia="Arial" w:hAnsi="Arial"/>
                <w:sz w:val="17"/>
                <w:szCs w:val="17"/>
                <w:color w:val="auto"/>
              </w:rPr>
              <w:t>$2,597,741</w:t>
            </w:r>
          </w:p>
        </w:tc>
      </w:tr>
      <w:tr>
        <w:trPr>
          <w:trHeight w:val="240"/>
        </w:trPr>
        <w:tc>
          <w:tcPr>
            <w:tcW w:w="368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Martin Cotter</w:t>
            </w:r>
          </w:p>
        </w:tc>
        <w:tc>
          <w:tcPr>
            <w:tcW w:w="1220" w:type="dxa"/>
            <w:vAlign w:val="bottom"/>
            <w:tcBorders>
              <w:top w:val="single" w:sz="8" w:color="auto"/>
              <w:bottom w:val="single" w:sz="8" w:color="EAEAEA"/>
            </w:tcBorders>
            <w:shd w:val="clear" w:color="auto" w:fill="EAEAEA"/>
          </w:tcPr>
          <w:p>
            <w:pPr>
              <w:jc w:val="right"/>
              <w:ind w:right="98"/>
              <w:spacing w:after="0"/>
              <w:rPr>
                <w:sz w:val="20"/>
                <w:szCs w:val="20"/>
                <w:color w:val="auto"/>
              </w:rPr>
            </w:pPr>
            <w:r>
              <w:rPr>
                <w:rFonts w:ascii="Arial" w:cs="Arial" w:eastAsia="Arial" w:hAnsi="Arial"/>
                <w:sz w:val="17"/>
                <w:szCs w:val="17"/>
                <w:color w:val="auto"/>
              </w:rPr>
              <w:t>24,232</w:t>
            </w:r>
          </w:p>
        </w:tc>
        <w:tc>
          <w:tcPr>
            <w:tcW w:w="1240" w:type="dxa"/>
            <w:vAlign w:val="bottom"/>
            <w:tcBorders>
              <w:top w:val="single" w:sz="8" w:color="auto"/>
            </w:tcBorders>
          </w:tcPr>
          <w:p>
            <w:pPr>
              <w:jc w:val="right"/>
              <w:ind w:right="120"/>
              <w:spacing w:after="0"/>
              <w:rPr>
                <w:sz w:val="20"/>
                <w:szCs w:val="20"/>
                <w:color w:val="auto"/>
              </w:rPr>
            </w:pPr>
            <w:r>
              <w:rPr>
                <w:rFonts w:ascii="Arial" w:cs="Arial" w:eastAsia="Arial" w:hAnsi="Arial"/>
                <w:sz w:val="17"/>
                <w:szCs w:val="17"/>
                <w:color w:val="auto"/>
              </w:rPr>
              <w:t>4,927</w:t>
            </w:r>
          </w:p>
        </w:tc>
        <w:tc>
          <w:tcPr>
            <w:tcW w:w="1220" w:type="dxa"/>
            <w:vAlign w:val="bottom"/>
            <w:tcBorders>
              <w:top w:val="single" w:sz="8" w:color="auto"/>
              <w:bottom w:val="single" w:sz="8" w:color="EAEAEA"/>
            </w:tcBorders>
            <w:shd w:val="clear" w:color="auto" w:fill="EAEAEA"/>
          </w:tcPr>
          <w:p>
            <w:pPr>
              <w:jc w:val="right"/>
              <w:ind w:right="120"/>
              <w:spacing w:after="0"/>
              <w:rPr>
                <w:sz w:val="20"/>
                <w:szCs w:val="20"/>
                <w:color w:val="auto"/>
              </w:rPr>
            </w:pPr>
            <w:r>
              <w:rPr>
                <w:rFonts w:ascii="Arial" w:cs="Arial" w:eastAsia="Arial" w:hAnsi="Arial"/>
                <w:sz w:val="17"/>
                <w:szCs w:val="17"/>
                <w:color w:val="auto"/>
              </w:rPr>
              <w:t>4,927</w:t>
            </w:r>
          </w:p>
        </w:tc>
        <w:tc>
          <w:tcPr>
            <w:tcW w:w="1300" w:type="dxa"/>
            <w:vAlign w:val="bottom"/>
            <w:tcBorders>
              <w:top w:val="single" w:sz="8" w:color="auto"/>
            </w:tcBorders>
          </w:tcPr>
          <w:p>
            <w:pPr>
              <w:jc w:val="right"/>
              <w:ind w:right="100"/>
              <w:spacing w:after="0"/>
              <w:rPr>
                <w:sz w:val="20"/>
                <w:szCs w:val="20"/>
                <w:color w:val="auto"/>
              </w:rPr>
            </w:pPr>
            <w:r>
              <w:rPr>
                <w:rFonts w:ascii="Arial" w:cs="Arial" w:eastAsia="Arial" w:hAnsi="Arial"/>
                <w:sz w:val="17"/>
                <w:szCs w:val="17"/>
                <w:color w:val="auto"/>
              </w:rPr>
              <w:t>4,927</w:t>
            </w:r>
          </w:p>
        </w:tc>
        <w:tc>
          <w:tcPr>
            <w:tcW w:w="1620" w:type="dxa"/>
            <w:vAlign w:val="bottom"/>
            <w:tcBorders>
              <w:top w:val="single" w:sz="8" w:color="auto"/>
              <w:bottom w:val="single" w:sz="8" w:color="EAEAEA"/>
            </w:tcBorders>
            <w:shd w:val="clear" w:color="auto" w:fill="EAEAEA"/>
          </w:tcPr>
          <w:p>
            <w:pPr>
              <w:jc w:val="right"/>
              <w:ind w:right="100"/>
              <w:spacing w:after="0"/>
              <w:rPr>
                <w:sz w:val="20"/>
                <w:szCs w:val="20"/>
                <w:color w:val="auto"/>
              </w:rPr>
            </w:pPr>
            <w:r>
              <w:rPr>
                <w:rFonts w:ascii="Arial" w:cs="Arial" w:eastAsia="Arial" w:hAnsi="Arial"/>
                <w:sz w:val="17"/>
                <w:szCs w:val="17"/>
                <w:color w:val="auto"/>
              </w:rPr>
              <w:t>$1,798,594</w:t>
            </w:r>
          </w:p>
        </w:tc>
      </w:tr>
      <w:tr>
        <w:trPr>
          <w:trHeight w:val="240"/>
        </w:trPr>
        <w:tc>
          <w:tcPr>
            <w:tcW w:w="368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John Hassett</w:t>
            </w:r>
          </w:p>
        </w:tc>
        <w:tc>
          <w:tcPr>
            <w:tcW w:w="1220" w:type="dxa"/>
            <w:vAlign w:val="bottom"/>
            <w:tcBorders>
              <w:top w:val="single" w:sz="8" w:color="auto"/>
              <w:bottom w:val="single" w:sz="8" w:color="EAEAEA"/>
            </w:tcBorders>
            <w:shd w:val="clear" w:color="auto" w:fill="EAEAEA"/>
          </w:tcPr>
          <w:p>
            <w:pPr>
              <w:jc w:val="right"/>
              <w:ind w:right="98"/>
              <w:spacing w:after="0"/>
              <w:rPr>
                <w:sz w:val="20"/>
                <w:szCs w:val="20"/>
                <w:color w:val="auto"/>
              </w:rPr>
            </w:pPr>
            <w:r>
              <w:rPr>
                <w:rFonts w:ascii="Arial" w:cs="Arial" w:eastAsia="Arial" w:hAnsi="Arial"/>
                <w:sz w:val="17"/>
                <w:szCs w:val="17"/>
                <w:color w:val="auto"/>
              </w:rPr>
              <w:t>24,232</w:t>
            </w:r>
          </w:p>
        </w:tc>
        <w:tc>
          <w:tcPr>
            <w:tcW w:w="1240" w:type="dxa"/>
            <w:vAlign w:val="bottom"/>
            <w:tcBorders>
              <w:top w:val="single" w:sz="8" w:color="auto"/>
            </w:tcBorders>
          </w:tcPr>
          <w:p>
            <w:pPr>
              <w:jc w:val="right"/>
              <w:ind w:right="120"/>
              <w:spacing w:after="0"/>
              <w:rPr>
                <w:sz w:val="20"/>
                <w:szCs w:val="20"/>
                <w:color w:val="auto"/>
              </w:rPr>
            </w:pPr>
            <w:r>
              <w:rPr>
                <w:rFonts w:ascii="Arial" w:cs="Arial" w:eastAsia="Arial" w:hAnsi="Arial"/>
                <w:sz w:val="17"/>
                <w:szCs w:val="17"/>
                <w:color w:val="auto"/>
              </w:rPr>
              <w:t>4,927</w:t>
            </w:r>
          </w:p>
        </w:tc>
        <w:tc>
          <w:tcPr>
            <w:tcW w:w="1220" w:type="dxa"/>
            <w:vAlign w:val="bottom"/>
            <w:tcBorders>
              <w:top w:val="single" w:sz="8" w:color="auto"/>
              <w:bottom w:val="single" w:sz="8" w:color="EAEAEA"/>
            </w:tcBorders>
            <w:shd w:val="clear" w:color="auto" w:fill="EAEAEA"/>
          </w:tcPr>
          <w:p>
            <w:pPr>
              <w:jc w:val="right"/>
              <w:ind w:right="120"/>
              <w:spacing w:after="0"/>
              <w:rPr>
                <w:sz w:val="20"/>
                <w:szCs w:val="20"/>
                <w:color w:val="auto"/>
              </w:rPr>
            </w:pPr>
            <w:r>
              <w:rPr>
                <w:rFonts w:ascii="Arial" w:cs="Arial" w:eastAsia="Arial" w:hAnsi="Arial"/>
                <w:sz w:val="17"/>
                <w:szCs w:val="17"/>
                <w:color w:val="auto"/>
              </w:rPr>
              <w:t>4,927</w:t>
            </w:r>
          </w:p>
        </w:tc>
        <w:tc>
          <w:tcPr>
            <w:tcW w:w="1300" w:type="dxa"/>
            <w:vAlign w:val="bottom"/>
            <w:tcBorders>
              <w:top w:val="single" w:sz="8" w:color="auto"/>
            </w:tcBorders>
          </w:tcPr>
          <w:p>
            <w:pPr>
              <w:jc w:val="right"/>
              <w:ind w:right="100"/>
              <w:spacing w:after="0"/>
              <w:rPr>
                <w:sz w:val="20"/>
                <w:szCs w:val="20"/>
                <w:color w:val="auto"/>
              </w:rPr>
            </w:pPr>
            <w:r>
              <w:rPr>
                <w:rFonts w:ascii="Arial" w:cs="Arial" w:eastAsia="Arial" w:hAnsi="Arial"/>
                <w:sz w:val="17"/>
                <w:szCs w:val="17"/>
                <w:color w:val="auto"/>
              </w:rPr>
              <w:t>4,927</w:t>
            </w:r>
          </w:p>
        </w:tc>
        <w:tc>
          <w:tcPr>
            <w:tcW w:w="1620" w:type="dxa"/>
            <w:vAlign w:val="bottom"/>
            <w:tcBorders>
              <w:top w:val="single" w:sz="8" w:color="auto"/>
              <w:bottom w:val="single" w:sz="8" w:color="EAEAEA"/>
            </w:tcBorders>
            <w:shd w:val="clear" w:color="auto" w:fill="EAEAEA"/>
          </w:tcPr>
          <w:p>
            <w:pPr>
              <w:jc w:val="right"/>
              <w:ind w:right="100"/>
              <w:spacing w:after="0"/>
              <w:rPr>
                <w:sz w:val="20"/>
                <w:szCs w:val="20"/>
                <w:color w:val="auto"/>
              </w:rPr>
            </w:pPr>
            <w:r>
              <w:rPr>
                <w:rFonts w:ascii="Arial" w:cs="Arial" w:eastAsia="Arial" w:hAnsi="Arial"/>
                <w:sz w:val="17"/>
                <w:szCs w:val="17"/>
                <w:color w:val="auto"/>
              </w:rPr>
              <w:t>$1,798,594</w:t>
            </w:r>
          </w:p>
        </w:tc>
      </w:tr>
      <w:tr>
        <w:trPr>
          <w:trHeight w:val="220"/>
        </w:trPr>
        <w:tc>
          <w:tcPr>
            <w:tcW w:w="368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Steve Pietkiewicz</w:t>
            </w:r>
          </w:p>
        </w:tc>
        <w:tc>
          <w:tcPr>
            <w:tcW w:w="1220" w:type="dxa"/>
            <w:vAlign w:val="bottom"/>
            <w:tcBorders>
              <w:top w:val="single" w:sz="8" w:color="auto"/>
              <w:bottom w:val="single" w:sz="8" w:color="EAEAEA"/>
            </w:tcBorders>
            <w:shd w:val="clear" w:color="auto" w:fill="EAEAEA"/>
          </w:tcPr>
          <w:p>
            <w:pPr>
              <w:jc w:val="right"/>
              <w:ind w:right="98"/>
              <w:spacing w:after="0"/>
              <w:rPr>
                <w:sz w:val="20"/>
                <w:szCs w:val="20"/>
                <w:color w:val="auto"/>
              </w:rPr>
            </w:pPr>
            <w:r>
              <w:rPr>
                <w:rFonts w:ascii="Arial" w:cs="Arial" w:eastAsia="Arial" w:hAnsi="Arial"/>
                <w:sz w:val="17"/>
                <w:szCs w:val="17"/>
                <w:color w:val="auto"/>
              </w:rPr>
              <w:t>24,232</w:t>
            </w:r>
          </w:p>
        </w:tc>
        <w:tc>
          <w:tcPr>
            <w:tcW w:w="1240" w:type="dxa"/>
            <w:vAlign w:val="bottom"/>
            <w:tcBorders>
              <w:top w:val="single" w:sz="8" w:color="auto"/>
            </w:tcBorders>
          </w:tcPr>
          <w:p>
            <w:pPr>
              <w:jc w:val="right"/>
              <w:ind w:right="120"/>
              <w:spacing w:after="0"/>
              <w:rPr>
                <w:sz w:val="20"/>
                <w:szCs w:val="20"/>
                <w:color w:val="auto"/>
              </w:rPr>
            </w:pPr>
            <w:r>
              <w:rPr>
                <w:rFonts w:ascii="Arial" w:cs="Arial" w:eastAsia="Arial" w:hAnsi="Arial"/>
                <w:sz w:val="17"/>
                <w:szCs w:val="17"/>
                <w:color w:val="auto"/>
              </w:rPr>
              <w:t>4,927</w:t>
            </w:r>
          </w:p>
        </w:tc>
        <w:tc>
          <w:tcPr>
            <w:tcW w:w="1220" w:type="dxa"/>
            <w:vAlign w:val="bottom"/>
            <w:tcBorders>
              <w:top w:val="single" w:sz="8" w:color="auto"/>
              <w:bottom w:val="single" w:sz="8" w:color="EAEAEA"/>
            </w:tcBorders>
            <w:shd w:val="clear" w:color="auto" w:fill="EAEAEA"/>
          </w:tcPr>
          <w:p>
            <w:pPr>
              <w:jc w:val="right"/>
              <w:ind w:right="120"/>
              <w:spacing w:after="0"/>
              <w:rPr>
                <w:sz w:val="20"/>
                <w:szCs w:val="20"/>
                <w:color w:val="auto"/>
              </w:rPr>
            </w:pPr>
            <w:r>
              <w:rPr>
                <w:rFonts w:ascii="Arial" w:cs="Arial" w:eastAsia="Arial" w:hAnsi="Arial"/>
                <w:sz w:val="17"/>
                <w:szCs w:val="17"/>
                <w:color w:val="auto"/>
              </w:rPr>
              <w:t>4,927</w:t>
            </w:r>
          </w:p>
        </w:tc>
        <w:tc>
          <w:tcPr>
            <w:tcW w:w="1300" w:type="dxa"/>
            <w:vAlign w:val="bottom"/>
            <w:tcBorders>
              <w:top w:val="single" w:sz="8" w:color="auto"/>
            </w:tcBorders>
          </w:tcPr>
          <w:p>
            <w:pPr>
              <w:jc w:val="right"/>
              <w:ind w:right="100"/>
              <w:spacing w:after="0"/>
              <w:rPr>
                <w:sz w:val="20"/>
                <w:szCs w:val="20"/>
                <w:color w:val="auto"/>
              </w:rPr>
            </w:pPr>
            <w:r>
              <w:rPr>
                <w:rFonts w:ascii="Arial" w:cs="Arial" w:eastAsia="Arial" w:hAnsi="Arial"/>
                <w:sz w:val="17"/>
                <w:szCs w:val="17"/>
                <w:color w:val="auto"/>
              </w:rPr>
              <w:t>4,927</w:t>
            </w:r>
          </w:p>
        </w:tc>
        <w:tc>
          <w:tcPr>
            <w:tcW w:w="1620" w:type="dxa"/>
            <w:vAlign w:val="bottom"/>
            <w:tcBorders>
              <w:top w:val="single" w:sz="8" w:color="auto"/>
              <w:bottom w:val="single" w:sz="8" w:color="EAEAEA"/>
            </w:tcBorders>
            <w:shd w:val="clear" w:color="auto" w:fill="EAEAEA"/>
          </w:tcPr>
          <w:p>
            <w:pPr>
              <w:jc w:val="right"/>
              <w:ind w:right="100"/>
              <w:spacing w:after="0"/>
              <w:rPr>
                <w:sz w:val="20"/>
                <w:szCs w:val="20"/>
                <w:color w:val="auto"/>
              </w:rPr>
            </w:pPr>
            <w:r>
              <w:rPr>
                <w:rFonts w:ascii="Arial" w:cs="Arial" w:eastAsia="Arial" w:hAnsi="Arial"/>
                <w:sz w:val="17"/>
                <w:szCs w:val="17"/>
                <w:color w:val="auto"/>
              </w:rPr>
              <w:t>$1,798,594</w:t>
            </w:r>
          </w:p>
        </w:tc>
      </w:tr>
      <w:tr>
        <w:trPr>
          <w:trHeight w:val="20"/>
        </w:trPr>
        <w:tc>
          <w:tcPr>
            <w:tcW w:w="3680" w:type="dxa"/>
            <w:vAlign w:val="bottom"/>
            <w:shd w:val="clear" w:color="auto" w:fill="0066BA"/>
          </w:tcPr>
          <w:p>
            <w:pPr>
              <w:spacing w:after="0" w:line="20" w:lineRule="exact"/>
              <w:rPr>
                <w:sz w:val="1"/>
                <w:szCs w:val="1"/>
                <w:color w:val="auto"/>
              </w:rPr>
            </w:pPr>
          </w:p>
        </w:tc>
        <w:tc>
          <w:tcPr>
            <w:tcW w:w="1220" w:type="dxa"/>
            <w:vAlign w:val="bottom"/>
            <w:shd w:val="clear" w:color="auto" w:fill="0066BA"/>
          </w:tcPr>
          <w:p>
            <w:pPr>
              <w:spacing w:after="0" w:line="20" w:lineRule="exact"/>
              <w:rPr>
                <w:sz w:val="1"/>
                <w:szCs w:val="1"/>
                <w:color w:val="auto"/>
              </w:rPr>
            </w:pPr>
          </w:p>
        </w:tc>
        <w:tc>
          <w:tcPr>
            <w:tcW w:w="1240" w:type="dxa"/>
            <w:vAlign w:val="bottom"/>
            <w:shd w:val="clear" w:color="auto" w:fill="0066BA"/>
          </w:tcPr>
          <w:p>
            <w:pPr>
              <w:spacing w:after="0" w:line="20" w:lineRule="exact"/>
              <w:rPr>
                <w:sz w:val="1"/>
                <w:szCs w:val="1"/>
                <w:color w:val="auto"/>
              </w:rPr>
            </w:pPr>
          </w:p>
        </w:tc>
        <w:tc>
          <w:tcPr>
            <w:tcW w:w="1220" w:type="dxa"/>
            <w:vAlign w:val="bottom"/>
            <w:shd w:val="clear" w:color="auto" w:fill="0066BA"/>
          </w:tcPr>
          <w:p>
            <w:pPr>
              <w:spacing w:after="0" w:line="20" w:lineRule="exact"/>
              <w:rPr>
                <w:sz w:val="1"/>
                <w:szCs w:val="1"/>
                <w:color w:val="auto"/>
              </w:rPr>
            </w:pPr>
          </w:p>
        </w:tc>
        <w:tc>
          <w:tcPr>
            <w:tcW w:w="1300" w:type="dxa"/>
            <w:vAlign w:val="bottom"/>
            <w:shd w:val="clear" w:color="auto" w:fill="0066BA"/>
          </w:tcPr>
          <w:p>
            <w:pPr>
              <w:spacing w:after="0" w:line="20" w:lineRule="exact"/>
              <w:rPr>
                <w:sz w:val="1"/>
                <w:szCs w:val="1"/>
                <w:color w:val="auto"/>
              </w:rPr>
            </w:pPr>
          </w:p>
        </w:tc>
        <w:tc>
          <w:tcPr>
            <w:tcW w:w="1620" w:type="dxa"/>
            <w:vAlign w:val="bottom"/>
            <w:shd w:val="clear" w:color="auto" w:fill="0066BA"/>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760"/>
          </w:cols>
          <w:pgMar w:left="320" w:top="447" w:right="81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333333"/>
        </w:rPr>
        <w:t>Recent Special Equity Awards</w:t>
      </w:r>
    </w:p>
    <w:p>
      <w:pPr>
        <w:spacing w:after="0" w:line="38" w:lineRule="exact"/>
        <w:rPr>
          <w:sz w:val="20"/>
          <w:szCs w:val="20"/>
          <w:color w:val="auto"/>
        </w:rPr>
      </w:pPr>
    </w:p>
    <w:p>
      <w:pPr>
        <w:ind w:left="480" w:right="380"/>
        <w:spacing w:after="0" w:line="268" w:lineRule="auto"/>
        <w:rPr>
          <w:sz w:val="20"/>
          <w:szCs w:val="20"/>
          <w:color w:val="auto"/>
        </w:rPr>
      </w:pPr>
      <w:r>
        <w:rPr>
          <w:rFonts w:ascii="Arial" w:cs="Arial" w:eastAsia="Arial" w:hAnsi="Arial"/>
          <w:sz w:val="17"/>
          <w:szCs w:val="17"/>
          <w:b w:val="1"/>
          <w:bCs w:val="1"/>
          <w:color w:val="0066BA"/>
        </w:rPr>
        <w:t xml:space="preserve">2017 Linear Integration PRSUs. </w:t>
      </w:r>
      <w:r>
        <w:rPr>
          <w:rFonts w:ascii="Arial" w:cs="Arial" w:eastAsia="Arial" w:hAnsi="Arial"/>
          <w:sz w:val="17"/>
          <w:szCs w:val="17"/>
          <w:color w:val="000000"/>
        </w:rPr>
        <w:t>To promote the successful integration of Linear Technology Corporation, or Linear Technology, and the</w:t>
      </w:r>
      <w:r>
        <w:rPr>
          <w:rFonts w:ascii="Arial" w:cs="Arial" w:eastAsia="Arial" w:hAnsi="Arial"/>
          <w:sz w:val="17"/>
          <w:szCs w:val="17"/>
          <w:b w:val="1"/>
          <w:bCs w:val="1"/>
          <w:color w:val="0066BA"/>
        </w:rPr>
        <w:t xml:space="preserve"> </w:t>
      </w:r>
      <w:r>
        <w:rPr>
          <w:rFonts w:ascii="Arial" w:cs="Arial" w:eastAsia="Arial" w:hAnsi="Arial"/>
          <w:sz w:val="17"/>
          <w:szCs w:val="17"/>
          <w:color w:val="000000"/>
        </w:rPr>
        <w:t>achievement of the Company’s synergy goals, in July 2017, the Compensation Committee approved the grant of the Linear Integration Performance-Based Restricted Stock Units, or the Linear Integration PRSUs, to members of the Company’s senior executive team, other than our Chief Executive Officer.</w:t>
      </w:r>
    </w:p>
    <w:p>
      <w:pPr>
        <w:spacing w:after="0" w:line="70" w:lineRule="exact"/>
        <w:rPr>
          <w:sz w:val="20"/>
          <w:szCs w:val="20"/>
          <w:color w:val="auto"/>
        </w:rPr>
      </w:pPr>
    </w:p>
    <w:p>
      <w:pPr>
        <w:ind w:left="480" w:right="200"/>
        <w:spacing w:after="0" w:line="265" w:lineRule="auto"/>
        <w:rPr>
          <w:sz w:val="20"/>
          <w:szCs w:val="20"/>
          <w:color w:val="auto"/>
        </w:rPr>
      </w:pPr>
      <w:r>
        <w:rPr>
          <w:rFonts w:ascii="Arial" w:cs="Arial" w:eastAsia="Arial" w:hAnsi="Arial"/>
          <w:sz w:val="17"/>
          <w:szCs w:val="17"/>
          <w:color w:val="auto"/>
        </w:rPr>
        <w:t>The Linear Integration PRSUs were subject to the achievement of a pre-established performance goal based on the trailing twelve month non-GAAP OPBT as a percentage of revenue of the Company, determined as of the end of the second quarter of fiscal 2020. In June 2020, the Compensation Committee certified that the non-GAAP OPBT as a percentage of revenue goal of 39% had been attained and as a result 120% of the target number of Linear Integration PRSUs became subject to vesting for each participant.</w:t>
      </w:r>
    </w:p>
    <w:p>
      <w:pPr>
        <w:spacing w:after="0" w:line="73" w:lineRule="exact"/>
        <w:rPr>
          <w:sz w:val="20"/>
          <w:szCs w:val="20"/>
          <w:color w:val="auto"/>
        </w:rPr>
      </w:pPr>
    </w:p>
    <w:p>
      <w:pPr>
        <w:ind w:left="480" w:right="180"/>
        <w:spacing w:after="0" w:line="261" w:lineRule="auto"/>
        <w:rPr>
          <w:sz w:val="20"/>
          <w:szCs w:val="20"/>
          <w:color w:val="auto"/>
        </w:rPr>
      </w:pPr>
      <w:r>
        <w:rPr>
          <w:rFonts w:ascii="Arial" w:cs="Arial" w:eastAsia="Arial" w:hAnsi="Arial"/>
          <w:sz w:val="17"/>
          <w:szCs w:val="17"/>
          <w:color w:val="auto"/>
        </w:rPr>
        <w:t>Under the terms of the Linear Integration PRSUs, the Compensation Committee was permitted to exercise discretion to reduce (but not increase) the number of Linear Integration PRSUs that would otherwise vest based on the attainment level of the following two additional performance goals: (i) 50% of the Linear Integration PRSUs were subject to negative discretion based on the attainment level of the pre-established net synergy goal achieved in connection with the acquisition of Linear Technology within eighteen months of the closing of the acquisition; and (ii) 50% of the Linear Integration PRSUs were subject to negative discretion based on the attainment level of the pre-established three-year cumulative revenue goal of Linear Technology on a standalone basis.</w:t>
      </w:r>
    </w:p>
    <w:p>
      <w:pPr>
        <w:spacing w:after="0" w:line="77" w:lineRule="exact"/>
        <w:rPr>
          <w:sz w:val="20"/>
          <w:szCs w:val="20"/>
          <w:color w:val="auto"/>
        </w:rPr>
      </w:pPr>
    </w:p>
    <w:p>
      <w:pPr>
        <w:ind w:left="480" w:right="200"/>
        <w:spacing w:after="0" w:line="259" w:lineRule="auto"/>
        <w:rPr>
          <w:sz w:val="20"/>
          <w:szCs w:val="20"/>
          <w:color w:val="auto"/>
        </w:rPr>
      </w:pPr>
      <w:r>
        <w:rPr>
          <w:rFonts w:ascii="Arial" w:cs="Arial" w:eastAsia="Arial" w:hAnsi="Arial"/>
          <w:sz w:val="17"/>
          <w:szCs w:val="17"/>
          <w:color w:val="auto"/>
        </w:rPr>
        <w:t>In September 2019, the Compensation Committee determined that the Company had achieved the net synergy goal at the 120% maximum attainment level. In June 2020, the Compensation Committee determined that the cumulative revenue goal would have been met at the 80% attainment level but for a two-week shipping delay in orders due to the COVID-19 pandemic. Given the duration of, and reason for, the two-week delay, the Compensation Committee concluded that the participants had demonstrated achievement of the underlying integration and synergy objectives of the Linear Integration PRSUs and determined that, for purposes of exercising negative discretion, it would treat the cumulative revenue goal as having been satisfied at the 80% level. Accordingly, the Compensation Committee reduced the number of Linear Integration PRSUs issuable from 120% to 100% of the target number. The shares were issued on July 17, 2020 to all participants who remained employed as of that date.</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CEO Performance Stock Option Award</w:t>
      </w:r>
    </w:p>
    <w:p>
      <w:pPr>
        <w:spacing w:after="0" w:line="62" w:lineRule="exact"/>
        <w:rPr>
          <w:sz w:val="20"/>
          <w:szCs w:val="20"/>
          <w:color w:val="auto"/>
        </w:rPr>
      </w:pPr>
    </w:p>
    <w:p>
      <w:pPr>
        <w:ind w:left="480" w:right="420"/>
        <w:spacing w:after="0" w:line="286" w:lineRule="auto"/>
        <w:rPr>
          <w:sz w:val="20"/>
          <w:szCs w:val="20"/>
          <w:color w:val="auto"/>
        </w:rPr>
      </w:pPr>
      <w:r>
        <w:rPr>
          <w:rFonts w:ascii="Arial" w:cs="Arial" w:eastAsia="Arial" w:hAnsi="Arial"/>
          <w:sz w:val="17"/>
          <w:szCs w:val="17"/>
          <w:color w:val="auto"/>
        </w:rPr>
        <w:t>In December 2020, the Compensation Committee approved the grant of a special performance stock option award, which we refer to as the CEO Performance Stock Option Award, to Mr. Roche.</w:t>
      </w:r>
    </w:p>
    <w:p>
      <w:pPr>
        <w:spacing w:after="0" w:line="54" w:lineRule="exact"/>
        <w:rPr>
          <w:sz w:val="20"/>
          <w:szCs w:val="20"/>
          <w:color w:val="auto"/>
        </w:rPr>
      </w:pPr>
    </w:p>
    <w:p>
      <w:pPr>
        <w:ind w:left="480" w:right="180"/>
        <w:spacing w:after="0" w:line="265" w:lineRule="auto"/>
        <w:rPr>
          <w:sz w:val="20"/>
          <w:szCs w:val="20"/>
          <w:color w:val="auto"/>
        </w:rPr>
      </w:pPr>
      <w:r>
        <w:rPr>
          <w:rFonts w:ascii="Arial" w:cs="Arial" w:eastAsia="Arial" w:hAnsi="Arial"/>
          <w:sz w:val="17"/>
          <w:szCs w:val="17"/>
          <w:color w:val="auto"/>
        </w:rPr>
        <w:t>Since Mr. Roche’s tenure as CEO began in 2013, the Company’s total shareholder returns have increased 284% (vs. S&amp;P 500 of 168%, or 1.7x S&amp;P 500 over that time), and the Company’s market capitalization has increased by $40 billion. The CEO Performance Stock Option Award was granted to provide Mr. Roche with a strong incentive to create sustained exceptional growth in the Company and its stock price. The award carries a long-term performance period and rigorous stock price hurdles.</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Before granting the CEO Performance Stock Option Award, the Compensation Committee considered the following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172720</wp:posOffset>
            </wp:positionV>
            <wp:extent cx="654240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542405" cy="8255"/>
                    </a:xfrm>
                    <a:prstGeom prst="rect">
                      <a:avLst/>
                    </a:prstGeom>
                    <a:noFill/>
                  </pic:spPr>
                </pic:pic>
              </a:graphicData>
            </a:graphic>
          </wp:anchor>
        </w:drawing>
      </w:r>
    </w:p>
    <w:p>
      <w:pPr>
        <w:spacing w:after="0" w:line="357" w:lineRule="exact"/>
        <w:rPr>
          <w:sz w:val="20"/>
          <w:szCs w:val="20"/>
          <w:color w:val="auto"/>
        </w:rPr>
      </w:pPr>
    </w:p>
    <w:p>
      <w:pPr>
        <w:ind w:left="660" w:hanging="185"/>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key role that Mr. Roche has played in leading and transforming ADI since he became CEO in 2013;</w:t>
      </w:r>
    </w:p>
    <w:p>
      <w:pPr>
        <w:spacing w:after="0" w:line="77" w:lineRule="exact"/>
        <w:rPr>
          <w:rFonts w:ascii="Arial" w:cs="Arial" w:eastAsia="Arial" w:hAnsi="Arial"/>
          <w:sz w:val="17"/>
          <w:szCs w:val="17"/>
          <w:color w:val="auto"/>
        </w:rPr>
      </w:pPr>
    </w:p>
    <w:p>
      <w:pPr>
        <w:ind w:left="660" w:right="580" w:hanging="185"/>
        <w:spacing w:after="0" w:line="286"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rapid changes and consolidation taking place within the semiconductor industry and the constant need to transform and grow within this highly competitive environment;</w:t>
      </w:r>
    </w:p>
    <w:p>
      <w:pPr>
        <w:spacing w:after="0" w:line="15" w:lineRule="exact"/>
        <w:rPr>
          <w:rFonts w:ascii="Arial" w:cs="Arial" w:eastAsia="Arial" w:hAnsi="Arial"/>
          <w:sz w:val="17"/>
          <w:szCs w:val="17"/>
          <w:color w:val="auto"/>
        </w:rPr>
      </w:pPr>
    </w:p>
    <w:p>
      <w:pPr>
        <w:ind w:left="660" w:right="520" w:hanging="185"/>
        <w:spacing w:after="0" w:line="286"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Mr. Roche’s unique depth of understanding of ADI, strength of leadership capability and vision to drive the long-term corporate strategy and continued success of the Company; and</w:t>
      </w:r>
    </w:p>
    <w:p>
      <w:pPr>
        <w:spacing w:after="0" w:line="15" w:lineRule="exact"/>
        <w:rPr>
          <w:rFonts w:ascii="Arial" w:cs="Arial" w:eastAsia="Arial" w:hAnsi="Arial"/>
          <w:sz w:val="17"/>
          <w:szCs w:val="17"/>
          <w:color w:val="auto"/>
        </w:rPr>
      </w:pPr>
    </w:p>
    <w:p>
      <w:pPr>
        <w:ind w:left="660" w:right="300" w:hanging="185"/>
        <w:spacing w:after="0" w:line="286"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importance of continuing to motivate and reward continued exceptional shareholder value creation over an extended timeframe and aligning Mr. Roche’s interests with those of our shareholders.</w:t>
      </w:r>
    </w:p>
    <w:p>
      <w:pPr>
        <w:spacing w:after="0" w:line="54" w:lineRule="exact"/>
        <w:rPr>
          <w:sz w:val="20"/>
          <w:szCs w:val="20"/>
          <w:color w:val="auto"/>
        </w:rPr>
      </w:pPr>
    </w:p>
    <w:p>
      <w:pPr>
        <w:ind w:left="480" w:right="380"/>
        <w:spacing w:after="0" w:line="265" w:lineRule="auto"/>
        <w:rPr>
          <w:sz w:val="20"/>
          <w:szCs w:val="20"/>
          <w:color w:val="auto"/>
        </w:rPr>
      </w:pPr>
      <w:r>
        <w:rPr>
          <w:rFonts w:ascii="Arial" w:cs="Arial" w:eastAsia="Arial" w:hAnsi="Arial"/>
          <w:sz w:val="17"/>
          <w:szCs w:val="17"/>
          <w:color w:val="auto"/>
        </w:rPr>
        <w:t>The CEO Performance Stock Option Award is exercisable for up to 460,000 shares of our common stock, or the Target Number of Shares, at an exercise price per share of $144.06 (which was the closing price of our common stock on the date of grant of the CEO Performance Stock Option Award) and vests subject to the satisfaction of certain challenging target price thresholds during a five-year period. The CEO Performance Stock Option Award was granted to Mr. Roche in addition to his annual equity awards for fiscal 2021.</w:t>
      </w: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0940"/>
          </w:cols>
          <w:pgMar w:left="320" w:top="447" w:right="6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20"/>
        <w:spacing w:after="0" w:line="281" w:lineRule="auto"/>
        <w:rPr>
          <w:sz w:val="20"/>
          <w:szCs w:val="20"/>
          <w:color w:val="auto"/>
        </w:rPr>
      </w:pPr>
      <w:r>
        <w:rPr>
          <w:rFonts w:ascii="Arial" w:cs="Arial" w:eastAsia="Arial" w:hAnsi="Arial"/>
          <w:sz w:val="16"/>
          <w:szCs w:val="16"/>
          <w:color w:val="auto"/>
        </w:rPr>
        <w:t>The target price thresholds, and the number of shares underlying the CEO Performance Stock Option Award that will become exercisable as a result of the attainment of each threshold, are set forth below. To determine meaningful but challenging target price thresholds, the Compensation Committee established a baseline stock price of $122.72, which was calculated as the 70-trading day average closing stock price on November 30, 2020. The target price thresholds were chosen to reward significant growth from our baseline stock price. The actual number of shares that will become exercisable will range from 0 to a maximum of 100% of the Target Number of Shares based on the attainment of such target price thresholds at any time during a five-year period from December 15, 2020 to December 15, 2025.</w:t>
      </w:r>
    </w:p>
    <w:p>
      <w:pPr>
        <w:spacing w:after="0" w:line="203"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510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Target Price Threshold</w:t>
            </w:r>
          </w:p>
        </w:tc>
        <w:tc>
          <w:tcPr>
            <w:tcW w:w="2340" w:type="dxa"/>
            <w:vAlign w:val="bottom"/>
            <w:shd w:val="clear" w:color="auto" w:fill="0066BA"/>
          </w:tcPr>
          <w:p>
            <w:pPr>
              <w:ind w:left="180"/>
              <w:spacing w:after="0"/>
              <w:rPr>
                <w:sz w:val="20"/>
                <w:szCs w:val="20"/>
                <w:color w:val="auto"/>
              </w:rPr>
            </w:pPr>
            <w:r>
              <w:rPr>
                <w:rFonts w:ascii="Arial" w:cs="Arial" w:eastAsia="Arial" w:hAnsi="Arial"/>
                <w:sz w:val="14"/>
                <w:szCs w:val="14"/>
                <w:b w:val="1"/>
                <w:bCs w:val="1"/>
                <w:color w:val="FFFFFF"/>
              </w:rPr>
              <w:t>Share price % increase vs</w:t>
            </w:r>
          </w:p>
        </w:tc>
        <w:tc>
          <w:tcPr>
            <w:tcW w:w="2840" w:type="dxa"/>
            <w:vAlign w:val="bottom"/>
            <w:shd w:val="clear" w:color="auto" w:fill="0066BA"/>
          </w:tcPr>
          <w:p>
            <w:pPr>
              <w:ind w:left="160"/>
              <w:spacing w:after="0"/>
              <w:rPr>
                <w:sz w:val="20"/>
                <w:szCs w:val="20"/>
                <w:color w:val="auto"/>
              </w:rPr>
            </w:pPr>
            <w:r>
              <w:rPr>
                <w:rFonts w:ascii="Arial" w:cs="Arial" w:eastAsia="Arial" w:hAnsi="Arial"/>
                <w:sz w:val="14"/>
                <w:szCs w:val="14"/>
                <w:b w:val="1"/>
                <w:bCs w:val="1"/>
                <w:color w:val="FFFFFF"/>
              </w:rPr>
              <w:t>Number of Shares Exercisable as a</w:t>
            </w:r>
          </w:p>
        </w:tc>
      </w:tr>
      <w:tr>
        <w:trPr>
          <w:trHeight w:val="200"/>
        </w:trPr>
        <w:tc>
          <w:tcPr>
            <w:tcW w:w="5100" w:type="dxa"/>
            <w:vAlign w:val="bottom"/>
            <w:tcBorders>
              <w:bottom w:val="single" w:sz="8" w:color="0066BA"/>
            </w:tcBorders>
            <w:shd w:val="clear" w:color="auto" w:fill="0066BA"/>
          </w:tcPr>
          <w:p>
            <w:pPr>
              <w:spacing w:after="0"/>
              <w:rPr>
                <w:sz w:val="17"/>
                <w:szCs w:val="17"/>
                <w:color w:val="auto"/>
              </w:rPr>
            </w:pPr>
          </w:p>
        </w:tc>
        <w:tc>
          <w:tcPr>
            <w:tcW w:w="2340" w:type="dxa"/>
            <w:vAlign w:val="bottom"/>
            <w:tcBorders>
              <w:bottom w:val="single" w:sz="8" w:color="0066BA"/>
            </w:tcBorders>
            <w:shd w:val="clear" w:color="auto" w:fill="0066BA"/>
          </w:tcPr>
          <w:p>
            <w:pPr>
              <w:ind w:left="180"/>
              <w:spacing w:after="0"/>
              <w:rPr>
                <w:sz w:val="20"/>
                <w:szCs w:val="20"/>
                <w:color w:val="auto"/>
              </w:rPr>
            </w:pPr>
            <w:r>
              <w:rPr>
                <w:rFonts w:ascii="Arial" w:cs="Arial" w:eastAsia="Arial" w:hAnsi="Arial"/>
                <w:sz w:val="14"/>
                <w:szCs w:val="14"/>
                <w:b w:val="1"/>
                <w:bCs w:val="1"/>
                <w:color w:val="FFFFFF"/>
              </w:rPr>
              <w:t>baseline stock price of $ 122.72</w:t>
            </w:r>
          </w:p>
        </w:tc>
        <w:tc>
          <w:tcPr>
            <w:tcW w:w="2840" w:type="dxa"/>
            <w:vAlign w:val="bottom"/>
            <w:tcBorders>
              <w:bottom w:val="single" w:sz="8" w:color="0066BA"/>
            </w:tcBorders>
            <w:shd w:val="clear" w:color="auto" w:fill="0066BA"/>
          </w:tcPr>
          <w:p>
            <w:pPr>
              <w:ind w:left="160"/>
              <w:spacing w:after="0"/>
              <w:rPr>
                <w:sz w:val="20"/>
                <w:szCs w:val="20"/>
                <w:color w:val="auto"/>
              </w:rPr>
            </w:pPr>
            <w:r>
              <w:rPr>
                <w:rFonts w:ascii="Arial" w:cs="Arial" w:eastAsia="Arial" w:hAnsi="Arial"/>
                <w:sz w:val="14"/>
                <w:szCs w:val="14"/>
                <w:b w:val="1"/>
                <w:bCs w:val="1"/>
                <w:color w:val="FFFFFF"/>
              </w:rPr>
              <w:t>Percentage of Target Number of Shares</w:t>
            </w:r>
          </w:p>
        </w:tc>
      </w:tr>
      <w:tr>
        <w:trPr>
          <w:trHeight w:val="260"/>
        </w:trPr>
        <w:tc>
          <w:tcPr>
            <w:tcW w:w="5100" w:type="dxa"/>
            <w:vAlign w:val="bottom"/>
          </w:tcPr>
          <w:p>
            <w:pPr>
              <w:ind w:left="60"/>
              <w:spacing w:after="0"/>
              <w:rPr>
                <w:sz w:val="20"/>
                <w:szCs w:val="20"/>
                <w:color w:val="auto"/>
              </w:rPr>
            </w:pPr>
            <w:r>
              <w:rPr>
                <w:rFonts w:ascii="Arial" w:cs="Arial" w:eastAsia="Arial" w:hAnsi="Arial"/>
                <w:sz w:val="17"/>
                <w:szCs w:val="17"/>
                <w:color w:val="auto"/>
              </w:rPr>
              <w:t>$180 per share</w:t>
            </w:r>
          </w:p>
        </w:tc>
        <w:tc>
          <w:tcPr>
            <w:tcW w:w="2340" w:type="dxa"/>
            <w:vAlign w:val="bottom"/>
            <w:tcBorders>
              <w:bottom w:val="single" w:sz="8" w:color="EAEAEA"/>
            </w:tcBorders>
            <w:shd w:val="clear" w:color="auto" w:fill="EAEAEA"/>
          </w:tcPr>
          <w:p>
            <w:pPr>
              <w:ind w:left="180"/>
              <w:spacing w:after="0"/>
              <w:rPr>
                <w:sz w:val="20"/>
                <w:szCs w:val="20"/>
                <w:color w:val="auto"/>
              </w:rPr>
            </w:pPr>
            <w:r>
              <w:rPr>
                <w:rFonts w:ascii="Arial" w:cs="Arial" w:eastAsia="Arial" w:hAnsi="Arial"/>
                <w:sz w:val="17"/>
                <w:szCs w:val="17"/>
                <w:color w:val="auto"/>
              </w:rPr>
              <w:t>47%</w:t>
            </w:r>
          </w:p>
        </w:tc>
        <w:tc>
          <w:tcPr>
            <w:tcW w:w="2840" w:type="dxa"/>
            <w:vAlign w:val="bottom"/>
          </w:tcPr>
          <w:p>
            <w:pPr>
              <w:ind w:left="160"/>
              <w:spacing w:after="0"/>
              <w:rPr>
                <w:sz w:val="20"/>
                <w:szCs w:val="20"/>
                <w:color w:val="auto"/>
              </w:rPr>
            </w:pPr>
            <w:r>
              <w:rPr>
                <w:rFonts w:ascii="Arial" w:cs="Arial" w:eastAsia="Arial" w:hAnsi="Arial"/>
                <w:sz w:val="17"/>
                <w:szCs w:val="17"/>
                <w:color w:val="auto"/>
              </w:rPr>
              <w:t>33%</w:t>
            </w:r>
          </w:p>
        </w:tc>
      </w:tr>
      <w:tr>
        <w:trPr>
          <w:trHeight w:val="240"/>
        </w:trPr>
        <w:tc>
          <w:tcPr>
            <w:tcW w:w="510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$200 per share</w:t>
            </w:r>
          </w:p>
        </w:tc>
        <w:tc>
          <w:tcPr>
            <w:tcW w:w="2340" w:type="dxa"/>
            <w:vAlign w:val="bottom"/>
            <w:tcBorders>
              <w:top w:val="single" w:sz="8" w:color="auto"/>
              <w:bottom w:val="single" w:sz="8" w:color="EAEAEA"/>
            </w:tcBorders>
            <w:shd w:val="clear" w:color="auto" w:fill="EAEAEA"/>
          </w:tcPr>
          <w:p>
            <w:pPr>
              <w:ind w:left="180"/>
              <w:spacing w:after="0"/>
              <w:rPr>
                <w:sz w:val="20"/>
                <w:szCs w:val="20"/>
                <w:color w:val="auto"/>
              </w:rPr>
            </w:pPr>
            <w:r>
              <w:rPr>
                <w:rFonts w:ascii="Arial" w:cs="Arial" w:eastAsia="Arial" w:hAnsi="Arial"/>
                <w:sz w:val="17"/>
                <w:szCs w:val="17"/>
                <w:color w:val="auto"/>
              </w:rPr>
              <w:t>63%</w:t>
            </w:r>
          </w:p>
        </w:tc>
        <w:tc>
          <w:tcPr>
            <w:tcW w:w="2840" w:type="dxa"/>
            <w:vAlign w:val="bottom"/>
            <w:tcBorders>
              <w:top w:val="single" w:sz="8" w:color="auto"/>
            </w:tcBorders>
          </w:tcPr>
          <w:p>
            <w:pPr>
              <w:ind w:left="160"/>
              <w:spacing w:after="0"/>
              <w:rPr>
                <w:sz w:val="20"/>
                <w:szCs w:val="20"/>
                <w:color w:val="auto"/>
              </w:rPr>
            </w:pPr>
            <w:r>
              <w:rPr>
                <w:rFonts w:ascii="Arial" w:cs="Arial" w:eastAsia="Arial" w:hAnsi="Arial"/>
                <w:sz w:val="17"/>
                <w:szCs w:val="17"/>
                <w:color w:val="auto"/>
              </w:rPr>
              <w:t>66%</w:t>
            </w:r>
          </w:p>
        </w:tc>
      </w:tr>
      <w:tr>
        <w:trPr>
          <w:trHeight w:val="220"/>
        </w:trPr>
        <w:tc>
          <w:tcPr>
            <w:tcW w:w="510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$220 per share</w:t>
            </w:r>
          </w:p>
        </w:tc>
        <w:tc>
          <w:tcPr>
            <w:tcW w:w="2340" w:type="dxa"/>
            <w:vAlign w:val="bottom"/>
            <w:tcBorders>
              <w:top w:val="single" w:sz="8" w:color="auto"/>
              <w:bottom w:val="single" w:sz="8" w:color="EAEAEA"/>
            </w:tcBorders>
            <w:shd w:val="clear" w:color="auto" w:fill="EAEAEA"/>
          </w:tcPr>
          <w:p>
            <w:pPr>
              <w:ind w:left="180"/>
              <w:spacing w:after="0"/>
              <w:rPr>
                <w:sz w:val="20"/>
                <w:szCs w:val="20"/>
                <w:color w:val="auto"/>
              </w:rPr>
            </w:pPr>
            <w:r>
              <w:rPr>
                <w:rFonts w:ascii="Arial" w:cs="Arial" w:eastAsia="Arial" w:hAnsi="Arial"/>
                <w:sz w:val="17"/>
                <w:szCs w:val="17"/>
                <w:color w:val="auto"/>
              </w:rPr>
              <w:t>79%</w:t>
            </w:r>
          </w:p>
        </w:tc>
        <w:tc>
          <w:tcPr>
            <w:tcW w:w="2840" w:type="dxa"/>
            <w:vAlign w:val="bottom"/>
            <w:tcBorders>
              <w:top w:val="single" w:sz="8" w:color="auto"/>
            </w:tcBorders>
          </w:tcPr>
          <w:p>
            <w:pPr>
              <w:ind w:left="160"/>
              <w:spacing w:after="0"/>
              <w:rPr>
                <w:sz w:val="20"/>
                <w:szCs w:val="20"/>
                <w:color w:val="auto"/>
              </w:rPr>
            </w:pPr>
            <w:r>
              <w:rPr>
                <w:rFonts w:ascii="Arial" w:cs="Arial" w:eastAsia="Arial" w:hAnsi="Arial"/>
                <w:sz w:val="17"/>
                <w:szCs w:val="17"/>
                <w:color w:val="auto"/>
              </w:rPr>
              <w:t>100%</w:t>
            </w:r>
          </w:p>
        </w:tc>
      </w:tr>
      <w:tr>
        <w:trPr>
          <w:trHeight w:val="20"/>
        </w:trPr>
        <w:tc>
          <w:tcPr>
            <w:tcW w:w="5100" w:type="dxa"/>
            <w:vAlign w:val="bottom"/>
            <w:shd w:val="clear" w:color="auto" w:fill="0066BA"/>
          </w:tcPr>
          <w:p>
            <w:pPr>
              <w:spacing w:after="0" w:line="20" w:lineRule="exact"/>
              <w:rPr>
                <w:sz w:val="1"/>
                <w:szCs w:val="1"/>
                <w:color w:val="auto"/>
              </w:rPr>
            </w:pPr>
          </w:p>
        </w:tc>
        <w:tc>
          <w:tcPr>
            <w:tcW w:w="2340" w:type="dxa"/>
            <w:vAlign w:val="bottom"/>
            <w:shd w:val="clear" w:color="auto" w:fill="0066BA"/>
          </w:tcPr>
          <w:p>
            <w:pPr>
              <w:spacing w:after="0" w:line="20" w:lineRule="exact"/>
              <w:rPr>
                <w:sz w:val="1"/>
                <w:szCs w:val="1"/>
                <w:color w:val="auto"/>
              </w:rPr>
            </w:pPr>
          </w:p>
        </w:tc>
        <w:tc>
          <w:tcPr>
            <w:tcW w:w="2840" w:type="dxa"/>
            <w:vAlign w:val="bottom"/>
            <w:shd w:val="clear" w:color="auto" w:fill="0066BA"/>
          </w:tcPr>
          <w:p>
            <w:pPr>
              <w:spacing w:after="0" w:line="20" w:lineRule="exact"/>
              <w:rPr>
                <w:sz w:val="1"/>
                <w:szCs w:val="1"/>
                <w:color w:val="auto"/>
              </w:rPr>
            </w:pPr>
          </w:p>
        </w:tc>
      </w:tr>
    </w:tbl>
    <w:p>
      <w:pPr>
        <w:spacing w:after="0" w:line="92" w:lineRule="exact"/>
        <w:rPr>
          <w:sz w:val="20"/>
          <w:szCs w:val="20"/>
          <w:color w:val="auto"/>
        </w:rPr>
      </w:pPr>
    </w:p>
    <w:p>
      <w:pPr>
        <w:ind w:left="480" w:right="20"/>
        <w:spacing w:after="0" w:line="283" w:lineRule="auto"/>
        <w:rPr>
          <w:sz w:val="20"/>
          <w:szCs w:val="20"/>
          <w:color w:val="auto"/>
        </w:rPr>
      </w:pPr>
      <w:r>
        <w:rPr>
          <w:rFonts w:ascii="Arial" w:cs="Arial" w:eastAsia="Arial" w:hAnsi="Arial"/>
          <w:sz w:val="16"/>
          <w:szCs w:val="16"/>
          <w:color w:val="auto"/>
        </w:rPr>
        <w:t>A given target price threshold will be met, and the shares underlying the CEO Performance Stock Option Award that are associated with such threshold will become exercisable, when our average closing stock price over 70 consecutive trading days is equal to or exceeds the threshold. If a threshold is attained, the earned number of shares will become exercisable one year after the attainment date, or if earlier, on December 15, 2025, in each case provided that Mr. Roche continues to serve as our CEO (or in a substantially similar role as determined by our Board) on the applicable vesting date. There is no linear interpolation between target price thresholds and a threshold may be met only once.</w:t>
      </w:r>
    </w:p>
    <w:p>
      <w:pPr>
        <w:spacing w:after="0" w:line="60" w:lineRule="exact"/>
        <w:rPr>
          <w:sz w:val="20"/>
          <w:szCs w:val="20"/>
          <w:color w:val="auto"/>
        </w:rPr>
      </w:pPr>
    </w:p>
    <w:p>
      <w:pPr>
        <w:ind w:left="480" w:right="220"/>
        <w:spacing w:after="0" w:line="265" w:lineRule="auto"/>
        <w:rPr>
          <w:sz w:val="20"/>
          <w:szCs w:val="20"/>
          <w:color w:val="auto"/>
        </w:rPr>
      </w:pPr>
      <w:r>
        <w:rPr>
          <w:rFonts w:ascii="Arial" w:cs="Arial" w:eastAsia="Arial" w:hAnsi="Arial"/>
          <w:sz w:val="17"/>
          <w:szCs w:val="17"/>
          <w:color w:val="auto"/>
        </w:rPr>
        <w:t>The CEO Performance Stock Option Award, designed by the Compensation Committee in consultation with Pearl Meyer, its independent compensation consultant, emphasizes sustainable shareholder value creation over time. The Compensation Committee specifically determined to issue this award in the form of stock options such that Mr. Roche will only realize value from the award if significant increases in our stock price are sustained, thereby closely aligning with shareholder interests.</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Maxim Integration PRSUs</w:t>
      </w:r>
    </w:p>
    <w:p>
      <w:pPr>
        <w:spacing w:after="0" w:line="114" w:lineRule="exact"/>
        <w:rPr>
          <w:sz w:val="20"/>
          <w:szCs w:val="20"/>
          <w:color w:val="auto"/>
        </w:rPr>
      </w:pPr>
    </w:p>
    <w:p>
      <w:pPr>
        <w:ind w:left="480" w:right="100"/>
        <w:spacing w:after="0" w:line="261" w:lineRule="auto"/>
        <w:rPr>
          <w:sz w:val="20"/>
          <w:szCs w:val="20"/>
          <w:color w:val="auto"/>
        </w:rPr>
      </w:pPr>
      <w:r>
        <w:rPr>
          <w:rFonts w:ascii="Arial" w:cs="Arial" w:eastAsia="Arial" w:hAnsi="Arial"/>
          <w:sz w:val="17"/>
          <w:szCs w:val="17"/>
          <w:color w:val="auto"/>
        </w:rPr>
        <w:t>To promote the successful integration of Maxim Integrated and the achievement of the Company’s synergy goals, in December 2020, the Compensation Committee also approved the award of PRSUs, or Maxim Integration PRSUs, to a select group of key employees, including the following NEOs, but excluding the CEO: 19,443 Maxim Integration PRSUs for Mr. Mahendra-Rajah, 13,460 Maxim Integration PRSUs for Mr. Hassett, and 13,460 Maxim Integration PRSUs for Mr. Cotter. The recipients of the Maxim Integration PRSUs are key decision makers who have a responsibility to drive integration and cost synergy. The Maxim Integration PRSUs were granted in addition to the recipients’ annual equity awards for fiscal 2021.</w:t>
      </w:r>
    </w:p>
    <w:p>
      <w:pPr>
        <w:spacing w:after="0" w:line="77" w:lineRule="exact"/>
        <w:rPr>
          <w:sz w:val="20"/>
          <w:szCs w:val="20"/>
          <w:color w:val="auto"/>
        </w:rPr>
      </w:pPr>
    </w:p>
    <w:p>
      <w:pPr>
        <w:ind w:left="480" w:right="100"/>
        <w:spacing w:after="0" w:line="283" w:lineRule="auto"/>
        <w:rPr>
          <w:sz w:val="20"/>
          <w:szCs w:val="20"/>
          <w:color w:val="auto"/>
        </w:rPr>
      </w:pPr>
      <w:r>
        <w:rPr>
          <w:rFonts w:ascii="Arial" w:cs="Arial" w:eastAsia="Arial" w:hAnsi="Arial"/>
          <w:sz w:val="16"/>
          <w:szCs w:val="16"/>
          <w:color w:val="auto"/>
        </w:rPr>
        <w:t>The number of Maxim Integration PRSUs that may be earned will range from 0 to a maximum of 200% of the target amount of Maxim Integration PRSUs, or the Target Amount, and will be determined according to the achievement of three performance metrics set forth below. Any shares earned will vest on the 60th day following the period from December 15, 2020 until the two-year anniversary of the closing of the Maxim acquisition, or the Performance Period. If the Maxim acquisition does not close, the awards will be cancelled. The performance metrics are designed to incentivize the achievement of stretch targets with respect to both the magnitude of cost synergies and the speed of delivery:</w:t>
      </w:r>
    </w:p>
    <w:p>
      <w:pPr>
        <w:spacing w:after="0" w:line="67" w:lineRule="exact"/>
        <w:rPr>
          <w:sz w:val="20"/>
          <w:szCs w:val="20"/>
          <w:color w:val="auto"/>
        </w:rPr>
      </w:pPr>
    </w:p>
    <w:p>
      <w:pPr>
        <w:ind w:left="660" w:right="100" w:hanging="185"/>
        <w:spacing w:after="0" w:line="274"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 xml:space="preserve">Operating Profit Goal: </w:t>
      </w:r>
      <w:r>
        <w:rPr>
          <w:rFonts w:ascii="Arial" w:cs="Arial" w:eastAsia="Arial" w:hAnsi="Arial"/>
          <w:sz w:val="17"/>
          <w:szCs w:val="17"/>
          <w:color w:val="auto"/>
        </w:rPr>
        <w:t>As a gatekeeping hurdle, the combined company must maintain a minimum average non-GAAP OPBT for the last four</w:t>
      </w:r>
      <w:r>
        <w:rPr>
          <w:rFonts w:ascii="Arial" w:cs="Arial" w:eastAsia="Arial" w:hAnsi="Arial"/>
          <w:sz w:val="17"/>
          <w:szCs w:val="17"/>
          <w:b w:val="1"/>
          <w:bCs w:val="1"/>
          <w:color w:val="auto"/>
        </w:rPr>
        <w:t xml:space="preserve"> </w:t>
      </w:r>
      <w:r>
        <w:rPr>
          <w:rFonts w:ascii="Arial" w:cs="Arial" w:eastAsia="Arial" w:hAnsi="Arial"/>
          <w:sz w:val="17"/>
          <w:szCs w:val="17"/>
          <w:color w:val="auto"/>
        </w:rPr>
        <w:t>fiscal quarters completed as of the end of the Performance Period as a percentage of revenue. If this requirement is not met, then no Maxim Integration PRSUs will vest.</w:t>
      </w:r>
    </w:p>
    <w:p>
      <w:pPr>
        <w:spacing w:after="0" w:line="19" w:lineRule="exact"/>
        <w:rPr>
          <w:rFonts w:ascii="Arial" w:cs="Arial" w:eastAsia="Arial" w:hAnsi="Arial"/>
          <w:sz w:val="17"/>
          <w:szCs w:val="17"/>
          <w:color w:val="auto"/>
        </w:rPr>
      </w:pPr>
    </w:p>
    <w:p>
      <w:pPr>
        <w:jc w:val="both"/>
        <w:ind w:left="660" w:right="80" w:hanging="185"/>
        <w:spacing w:after="0" w:line="298" w:lineRule="auto"/>
        <w:tabs>
          <w:tab w:leader="none" w:pos="660" w:val="left"/>
        </w:tabs>
        <w:numPr>
          <w:ilvl w:val="0"/>
          <w:numId w:val="46"/>
        </w:numPr>
        <w:rPr>
          <w:rFonts w:ascii="Arial" w:cs="Arial" w:eastAsia="Arial" w:hAnsi="Arial"/>
          <w:sz w:val="15"/>
          <w:szCs w:val="15"/>
          <w:color w:val="auto"/>
        </w:rPr>
      </w:pPr>
      <w:r>
        <w:rPr>
          <w:rFonts w:ascii="Arial" w:cs="Arial" w:eastAsia="Arial" w:hAnsi="Arial"/>
          <w:sz w:val="15"/>
          <w:szCs w:val="15"/>
          <w:b w:val="1"/>
          <w:bCs w:val="1"/>
          <w:color w:val="auto"/>
        </w:rPr>
        <w:t xml:space="preserve">Synergy Performance Goal: </w:t>
      </w:r>
      <w:r>
        <w:rPr>
          <w:rFonts w:ascii="Arial" w:cs="Arial" w:eastAsia="Arial" w:hAnsi="Arial"/>
          <w:sz w:val="15"/>
          <w:szCs w:val="15"/>
          <w:color w:val="auto"/>
        </w:rPr>
        <w:t>Provided the Operating Profit Goal has been attained for the Performance Period, a number of Maxim Integration</w:t>
      </w:r>
      <w:r>
        <w:rPr>
          <w:rFonts w:ascii="Arial" w:cs="Arial" w:eastAsia="Arial" w:hAnsi="Arial"/>
          <w:sz w:val="15"/>
          <w:szCs w:val="15"/>
          <w:b w:val="1"/>
          <w:bCs w:val="1"/>
          <w:color w:val="auto"/>
        </w:rPr>
        <w:t xml:space="preserve"> </w:t>
      </w:r>
      <w:r>
        <w:rPr>
          <w:rFonts w:ascii="Arial" w:cs="Arial" w:eastAsia="Arial" w:hAnsi="Arial"/>
          <w:sz w:val="15"/>
          <w:szCs w:val="15"/>
          <w:color w:val="auto"/>
        </w:rPr>
        <w:t>PRSUs ranging from 0 to 150% of the Target Amount will vest based on the gross dollar amount of cost synergies attained following the closing date of the Maxim acquisition, or Acquisition Date, as represented by the scale set forth below. For cost synergies to be deemed attained, either</w:t>
      </w:r>
    </w:p>
    <w:p>
      <w:pPr>
        <w:ind w:left="660" w:right="40"/>
        <w:spacing w:after="0" w:line="271" w:lineRule="auto"/>
        <w:rPr>
          <w:rFonts w:ascii="Arial" w:cs="Arial" w:eastAsia="Arial" w:hAnsi="Arial"/>
          <w:sz w:val="15"/>
          <w:szCs w:val="15"/>
          <w:color w:val="auto"/>
        </w:rPr>
      </w:pPr>
      <w:r>
        <w:rPr>
          <w:rFonts w:ascii="Arial" w:cs="Arial" w:eastAsia="Arial" w:hAnsi="Arial"/>
          <w:sz w:val="17"/>
          <w:szCs w:val="17"/>
          <w:color w:val="auto"/>
        </w:rPr>
        <w:t>(i) cost synergies must take effect within the Performance Period, or (ii) cost synergies must take effect within the 12-month period following the Performance Period as a result of a firm commitment made during the Performance Period.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760"/>
          </w:cols>
          <w:pgMar w:left="320" w:top="447" w:right="81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number of Maxim Integration PRSUs that will vest will be calculated based on linear interpolation between targets.</w:t>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26"/>
        </w:trPr>
        <w:tc>
          <w:tcPr>
            <w:tcW w:w="7360" w:type="dxa"/>
            <w:vAlign w:val="bottom"/>
            <w:vMerge w:val="restart"/>
            <w:shd w:val="clear" w:color="auto" w:fill="0066BA"/>
          </w:tcPr>
          <w:p>
            <w:pPr>
              <w:ind w:left="60"/>
              <w:spacing w:after="0"/>
              <w:rPr>
                <w:sz w:val="20"/>
                <w:szCs w:val="20"/>
                <w:color w:val="auto"/>
              </w:rPr>
            </w:pPr>
            <w:r>
              <w:rPr>
                <w:rFonts w:ascii="Arial" w:cs="Arial" w:eastAsia="Arial" w:hAnsi="Arial"/>
                <w:sz w:val="14"/>
                <w:szCs w:val="14"/>
                <w:b w:val="1"/>
                <w:bCs w:val="1"/>
                <w:color w:val="FFFFFF"/>
              </w:rPr>
              <w:t>Synergy Performance Goal Attained</w:t>
            </w:r>
          </w:p>
        </w:tc>
        <w:tc>
          <w:tcPr>
            <w:tcW w:w="2920" w:type="dxa"/>
            <w:vAlign w:val="bottom"/>
            <w:vMerge w:val="restart"/>
            <w:shd w:val="clear" w:color="auto" w:fill="0066BA"/>
          </w:tcPr>
          <w:p>
            <w:pPr>
              <w:ind w:left="520"/>
              <w:spacing w:after="0"/>
              <w:rPr>
                <w:sz w:val="20"/>
                <w:szCs w:val="20"/>
                <w:color w:val="auto"/>
              </w:rPr>
            </w:pPr>
            <w:r>
              <w:rPr>
                <w:rFonts w:ascii="Arial" w:cs="Arial" w:eastAsia="Arial" w:hAnsi="Arial"/>
                <w:sz w:val="14"/>
                <w:szCs w:val="14"/>
                <w:b w:val="1"/>
                <w:bCs w:val="1"/>
                <w:color w:val="FFFFFF"/>
                <w:w w:val="96"/>
              </w:rPr>
              <w:t>Percentage of Target Amount to Vest</w:t>
            </w:r>
          </w:p>
        </w:tc>
        <w:tc>
          <w:tcPr>
            <w:tcW w:w="0" w:type="dxa"/>
            <w:vAlign w:val="bottom"/>
          </w:tcPr>
          <w:p>
            <w:pPr>
              <w:spacing w:after="0" w:line="20" w:lineRule="exact"/>
              <w:rPr>
                <w:sz w:val="1"/>
                <w:szCs w:val="1"/>
                <w:color w:val="auto"/>
              </w:rPr>
            </w:pPr>
          </w:p>
        </w:tc>
      </w:tr>
      <w:tr>
        <w:trPr>
          <w:trHeight w:val="182"/>
        </w:trPr>
        <w:tc>
          <w:tcPr>
            <w:tcW w:w="7360" w:type="dxa"/>
            <w:vAlign w:val="bottom"/>
            <w:vMerge w:val="continue"/>
            <w:shd w:val="clear" w:color="auto" w:fill="0066BA"/>
          </w:tcPr>
          <w:p>
            <w:pPr>
              <w:spacing w:after="0"/>
              <w:rPr>
                <w:sz w:val="15"/>
                <w:szCs w:val="15"/>
                <w:color w:val="auto"/>
              </w:rPr>
            </w:pPr>
          </w:p>
        </w:tc>
        <w:tc>
          <w:tcPr>
            <w:tcW w:w="2920" w:type="dxa"/>
            <w:vAlign w:val="bottom"/>
            <w:vMerge w:val="continue"/>
            <w:shd w:val="clear" w:color="auto" w:fill="0066BA"/>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7360" w:type="dxa"/>
            <w:vAlign w:val="bottom"/>
          </w:tcPr>
          <w:p>
            <w:pPr>
              <w:ind w:left="60"/>
              <w:spacing w:after="0"/>
              <w:rPr>
                <w:sz w:val="20"/>
                <w:szCs w:val="20"/>
                <w:color w:val="auto"/>
              </w:rPr>
            </w:pPr>
            <w:r>
              <w:rPr>
                <w:rFonts w:ascii="Arial" w:cs="Arial" w:eastAsia="Arial" w:hAnsi="Arial"/>
                <w:sz w:val="17"/>
                <w:szCs w:val="17"/>
                <w:color w:val="auto"/>
              </w:rPr>
              <w:t>Minimum threshold as determined by the Compensation Committee</w:t>
            </w:r>
          </w:p>
        </w:tc>
        <w:tc>
          <w:tcPr>
            <w:tcW w:w="2920" w:type="dxa"/>
            <w:vAlign w:val="bottom"/>
            <w:tcBorders>
              <w:bottom w:val="single" w:sz="8" w:color="EAEAEA"/>
            </w:tcBorders>
            <w:shd w:val="clear" w:color="auto" w:fill="EAEAEA"/>
          </w:tcPr>
          <w:p>
            <w:pPr>
              <w:ind w:left="50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40"/>
        </w:trPr>
        <w:tc>
          <w:tcPr>
            <w:tcW w:w="736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Target threshold as determined by the Compensation Committee</w:t>
            </w:r>
          </w:p>
        </w:tc>
        <w:tc>
          <w:tcPr>
            <w:tcW w:w="2920" w:type="dxa"/>
            <w:vAlign w:val="bottom"/>
            <w:tcBorders>
              <w:top w:val="single" w:sz="8" w:color="auto"/>
              <w:bottom w:val="single" w:sz="8" w:color="EAEAEA"/>
            </w:tcBorders>
            <w:shd w:val="clear" w:color="auto" w:fill="EAEAEA"/>
          </w:tcPr>
          <w:p>
            <w:pPr>
              <w:ind w:left="5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20"/>
        </w:trPr>
        <w:tc>
          <w:tcPr>
            <w:tcW w:w="736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Maximum threshold as determined by the Compensation Committee</w:t>
            </w:r>
          </w:p>
        </w:tc>
        <w:tc>
          <w:tcPr>
            <w:tcW w:w="2920" w:type="dxa"/>
            <w:vAlign w:val="bottom"/>
            <w:tcBorders>
              <w:top w:val="single" w:sz="8" w:color="auto"/>
              <w:bottom w:val="single" w:sz="8" w:color="EAEAEA"/>
            </w:tcBorders>
            <w:shd w:val="clear" w:color="auto" w:fill="EAEAEA"/>
          </w:tcPr>
          <w:p>
            <w:pPr>
              <w:ind w:left="50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
        </w:trPr>
        <w:tc>
          <w:tcPr>
            <w:tcW w:w="7360" w:type="dxa"/>
            <w:vAlign w:val="bottom"/>
            <w:shd w:val="clear" w:color="auto" w:fill="0066BA"/>
          </w:tcPr>
          <w:p>
            <w:pPr>
              <w:spacing w:after="0" w:line="20" w:lineRule="exact"/>
              <w:rPr>
                <w:sz w:val="1"/>
                <w:szCs w:val="1"/>
                <w:color w:val="auto"/>
              </w:rPr>
            </w:pPr>
          </w:p>
        </w:tc>
        <w:tc>
          <w:tcPr>
            <w:tcW w:w="2920" w:type="dxa"/>
            <w:vAlign w:val="bottom"/>
            <w:shd w:val="clear" w:color="auto" w:fill="0066B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ind w:left="660" w:right="340" w:hanging="185"/>
        <w:spacing w:after="0" w:line="293"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 xml:space="preserve">Speed of Delivery Accelerator: </w:t>
      </w:r>
      <w:r>
        <w:rPr>
          <w:rFonts w:ascii="Arial" w:cs="Arial" w:eastAsia="Arial" w:hAnsi="Arial"/>
          <w:sz w:val="17"/>
          <w:szCs w:val="17"/>
          <w:color w:val="auto"/>
        </w:rPr>
        <w:t>If the minimum Synergy Performance Goal is fully realized within 18 months following the Acquisition Date,</w:t>
      </w:r>
      <w:r>
        <w:rPr>
          <w:rFonts w:ascii="Arial" w:cs="Arial" w:eastAsia="Arial" w:hAnsi="Arial"/>
          <w:sz w:val="17"/>
          <w:szCs w:val="17"/>
          <w:b w:val="1"/>
          <w:bCs w:val="1"/>
          <w:color w:val="auto"/>
        </w:rPr>
        <w:t xml:space="preserve"> </w:t>
      </w:r>
      <w:r>
        <w:rPr>
          <w:rFonts w:ascii="Arial" w:cs="Arial" w:eastAsia="Arial" w:hAnsi="Arial"/>
          <w:sz w:val="17"/>
          <w:szCs w:val="17"/>
          <w:color w:val="auto"/>
        </w:rPr>
        <w:t>then an additional number of Maxim Integration PRSUs equal to 50% of the Target Amount will vest.</w:t>
      </w:r>
    </w:p>
    <w:p>
      <w:pPr>
        <w:spacing w:after="0" w:line="49" w:lineRule="exact"/>
        <w:rPr>
          <w:sz w:val="20"/>
          <w:szCs w:val="20"/>
          <w:color w:val="auto"/>
        </w:rPr>
      </w:pPr>
    </w:p>
    <w:p>
      <w:pPr>
        <w:ind w:left="480" w:right="440"/>
        <w:spacing w:after="0" w:line="265" w:lineRule="auto"/>
        <w:rPr>
          <w:sz w:val="20"/>
          <w:szCs w:val="20"/>
          <w:color w:val="auto"/>
        </w:rPr>
      </w:pPr>
      <w:r>
        <w:rPr>
          <w:rFonts w:ascii="Arial" w:cs="Arial" w:eastAsia="Arial" w:hAnsi="Arial"/>
          <w:sz w:val="17"/>
          <w:szCs w:val="17"/>
          <w:color w:val="auto"/>
        </w:rPr>
        <w:t>A recipient can only obtain the maximum 200% of the Target Amount if both (i) the minimum Synergy Performance Goal is attained within 18 months following the Acquisition Date, in which case the Speed of Delivery Accelerator will apply, and (ii) the maximum Synergy Performance Goal is attained within the Performance Period. The recipient must be employed on the vesting date in order for any of the Maxim Integration PRSUs to vest.</w:t>
      </w:r>
    </w:p>
    <w:p>
      <w:pPr>
        <w:spacing w:after="0" w:line="67" w:lineRule="exact"/>
        <w:rPr>
          <w:sz w:val="20"/>
          <w:szCs w:val="20"/>
          <w:color w:val="auto"/>
        </w:rPr>
      </w:pPr>
    </w:p>
    <w:p>
      <w:pPr>
        <w:ind w:left="480" w:right="380"/>
        <w:spacing w:after="0" w:line="293" w:lineRule="auto"/>
        <w:rPr>
          <w:sz w:val="20"/>
          <w:szCs w:val="20"/>
          <w:color w:val="auto"/>
        </w:rPr>
      </w:pPr>
      <w:r>
        <w:rPr>
          <w:rFonts w:ascii="Arial" w:cs="Arial" w:eastAsia="Arial" w:hAnsi="Arial"/>
          <w:sz w:val="17"/>
          <w:szCs w:val="17"/>
          <w:b w:val="1"/>
          <w:bCs w:val="1"/>
          <w:color w:val="auto"/>
        </w:rPr>
        <w:t xml:space="preserve">Dilution Considerations. </w:t>
      </w:r>
      <w:r>
        <w:rPr>
          <w:rFonts w:ascii="Arial" w:cs="Arial" w:eastAsia="Arial" w:hAnsi="Arial"/>
          <w:sz w:val="17"/>
          <w:szCs w:val="17"/>
          <w:color w:val="auto"/>
        </w:rPr>
        <w:t>The Company is committed to keeping dilution under its stock plans for employees at reasonable levels. Our gross and</w:t>
      </w:r>
      <w:r>
        <w:rPr>
          <w:rFonts w:ascii="Arial" w:cs="Arial" w:eastAsia="Arial" w:hAnsi="Arial"/>
          <w:sz w:val="17"/>
          <w:szCs w:val="17"/>
          <w:b w:val="1"/>
          <w:bCs w:val="1"/>
          <w:color w:val="auto"/>
        </w:rPr>
        <w:t xml:space="preserve"> </w:t>
      </w:r>
      <w:r>
        <w:rPr>
          <w:rFonts w:ascii="Arial" w:cs="Arial" w:eastAsia="Arial" w:hAnsi="Arial"/>
          <w:sz w:val="17"/>
          <w:szCs w:val="17"/>
          <w:color w:val="auto"/>
        </w:rPr>
        <w:t>net dilution rate have been consistently lower than that of our peers over the past several years.</w:t>
      </w:r>
    </w:p>
    <w:p>
      <w:pPr>
        <w:spacing w:after="0" w:line="24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333333"/>
        </w:rPr>
        <w:t>Other Compensation Elements</w:t>
      </w:r>
    </w:p>
    <w:p>
      <w:pPr>
        <w:spacing w:after="0" w:line="9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Retirement and Other Employee Benefits</w:t>
      </w:r>
    </w:p>
    <w:p>
      <w:pPr>
        <w:spacing w:after="0" w:line="114" w:lineRule="exact"/>
        <w:rPr>
          <w:sz w:val="20"/>
          <w:szCs w:val="20"/>
          <w:color w:val="auto"/>
        </w:rPr>
      </w:pPr>
    </w:p>
    <w:p>
      <w:pPr>
        <w:ind w:left="480" w:right="400"/>
        <w:spacing w:after="0" w:line="287" w:lineRule="auto"/>
        <w:rPr>
          <w:sz w:val="20"/>
          <w:szCs w:val="20"/>
          <w:color w:val="auto"/>
        </w:rPr>
      </w:pPr>
      <w:r>
        <w:rPr>
          <w:rFonts w:ascii="Arial" w:cs="Arial" w:eastAsia="Arial" w:hAnsi="Arial"/>
          <w:sz w:val="16"/>
          <w:szCs w:val="16"/>
          <w:color w:val="auto"/>
        </w:rPr>
        <w:t>We maintain broad-based benefits for all employees, including health and dental insurance, life and disability insurance and retirement plans. Executives are eligible to participate in all of our employee benefit plans on the same basis as our other employees. The retirement and other employee benefit component of our executive compensation program is designed to attract excellent candidates by providing financial protection and security, and reward our executives for the total commitment we expect from them in service to ADI.</w:t>
      </w:r>
    </w:p>
    <w:p>
      <w:pPr>
        <w:spacing w:after="0" w:line="57" w:lineRule="exact"/>
        <w:rPr>
          <w:sz w:val="20"/>
          <w:szCs w:val="20"/>
          <w:color w:val="auto"/>
        </w:rPr>
      </w:pPr>
    </w:p>
    <w:p>
      <w:pPr>
        <w:ind w:left="480" w:right="180"/>
        <w:spacing w:after="0" w:line="265" w:lineRule="auto"/>
        <w:rPr>
          <w:sz w:val="20"/>
          <w:szCs w:val="20"/>
          <w:color w:val="auto"/>
        </w:rPr>
      </w:pPr>
      <w:r>
        <w:rPr>
          <w:rFonts w:ascii="Arial" w:cs="Arial" w:eastAsia="Arial" w:hAnsi="Arial"/>
          <w:sz w:val="17"/>
          <w:szCs w:val="17"/>
          <w:color w:val="auto"/>
        </w:rPr>
        <w:t>We maintain a Deferred Compensation Plan, or DCP, under which our executive officers and directors, along with a group of highly compensated management and engineering employees, are eligible to defer receipt of some or all of their cash compensation. This plan offers many of the same investment options as our 401(k) plan. Under our DCP, we provide all participants (other than non-employee directors) with Company contributions equal to 8% of eligible deferred contributions.</w:t>
      </w:r>
    </w:p>
    <w:p>
      <w:pPr>
        <w:spacing w:after="0" w:line="73" w:lineRule="exact"/>
        <w:rPr>
          <w:sz w:val="20"/>
          <w:szCs w:val="20"/>
          <w:color w:val="auto"/>
        </w:rPr>
      </w:pPr>
    </w:p>
    <w:p>
      <w:pPr>
        <w:ind w:left="480" w:right="320"/>
        <w:spacing w:after="0" w:line="260" w:lineRule="auto"/>
        <w:rPr>
          <w:sz w:val="20"/>
          <w:szCs w:val="20"/>
          <w:color w:val="auto"/>
        </w:rPr>
      </w:pPr>
      <w:r>
        <w:rPr>
          <w:rFonts w:ascii="Arial" w:cs="Arial" w:eastAsia="Arial" w:hAnsi="Arial"/>
          <w:sz w:val="17"/>
          <w:szCs w:val="17"/>
          <w:color w:val="auto"/>
        </w:rPr>
        <w:t>In the United States during fiscal 2020, we contributed to our 401(k) plan on behalf of all eligible employees, including our NEOs, amounts equal to 5% of the employee’s eligible compensation, plus matching contributions up to an additional 3%, subject to Internal Revenue Service, or IRS, limits. For those employees who also participated in the DCP described above, any compensation that was deferred under that plan was not considered eligible compensation for purposes of our Company contributions under the 401(k) plan. We also provided employees who are eligible to participate in the 401(k) plan but whose compensation is greater than the amount that may be taken into account in any plan year as a result of IRS limits ($285,000 for fiscal 2020), with a taxable payment equal to 8% of the employee’s 401(k)-eligible compensation in excess of the IRS limit.</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Limited Perquisites</w:t>
      </w:r>
    </w:p>
    <w:p>
      <w:pPr>
        <w:spacing w:after="0" w:line="114" w:lineRule="exact"/>
        <w:rPr>
          <w:sz w:val="20"/>
          <w:szCs w:val="20"/>
          <w:color w:val="auto"/>
        </w:rPr>
      </w:pPr>
    </w:p>
    <w:p>
      <w:pPr>
        <w:jc w:val="both"/>
        <w:ind w:left="480" w:right="400"/>
        <w:spacing w:after="0" w:line="270" w:lineRule="auto"/>
        <w:rPr>
          <w:sz w:val="20"/>
          <w:szCs w:val="20"/>
          <w:color w:val="auto"/>
        </w:rPr>
      </w:pPr>
      <w:r>
        <w:rPr>
          <w:rFonts w:ascii="Arial" w:cs="Arial" w:eastAsia="Arial" w:hAnsi="Arial"/>
          <w:sz w:val="17"/>
          <w:szCs w:val="17"/>
          <w:color w:val="auto"/>
        </w:rPr>
        <w:t>We do not award extensive perquisites to our executive officers. In fiscal 2020, we provided a voluntary health services benefit to executives and reimbursement for financial and tax planning services of up to $15,000 for the Chief Executive Officer and up to $10,000 for the other executive officers. These items are detailed in the Summary Compensation Table below.</w:t>
      </w:r>
    </w:p>
    <w:p>
      <w:pPr>
        <w:spacing w:after="0" w:line="69" w:lineRule="exact"/>
        <w:rPr>
          <w:sz w:val="20"/>
          <w:szCs w:val="20"/>
          <w:color w:val="auto"/>
        </w:rPr>
      </w:pPr>
    </w:p>
    <w:p>
      <w:pPr>
        <w:ind w:left="480" w:right="300"/>
        <w:spacing w:after="0" w:line="265" w:lineRule="auto"/>
        <w:rPr>
          <w:sz w:val="20"/>
          <w:szCs w:val="20"/>
          <w:color w:val="auto"/>
        </w:rPr>
      </w:pPr>
      <w:r>
        <w:rPr>
          <w:rFonts w:ascii="Arial" w:cs="Arial" w:eastAsia="Arial" w:hAnsi="Arial"/>
          <w:sz w:val="17"/>
          <w:szCs w:val="17"/>
          <w:color w:val="auto"/>
        </w:rPr>
        <w:t>On occasion, and with the approval of our CEO, an officer or director may have his or her family members accompany him or her on the Company’s leased airplane when traveling on business. The executive or director may incur taxable income for any such travel in accordance with applicable tax rules. We do not gross-up or in any way compensate the officer or director for any income tax owed for any such travel. No such travel occurred in fiscal 2020.</w:t>
      </w: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0940"/>
          </w:cols>
          <w:pgMar w:left="320" w:top="447" w:right="6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Compensation Processes and Policies</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333333"/>
        </w:rPr>
        <w:t>Executive Stock Ownership Guidelines</w:t>
      </w:r>
    </w:p>
    <w:p>
      <w:pPr>
        <w:spacing w:after="0" w:line="109" w:lineRule="exact"/>
        <w:rPr>
          <w:sz w:val="20"/>
          <w:szCs w:val="20"/>
          <w:color w:val="auto"/>
        </w:rPr>
      </w:pPr>
    </w:p>
    <w:p>
      <w:pPr>
        <w:ind w:left="480" w:right="40"/>
        <w:spacing w:after="0" w:line="279" w:lineRule="auto"/>
        <w:rPr>
          <w:sz w:val="20"/>
          <w:szCs w:val="20"/>
          <w:color w:val="auto"/>
        </w:rPr>
      </w:pPr>
      <w:r>
        <w:rPr>
          <w:rFonts w:ascii="Arial" w:cs="Arial" w:eastAsia="Arial" w:hAnsi="Arial"/>
          <w:sz w:val="16"/>
          <w:szCs w:val="16"/>
          <w:color w:val="auto"/>
        </w:rPr>
        <w:t>Under our guidelines, the target stock ownership levels are two times annual base salary for the Chief Executive Officer, and one times annual base salary for other executive officers. The Chief Executive Officer has four years from the date of his appointment as CEO to achieve his targeted level. Executive officers other than the CEO have five years from the date he or she becomes an executive officer to achieve their targeted level. Shares subject to unexercised options, whether or not vested, and unvested PRSUs whose performance has not yet been certified by the Compensation Committee will not be counted for purposes of satisfying these guidelines. Time-based RSUs (whether or not vested) and unvested PRSUs whose performance has been certified by the Compensation Committee are counted for purposes of satisfying the guidelines. All of our executive officers were in compliance with our stock ownership guidelines as of the end of fiscal 2020.</w:t>
      </w:r>
    </w:p>
    <w:p>
      <w:pPr>
        <w:spacing w:after="0" w:line="257"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333333"/>
        </w:rPr>
        <w:t>Compensation Recovery</w:t>
      </w:r>
    </w:p>
    <w:p>
      <w:pPr>
        <w:spacing w:after="0" w:line="109" w:lineRule="exact"/>
        <w:rPr>
          <w:sz w:val="20"/>
          <w:szCs w:val="20"/>
          <w:color w:val="auto"/>
        </w:rPr>
      </w:pPr>
    </w:p>
    <w:p>
      <w:pPr>
        <w:ind w:left="480"/>
        <w:spacing w:after="0" w:line="259" w:lineRule="auto"/>
        <w:rPr>
          <w:sz w:val="20"/>
          <w:szCs w:val="20"/>
          <w:color w:val="auto"/>
        </w:rPr>
      </w:pPr>
      <w:r>
        <w:rPr>
          <w:rFonts w:ascii="Arial" w:cs="Arial" w:eastAsia="Arial" w:hAnsi="Arial"/>
          <w:sz w:val="17"/>
          <w:szCs w:val="17"/>
          <w:color w:val="auto"/>
        </w:rPr>
        <w:t>Under the Sarbanes-Oxley Act, in the event of misconduct that results in a financial restatement that would have reduced a previously paid incentive amount, we can recoup those improper payments from our Chief Executive Officer and Chief Financial Officer. In addition, in December 2020, our Board of Directors adopted a compensation clawback policy. The policy provides that in the event of a material restatement of our financial results, the result of which is that any performance-based cash or equity compensation received by an executive officer, or awarded compensation, would have been lower had it been calculated based on such restated financial results, or actual compensation, the Compensation Committee may, in its sole discretion and as appropriate under the circumstances, seek to recover for our benefit all or a portion of the difference between the awarded compensation and the actual compensation of any executive officer whose fraud or willful misconduct caused or partially caused the need for such restatement. For purposes of the policy, the term “executive officer” has the meaning given to that term in Rule 3b-7 under the Securities Exchange Act of 1934, as amended.</w:t>
      </w:r>
    </w:p>
    <w:p>
      <w:pPr>
        <w:spacing w:after="0" w:line="79" w:lineRule="exact"/>
        <w:rPr>
          <w:sz w:val="20"/>
          <w:szCs w:val="20"/>
          <w:color w:val="auto"/>
        </w:rPr>
      </w:pPr>
    </w:p>
    <w:p>
      <w:pPr>
        <w:jc w:val="both"/>
        <w:ind w:left="480" w:right="200"/>
        <w:spacing w:after="0" w:line="356" w:lineRule="auto"/>
        <w:rPr>
          <w:sz w:val="20"/>
          <w:szCs w:val="20"/>
          <w:color w:val="auto"/>
        </w:rPr>
      </w:pPr>
      <w:r>
        <w:rPr>
          <w:rFonts w:ascii="Arial" w:cs="Arial" w:eastAsia="Arial" w:hAnsi="Arial"/>
          <w:sz w:val="15"/>
          <w:szCs w:val="15"/>
          <w:color w:val="auto"/>
        </w:rPr>
        <w:t>We will amend our compensation clawback policy, if necessary, so that it is compliant with the regulations mandated under the Dodd-Frank Wall Street Reform and Consumer Protection Act when the regulations are adopted by the SEC and corresponding listing standards become effective.</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333333"/>
        </w:rPr>
        <w:t>Benchmarking</w:t>
      </w:r>
    </w:p>
    <w:p>
      <w:pPr>
        <w:spacing w:after="0" w:line="109" w:lineRule="exact"/>
        <w:rPr>
          <w:sz w:val="20"/>
          <w:szCs w:val="20"/>
          <w:color w:val="auto"/>
        </w:rPr>
      </w:pPr>
    </w:p>
    <w:p>
      <w:pPr>
        <w:ind w:left="480" w:right="20"/>
        <w:spacing w:after="0" w:line="302" w:lineRule="auto"/>
        <w:rPr>
          <w:sz w:val="20"/>
          <w:szCs w:val="20"/>
          <w:color w:val="auto"/>
        </w:rPr>
      </w:pPr>
      <w:r>
        <w:rPr>
          <w:rFonts w:ascii="Arial" w:cs="Arial" w:eastAsia="Arial" w:hAnsi="Arial"/>
          <w:sz w:val="15"/>
          <w:szCs w:val="15"/>
          <w:color w:val="auto"/>
        </w:rPr>
        <w:t>In making its compensation determinations, including base salary, cash incentive bonus award targets and long-term equity compensation, the Compensation Committee annually reviews the total compensation that each of our executives is eligible to receive against the compensation levels of comparable positions of a peer group of companies. The composition of the peer group is also reviewed annually by the Compensation Committee. In June 2019, the Compensation Committee engaged Pearl Meyer to conduct a review of the composition of the Company’s peer group for fiscal 2020. The Compensation Committee has sought to select peer companies that are publicly traded, are headquartered in the United States, compete with us for talent, and are similar to ADI in their product and services offerings, business model, revenue size and market capitalization.</w:t>
      </w:r>
    </w:p>
    <w:p>
      <w:pPr>
        <w:spacing w:after="0" w:line="51" w:lineRule="exact"/>
        <w:rPr>
          <w:sz w:val="20"/>
          <w:szCs w:val="20"/>
          <w:color w:val="auto"/>
        </w:rPr>
      </w:pPr>
    </w:p>
    <w:p>
      <w:pPr>
        <w:ind w:left="480" w:right="120"/>
        <w:spacing w:after="0" w:line="311" w:lineRule="auto"/>
        <w:rPr>
          <w:sz w:val="20"/>
          <w:szCs w:val="20"/>
          <w:color w:val="auto"/>
        </w:rPr>
      </w:pPr>
      <w:r>
        <w:rPr>
          <w:rFonts w:ascii="Arial" w:cs="Arial" w:eastAsia="Arial" w:hAnsi="Arial"/>
          <w:sz w:val="15"/>
          <w:szCs w:val="15"/>
          <w:color w:val="auto"/>
        </w:rPr>
        <w:t>As a result of rapid consolidation in the semiconductor industry over the last several years, in addition to companies that meet the criteria outlined above, the peer group also includes companies outside of the semiconductor industry. These additional companies are similar in size and have similar gross margins and research and development spend as the Company, include peers of peers and peers of other companies in our sector, and often compete with the Company for talent. Further to this review, our peer group for fiscal 2020 remained unchanged from fiscal 2019.</w:t>
      </w: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0740"/>
          </w:cols>
          <w:pgMar w:left="320" w:top="447" w:right="8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peer group used by the Compensation Committee in fiscal 2020 to evaluate executive compensation consisted of the following companies:</w:t>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240"/>
        </w:trPr>
        <w:tc>
          <w:tcPr>
            <w:tcW w:w="5240" w:type="dxa"/>
            <w:vAlign w:val="bottom"/>
            <w:tcBorders>
              <w:bottom w:val="single" w:sz="8" w:color="0066BA"/>
            </w:tcBorders>
            <w:gridSpan w:val="2"/>
            <w:shd w:val="clear" w:color="auto" w:fill="0066BA"/>
          </w:tcPr>
          <w:p>
            <w:pPr>
              <w:ind w:left="60"/>
              <w:spacing w:after="0"/>
              <w:rPr>
                <w:sz w:val="20"/>
                <w:szCs w:val="20"/>
                <w:color w:val="auto"/>
              </w:rPr>
            </w:pPr>
            <w:r>
              <w:rPr>
                <w:rFonts w:ascii="Arial" w:cs="Arial" w:eastAsia="Arial" w:hAnsi="Arial"/>
                <w:sz w:val="14"/>
                <w:szCs w:val="14"/>
                <w:b w:val="1"/>
                <w:bCs w:val="1"/>
                <w:color w:val="FFFFFF"/>
              </w:rPr>
              <w:t>2020 Peer Group</w:t>
            </w:r>
          </w:p>
        </w:tc>
        <w:tc>
          <w:tcPr>
            <w:tcW w:w="2420" w:type="dxa"/>
            <w:vAlign w:val="bottom"/>
            <w:tcBorders>
              <w:bottom w:val="single" w:sz="8" w:color="0066BA"/>
            </w:tcBorders>
            <w:shd w:val="clear" w:color="auto" w:fill="0066BA"/>
          </w:tcPr>
          <w:p>
            <w:pPr>
              <w:spacing w:after="0"/>
              <w:rPr>
                <w:sz w:val="20"/>
                <w:szCs w:val="20"/>
                <w:color w:val="auto"/>
              </w:rPr>
            </w:pPr>
          </w:p>
        </w:tc>
        <w:tc>
          <w:tcPr>
            <w:tcW w:w="2620" w:type="dxa"/>
            <w:vAlign w:val="bottom"/>
            <w:tcBorders>
              <w:bottom w:val="single" w:sz="8" w:color="0066BA"/>
            </w:tcBorders>
            <w:shd w:val="clear" w:color="auto" w:fill="0066BA"/>
          </w:tcPr>
          <w:p>
            <w:pPr>
              <w:spacing w:after="0"/>
              <w:rPr>
                <w:sz w:val="20"/>
                <w:szCs w:val="20"/>
                <w:color w:val="auto"/>
              </w:rPr>
            </w:pPr>
          </w:p>
        </w:tc>
      </w:tr>
      <w:tr>
        <w:trPr>
          <w:trHeight w:val="260"/>
        </w:trPr>
        <w:tc>
          <w:tcPr>
            <w:tcW w:w="5240" w:type="dxa"/>
            <w:vAlign w:val="bottom"/>
            <w:gridSpan w:val="2"/>
          </w:tcPr>
          <w:p>
            <w:pPr>
              <w:ind w:left="60"/>
              <w:spacing w:after="0"/>
              <w:rPr>
                <w:sz w:val="20"/>
                <w:szCs w:val="20"/>
                <w:color w:val="auto"/>
              </w:rPr>
            </w:pPr>
            <w:r>
              <w:rPr>
                <w:rFonts w:ascii="Arial" w:cs="Arial" w:eastAsia="Arial" w:hAnsi="Arial"/>
                <w:sz w:val="17"/>
                <w:szCs w:val="17"/>
                <w:color w:val="auto"/>
              </w:rPr>
              <w:t>Advanced Micro Devices, Inc.</w:t>
            </w:r>
          </w:p>
        </w:tc>
        <w:tc>
          <w:tcPr>
            <w:tcW w:w="2420" w:type="dxa"/>
            <w:vAlign w:val="bottom"/>
            <w:tcBorders>
              <w:bottom w:val="single" w:sz="8" w:color="EAEAEA"/>
            </w:tcBorders>
            <w:shd w:val="clear" w:color="auto" w:fill="EAEAEA"/>
          </w:tcPr>
          <w:p>
            <w:pPr>
              <w:ind w:left="120"/>
              <w:spacing w:after="0"/>
              <w:rPr>
                <w:sz w:val="20"/>
                <w:szCs w:val="20"/>
                <w:color w:val="auto"/>
              </w:rPr>
            </w:pPr>
            <w:r>
              <w:rPr>
                <w:rFonts w:ascii="Arial" w:cs="Arial" w:eastAsia="Arial" w:hAnsi="Arial"/>
                <w:sz w:val="17"/>
                <w:szCs w:val="17"/>
                <w:color w:val="auto"/>
                <w:w w:val="94"/>
              </w:rPr>
              <w:t>Maxim Integrated Products, Inc.</w:t>
            </w:r>
          </w:p>
        </w:tc>
        <w:tc>
          <w:tcPr>
            <w:tcW w:w="2620" w:type="dxa"/>
            <w:vAlign w:val="bottom"/>
            <w:tcBorders>
              <w:bottom w:val="single" w:sz="8" w:color="EAEAEA"/>
            </w:tcBorders>
            <w:shd w:val="clear" w:color="auto" w:fill="EAEAEA"/>
          </w:tcPr>
          <w:p>
            <w:pPr>
              <w:spacing w:after="0"/>
              <w:rPr>
                <w:sz w:val="22"/>
                <w:szCs w:val="22"/>
                <w:color w:val="auto"/>
              </w:rPr>
            </w:pPr>
          </w:p>
        </w:tc>
      </w:tr>
      <w:tr>
        <w:trPr>
          <w:trHeight w:val="240"/>
        </w:trPr>
        <w:tc>
          <w:tcPr>
            <w:tcW w:w="5240" w:type="dxa"/>
            <w:vAlign w:val="bottom"/>
            <w:tcBorders>
              <w:top w:val="single" w:sz="8" w:color="0066BA"/>
            </w:tcBorders>
            <w:gridSpan w:val="2"/>
          </w:tcPr>
          <w:p>
            <w:pPr>
              <w:ind w:left="60"/>
              <w:spacing w:after="0"/>
              <w:rPr>
                <w:sz w:val="20"/>
                <w:szCs w:val="20"/>
                <w:color w:val="auto"/>
              </w:rPr>
            </w:pPr>
            <w:r>
              <w:rPr>
                <w:rFonts w:ascii="Arial" w:cs="Arial" w:eastAsia="Arial" w:hAnsi="Arial"/>
                <w:sz w:val="17"/>
                <w:szCs w:val="17"/>
                <w:color w:val="auto"/>
              </w:rPr>
              <w:t>Agilent Technologies, Inc.</w:t>
            </w:r>
          </w:p>
        </w:tc>
        <w:tc>
          <w:tcPr>
            <w:tcW w:w="242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7"/>
                <w:szCs w:val="17"/>
                <w:color w:val="auto"/>
              </w:rPr>
              <w:t>Microchip Technology Inc.</w:t>
            </w:r>
          </w:p>
        </w:tc>
        <w:tc>
          <w:tcPr>
            <w:tcW w:w="2620" w:type="dxa"/>
            <w:vAlign w:val="bottom"/>
            <w:tcBorders>
              <w:top w:val="single" w:sz="8" w:color="0066BA"/>
              <w:bottom w:val="single" w:sz="8" w:color="EAEAEA"/>
            </w:tcBorders>
            <w:shd w:val="clear" w:color="auto" w:fill="EAEAEA"/>
          </w:tcPr>
          <w:p>
            <w:pPr>
              <w:spacing w:after="0"/>
              <w:rPr>
                <w:sz w:val="20"/>
                <w:szCs w:val="20"/>
                <w:color w:val="auto"/>
              </w:rPr>
            </w:pPr>
          </w:p>
        </w:tc>
      </w:tr>
      <w:tr>
        <w:trPr>
          <w:trHeight w:val="240"/>
        </w:trPr>
        <w:tc>
          <w:tcPr>
            <w:tcW w:w="5240" w:type="dxa"/>
            <w:vAlign w:val="bottom"/>
            <w:tcBorders>
              <w:top w:val="single" w:sz="8" w:color="0066BA"/>
            </w:tcBorders>
            <w:gridSpan w:val="2"/>
          </w:tcPr>
          <w:p>
            <w:pPr>
              <w:ind w:left="60"/>
              <w:spacing w:after="0"/>
              <w:rPr>
                <w:sz w:val="20"/>
                <w:szCs w:val="20"/>
                <w:color w:val="auto"/>
              </w:rPr>
            </w:pPr>
            <w:r>
              <w:rPr>
                <w:rFonts w:ascii="Arial" w:cs="Arial" w:eastAsia="Arial" w:hAnsi="Arial"/>
                <w:sz w:val="17"/>
                <w:szCs w:val="17"/>
                <w:color w:val="auto"/>
              </w:rPr>
              <w:t>Applied Materials, Inc.</w:t>
            </w:r>
          </w:p>
        </w:tc>
        <w:tc>
          <w:tcPr>
            <w:tcW w:w="242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7"/>
                <w:szCs w:val="17"/>
                <w:color w:val="auto"/>
              </w:rPr>
              <w:t>NetApp, Inc.</w:t>
            </w:r>
          </w:p>
        </w:tc>
        <w:tc>
          <w:tcPr>
            <w:tcW w:w="2620" w:type="dxa"/>
            <w:vAlign w:val="bottom"/>
            <w:tcBorders>
              <w:top w:val="single" w:sz="8" w:color="0066BA"/>
              <w:bottom w:val="single" w:sz="8" w:color="EAEAEA"/>
            </w:tcBorders>
            <w:shd w:val="clear" w:color="auto" w:fill="EAEAEA"/>
          </w:tcPr>
          <w:p>
            <w:pPr>
              <w:spacing w:after="0"/>
              <w:rPr>
                <w:sz w:val="20"/>
                <w:szCs w:val="20"/>
                <w:color w:val="auto"/>
              </w:rPr>
            </w:pPr>
          </w:p>
        </w:tc>
      </w:tr>
      <w:tr>
        <w:trPr>
          <w:trHeight w:val="240"/>
        </w:trPr>
        <w:tc>
          <w:tcPr>
            <w:tcW w:w="5240" w:type="dxa"/>
            <w:vAlign w:val="bottom"/>
            <w:tcBorders>
              <w:top w:val="single" w:sz="8" w:color="0066BA"/>
            </w:tcBorders>
            <w:gridSpan w:val="2"/>
          </w:tcPr>
          <w:p>
            <w:pPr>
              <w:ind w:left="60"/>
              <w:spacing w:after="0"/>
              <w:rPr>
                <w:sz w:val="20"/>
                <w:szCs w:val="20"/>
                <w:color w:val="auto"/>
              </w:rPr>
            </w:pPr>
            <w:r>
              <w:rPr>
                <w:rFonts w:ascii="Arial" w:cs="Arial" w:eastAsia="Arial" w:hAnsi="Arial"/>
                <w:sz w:val="17"/>
                <w:szCs w:val="17"/>
                <w:color w:val="auto"/>
              </w:rPr>
              <w:t>Boston Scientific Corporation</w:t>
            </w:r>
          </w:p>
        </w:tc>
        <w:tc>
          <w:tcPr>
            <w:tcW w:w="242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7"/>
                <w:szCs w:val="17"/>
                <w:color w:val="auto"/>
              </w:rPr>
              <w:t>NVIDIA Corporation</w:t>
            </w:r>
          </w:p>
        </w:tc>
        <w:tc>
          <w:tcPr>
            <w:tcW w:w="2620" w:type="dxa"/>
            <w:vAlign w:val="bottom"/>
            <w:tcBorders>
              <w:top w:val="single" w:sz="8" w:color="0066BA"/>
              <w:bottom w:val="single" w:sz="8" w:color="EAEAEA"/>
            </w:tcBorders>
            <w:shd w:val="clear" w:color="auto" w:fill="EAEAEA"/>
          </w:tcPr>
          <w:p>
            <w:pPr>
              <w:spacing w:after="0"/>
              <w:rPr>
                <w:sz w:val="20"/>
                <w:szCs w:val="20"/>
                <w:color w:val="auto"/>
              </w:rPr>
            </w:pPr>
          </w:p>
        </w:tc>
      </w:tr>
      <w:tr>
        <w:trPr>
          <w:trHeight w:val="240"/>
        </w:trPr>
        <w:tc>
          <w:tcPr>
            <w:tcW w:w="5240" w:type="dxa"/>
            <w:vAlign w:val="bottom"/>
            <w:tcBorders>
              <w:top w:val="single" w:sz="8" w:color="0066BA"/>
            </w:tcBorders>
            <w:gridSpan w:val="2"/>
          </w:tcPr>
          <w:p>
            <w:pPr>
              <w:ind w:left="60"/>
              <w:spacing w:after="0"/>
              <w:rPr>
                <w:sz w:val="20"/>
                <w:szCs w:val="20"/>
                <w:color w:val="auto"/>
              </w:rPr>
            </w:pPr>
            <w:r>
              <w:rPr>
                <w:rFonts w:ascii="Arial" w:cs="Arial" w:eastAsia="Arial" w:hAnsi="Arial"/>
                <w:sz w:val="17"/>
                <w:szCs w:val="17"/>
                <w:color w:val="auto"/>
              </w:rPr>
              <w:t>Broadcom Limited</w:t>
            </w:r>
          </w:p>
        </w:tc>
        <w:tc>
          <w:tcPr>
            <w:tcW w:w="242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7"/>
                <w:szCs w:val="17"/>
                <w:color w:val="auto"/>
              </w:rPr>
              <w:t>Skyworks Solutions Inc.</w:t>
            </w:r>
          </w:p>
        </w:tc>
        <w:tc>
          <w:tcPr>
            <w:tcW w:w="2620" w:type="dxa"/>
            <w:vAlign w:val="bottom"/>
            <w:tcBorders>
              <w:top w:val="single" w:sz="8" w:color="0066BA"/>
              <w:bottom w:val="single" w:sz="8" w:color="EAEAEA"/>
            </w:tcBorders>
            <w:shd w:val="clear" w:color="auto" w:fill="EAEAEA"/>
          </w:tcPr>
          <w:p>
            <w:pPr>
              <w:spacing w:after="0"/>
              <w:rPr>
                <w:sz w:val="20"/>
                <w:szCs w:val="20"/>
                <w:color w:val="auto"/>
              </w:rPr>
            </w:pPr>
          </w:p>
        </w:tc>
      </w:tr>
      <w:tr>
        <w:trPr>
          <w:trHeight w:val="240"/>
        </w:trPr>
        <w:tc>
          <w:tcPr>
            <w:tcW w:w="5240" w:type="dxa"/>
            <w:vAlign w:val="bottom"/>
            <w:tcBorders>
              <w:top w:val="single" w:sz="8" w:color="0066BA"/>
            </w:tcBorders>
            <w:gridSpan w:val="2"/>
          </w:tcPr>
          <w:p>
            <w:pPr>
              <w:ind w:left="60"/>
              <w:spacing w:after="0"/>
              <w:rPr>
                <w:sz w:val="20"/>
                <w:szCs w:val="20"/>
                <w:color w:val="auto"/>
              </w:rPr>
            </w:pPr>
            <w:r>
              <w:rPr>
                <w:rFonts w:ascii="Arial" w:cs="Arial" w:eastAsia="Arial" w:hAnsi="Arial"/>
                <w:sz w:val="17"/>
                <w:szCs w:val="17"/>
                <w:color w:val="auto"/>
              </w:rPr>
              <w:t>KLA-Tencor Corporation</w:t>
            </w:r>
          </w:p>
        </w:tc>
        <w:tc>
          <w:tcPr>
            <w:tcW w:w="242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7"/>
                <w:szCs w:val="17"/>
                <w:color w:val="auto"/>
              </w:rPr>
              <w:t>Texas Instruments Inc.</w:t>
            </w:r>
          </w:p>
        </w:tc>
        <w:tc>
          <w:tcPr>
            <w:tcW w:w="2620" w:type="dxa"/>
            <w:vAlign w:val="bottom"/>
            <w:tcBorders>
              <w:top w:val="single" w:sz="8" w:color="0066BA"/>
              <w:bottom w:val="single" w:sz="8" w:color="EAEAEA"/>
            </w:tcBorders>
            <w:shd w:val="clear" w:color="auto" w:fill="EAEAEA"/>
          </w:tcPr>
          <w:p>
            <w:pPr>
              <w:spacing w:after="0"/>
              <w:rPr>
                <w:sz w:val="20"/>
                <w:szCs w:val="20"/>
                <w:color w:val="auto"/>
              </w:rPr>
            </w:pPr>
          </w:p>
        </w:tc>
      </w:tr>
      <w:tr>
        <w:trPr>
          <w:trHeight w:val="240"/>
        </w:trPr>
        <w:tc>
          <w:tcPr>
            <w:tcW w:w="5240" w:type="dxa"/>
            <w:vAlign w:val="bottom"/>
            <w:tcBorders>
              <w:top w:val="single" w:sz="8" w:color="0066BA"/>
            </w:tcBorders>
            <w:gridSpan w:val="2"/>
          </w:tcPr>
          <w:p>
            <w:pPr>
              <w:ind w:left="60"/>
              <w:spacing w:after="0"/>
              <w:rPr>
                <w:sz w:val="20"/>
                <w:szCs w:val="20"/>
                <w:color w:val="auto"/>
              </w:rPr>
            </w:pPr>
            <w:r>
              <w:rPr>
                <w:rFonts w:ascii="Arial" w:cs="Arial" w:eastAsia="Arial" w:hAnsi="Arial"/>
                <w:sz w:val="17"/>
                <w:szCs w:val="17"/>
                <w:color w:val="auto"/>
              </w:rPr>
              <w:t>Lam Research Corporation</w:t>
            </w:r>
          </w:p>
        </w:tc>
        <w:tc>
          <w:tcPr>
            <w:tcW w:w="242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7"/>
                <w:szCs w:val="17"/>
                <w:color w:val="auto"/>
              </w:rPr>
              <w:t>Xilinx Inc.</w:t>
            </w:r>
          </w:p>
        </w:tc>
        <w:tc>
          <w:tcPr>
            <w:tcW w:w="2620" w:type="dxa"/>
            <w:vAlign w:val="bottom"/>
            <w:tcBorders>
              <w:top w:val="single" w:sz="8" w:color="0066BA"/>
              <w:bottom w:val="single" w:sz="8" w:color="EAEAEA"/>
            </w:tcBorders>
            <w:shd w:val="clear" w:color="auto" w:fill="EAEAEA"/>
          </w:tcPr>
          <w:p>
            <w:pPr>
              <w:spacing w:after="0"/>
              <w:rPr>
                <w:sz w:val="20"/>
                <w:szCs w:val="20"/>
                <w:color w:val="auto"/>
              </w:rPr>
            </w:pPr>
          </w:p>
        </w:tc>
      </w:tr>
      <w:tr>
        <w:trPr>
          <w:trHeight w:val="240"/>
        </w:trPr>
        <w:tc>
          <w:tcPr>
            <w:tcW w:w="5240" w:type="dxa"/>
            <w:vAlign w:val="bottom"/>
            <w:tcBorders>
              <w:top w:val="single" w:sz="8" w:color="0066BA"/>
            </w:tcBorders>
            <w:gridSpan w:val="2"/>
          </w:tcPr>
          <w:p>
            <w:pPr>
              <w:ind w:left="60"/>
              <w:spacing w:after="0"/>
              <w:rPr>
                <w:sz w:val="20"/>
                <w:szCs w:val="20"/>
                <w:color w:val="auto"/>
              </w:rPr>
            </w:pPr>
            <w:r>
              <w:rPr>
                <w:rFonts w:ascii="Arial" w:cs="Arial" w:eastAsia="Arial" w:hAnsi="Arial"/>
                <w:sz w:val="17"/>
                <w:szCs w:val="17"/>
                <w:color w:val="auto"/>
              </w:rPr>
              <w:t>Marvell Technology Group Ltd.</w:t>
            </w:r>
          </w:p>
        </w:tc>
        <w:tc>
          <w:tcPr>
            <w:tcW w:w="2420" w:type="dxa"/>
            <w:vAlign w:val="bottom"/>
            <w:tcBorders>
              <w:top w:val="single" w:sz="8" w:color="0066BA"/>
              <w:bottom w:val="single" w:sz="8" w:color="EAEAEA"/>
            </w:tcBorders>
            <w:shd w:val="clear" w:color="auto" w:fill="EAEAEA"/>
          </w:tcPr>
          <w:p>
            <w:pPr>
              <w:spacing w:after="0"/>
              <w:rPr>
                <w:sz w:val="20"/>
                <w:szCs w:val="20"/>
                <w:color w:val="auto"/>
              </w:rPr>
            </w:pPr>
          </w:p>
        </w:tc>
        <w:tc>
          <w:tcPr>
            <w:tcW w:w="2620" w:type="dxa"/>
            <w:vAlign w:val="bottom"/>
            <w:tcBorders>
              <w:top w:val="single" w:sz="8" w:color="0066BA"/>
              <w:bottom w:val="single" w:sz="8" w:color="EAEAEA"/>
            </w:tcBorders>
            <w:shd w:val="clear" w:color="auto" w:fill="EAEAEA"/>
          </w:tcPr>
          <w:p>
            <w:pPr>
              <w:spacing w:after="0"/>
              <w:rPr>
                <w:sz w:val="20"/>
                <w:szCs w:val="20"/>
                <w:color w:val="auto"/>
              </w:rPr>
            </w:pPr>
          </w:p>
        </w:tc>
      </w:tr>
      <w:tr>
        <w:trPr>
          <w:trHeight w:val="227"/>
        </w:trPr>
        <w:tc>
          <w:tcPr>
            <w:tcW w:w="5060" w:type="dxa"/>
            <w:vAlign w:val="bottom"/>
            <w:tcBorders>
              <w:top w:val="single" w:sz="8" w:color="0066BA"/>
            </w:tcBorders>
          </w:tcPr>
          <w:p>
            <w:pPr>
              <w:spacing w:after="0"/>
              <w:rPr>
                <w:sz w:val="19"/>
                <w:szCs w:val="19"/>
                <w:color w:val="auto"/>
              </w:rPr>
            </w:pPr>
          </w:p>
        </w:tc>
        <w:tc>
          <w:tcPr>
            <w:tcW w:w="180" w:type="dxa"/>
            <w:vAlign w:val="bottom"/>
            <w:tcBorders>
              <w:top w:val="single" w:sz="8" w:color="0066BA"/>
            </w:tcBorders>
          </w:tcPr>
          <w:p>
            <w:pPr>
              <w:spacing w:after="0"/>
              <w:rPr>
                <w:sz w:val="19"/>
                <w:szCs w:val="19"/>
                <w:color w:val="auto"/>
              </w:rPr>
            </w:pPr>
          </w:p>
        </w:tc>
        <w:tc>
          <w:tcPr>
            <w:tcW w:w="2420" w:type="dxa"/>
            <w:vAlign w:val="bottom"/>
            <w:tcBorders>
              <w:top w:val="single" w:sz="8" w:color="0066BA"/>
            </w:tcBorders>
          </w:tcPr>
          <w:p>
            <w:pPr>
              <w:spacing w:after="0"/>
              <w:rPr>
                <w:sz w:val="19"/>
                <w:szCs w:val="19"/>
                <w:color w:val="auto"/>
              </w:rPr>
            </w:pPr>
          </w:p>
        </w:tc>
        <w:tc>
          <w:tcPr>
            <w:tcW w:w="2620" w:type="dxa"/>
            <w:vAlign w:val="bottom"/>
            <w:tcBorders>
              <w:top w:val="single" w:sz="8" w:color="0066BA"/>
            </w:tcBorders>
          </w:tcPr>
          <w:p>
            <w:pPr>
              <w:spacing w:after="0"/>
              <w:rPr>
                <w:sz w:val="19"/>
                <w:szCs w:val="19"/>
                <w:color w:val="auto"/>
              </w:rPr>
            </w:pPr>
          </w:p>
        </w:tc>
      </w:tr>
      <w:tr>
        <w:trPr>
          <w:trHeight w:val="171"/>
        </w:trPr>
        <w:tc>
          <w:tcPr>
            <w:tcW w:w="5060" w:type="dxa"/>
            <w:vAlign w:val="bottom"/>
            <w:shd w:val="clear" w:color="auto" w:fill="0066BA"/>
          </w:tcPr>
          <w:p>
            <w:pPr>
              <w:spacing w:after="0"/>
              <w:rPr>
                <w:sz w:val="14"/>
                <w:szCs w:val="14"/>
                <w:color w:val="auto"/>
              </w:rPr>
            </w:pPr>
          </w:p>
        </w:tc>
        <w:tc>
          <w:tcPr>
            <w:tcW w:w="180" w:type="dxa"/>
            <w:vAlign w:val="bottom"/>
            <w:shd w:val="clear" w:color="auto" w:fill="0066BA"/>
          </w:tcPr>
          <w:p>
            <w:pPr>
              <w:spacing w:after="0"/>
              <w:rPr>
                <w:sz w:val="14"/>
                <w:szCs w:val="14"/>
                <w:color w:val="auto"/>
              </w:rPr>
            </w:pPr>
          </w:p>
        </w:tc>
        <w:tc>
          <w:tcPr>
            <w:tcW w:w="2420" w:type="dxa"/>
            <w:vAlign w:val="bottom"/>
            <w:shd w:val="clear" w:color="auto" w:fill="0066BA"/>
          </w:tcPr>
          <w:p>
            <w:pPr>
              <w:jc w:val="right"/>
              <w:ind w:right="36"/>
              <w:spacing w:after="0"/>
              <w:rPr>
                <w:sz w:val="20"/>
                <w:szCs w:val="20"/>
                <w:color w:val="auto"/>
              </w:rPr>
            </w:pPr>
            <w:r>
              <w:rPr>
                <w:rFonts w:ascii="Arial" w:cs="Arial" w:eastAsia="Arial" w:hAnsi="Arial"/>
                <w:sz w:val="14"/>
                <w:szCs w:val="14"/>
                <w:b w:val="1"/>
                <w:bCs w:val="1"/>
                <w:color w:val="FFFFFF"/>
              </w:rPr>
              <w:t>2019 Market Capitalization</w:t>
            </w:r>
          </w:p>
        </w:tc>
        <w:tc>
          <w:tcPr>
            <w:tcW w:w="2620" w:type="dxa"/>
            <w:vAlign w:val="bottom"/>
            <w:shd w:val="clear" w:color="auto" w:fill="0066BA"/>
          </w:tcPr>
          <w:p>
            <w:pPr>
              <w:jc w:val="right"/>
              <w:ind w:right="39"/>
              <w:spacing w:after="0"/>
              <w:rPr>
                <w:sz w:val="20"/>
                <w:szCs w:val="20"/>
                <w:color w:val="auto"/>
              </w:rPr>
            </w:pPr>
            <w:r>
              <w:rPr>
                <w:rFonts w:ascii="Arial" w:cs="Arial" w:eastAsia="Arial" w:hAnsi="Arial"/>
                <w:sz w:val="14"/>
                <w:szCs w:val="14"/>
                <w:b w:val="1"/>
                <w:bCs w:val="1"/>
                <w:color w:val="FFFFFF"/>
              </w:rPr>
              <w:t>2019 Revenue</w:t>
            </w:r>
          </w:p>
        </w:tc>
      </w:tr>
      <w:tr>
        <w:trPr>
          <w:trHeight w:val="187"/>
        </w:trPr>
        <w:tc>
          <w:tcPr>
            <w:tcW w:w="5060" w:type="dxa"/>
            <w:vAlign w:val="bottom"/>
            <w:tcBorders>
              <w:bottom w:val="single" w:sz="8" w:color="0066BA"/>
            </w:tcBorders>
            <w:shd w:val="clear" w:color="auto" w:fill="0066BA"/>
          </w:tcPr>
          <w:p>
            <w:pPr>
              <w:spacing w:after="0"/>
              <w:rPr>
                <w:sz w:val="16"/>
                <w:szCs w:val="16"/>
                <w:color w:val="auto"/>
              </w:rPr>
            </w:pPr>
          </w:p>
        </w:tc>
        <w:tc>
          <w:tcPr>
            <w:tcW w:w="180" w:type="dxa"/>
            <w:vAlign w:val="bottom"/>
            <w:tcBorders>
              <w:bottom w:val="single" w:sz="8" w:color="0066BA"/>
            </w:tcBorders>
            <w:shd w:val="clear" w:color="auto" w:fill="0066BA"/>
          </w:tcPr>
          <w:p>
            <w:pPr>
              <w:spacing w:after="0"/>
              <w:rPr>
                <w:sz w:val="16"/>
                <w:szCs w:val="16"/>
                <w:color w:val="auto"/>
              </w:rPr>
            </w:pPr>
          </w:p>
        </w:tc>
        <w:tc>
          <w:tcPr>
            <w:tcW w:w="2420" w:type="dxa"/>
            <w:vAlign w:val="bottom"/>
            <w:tcBorders>
              <w:bottom w:val="single" w:sz="8" w:color="0066BA"/>
            </w:tcBorders>
            <w:shd w:val="clear" w:color="auto" w:fill="0066BA"/>
          </w:tcPr>
          <w:p>
            <w:pPr>
              <w:jc w:val="right"/>
              <w:ind w:right="36"/>
              <w:spacing w:after="0"/>
              <w:rPr>
                <w:sz w:val="20"/>
                <w:szCs w:val="20"/>
                <w:color w:val="auto"/>
              </w:rPr>
            </w:pPr>
            <w:r>
              <w:rPr>
                <w:rFonts w:ascii="Arial" w:cs="Arial" w:eastAsia="Arial" w:hAnsi="Arial"/>
                <w:sz w:val="14"/>
                <w:szCs w:val="14"/>
                <w:b w:val="1"/>
                <w:bCs w:val="1"/>
                <w:color w:val="FFFFFF"/>
              </w:rPr>
              <w:t>(as of June 2019)</w:t>
            </w:r>
          </w:p>
        </w:tc>
        <w:tc>
          <w:tcPr>
            <w:tcW w:w="2620" w:type="dxa"/>
            <w:vAlign w:val="bottom"/>
            <w:tcBorders>
              <w:bottom w:val="single" w:sz="8" w:color="0066BA"/>
            </w:tcBorders>
            <w:shd w:val="clear" w:color="auto" w:fill="0066BA"/>
          </w:tcPr>
          <w:p>
            <w:pPr>
              <w:spacing w:after="0"/>
              <w:rPr>
                <w:sz w:val="16"/>
                <w:szCs w:val="16"/>
                <w:color w:val="auto"/>
              </w:rPr>
            </w:pPr>
          </w:p>
        </w:tc>
      </w:tr>
      <w:tr>
        <w:trPr>
          <w:trHeight w:val="260"/>
        </w:trPr>
        <w:tc>
          <w:tcPr>
            <w:tcW w:w="5060" w:type="dxa"/>
            <w:vAlign w:val="bottom"/>
          </w:tcPr>
          <w:p>
            <w:pPr>
              <w:ind w:left="60"/>
              <w:spacing w:after="0"/>
              <w:rPr>
                <w:sz w:val="20"/>
                <w:szCs w:val="20"/>
                <w:color w:val="auto"/>
              </w:rPr>
            </w:pPr>
            <w:r>
              <w:rPr>
                <w:rFonts w:ascii="Arial" w:cs="Arial" w:eastAsia="Arial" w:hAnsi="Arial"/>
                <w:sz w:val="17"/>
                <w:szCs w:val="17"/>
                <w:color w:val="auto"/>
              </w:rPr>
              <w:t>Analog Devices</w:t>
            </w:r>
          </w:p>
        </w:tc>
        <w:tc>
          <w:tcPr>
            <w:tcW w:w="180" w:type="dxa"/>
            <w:vAlign w:val="bottom"/>
            <w:tcBorders>
              <w:bottom w:val="single" w:sz="8" w:color="EAEAEA"/>
            </w:tcBorders>
            <w:shd w:val="clear" w:color="auto" w:fill="EAEAEA"/>
          </w:tcPr>
          <w:p>
            <w:pPr>
              <w:spacing w:after="0"/>
              <w:rPr>
                <w:sz w:val="22"/>
                <w:szCs w:val="22"/>
                <w:color w:val="auto"/>
              </w:rPr>
            </w:pPr>
          </w:p>
        </w:tc>
        <w:tc>
          <w:tcPr>
            <w:tcW w:w="2420" w:type="dxa"/>
            <w:vAlign w:val="bottom"/>
            <w:tcBorders>
              <w:bottom w:val="single" w:sz="8" w:color="EAEAEA"/>
            </w:tcBorders>
            <w:shd w:val="clear" w:color="auto" w:fill="EAEAEA"/>
          </w:tcPr>
          <w:p>
            <w:pPr>
              <w:jc w:val="right"/>
              <w:ind w:right="36"/>
              <w:spacing w:after="0"/>
              <w:rPr>
                <w:sz w:val="20"/>
                <w:szCs w:val="20"/>
                <w:color w:val="auto"/>
              </w:rPr>
            </w:pPr>
            <w:r>
              <w:rPr>
                <w:rFonts w:ascii="Arial" w:cs="Arial" w:eastAsia="Arial" w:hAnsi="Arial"/>
                <w:sz w:val="17"/>
                <w:szCs w:val="17"/>
                <w:color w:val="auto"/>
              </w:rPr>
              <w:t>$41,735</w:t>
            </w:r>
          </w:p>
        </w:tc>
        <w:tc>
          <w:tcPr>
            <w:tcW w:w="2620" w:type="dxa"/>
            <w:vAlign w:val="bottom"/>
          </w:tcPr>
          <w:p>
            <w:pPr>
              <w:jc w:val="right"/>
              <w:ind w:right="39"/>
              <w:spacing w:after="0"/>
              <w:rPr>
                <w:sz w:val="20"/>
                <w:szCs w:val="20"/>
                <w:color w:val="auto"/>
              </w:rPr>
            </w:pPr>
            <w:r>
              <w:rPr>
                <w:rFonts w:ascii="Arial" w:cs="Arial" w:eastAsia="Arial" w:hAnsi="Arial"/>
                <w:sz w:val="17"/>
                <w:szCs w:val="17"/>
                <w:color w:val="auto"/>
              </w:rPr>
              <w:t>$5,991</w:t>
            </w:r>
          </w:p>
        </w:tc>
      </w:tr>
      <w:tr>
        <w:trPr>
          <w:trHeight w:val="220"/>
        </w:trPr>
        <w:tc>
          <w:tcPr>
            <w:tcW w:w="5060" w:type="dxa"/>
            <w:vAlign w:val="bottom"/>
            <w:tcBorders>
              <w:top w:val="single" w:sz="8" w:color="0066BA"/>
            </w:tcBorders>
          </w:tcPr>
          <w:p>
            <w:pPr>
              <w:ind w:left="60"/>
              <w:spacing w:after="0"/>
              <w:rPr>
                <w:sz w:val="20"/>
                <w:szCs w:val="20"/>
                <w:color w:val="auto"/>
              </w:rPr>
            </w:pPr>
            <w:r>
              <w:rPr>
                <w:rFonts w:ascii="Arial" w:cs="Arial" w:eastAsia="Arial" w:hAnsi="Arial"/>
                <w:sz w:val="17"/>
                <w:szCs w:val="17"/>
                <w:color w:val="auto"/>
              </w:rPr>
              <w:t>2020 Peer Group Median</w:t>
            </w:r>
          </w:p>
        </w:tc>
        <w:tc>
          <w:tcPr>
            <w:tcW w:w="180" w:type="dxa"/>
            <w:vAlign w:val="bottom"/>
            <w:tcBorders>
              <w:top w:val="single" w:sz="8" w:color="0066BA"/>
              <w:bottom w:val="single" w:sz="8" w:color="EAEAEA"/>
            </w:tcBorders>
            <w:shd w:val="clear" w:color="auto" w:fill="EAEAEA"/>
          </w:tcPr>
          <w:p>
            <w:pPr>
              <w:spacing w:after="0"/>
              <w:rPr>
                <w:sz w:val="19"/>
                <w:szCs w:val="19"/>
                <w:color w:val="auto"/>
              </w:rPr>
            </w:pPr>
          </w:p>
        </w:tc>
        <w:tc>
          <w:tcPr>
            <w:tcW w:w="2420" w:type="dxa"/>
            <w:vAlign w:val="bottom"/>
            <w:tcBorders>
              <w:top w:val="single" w:sz="8" w:color="0066BA"/>
              <w:bottom w:val="single" w:sz="8" w:color="EAEAEA"/>
            </w:tcBorders>
            <w:shd w:val="clear" w:color="auto" w:fill="EAEAEA"/>
          </w:tcPr>
          <w:p>
            <w:pPr>
              <w:jc w:val="right"/>
              <w:ind w:right="36"/>
              <w:spacing w:after="0"/>
              <w:rPr>
                <w:sz w:val="20"/>
                <w:szCs w:val="20"/>
                <w:color w:val="auto"/>
              </w:rPr>
            </w:pPr>
            <w:r>
              <w:rPr>
                <w:rFonts w:ascii="Arial" w:cs="Arial" w:eastAsia="Arial" w:hAnsi="Arial"/>
                <w:sz w:val="17"/>
                <w:szCs w:val="17"/>
                <w:color w:val="auto"/>
              </w:rPr>
              <w:t>$27,130</w:t>
            </w:r>
          </w:p>
        </w:tc>
        <w:tc>
          <w:tcPr>
            <w:tcW w:w="2620" w:type="dxa"/>
            <w:vAlign w:val="bottom"/>
            <w:tcBorders>
              <w:top w:val="single" w:sz="8" w:color="0066BA"/>
            </w:tcBorders>
          </w:tcPr>
          <w:p>
            <w:pPr>
              <w:jc w:val="right"/>
              <w:ind w:right="39"/>
              <w:spacing w:after="0"/>
              <w:rPr>
                <w:sz w:val="20"/>
                <w:szCs w:val="20"/>
                <w:color w:val="auto"/>
              </w:rPr>
            </w:pPr>
            <w:r>
              <w:rPr>
                <w:rFonts w:ascii="Arial" w:cs="Arial" w:eastAsia="Arial" w:hAnsi="Arial"/>
                <w:sz w:val="17"/>
                <w:szCs w:val="17"/>
                <w:color w:val="auto"/>
              </w:rPr>
              <w:t>$5,724</w:t>
            </w:r>
          </w:p>
        </w:tc>
      </w:tr>
      <w:tr>
        <w:trPr>
          <w:trHeight w:val="20"/>
        </w:trPr>
        <w:tc>
          <w:tcPr>
            <w:tcW w:w="5060" w:type="dxa"/>
            <w:vAlign w:val="bottom"/>
            <w:shd w:val="clear" w:color="auto" w:fill="0066BA"/>
          </w:tcPr>
          <w:p>
            <w:pPr>
              <w:spacing w:after="0" w:line="20" w:lineRule="exact"/>
              <w:rPr>
                <w:sz w:val="1"/>
                <w:szCs w:val="1"/>
                <w:color w:val="auto"/>
              </w:rPr>
            </w:pPr>
          </w:p>
        </w:tc>
        <w:tc>
          <w:tcPr>
            <w:tcW w:w="180" w:type="dxa"/>
            <w:vAlign w:val="bottom"/>
            <w:shd w:val="clear" w:color="auto" w:fill="0066BA"/>
          </w:tcPr>
          <w:p>
            <w:pPr>
              <w:spacing w:after="0" w:line="20" w:lineRule="exact"/>
              <w:rPr>
                <w:sz w:val="1"/>
                <w:szCs w:val="1"/>
                <w:color w:val="auto"/>
              </w:rPr>
            </w:pPr>
          </w:p>
        </w:tc>
        <w:tc>
          <w:tcPr>
            <w:tcW w:w="2420" w:type="dxa"/>
            <w:vAlign w:val="bottom"/>
            <w:shd w:val="clear" w:color="auto" w:fill="0066BA"/>
          </w:tcPr>
          <w:p>
            <w:pPr>
              <w:spacing w:after="0" w:line="20" w:lineRule="exact"/>
              <w:rPr>
                <w:sz w:val="1"/>
                <w:szCs w:val="1"/>
                <w:color w:val="auto"/>
              </w:rPr>
            </w:pPr>
          </w:p>
        </w:tc>
        <w:tc>
          <w:tcPr>
            <w:tcW w:w="2620" w:type="dxa"/>
            <w:vAlign w:val="bottom"/>
            <w:shd w:val="clear" w:color="auto" w:fill="0066BA"/>
          </w:tcPr>
          <w:p>
            <w:pPr>
              <w:spacing w:after="0" w:line="20" w:lineRule="exact"/>
              <w:rPr>
                <w:sz w:val="1"/>
                <w:szCs w:val="1"/>
                <w:color w:val="auto"/>
              </w:rPr>
            </w:pPr>
          </w:p>
        </w:tc>
      </w:tr>
    </w:tbl>
    <w:p>
      <w:pPr>
        <w:spacing w:after="0" w:line="92" w:lineRule="exact"/>
        <w:rPr>
          <w:sz w:val="20"/>
          <w:szCs w:val="20"/>
          <w:color w:val="auto"/>
        </w:rPr>
      </w:pPr>
    </w:p>
    <w:p>
      <w:pPr>
        <w:ind w:left="480" w:right="260"/>
        <w:spacing w:after="0" w:line="270" w:lineRule="auto"/>
        <w:rPr>
          <w:sz w:val="20"/>
          <w:szCs w:val="20"/>
          <w:color w:val="auto"/>
        </w:rPr>
      </w:pPr>
      <w:r>
        <w:rPr>
          <w:rFonts w:ascii="Arial" w:cs="Arial" w:eastAsia="Arial" w:hAnsi="Arial"/>
          <w:sz w:val="17"/>
          <w:szCs w:val="17"/>
          <w:color w:val="auto"/>
        </w:rPr>
        <w:t>For officers in positions for which the fiscal 2020 peer group companies do not publicly disclose compensation data, the Compensation Committee reviewed data collected from Radford’s Global Technology Survey. This survey depicts executive compensation levels across a wide spectrum of technology sector companies comparable in annual revenue size.</w:t>
      </w:r>
    </w:p>
    <w:p>
      <w:pPr>
        <w:spacing w:after="0" w:line="26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333333"/>
        </w:rPr>
        <w:t>Equity Award Grant Date Policy</w:t>
      </w:r>
    </w:p>
    <w:p>
      <w:pPr>
        <w:spacing w:after="0" w:line="109" w:lineRule="exact"/>
        <w:rPr>
          <w:sz w:val="20"/>
          <w:szCs w:val="20"/>
          <w:color w:val="auto"/>
        </w:rPr>
      </w:pPr>
    </w:p>
    <w:p>
      <w:pPr>
        <w:jc w:val="both"/>
        <w:ind w:left="480" w:right="280"/>
        <w:spacing w:after="0" w:line="356" w:lineRule="auto"/>
        <w:rPr>
          <w:sz w:val="20"/>
          <w:szCs w:val="20"/>
          <w:color w:val="auto"/>
        </w:rPr>
      </w:pPr>
      <w:r>
        <w:rPr>
          <w:rFonts w:ascii="Arial" w:cs="Arial" w:eastAsia="Arial" w:hAnsi="Arial"/>
          <w:sz w:val="15"/>
          <w:szCs w:val="15"/>
          <w:color w:val="auto"/>
        </w:rPr>
        <w:t>Our Compensation Committee has adopted specific policies regarding the grant dates of stock options, RSUs and other stock-based awards for our executive officers and employees. In each case, the exercise price of stock options equals the closing price of our common stock on the grant date.</w:t>
      </w:r>
    </w:p>
    <w:p>
      <w:pPr>
        <w:spacing w:after="0" w:line="16" w:lineRule="exact"/>
        <w:rPr>
          <w:sz w:val="20"/>
          <w:szCs w:val="20"/>
          <w:color w:val="auto"/>
        </w:rPr>
      </w:pPr>
    </w:p>
    <w:p>
      <w:pPr>
        <w:ind w:left="660" w:right="420" w:hanging="185"/>
        <w:spacing w:after="0" w:line="293"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0066BA"/>
        </w:rPr>
        <w:t xml:space="preserve">New Hire Grants: </w:t>
      </w:r>
      <w:r>
        <w:rPr>
          <w:rFonts w:ascii="Arial" w:cs="Arial" w:eastAsia="Arial" w:hAnsi="Arial"/>
          <w:sz w:val="17"/>
          <w:szCs w:val="17"/>
          <w:color w:val="000000"/>
        </w:rPr>
        <w:t>The grant date of all awards to newly hired executive officers and employees is the 15th day of the month after the date on</w:t>
      </w:r>
      <w:r>
        <w:rPr>
          <w:rFonts w:ascii="Arial" w:cs="Arial" w:eastAsia="Arial" w:hAnsi="Arial"/>
          <w:sz w:val="17"/>
          <w:szCs w:val="17"/>
          <w:b w:val="1"/>
          <w:bCs w:val="1"/>
          <w:color w:val="0066BA"/>
        </w:rPr>
        <w:t xml:space="preserve"> </w:t>
      </w:r>
      <w:r>
        <w:rPr>
          <w:rFonts w:ascii="Arial" w:cs="Arial" w:eastAsia="Arial" w:hAnsi="Arial"/>
          <w:sz w:val="17"/>
          <w:szCs w:val="17"/>
          <w:color w:val="000000"/>
        </w:rPr>
        <w:t>which the individual commences employment with us (or the next succeeding business day that Nasdaq is open).</w:t>
      </w:r>
    </w:p>
    <w:p>
      <w:pPr>
        <w:spacing w:after="0" w:line="4" w:lineRule="exact"/>
        <w:rPr>
          <w:rFonts w:ascii="Arial" w:cs="Arial" w:eastAsia="Arial" w:hAnsi="Arial"/>
          <w:sz w:val="17"/>
          <w:szCs w:val="17"/>
          <w:color w:val="auto"/>
        </w:rPr>
      </w:pPr>
    </w:p>
    <w:p>
      <w:pPr>
        <w:ind w:left="660" w:right="500" w:hanging="185"/>
        <w:spacing w:after="0" w:line="293"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0066BA"/>
        </w:rPr>
        <w:t xml:space="preserve">Annual Grants: </w:t>
      </w:r>
      <w:r>
        <w:rPr>
          <w:rFonts w:ascii="Arial" w:cs="Arial" w:eastAsia="Arial" w:hAnsi="Arial"/>
          <w:sz w:val="17"/>
          <w:szCs w:val="17"/>
          <w:color w:val="000000"/>
        </w:rPr>
        <w:t>The grant date of all annual awards is the earlier to occur of (i) the scheduled date of the annual meeting of shareholders, or</w:t>
      </w:r>
      <w:r>
        <w:rPr>
          <w:rFonts w:ascii="Arial" w:cs="Arial" w:eastAsia="Arial" w:hAnsi="Arial"/>
          <w:sz w:val="17"/>
          <w:szCs w:val="17"/>
          <w:b w:val="1"/>
          <w:bCs w:val="1"/>
          <w:color w:val="0066BA"/>
        </w:rPr>
        <w:t xml:space="preserve"> </w:t>
      </w:r>
      <w:r>
        <w:rPr>
          <w:rFonts w:ascii="Arial" w:cs="Arial" w:eastAsia="Arial" w:hAnsi="Arial"/>
          <w:sz w:val="17"/>
          <w:szCs w:val="17"/>
          <w:color w:val="000000"/>
        </w:rPr>
        <w:t>(ii) the first business day of April that Nasdaq is open.</w:t>
      </w:r>
    </w:p>
    <w:p>
      <w:pPr>
        <w:spacing w:after="0" w:line="4" w:lineRule="exact"/>
        <w:rPr>
          <w:rFonts w:ascii="Arial" w:cs="Arial" w:eastAsia="Arial" w:hAnsi="Arial"/>
          <w:sz w:val="17"/>
          <w:szCs w:val="17"/>
          <w:color w:val="auto"/>
        </w:rPr>
      </w:pPr>
    </w:p>
    <w:p>
      <w:pPr>
        <w:ind w:left="660" w:right="200" w:hanging="185"/>
        <w:spacing w:after="0" w:line="274"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0066BA"/>
        </w:rPr>
        <w:t xml:space="preserve">Other Grants: </w:t>
      </w:r>
      <w:r>
        <w:rPr>
          <w:rFonts w:ascii="Arial" w:cs="Arial" w:eastAsia="Arial" w:hAnsi="Arial"/>
          <w:sz w:val="17"/>
          <w:szCs w:val="17"/>
          <w:color w:val="000000"/>
        </w:rPr>
        <w:t>All other awards granted to existing executive officers and employees throughout the year (off-cycle awards) have a grant date of</w:t>
      </w:r>
      <w:r>
        <w:rPr>
          <w:rFonts w:ascii="Arial" w:cs="Arial" w:eastAsia="Arial" w:hAnsi="Arial"/>
          <w:sz w:val="17"/>
          <w:szCs w:val="17"/>
          <w:b w:val="1"/>
          <w:bCs w:val="1"/>
          <w:color w:val="0066BA"/>
        </w:rPr>
        <w:t xml:space="preserve"> </w:t>
      </w:r>
      <w:r>
        <w:rPr>
          <w:rFonts w:ascii="Arial" w:cs="Arial" w:eastAsia="Arial" w:hAnsi="Arial"/>
          <w:sz w:val="17"/>
          <w:szCs w:val="17"/>
          <w:color w:val="000000"/>
        </w:rPr>
        <w:t>the 15th day of the month (or the next succeeding business day that Nasdaq is open) provided the award is approved on or prior to such grant date.</w:t>
      </w:r>
    </w:p>
    <w:p>
      <w:pPr>
        <w:spacing w:after="0" w:line="19" w:lineRule="exact"/>
        <w:rPr>
          <w:rFonts w:ascii="Arial" w:cs="Arial" w:eastAsia="Arial" w:hAnsi="Arial"/>
          <w:sz w:val="17"/>
          <w:szCs w:val="17"/>
          <w:color w:val="auto"/>
        </w:rPr>
      </w:pPr>
    </w:p>
    <w:p>
      <w:pPr>
        <w:ind w:left="660" w:right="660" w:hanging="185"/>
        <w:spacing w:after="0" w:line="313"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0066BA"/>
        </w:rPr>
        <w:t xml:space="preserve">Foreign Registrations: </w:t>
      </w:r>
      <w:r>
        <w:rPr>
          <w:rFonts w:ascii="Arial" w:cs="Arial" w:eastAsia="Arial" w:hAnsi="Arial"/>
          <w:sz w:val="16"/>
          <w:szCs w:val="16"/>
          <w:color w:val="000000"/>
        </w:rPr>
        <w:t>Any awards requiring registration or approval in a foreign jurisdiction will have a grant date of the 15th day of the</w:t>
      </w:r>
      <w:r>
        <w:rPr>
          <w:rFonts w:ascii="Arial" w:cs="Arial" w:eastAsia="Arial" w:hAnsi="Arial"/>
          <w:sz w:val="16"/>
          <w:szCs w:val="16"/>
          <w:b w:val="1"/>
          <w:bCs w:val="1"/>
          <w:color w:val="0066BA"/>
        </w:rPr>
        <w:t xml:space="preserve"> </w:t>
      </w:r>
      <w:r>
        <w:rPr>
          <w:rFonts w:ascii="Arial" w:cs="Arial" w:eastAsia="Arial" w:hAnsi="Arial"/>
          <w:sz w:val="16"/>
          <w:szCs w:val="16"/>
          <w:color w:val="000000"/>
        </w:rPr>
        <w:t>month (or the next succeeding business day that Nasdaq is open) following the effective date of that registration or approval.</w:t>
      </w:r>
    </w:p>
    <w:p>
      <w:pPr>
        <w:spacing w:after="0" w:line="1" w:lineRule="exact"/>
        <w:rPr>
          <w:rFonts w:ascii="Arial" w:cs="Arial" w:eastAsia="Arial" w:hAnsi="Arial"/>
          <w:sz w:val="16"/>
          <w:szCs w:val="16"/>
          <w:color w:val="auto"/>
        </w:rPr>
      </w:pPr>
    </w:p>
    <w:p>
      <w:pPr>
        <w:ind w:left="660" w:right="400" w:hanging="185"/>
        <w:spacing w:after="0" w:line="274"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0066BA"/>
        </w:rPr>
        <w:t xml:space="preserve">Blackout Periods: </w:t>
      </w:r>
      <w:r>
        <w:rPr>
          <w:rFonts w:ascii="Arial" w:cs="Arial" w:eastAsia="Arial" w:hAnsi="Arial"/>
          <w:sz w:val="17"/>
          <w:szCs w:val="17"/>
          <w:color w:val="000000"/>
        </w:rPr>
        <w:t>Our Compensation Committee does not approve off-cycle awards to our executive officers during the quarterly and annual</w:t>
      </w:r>
      <w:r>
        <w:rPr>
          <w:rFonts w:ascii="Arial" w:cs="Arial" w:eastAsia="Arial" w:hAnsi="Arial"/>
          <w:sz w:val="17"/>
          <w:szCs w:val="17"/>
          <w:b w:val="1"/>
          <w:bCs w:val="1"/>
          <w:color w:val="0066BA"/>
        </w:rPr>
        <w:t xml:space="preserve"> </w:t>
      </w:r>
      <w:r>
        <w:rPr>
          <w:rFonts w:ascii="Arial" w:cs="Arial" w:eastAsia="Arial" w:hAnsi="Arial"/>
          <w:sz w:val="17"/>
          <w:szCs w:val="17"/>
          <w:color w:val="000000"/>
        </w:rPr>
        <w:t>blackout periods under our insider trading policy. The quarterly and annual blackout periods begin three weeks before the end of each fiscal quarter and end at the beginning of the second full trading day after we announce our quarterly earnings.</w:t>
      </w:r>
    </w:p>
    <w:p>
      <w:pPr>
        <w:spacing w:after="0" w:line="6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describe the Equity Award Grant Date Policy for our non-employee directors above under “Corporate Governance—Director Compensation.”</w:t>
      </w:r>
    </w:p>
    <w:p>
      <w:pPr>
        <w:spacing w:after="0" w:line="32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333333"/>
        </w:rPr>
        <w:t>Severance, Retention and Change in Control Benefits</w:t>
      </w:r>
    </w:p>
    <w:p>
      <w:pPr>
        <w:spacing w:after="0" w:line="9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Change in Control Benefits</w:t>
      </w:r>
    </w:p>
    <w:p>
      <w:pPr>
        <w:spacing w:after="0" w:line="114" w:lineRule="exact"/>
        <w:rPr>
          <w:sz w:val="20"/>
          <w:szCs w:val="20"/>
          <w:color w:val="auto"/>
        </w:rPr>
      </w:pPr>
    </w:p>
    <w:p>
      <w:pPr>
        <w:ind w:left="480" w:right="220"/>
        <w:spacing w:after="0" w:line="270" w:lineRule="auto"/>
        <w:rPr>
          <w:sz w:val="20"/>
          <w:szCs w:val="20"/>
          <w:color w:val="auto"/>
        </w:rPr>
      </w:pPr>
      <w:r>
        <w:rPr>
          <w:rFonts w:ascii="Arial" w:cs="Arial" w:eastAsia="Arial" w:hAnsi="Arial"/>
          <w:sz w:val="17"/>
          <w:szCs w:val="17"/>
          <w:color w:val="auto"/>
        </w:rPr>
        <w:t>We have entered into change in control retention agreements with each of our executive officers and other key employees. Among other things, these retention agreements provide for severance benefits if the employee’s service with us is terminated within 24 months after a change in control (as defined in each agreement) that was approved by our Board of Directors.</w:t>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0940"/>
          </w:cols>
          <w:pgMar w:left="320" w:top="447" w:right="6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spacing w:after="0" w:line="296" w:lineRule="auto"/>
        <w:rPr>
          <w:sz w:val="20"/>
          <w:szCs w:val="20"/>
          <w:color w:val="auto"/>
        </w:rPr>
      </w:pPr>
      <w:r>
        <w:rPr>
          <w:rFonts w:ascii="Arial" w:cs="Arial" w:eastAsia="Arial" w:hAnsi="Arial"/>
          <w:sz w:val="15"/>
          <w:szCs w:val="15"/>
          <w:color w:val="auto"/>
        </w:rPr>
        <w:t>We designed the change in control retention agreements to help ensure that our executive team is able to evaluate objectively whether a potential change in control transaction is in the best interests of ADI and our shareholders, despite possible risks to their future employment. We believe that retaining the services of our key executives during a change in control scenario is critical. These agreements help ensure the continued services of our executive officers throughout the change in control transaction by giving them incentives to remain with us rather than seeking alternative employment or being recruited to a competitor during a highly uncertain time. The Compensation Committee reviewed prevalent market practices in determining the severance amounts and the events that trigger payments under the agreements. The Compensation Committee determined that the amounts and triggering events were appropriate and designed to encourage decision-making that is in the best interests of ADI. In fiscal 2020, the Compensation Committee asked Pearl Meyer, its independent compensation consultant, to review our severance, retention and change in control arrangements and Pearl Meyer determined that those arrangements were competitive with existing market practice in the semiconductor industry and that it was appropriate to maintain the program for fiscal 2020. Change in control retention agreements entered into between the Company and eligible employees since 2009 do not contain excess parachute payment tax gross-up provisions.</w:t>
      </w:r>
    </w:p>
    <w:p>
      <w:pPr>
        <w:spacing w:after="0" w:line="54" w:lineRule="exact"/>
        <w:rPr>
          <w:sz w:val="20"/>
          <w:szCs w:val="20"/>
          <w:color w:val="auto"/>
        </w:rPr>
      </w:pPr>
    </w:p>
    <w:p>
      <w:pPr>
        <w:ind w:left="480" w:right="20"/>
        <w:spacing w:after="0" w:line="279" w:lineRule="auto"/>
        <w:rPr>
          <w:sz w:val="20"/>
          <w:szCs w:val="20"/>
          <w:color w:val="auto"/>
        </w:rPr>
      </w:pPr>
      <w:r>
        <w:rPr>
          <w:rFonts w:ascii="Arial" w:cs="Arial" w:eastAsia="Arial" w:hAnsi="Arial"/>
          <w:sz w:val="16"/>
          <w:szCs w:val="16"/>
          <w:color w:val="auto"/>
        </w:rPr>
        <w:t>Under our 2020 Plan and our 2006 Stock Incentive Plan, in the event of a change in control, all of our employees who continue to remain employed on the closing of the change in control, including our NEOs, would have the vesting of one-half of the shares of common stock subject to their then outstanding unvested equity awards accelerate and become immediately exercisable and free from forfeiture. The remaining one-half of their unvested equity awards would continue to vest in accordance with the original vesting schedules, and any remaining unvested equity awards would vest if, on or prior to the first anniversary of the change in control, his or her employment is terminated without “cause” or for “good reason” (as defined in the plan). We have provided more detailed information about these benefits, along with estimates of their value under various circumstances, under the caption “—Potential Payments Upon Termination or Change in Control” below.</w:t>
      </w:r>
    </w:p>
    <w:p>
      <w:pPr>
        <w:spacing w:after="0" w:line="26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Severance Benefits</w:t>
      </w:r>
    </w:p>
    <w:p>
      <w:pPr>
        <w:spacing w:after="0" w:line="114" w:lineRule="exact"/>
        <w:rPr>
          <w:sz w:val="20"/>
          <w:szCs w:val="20"/>
          <w:color w:val="auto"/>
        </w:rPr>
      </w:pPr>
    </w:p>
    <w:p>
      <w:pPr>
        <w:ind w:left="480" w:right="40"/>
        <w:spacing w:after="0" w:line="286" w:lineRule="auto"/>
        <w:rPr>
          <w:sz w:val="20"/>
          <w:szCs w:val="20"/>
          <w:color w:val="auto"/>
        </w:rPr>
      </w:pPr>
      <w:r>
        <w:rPr>
          <w:rFonts w:ascii="Arial" w:cs="Arial" w:eastAsia="Arial" w:hAnsi="Arial"/>
          <w:sz w:val="17"/>
          <w:szCs w:val="17"/>
          <w:color w:val="auto"/>
        </w:rPr>
        <w:t>When the employment of an executive officer terminates in a situation that does not involve a change in control, the officer is entitled to receive the same benefits as any other terminated employee in that geographical location.</w:t>
      </w:r>
    </w:p>
    <w:p>
      <w:pPr>
        <w:spacing w:after="0" w:line="24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333333"/>
        </w:rPr>
        <w:t>Tax and Accounting Considerations</w:t>
      </w:r>
    </w:p>
    <w:p>
      <w:pPr>
        <w:spacing w:after="0" w:line="109" w:lineRule="exact"/>
        <w:rPr>
          <w:sz w:val="20"/>
          <w:szCs w:val="20"/>
          <w:color w:val="auto"/>
        </w:rPr>
      </w:pPr>
    </w:p>
    <w:p>
      <w:pPr>
        <w:ind w:left="480" w:right="20"/>
        <w:spacing w:after="0" w:line="261" w:lineRule="auto"/>
        <w:rPr>
          <w:sz w:val="20"/>
          <w:szCs w:val="20"/>
          <w:color w:val="auto"/>
        </w:rPr>
      </w:pPr>
      <w:r>
        <w:rPr>
          <w:rFonts w:ascii="Arial" w:cs="Arial" w:eastAsia="Arial" w:hAnsi="Arial"/>
          <w:sz w:val="17"/>
          <w:szCs w:val="17"/>
          <w:color w:val="auto"/>
        </w:rPr>
        <w:t>Section 162(m) of the Internal Revenue Code generally disallows a tax deduction to public companies for compensation in excess of $1 million paid to certain of the Company’s executives. Pursuant to the Tax Cuts and Jobs Act of 2017, or the Tax Act, for fiscal years beginning after December 31, 2017, the group of executives whose compensation is subject to the deduction limitation is broader than under prior law. Prior to the effectiveness of the Tax Act, the deduction limit did not apply to “performance-based compensation” satisfying the requirements of Section 162(m). For fiscal years commencing after December 31, 2017 and future tax years, subject to the transition rules, all compensation in excess of $1 million paid to the specified executives will not be deductible.</w:t>
      </w:r>
    </w:p>
    <w:p>
      <w:pPr>
        <w:spacing w:after="0" w:line="77" w:lineRule="exact"/>
        <w:rPr>
          <w:sz w:val="20"/>
          <w:szCs w:val="20"/>
          <w:color w:val="auto"/>
        </w:rPr>
      </w:pPr>
    </w:p>
    <w:p>
      <w:pPr>
        <w:ind w:left="480" w:right="100"/>
        <w:spacing w:after="0" w:line="356" w:lineRule="auto"/>
        <w:rPr>
          <w:sz w:val="20"/>
          <w:szCs w:val="20"/>
          <w:color w:val="auto"/>
        </w:rPr>
      </w:pPr>
      <w:r>
        <w:rPr>
          <w:rFonts w:ascii="Arial" w:cs="Arial" w:eastAsia="Arial" w:hAnsi="Arial"/>
          <w:sz w:val="15"/>
          <w:szCs w:val="15"/>
          <w:color w:val="auto"/>
        </w:rPr>
        <w:t>Mr. Roche has a change in control retention agreement that contains provisions regarding Section 280G of the Internal Revenue Code. Since 2009, any new executive compensation arrangements for new executives do not contain tax gross up provisions for excess parachute payments.</w:t>
      </w:r>
    </w:p>
    <w:p>
      <w:pPr>
        <w:spacing w:after="0" w:line="9" w:lineRule="exact"/>
        <w:rPr>
          <w:sz w:val="20"/>
          <w:szCs w:val="20"/>
          <w:color w:val="auto"/>
        </w:rPr>
      </w:pPr>
    </w:p>
    <w:p>
      <w:pPr>
        <w:ind w:left="480" w:right="40"/>
        <w:spacing w:after="0" w:line="261" w:lineRule="auto"/>
        <w:rPr>
          <w:sz w:val="20"/>
          <w:szCs w:val="20"/>
          <w:color w:val="auto"/>
        </w:rPr>
      </w:pPr>
      <w:r>
        <w:rPr>
          <w:rFonts w:ascii="Arial" w:cs="Arial" w:eastAsia="Arial" w:hAnsi="Arial"/>
          <w:sz w:val="17"/>
          <w:szCs w:val="17"/>
          <w:color w:val="auto"/>
        </w:rPr>
        <w:t>We expense in our financial statements the compensation that we pay to our executive officers, as required by U.S. generally accepted accounting principles. As one of many factors, the Compensation Committee considers the financial statement impact in determining the amount of, and allocation among the elements of, compensation. We account for stock-based compensation under our 2020 Plan, our 2006 Stock Incentive Plan, the Amended and Restated 2005 Equity Incentive Plan, or 2005 Plan, and the Amended and Restated 2010 Equity Incentive Plan, or 2010 Plan (the latter two of which we assumed in the Linear Technology acquisition), as well as all predecessor plans, in accordance with U.S. generally accepted accounting principles.</w:t>
      </w:r>
    </w:p>
    <w:p>
      <w:pPr>
        <w:spacing w:after="0" w:line="200" w:lineRule="exact"/>
        <w:rPr>
          <w:sz w:val="20"/>
          <w:szCs w:val="20"/>
          <w:color w:val="auto"/>
        </w:rPr>
      </w:pPr>
    </w:p>
    <w:p>
      <w:pPr>
        <w:spacing w:after="0" w:line="3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0760"/>
          </w:cols>
          <w:pgMar w:left="320" w:top="447" w:right="81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333333"/>
        </w:rPr>
        <w:t>Risk Considerations in Our Compensation Program</w:t>
      </w:r>
    </w:p>
    <w:p>
      <w:pPr>
        <w:spacing w:after="0" w:line="109" w:lineRule="exact"/>
        <w:rPr>
          <w:sz w:val="20"/>
          <w:szCs w:val="20"/>
          <w:color w:val="auto"/>
        </w:rPr>
      </w:pPr>
    </w:p>
    <w:p>
      <w:pPr>
        <w:ind w:left="480" w:right="340"/>
        <w:spacing w:after="0" w:line="261" w:lineRule="auto"/>
        <w:rPr>
          <w:sz w:val="20"/>
          <w:szCs w:val="20"/>
          <w:color w:val="auto"/>
        </w:rPr>
      </w:pPr>
      <w:r>
        <w:rPr>
          <w:rFonts w:ascii="Arial" w:cs="Arial" w:eastAsia="Arial" w:hAnsi="Arial"/>
          <w:sz w:val="17"/>
          <w:szCs w:val="17"/>
          <w:color w:val="auto"/>
        </w:rPr>
        <w:t>In fiscal 2020, our Compensation Committee reviewed our incentive compensation programs, discussed the concept of risk as it relates to our compensation program, considered various mitigating factors and reviewed these items with its independent consultant, Pearl Meyer. In addition, our Compensation Committee asked Pearl Meyer to conduct an independent risk assessment of our executive compensation program. Based on these reviews and discussions, the Compensation Committee does not believe that any risks arising from our employee compensation policies and practices are reasonably likely to have a material adverse effect on our company. Our Compensation Committee believes that any such risks are mitigated by the following factors,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147955</wp:posOffset>
            </wp:positionV>
            <wp:extent cx="654240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542405" cy="8255"/>
                    </a:xfrm>
                    <a:prstGeom prst="rect">
                      <a:avLst/>
                    </a:prstGeom>
                    <a:noFill/>
                  </pic:spPr>
                </pic:pic>
              </a:graphicData>
            </a:graphic>
          </wp:anchor>
        </w:drawing>
      </w:r>
    </w:p>
    <w:p>
      <w:pPr>
        <w:spacing w:after="0" w:line="318" w:lineRule="exact"/>
        <w:rPr>
          <w:sz w:val="20"/>
          <w:szCs w:val="20"/>
          <w:color w:val="auto"/>
        </w:rPr>
      </w:pPr>
    </w:p>
    <w:p>
      <w:pPr>
        <w:ind w:left="660" w:right="200" w:hanging="185"/>
        <w:spacing w:after="0" w:line="263"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structure our pay to consist of both fixed and variable compensation with short- and long-term horizons. We feel that the variable elements of compensation, which represented 92% and 83% of the total target compensation for our CEO and other NEOs, respectively, for fiscal 2020, are a sufficient percentage of overall compensation to motivate executives to produce superior short- and long-term corporate results and to achieve Company goals, while the fixed element is also sufficiently high that the executives are not encouraged to take unnecessary or excessive risks in doing so.</w:t>
      </w:r>
    </w:p>
    <w:p>
      <w:pPr>
        <w:spacing w:after="0" w:line="34" w:lineRule="exact"/>
        <w:rPr>
          <w:rFonts w:ascii="Arial" w:cs="Arial" w:eastAsia="Arial" w:hAnsi="Arial"/>
          <w:sz w:val="17"/>
          <w:szCs w:val="17"/>
          <w:color w:val="auto"/>
        </w:rPr>
      </w:pPr>
    </w:p>
    <w:p>
      <w:pPr>
        <w:ind w:left="660" w:right="180" w:hanging="185"/>
        <w:spacing w:after="0" w:line="277"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believe that our focus on both OPBT margin and year-over-year revenue growth through our executive performance incentive plan, and operating profit and stock price performance through our equity compen- sation program, provides a check on excessive short-term risk taking. That is, even if our executives could inappropriately increase OPBT margin or revenue by excessively reducing expenses or adding new revenue sources that are inconsistent with our business model, this could ultimately harm our stock price and the value of their equity awards. Conversely, if our executives were to add revenue sources at low margins in order to generate a higher growth multiple and increased stock prices, it could decrease OPBT margin and the value of their cash bonus payments. Our OPBT margin and year-over-year revenue targets are applicable to our executives and employees alike, which we believe encourages consistent behavior across the organization, and reflect goals that are challenging, but not so high that they require performance outside of what the Compensation Committee believes is reasonable for us or could motivate our executives and employees to take actions in which we assume unreasonable levels of risk.</w:t>
      </w:r>
    </w:p>
    <w:p>
      <w:pPr>
        <w:spacing w:after="0" w:line="27" w:lineRule="exact"/>
        <w:rPr>
          <w:rFonts w:ascii="Arial" w:cs="Arial" w:eastAsia="Arial" w:hAnsi="Arial"/>
          <w:sz w:val="16"/>
          <w:szCs w:val="16"/>
          <w:color w:val="auto"/>
        </w:rPr>
      </w:pPr>
    </w:p>
    <w:p>
      <w:pPr>
        <w:ind w:left="660" w:right="220" w:hanging="185"/>
        <w:spacing w:after="0" w:line="265"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cap our bonus payout factors. Even if we dramatically exceed our OPBT margin or year-over-year revenue growth targets, bonus payments are limited. In fiscal 2020, the bonus payment factor cap was 300% of target. Conversely, we also have a floor on the OPBT margin target so that profitability at or below 36% will result in no bonus payments for that performance period, regardless of revenue growth levels. We believe this avoids incentivizing management to drive revenue levels without regard to profitability.</w:t>
      </w:r>
    </w:p>
    <w:p>
      <w:pPr>
        <w:spacing w:after="0" w:line="34" w:lineRule="exact"/>
        <w:rPr>
          <w:rFonts w:ascii="Arial" w:cs="Arial" w:eastAsia="Arial" w:hAnsi="Arial"/>
          <w:sz w:val="17"/>
          <w:szCs w:val="17"/>
          <w:color w:val="auto"/>
        </w:rPr>
      </w:pPr>
    </w:p>
    <w:p>
      <w:pPr>
        <w:ind w:left="660" w:right="380" w:hanging="185"/>
        <w:spacing w:after="0" w:line="286"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stock ownership guidelines provide an incentive for management to consider ADI’s long-term interests because a portion of their personal investment portfolio consists of ADI stock.</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0940"/>
          </w:cols>
          <w:pgMar w:left="320" w:top="447" w:right="6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Summary Compensation Table</w:t>
      </w:r>
    </w:p>
    <w:p>
      <w:pPr>
        <w:spacing w:after="0" w:line="229" w:lineRule="exact"/>
        <w:rPr>
          <w:sz w:val="20"/>
          <w:szCs w:val="20"/>
          <w:color w:val="auto"/>
        </w:rPr>
      </w:pPr>
    </w:p>
    <w:p>
      <w:pPr>
        <w:ind w:left="480" w:right="200"/>
        <w:spacing w:after="0" w:line="286" w:lineRule="auto"/>
        <w:rPr>
          <w:sz w:val="20"/>
          <w:szCs w:val="20"/>
          <w:color w:val="auto"/>
        </w:rPr>
      </w:pPr>
      <w:r>
        <w:rPr>
          <w:rFonts w:ascii="Arial" w:cs="Arial" w:eastAsia="Arial" w:hAnsi="Arial"/>
          <w:sz w:val="17"/>
          <w:szCs w:val="17"/>
          <w:color w:val="auto"/>
        </w:rPr>
        <w:t>The following table contains certain information about the compensation that our named executive officers earned in fiscal 2020, fiscal 2019 and fiscal 2018.</w:t>
      </w:r>
    </w:p>
    <w:p>
      <w:pPr>
        <w:spacing w:after="0" w:line="197"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312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Name and</w:t>
            </w:r>
          </w:p>
        </w:tc>
        <w:tc>
          <w:tcPr>
            <w:tcW w:w="640" w:type="dxa"/>
            <w:vAlign w:val="bottom"/>
            <w:gridSpan w:val="2"/>
            <w:shd w:val="clear" w:color="auto" w:fill="0066BA"/>
          </w:tcPr>
          <w:p>
            <w:pPr>
              <w:jc w:val="right"/>
              <w:ind w:right="103"/>
              <w:spacing w:after="0"/>
              <w:rPr>
                <w:sz w:val="20"/>
                <w:szCs w:val="20"/>
                <w:color w:val="auto"/>
              </w:rPr>
            </w:pPr>
            <w:r>
              <w:rPr>
                <w:rFonts w:ascii="Arial" w:cs="Arial" w:eastAsia="Arial" w:hAnsi="Arial"/>
                <w:sz w:val="14"/>
                <w:szCs w:val="14"/>
                <w:b w:val="1"/>
                <w:bCs w:val="1"/>
                <w:color w:val="FFFFFF"/>
              </w:rPr>
              <w:t>Fiscal</w:t>
            </w:r>
          </w:p>
        </w:tc>
        <w:tc>
          <w:tcPr>
            <w:tcW w:w="880" w:type="dxa"/>
            <w:vAlign w:val="bottom"/>
            <w:shd w:val="clear" w:color="auto" w:fill="0066BA"/>
          </w:tcPr>
          <w:p>
            <w:pPr>
              <w:jc w:val="right"/>
              <w:ind w:right="103"/>
              <w:spacing w:after="0"/>
              <w:rPr>
                <w:sz w:val="20"/>
                <w:szCs w:val="20"/>
                <w:color w:val="auto"/>
              </w:rPr>
            </w:pPr>
            <w:r>
              <w:rPr>
                <w:rFonts w:ascii="Arial" w:cs="Arial" w:eastAsia="Arial" w:hAnsi="Arial"/>
                <w:sz w:val="14"/>
                <w:szCs w:val="14"/>
                <w:b w:val="1"/>
                <w:bCs w:val="1"/>
                <w:color w:val="FFFFFF"/>
              </w:rPr>
              <w:t>Salary</w:t>
            </w:r>
          </w:p>
        </w:tc>
        <w:tc>
          <w:tcPr>
            <w:tcW w:w="80" w:type="dxa"/>
            <w:vAlign w:val="bottom"/>
            <w:shd w:val="clear" w:color="auto" w:fill="0066BA"/>
          </w:tcPr>
          <w:p>
            <w:pPr>
              <w:spacing w:after="0"/>
              <w:rPr>
                <w:sz w:val="14"/>
                <w:szCs w:val="14"/>
                <w:color w:val="auto"/>
              </w:rPr>
            </w:pPr>
          </w:p>
        </w:tc>
        <w:tc>
          <w:tcPr>
            <w:tcW w:w="800" w:type="dxa"/>
            <w:vAlign w:val="bottom"/>
            <w:shd w:val="clear" w:color="auto" w:fill="0066BA"/>
          </w:tcPr>
          <w:p>
            <w:pPr>
              <w:jc w:val="right"/>
              <w:ind w:right="104"/>
              <w:spacing w:after="0"/>
              <w:rPr>
                <w:sz w:val="20"/>
                <w:szCs w:val="20"/>
                <w:color w:val="auto"/>
              </w:rPr>
            </w:pPr>
            <w:r>
              <w:rPr>
                <w:rFonts w:ascii="Arial" w:cs="Arial" w:eastAsia="Arial" w:hAnsi="Arial"/>
                <w:sz w:val="14"/>
                <w:szCs w:val="14"/>
                <w:b w:val="1"/>
                <w:bCs w:val="1"/>
                <w:color w:val="FFFFFF"/>
              </w:rPr>
              <w:t>Stock</w:t>
            </w:r>
          </w:p>
        </w:tc>
        <w:tc>
          <w:tcPr>
            <w:tcW w:w="880" w:type="dxa"/>
            <w:vAlign w:val="bottom"/>
            <w:shd w:val="clear" w:color="auto" w:fill="0066BA"/>
          </w:tcPr>
          <w:p>
            <w:pPr>
              <w:jc w:val="right"/>
              <w:ind w:right="103"/>
              <w:spacing w:after="0"/>
              <w:rPr>
                <w:sz w:val="20"/>
                <w:szCs w:val="20"/>
                <w:color w:val="auto"/>
              </w:rPr>
            </w:pPr>
            <w:r>
              <w:rPr>
                <w:rFonts w:ascii="Arial" w:cs="Arial" w:eastAsia="Arial" w:hAnsi="Arial"/>
                <w:sz w:val="14"/>
                <w:szCs w:val="14"/>
                <w:b w:val="1"/>
                <w:bCs w:val="1"/>
                <w:color w:val="FFFFFF"/>
              </w:rPr>
              <w:t>Option</w:t>
            </w:r>
          </w:p>
        </w:tc>
        <w:tc>
          <w:tcPr>
            <w:tcW w:w="100" w:type="dxa"/>
            <w:vAlign w:val="bottom"/>
            <w:shd w:val="clear" w:color="auto" w:fill="0066BA"/>
          </w:tcPr>
          <w:p>
            <w:pPr>
              <w:spacing w:after="0"/>
              <w:rPr>
                <w:sz w:val="14"/>
                <w:szCs w:val="14"/>
                <w:color w:val="auto"/>
              </w:rPr>
            </w:pPr>
          </w:p>
        </w:tc>
        <w:tc>
          <w:tcPr>
            <w:tcW w:w="1100" w:type="dxa"/>
            <w:vAlign w:val="bottom"/>
            <w:shd w:val="clear" w:color="auto" w:fill="0066BA"/>
          </w:tcPr>
          <w:p>
            <w:pPr>
              <w:jc w:val="right"/>
              <w:ind w:right="103"/>
              <w:spacing w:after="0"/>
              <w:rPr>
                <w:sz w:val="20"/>
                <w:szCs w:val="20"/>
                <w:color w:val="auto"/>
              </w:rPr>
            </w:pPr>
            <w:r>
              <w:rPr>
                <w:rFonts w:ascii="Arial" w:cs="Arial" w:eastAsia="Arial" w:hAnsi="Arial"/>
                <w:sz w:val="14"/>
                <w:szCs w:val="14"/>
                <w:b w:val="1"/>
                <w:bCs w:val="1"/>
                <w:color w:val="FFFFFF"/>
              </w:rPr>
              <w:t>Non-Equity</w:t>
            </w:r>
          </w:p>
        </w:tc>
        <w:tc>
          <w:tcPr>
            <w:tcW w:w="1200" w:type="dxa"/>
            <w:vAlign w:val="bottom"/>
            <w:shd w:val="clear" w:color="auto" w:fill="0066BA"/>
          </w:tcPr>
          <w:p>
            <w:pPr>
              <w:jc w:val="right"/>
              <w:ind w:right="103"/>
              <w:spacing w:after="0"/>
              <w:rPr>
                <w:sz w:val="20"/>
                <w:szCs w:val="20"/>
                <w:color w:val="auto"/>
              </w:rPr>
            </w:pPr>
            <w:r>
              <w:rPr>
                <w:rFonts w:ascii="Arial" w:cs="Arial" w:eastAsia="Arial" w:hAnsi="Arial"/>
                <w:sz w:val="14"/>
                <w:szCs w:val="14"/>
                <w:b w:val="1"/>
                <w:bCs w:val="1"/>
                <w:color w:val="FFFFFF"/>
              </w:rPr>
              <w:t>All Other</w:t>
            </w:r>
          </w:p>
        </w:tc>
        <w:tc>
          <w:tcPr>
            <w:tcW w:w="80" w:type="dxa"/>
            <w:vAlign w:val="bottom"/>
            <w:shd w:val="clear" w:color="auto" w:fill="0066BA"/>
          </w:tcPr>
          <w:p>
            <w:pPr>
              <w:spacing w:after="0"/>
              <w:rPr>
                <w:sz w:val="14"/>
                <w:szCs w:val="14"/>
                <w:color w:val="auto"/>
              </w:rPr>
            </w:pPr>
          </w:p>
        </w:tc>
        <w:tc>
          <w:tcPr>
            <w:tcW w:w="880" w:type="dxa"/>
            <w:vAlign w:val="bottom"/>
            <w:shd w:val="clear" w:color="auto" w:fill="0066BA"/>
          </w:tcPr>
          <w:p>
            <w:pPr>
              <w:jc w:val="right"/>
              <w:ind w:right="103"/>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156"/>
        </w:trPr>
        <w:tc>
          <w:tcPr>
            <w:tcW w:w="3120" w:type="dxa"/>
            <w:vAlign w:val="bottom"/>
            <w:shd w:val="clear" w:color="auto" w:fill="0066BA"/>
          </w:tcPr>
          <w:p>
            <w:pPr>
              <w:ind w:left="60"/>
              <w:spacing w:after="0" w:line="156" w:lineRule="exact"/>
              <w:rPr>
                <w:sz w:val="20"/>
                <w:szCs w:val="20"/>
                <w:color w:val="auto"/>
              </w:rPr>
            </w:pPr>
            <w:r>
              <w:rPr>
                <w:rFonts w:ascii="Arial" w:cs="Arial" w:eastAsia="Arial" w:hAnsi="Arial"/>
                <w:sz w:val="14"/>
                <w:szCs w:val="14"/>
                <w:b w:val="1"/>
                <w:bCs w:val="1"/>
                <w:color w:val="FFFFFF"/>
              </w:rPr>
              <w:t>Principal Position</w:t>
            </w:r>
          </w:p>
        </w:tc>
        <w:tc>
          <w:tcPr>
            <w:tcW w:w="80" w:type="dxa"/>
            <w:vAlign w:val="bottom"/>
            <w:shd w:val="clear" w:color="auto" w:fill="0066BA"/>
          </w:tcPr>
          <w:p>
            <w:pPr>
              <w:spacing w:after="0"/>
              <w:rPr>
                <w:sz w:val="13"/>
                <w:szCs w:val="13"/>
                <w:color w:val="auto"/>
              </w:rPr>
            </w:pPr>
          </w:p>
        </w:tc>
        <w:tc>
          <w:tcPr>
            <w:tcW w:w="560" w:type="dxa"/>
            <w:vAlign w:val="bottom"/>
            <w:shd w:val="clear" w:color="auto" w:fill="0066BA"/>
          </w:tcPr>
          <w:p>
            <w:pPr>
              <w:jc w:val="right"/>
              <w:ind w:right="103"/>
              <w:spacing w:after="0" w:line="156" w:lineRule="exact"/>
              <w:rPr>
                <w:sz w:val="20"/>
                <w:szCs w:val="20"/>
                <w:color w:val="auto"/>
              </w:rPr>
            </w:pPr>
            <w:r>
              <w:rPr>
                <w:rFonts w:ascii="Arial" w:cs="Arial" w:eastAsia="Arial" w:hAnsi="Arial"/>
                <w:sz w:val="14"/>
                <w:szCs w:val="14"/>
                <w:b w:val="1"/>
                <w:bCs w:val="1"/>
                <w:color w:val="FFFFFF"/>
              </w:rPr>
              <w:t>Year</w:t>
            </w:r>
          </w:p>
        </w:tc>
        <w:tc>
          <w:tcPr>
            <w:tcW w:w="880" w:type="dxa"/>
            <w:vAlign w:val="bottom"/>
            <w:shd w:val="clear" w:color="auto" w:fill="0066BA"/>
          </w:tcPr>
          <w:p>
            <w:pPr>
              <w:jc w:val="right"/>
              <w:ind w:right="103"/>
              <w:spacing w:after="0" w:line="156" w:lineRule="exact"/>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0066BA"/>
          </w:tcPr>
          <w:p>
            <w:pPr>
              <w:spacing w:after="0"/>
              <w:rPr>
                <w:sz w:val="13"/>
                <w:szCs w:val="13"/>
                <w:color w:val="auto"/>
              </w:rPr>
            </w:pPr>
          </w:p>
        </w:tc>
        <w:tc>
          <w:tcPr>
            <w:tcW w:w="800" w:type="dxa"/>
            <w:vAlign w:val="bottom"/>
            <w:shd w:val="clear" w:color="auto" w:fill="0066BA"/>
          </w:tcPr>
          <w:p>
            <w:pPr>
              <w:jc w:val="right"/>
              <w:ind w:right="104"/>
              <w:spacing w:after="0" w:line="156" w:lineRule="exact"/>
              <w:rPr>
                <w:sz w:val="20"/>
                <w:szCs w:val="20"/>
                <w:color w:val="auto"/>
              </w:rPr>
            </w:pPr>
            <w:r>
              <w:rPr>
                <w:rFonts w:ascii="Arial" w:cs="Arial" w:eastAsia="Arial" w:hAnsi="Arial"/>
                <w:sz w:val="14"/>
                <w:szCs w:val="14"/>
                <w:b w:val="1"/>
                <w:bCs w:val="1"/>
                <w:color w:val="FFFFFF"/>
              </w:rPr>
              <w:t>Awards</w:t>
            </w:r>
          </w:p>
        </w:tc>
        <w:tc>
          <w:tcPr>
            <w:tcW w:w="880" w:type="dxa"/>
            <w:vAlign w:val="bottom"/>
            <w:shd w:val="clear" w:color="auto" w:fill="0066BA"/>
          </w:tcPr>
          <w:p>
            <w:pPr>
              <w:jc w:val="right"/>
              <w:ind w:right="103"/>
              <w:spacing w:after="0" w:line="156" w:lineRule="exact"/>
              <w:rPr>
                <w:sz w:val="20"/>
                <w:szCs w:val="20"/>
                <w:color w:val="auto"/>
              </w:rPr>
            </w:pPr>
            <w:r>
              <w:rPr>
                <w:rFonts w:ascii="Arial" w:cs="Arial" w:eastAsia="Arial" w:hAnsi="Arial"/>
                <w:sz w:val="14"/>
                <w:szCs w:val="14"/>
                <w:b w:val="1"/>
                <w:bCs w:val="1"/>
                <w:color w:val="FFFFFF"/>
              </w:rPr>
              <w:t>Awards</w:t>
            </w:r>
          </w:p>
        </w:tc>
        <w:tc>
          <w:tcPr>
            <w:tcW w:w="1200" w:type="dxa"/>
            <w:vAlign w:val="bottom"/>
            <w:gridSpan w:val="2"/>
            <w:shd w:val="clear" w:color="auto" w:fill="0066BA"/>
          </w:tcPr>
          <w:p>
            <w:pPr>
              <w:jc w:val="right"/>
              <w:ind w:right="103"/>
              <w:spacing w:after="0" w:line="156" w:lineRule="exact"/>
              <w:rPr>
                <w:sz w:val="20"/>
                <w:szCs w:val="20"/>
                <w:color w:val="auto"/>
              </w:rPr>
            </w:pPr>
            <w:r>
              <w:rPr>
                <w:rFonts w:ascii="Arial" w:cs="Arial" w:eastAsia="Arial" w:hAnsi="Arial"/>
                <w:sz w:val="14"/>
                <w:szCs w:val="14"/>
                <w:b w:val="1"/>
                <w:bCs w:val="1"/>
                <w:color w:val="FFFFFF"/>
              </w:rPr>
              <w:t>Incentive Plan</w:t>
            </w:r>
          </w:p>
        </w:tc>
        <w:tc>
          <w:tcPr>
            <w:tcW w:w="1200" w:type="dxa"/>
            <w:vAlign w:val="bottom"/>
            <w:shd w:val="clear" w:color="auto" w:fill="0066BA"/>
          </w:tcPr>
          <w:p>
            <w:pPr>
              <w:jc w:val="right"/>
              <w:ind w:right="103"/>
              <w:spacing w:after="0" w:line="156" w:lineRule="exact"/>
              <w:rPr>
                <w:sz w:val="20"/>
                <w:szCs w:val="20"/>
                <w:color w:val="auto"/>
              </w:rPr>
            </w:pPr>
            <w:r>
              <w:rPr>
                <w:rFonts w:ascii="Arial" w:cs="Arial" w:eastAsia="Arial" w:hAnsi="Arial"/>
                <w:sz w:val="14"/>
                <w:szCs w:val="14"/>
                <w:b w:val="1"/>
                <w:bCs w:val="1"/>
                <w:color w:val="FFFFFF"/>
              </w:rPr>
              <w:t>Compensation</w:t>
            </w:r>
          </w:p>
        </w:tc>
        <w:tc>
          <w:tcPr>
            <w:tcW w:w="80" w:type="dxa"/>
            <w:vAlign w:val="bottom"/>
            <w:shd w:val="clear" w:color="auto" w:fill="0066BA"/>
          </w:tcPr>
          <w:p>
            <w:pPr>
              <w:spacing w:after="0"/>
              <w:rPr>
                <w:sz w:val="13"/>
                <w:szCs w:val="13"/>
                <w:color w:val="auto"/>
              </w:rPr>
            </w:pPr>
          </w:p>
        </w:tc>
        <w:tc>
          <w:tcPr>
            <w:tcW w:w="880" w:type="dxa"/>
            <w:vAlign w:val="bottom"/>
            <w:shd w:val="clear" w:color="auto" w:fill="0066BA"/>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2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560" w:type="dxa"/>
            <w:vAlign w:val="bottom"/>
            <w:shd w:val="clear" w:color="auto" w:fill="0066BA"/>
          </w:tcPr>
          <w:p>
            <w:pPr>
              <w:spacing w:after="0"/>
              <w:rPr>
                <w:sz w:val="13"/>
                <w:szCs w:val="13"/>
                <w:color w:val="auto"/>
              </w:rPr>
            </w:pPr>
          </w:p>
        </w:tc>
        <w:tc>
          <w:tcPr>
            <w:tcW w:w="88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800" w:type="dxa"/>
            <w:vAlign w:val="bottom"/>
            <w:shd w:val="clear" w:color="auto" w:fill="0066BA"/>
          </w:tcPr>
          <w:p>
            <w:pPr>
              <w:jc w:val="right"/>
              <w:ind w:right="104"/>
              <w:spacing w:after="0" w:line="156" w:lineRule="exact"/>
              <w:rPr>
                <w:sz w:val="20"/>
                <w:szCs w:val="20"/>
                <w:color w:val="auto"/>
              </w:rPr>
            </w:pPr>
            <w:r>
              <w:rPr>
                <w:rFonts w:ascii="Arial" w:cs="Arial" w:eastAsia="Arial" w:hAnsi="Arial"/>
                <w:sz w:val="14"/>
                <w:szCs w:val="14"/>
                <w:b w:val="1"/>
                <w:bCs w:val="1"/>
                <w:color w:val="FFFFFF"/>
              </w:rPr>
              <w:t>($) (1a)</w:t>
            </w:r>
          </w:p>
        </w:tc>
        <w:tc>
          <w:tcPr>
            <w:tcW w:w="880" w:type="dxa"/>
            <w:vAlign w:val="bottom"/>
            <w:shd w:val="clear" w:color="auto" w:fill="0066BA"/>
          </w:tcPr>
          <w:p>
            <w:pPr>
              <w:jc w:val="right"/>
              <w:ind w:right="103"/>
              <w:spacing w:after="0" w:line="156" w:lineRule="exact"/>
              <w:rPr>
                <w:sz w:val="20"/>
                <w:szCs w:val="20"/>
                <w:color w:val="auto"/>
              </w:rPr>
            </w:pPr>
            <w:r>
              <w:rPr>
                <w:rFonts w:ascii="Arial" w:cs="Arial" w:eastAsia="Arial" w:hAnsi="Arial"/>
                <w:sz w:val="14"/>
                <w:szCs w:val="14"/>
                <w:b w:val="1"/>
                <w:bCs w:val="1"/>
                <w:color w:val="FFFFFF"/>
              </w:rPr>
              <w:t>($) (1b)</w:t>
            </w:r>
          </w:p>
        </w:tc>
        <w:tc>
          <w:tcPr>
            <w:tcW w:w="1200" w:type="dxa"/>
            <w:vAlign w:val="bottom"/>
            <w:gridSpan w:val="2"/>
            <w:shd w:val="clear" w:color="auto" w:fill="0066BA"/>
          </w:tcPr>
          <w:p>
            <w:pPr>
              <w:jc w:val="right"/>
              <w:ind w:right="103"/>
              <w:spacing w:after="0" w:line="156" w:lineRule="exact"/>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0066BA"/>
          </w:tcPr>
          <w:p>
            <w:pPr>
              <w:jc w:val="right"/>
              <w:ind w:right="103"/>
              <w:spacing w:after="0" w:line="156" w:lineRule="exact"/>
              <w:rPr>
                <w:sz w:val="20"/>
                <w:szCs w:val="20"/>
                <w:color w:val="auto"/>
              </w:rPr>
            </w:pPr>
            <w:r>
              <w:rPr>
                <w:rFonts w:ascii="Arial" w:cs="Arial" w:eastAsia="Arial" w:hAnsi="Arial"/>
                <w:sz w:val="14"/>
                <w:szCs w:val="14"/>
                <w:b w:val="1"/>
                <w:bCs w:val="1"/>
                <w:color w:val="FFFFFF"/>
              </w:rPr>
              <w:t>($) (3)</w:t>
            </w:r>
          </w:p>
        </w:tc>
        <w:tc>
          <w:tcPr>
            <w:tcW w:w="80" w:type="dxa"/>
            <w:vAlign w:val="bottom"/>
            <w:shd w:val="clear" w:color="auto" w:fill="0066BA"/>
          </w:tcPr>
          <w:p>
            <w:pPr>
              <w:spacing w:after="0"/>
              <w:rPr>
                <w:sz w:val="13"/>
                <w:szCs w:val="13"/>
                <w:color w:val="auto"/>
              </w:rPr>
            </w:pPr>
          </w:p>
        </w:tc>
        <w:tc>
          <w:tcPr>
            <w:tcW w:w="880" w:type="dxa"/>
            <w:vAlign w:val="bottom"/>
            <w:shd w:val="clear" w:color="auto" w:fill="0066BA"/>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120" w:type="dxa"/>
            <w:vAlign w:val="bottom"/>
            <w:shd w:val="clear" w:color="auto" w:fill="0066BA"/>
          </w:tcPr>
          <w:p>
            <w:pPr>
              <w:spacing w:after="0"/>
              <w:rPr>
                <w:sz w:val="15"/>
                <w:szCs w:val="15"/>
                <w:color w:val="auto"/>
              </w:rPr>
            </w:pPr>
          </w:p>
        </w:tc>
        <w:tc>
          <w:tcPr>
            <w:tcW w:w="80" w:type="dxa"/>
            <w:vAlign w:val="bottom"/>
            <w:shd w:val="clear" w:color="auto" w:fill="0066BA"/>
          </w:tcPr>
          <w:p>
            <w:pPr>
              <w:spacing w:after="0"/>
              <w:rPr>
                <w:sz w:val="15"/>
                <w:szCs w:val="15"/>
                <w:color w:val="auto"/>
              </w:rPr>
            </w:pPr>
          </w:p>
        </w:tc>
        <w:tc>
          <w:tcPr>
            <w:tcW w:w="560" w:type="dxa"/>
            <w:vAlign w:val="bottom"/>
            <w:shd w:val="clear" w:color="auto" w:fill="0066BA"/>
          </w:tcPr>
          <w:p>
            <w:pPr>
              <w:spacing w:after="0"/>
              <w:rPr>
                <w:sz w:val="15"/>
                <w:szCs w:val="15"/>
                <w:color w:val="auto"/>
              </w:rPr>
            </w:pPr>
          </w:p>
        </w:tc>
        <w:tc>
          <w:tcPr>
            <w:tcW w:w="880" w:type="dxa"/>
            <w:vAlign w:val="bottom"/>
            <w:shd w:val="clear" w:color="auto" w:fill="0066BA"/>
          </w:tcPr>
          <w:p>
            <w:pPr>
              <w:spacing w:after="0"/>
              <w:rPr>
                <w:sz w:val="15"/>
                <w:szCs w:val="15"/>
                <w:color w:val="auto"/>
              </w:rPr>
            </w:pPr>
          </w:p>
        </w:tc>
        <w:tc>
          <w:tcPr>
            <w:tcW w:w="80" w:type="dxa"/>
            <w:vAlign w:val="bottom"/>
            <w:shd w:val="clear" w:color="auto" w:fill="0066BA"/>
          </w:tcPr>
          <w:p>
            <w:pPr>
              <w:spacing w:after="0"/>
              <w:rPr>
                <w:sz w:val="15"/>
                <w:szCs w:val="15"/>
                <w:color w:val="auto"/>
              </w:rPr>
            </w:pPr>
          </w:p>
        </w:tc>
        <w:tc>
          <w:tcPr>
            <w:tcW w:w="800" w:type="dxa"/>
            <w:vAlign w:val="bottom"/>
            <w:shd w:val="clear" w:color="auto" w:fill="0066BA"/>
          </w:tcPr>
          <w:p>
            <w:pPr>
              <w:spacing w:after="0"/>
              <w:rPr>
                <w:sz w:val="15"/>
                <w:szCs w:val="15"/>
                <w:color w:val="auto"/>
              </w:rPr>
            </w:pPr>
          </w:p>
        </w:tc>
        <w:tc>
          <w:tcPr>
            <w:tcW w:w="880" w:type="dxa"/>
            <w:vAlign w:val="bottom"/>
            <w:shd w:val="clear" w:color="auto" w:fill="0066BA"/>
          </w:tcPr>
          <w:p>
            <w:pPr>
              <w:spacing w:after="0"/>
              <w:rPr>
                <w:sz w:val="15"/>
                <w:szCs w:val="15"/>
                <w:color w:val="auto"/>
              </w:rPr>
            </w:pPr>
          </w:p>
        </w:tc>
        <w:tc>
          <w:tcPr>
            <w:tcW w:w="1200" w:type="dxa"/>
            <w:vAlign w:val="bottom"/>
            <w:gridSpan w:val="2"/>
            <w:shd w:val="clear" w:color="auto" w:fill="0066BA"/>
          </w:tcPr>
          <w:p>
            <w:pPr>
              <w:jc w:val="right"/>
              <w:ind w:right="103"/>
              <w:spacing w:after="0"/>
              <w:rPr>
                <w:sz w:val="20"/>
                <w:szCs w:val="20"/>
                <w:color w:val="auto"/>
              </w:rPr>
            </w:pPr>
            <w:r>
              <w:rPr>
                <w:rFonts w:ascii="Arial" w:cs="Arial" w:eastAsia="Arial" w:hAnsi="Arial"/>
                <w:sz w:val="14"/>
                <w:szCs w:val="14"/>
                <w:b w:val="1"/>
                <w:bCs w:val="1"/>
                <w:color w:val="FFFFFF"/>
              </w:rPr>
              <w:t>($) (2)</w:t>
            </w:r>
          </w:p>
        </w:tc>
        <w:tc>
          <w:tcPr>
            <w:tcW w:w="1200" w:type="dxa"/>
            <w:vAlign w:val="bottom"/>
            <w:shd w:val="clear" w:color="auto" w:fill="0066BA"/>
          </w:tcPr>
          <w:p>
            <w:pPr>
              <w:spacing w:after="0"/>
              <w:rPr>
                <w:sz w:val="15"/>
                <w:szCs w:val="15"/>
                <w:color w:val="auto"/>
              </w:rPr>
            </w:pPr>
          </w:p>
        </w:tc>
        <w:tc>
          <w:tcPr>
            <w:tcW w:w="80" w:type="dxa"/>
            <w:vAlign w:val="bottom"/>
            <w:shd w:val="clear" w:color="auto" w:fill="0066BA"/>
          </w:tcPr>
          <w:p>
            <w:pPr>
              <w:spacing w:after="0"/>
              <w:rPr>
                <w:sz w:val="15"/>
                <w:szCs w:val="15"/>
                <w:color w:val="auto"/>
              </w:rPr>
            </w:pPr>
          </w:p>
        </w:tc>
        <w:tc>
          <w:tcPr>
            <w:tcW w:w="880" w:type="dxa"/>
            <w:vAlign w:val="bottom"/>
            <w:shd w:val="clear" w:color="auto" w:fill="0066BA"/>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3120" w:type="dxa"/>
            <w:vAlign w:val="bottom"/>
            <w:shd w:val="clear" w:color="auto" w:fill="0066BA"/>
          </w:tcPr>
          <w:p>
            <w:pPr>
              <w:spacing w:after="0"/>
              <w:rPr>
                <w:sz w:val="7"/>
                <w:szCs w:val="7"/>
                <w:color w:val="auto"/>
              </w:rPr>
            </w:pPr>
          </w:p>
        </w:tc>
        <w:tc>
          <w:tcPr>
            <w:tcW w:w="80" w:type="dxa"/>
            <w:vAlign w:val="bottom"/>
            <w:shd w:val="clear" w:color="auto" w:fill="0066BA"/>
          </w:tcPr>
          <w:p>
            <w:pPr>
              <w:spacing w:after="0"/>
              <w:rPr>
                <w:sz w:val="7"/>
                <w:szCs w:val="7"/>
                <w:color w:val="auto"/>
              </w:rPr>
            </w:pPr>
          </w:p>
        </w:tc>
        <w:tc>
          <w:tcPr>
            <w:tcW w:w="560" w:type="dxa"/>
            <w:vAlign w:val="bottom"/>
            <w:shd w:val="clear" w:color="auto" w:fill="0066BA"/>
          </w:tcPr>
          <w:p>
            <w:pPr>
              <w:spacing w:after="0"/>
              <w:rPr>
                <w:sz w:val="7"/>
                <w:szCs w:val="7"/>
                <w:color w:val="auto"/>
              </w:rPr>
            </w:pPr>
          </w:p>
        </w:tc>
        <w:tc>
          <w:tcPr>
            <w:tcW w:w="880" w:type="dxa"/>
            <w:vAlign w:val="bottom"/>
            <w:shd w:val="clear" w:color="auto" w:fill="0066BA"/>
          </w:tcPr>
          <w:p>
            <w:pPr>
              <w:spacing w:after="0"/>
              <w:rPr>
                <w:sz w:val="7"/>
                <w:szCs w:val="7"/>
                <w:color w:val="auto"/>
              </w:rPr>
            </w:pPr>
          </w:p>
        </w:tc>
        <w:tc>
          <w:tcPr>
            <w:tcW w:w="80" w:type="dxa"/>
            <w:vAlign w:val="bottom"/>
            <w:shd w:val="clear" w:color="auto" w:fill="0066BA"/>
          </w:tcPr>
          <w:p>
            <w:pPr>
              <w:spacing w:after="0"/>
              <w:rPr>
                <w:sz w:val="7"/>
                <w:szCs w:val="7"/>
                <w:color w:val="auto"/>
              </w:rPr>
            </w:pPr>
          </w:p>
        </w:tc>
        <w:tc>
          <w:tcPr>
            <w:tcW w:w="800" w:type="dxa"/>
            <w:vAlign w:val="bottom"/>
            <w:shd w:val="clear" w:color="auto" w:fill="0066BA"/>
          </w:tcPr>
          <w:p>
            <w:pPr>
              <w:spacing w:after="0"/>
              <w:rPr>
                <w:sz w:val="7"/>
                <w:szCs w:val="7"/>
                <w:color w:val="auto"/>
              </w:rPr>
            </w:pPr>
          </w:p>
        </w:tc>
        <w:tc>
          <w:tcPr>
            <w:tcW w:w="880" w:type="dxa"/>
            <w:vAlign w:val="bottom"/>
            <w:shd w:val="clear" w:color="auto" w:fill="0066BA"/>
          </w:tcPr>
          <w:p>
            <w:pPr>
              <w:spacing w:after="0"/>
              <w:rPr>
                <w:sz w:val="7"/>
                <w:szCs w:val="7"/>
                <w:color w:val="auto"/>
              </w:rPr>
            </w:pPr>
          </w:p>
        </w:tc>
        <w:tc>
          <w:tcPr>
            <w:tcW w:w="100" w:type="dxa"/>
            <w:vAlign w:val="bottom"/>
            <w:shd w:val="clear" w:color="auto" w:fill="0066BA"/>
          </w:tcPr>
          <w:p>
            <w:pPr>
              <w:spacing w:after="0"/>
              <w:rPr>
                <w:sz w:val="7"/>
                <w:szCs w:val="7"/>
                <w:color w:val="auto"/>
              </w:rPr>
            </w:pPr>
          </w:p>
        </w:tc>
        <w:tc>
          <w:tcPr>
            <w:tcW w:w="1100" w:type="dxa"/>
            <w:vAlign w:val="bottom"/>
            <w:shd w:val="clear" w:color="auto" w:fill="0066BA"/>
          </w:tcPr>
          <w:p>
            <w:pPr>
              <w:spacing w:after="0"/>
              <w:rPr>
                <w:sz w:val="7"/>
                <w:szCs w:val="7"/>
                <w:color w:val="auto"/>
              </w:rPr>
            </w:pPr>
          </w:p>
        </w:tc>
        <w:tc>
          <w:tcPr>
            <w:tcW w:w="1200" w:type="dxa"/>
            <w:vAlign w:val="bottom"/>
            <w:shd w:val="clear" w:color="auto" w:fill="0066BA"/>
          </w:tcPr>
          <w:p>
            <w:pPr>
              <w:spacing w:after="0"/>
              <w:rPr>
                <w:sz w:val="7"/>
                <w:szCs w:val="7"/>
                <w:color w:val="auto"/>
              </w:rPr>
            </w:pPr>
          </w:p>
        </w:tc>
        <w:tc>
          <w:tcPr>
            <w:tcW w:w="80" w:type="dxa"/>
            <w:vAlign w:val="bottom"/>
            <w:shd w:val="clear" w:color="auto" w:fill="0066BA"/>
          </w:tcPr>
          <w:p>
            <w:pPr>
              <w:spacing w:after="0"/>
              <w:rPr>
                <w:sz w:val="7"/>
                <w:szCs w:val="7"/>
                <w:color w:val="auto"/>
              </w:rPr>
            </w:pPr>
          </w:p>
        </w:tc>
        <w:tc>
          <w:tcPr>
            <w:tcW w:w="880" w:type="dxa"/>
            <w:vAlign w:val="bottom"/>
            <w:shd w:val="clear" w:color="auto" w:fill="0066BA"/>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312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Vincent Roche</w:t>
            </w:r>
          </w:p>
        </w:tc>
        <w:tc>
          <w:tcPr>
            <w:tcW w:w="640" w:type="dxa"/>
            <w:vAlign w:val="bottom"/>
            <w:gridSpan w:val="2"/>
            <w:shd w:val="clear" w:color="auto" w:fill="EAEAEA"/>
          </w:tcPr>
          <w:p>
            <w:pPr>
              <w:jc w:val="right"/>
              <w:ind w:right="103"/>
              <w:spacing w:after="0"/>
              <w:rPr>
                <w:sz w:val="20"/>
                <w:szCs w:val="20"/>
                <w:color w:val="auto"/>
              </w:rPr>
            </w:pPr>
            <w:r>
              <w:rPr>
                <w:rFonts w:ascii="Arial" w:cs="Arial" w:eastAsia="Arial" w:hAnsi="Arial"/>
                <w:sz w:val="16"/>
                <w:szCs w:val="16"/>
                <w:color w:val="auto"/>
              </w:rPr>
              <w:t>2020</w:t>
            </w:r>
          </w:p>
        </w:tc>
        <w:tc>
          <w:tcPr>
            <w:tcW w:w="880" w:type="dxa"/>
            <w:vAlign w:val="bottom"/>
          </w:tcPr>
          <w:p>
            <w:pPr>
              <w:jc w:val="right"/>
              <w:ind w:right="103"/>
              <w:spacing w:after="0"/>
              <w:rPr>
                <w:sz w:val="20"/>
                <w:szCs w:val="20"/>
                <w:color w:val="auto"/>
              </w:rPr>
            </w:pPr>
            <w:r>
              <w:rPr>
                <w:rFonts w:ascii="Arial" w:cs="Arial" w:eastAsia="Arial" w:hAnsi="Arial"/>
                <w:sz w:val="16"/>
                <w:szCs w:val="16"/>
                <w:color w:val="auto"/>
                <w:w w:val="95"/>
              </w:rPr>
              <w:t>1,050,000</w:t>
            </w:r>
          </w:p>
        </w:tc>
        <w:tc>
          <w:tcPr>
            <w:tcW w:w="880" w:type="dxa"/>
            <w:vAlign w:val="bottom"/>
            <w:gridSpan w:val="2"/>
            <w:shd w:val="clear" w:color="auto" w:fill="EAEAEA"/>
          </w:tcPr>
          <w:p>
            <w:pPr>
              <w:jc w:val="right"/>
              <w:ind w:right="104"/>
              <w:spacing w:after="0"/>
              <w:rPr>
                <w:sz w:val="20"/>
                <w:szCs w:val="20"/>
                <w:color w:val="auto"/>
              </w:rPr>
            </w:pPr>
            <w:r>
              <w:rPr>
                <w:rFonts w:ascii="Arial" w:cs="Arial" w:eastAsia="Arial" w:hAnsi="Arial"/>
                <w:sz w:val="16"/>
                <w:szCs w:val="16"/>
                <w:color w:val="auto"/>
                <w:w w:val="95"/>
              </w:rPr>
              <w:t>7,505,999</w:t>
            </w:r>
          </w:p>
        </w:tc>
        <w:tc>
          <w:tcPr>
            <w:tcW w:w="880" w:type="dxa"/>
            <w:vAlign w:val="bottom"/>
          </w:tcPr>
          <w:p>
            <w:pPr>
              <w:jc w:val="right"/>
              <w:ind w:right="103"/>
              <w:spacing w:after="0"/>
              <w:rPr>
                <w:sz w:val="20"/>
                <w:szCs w:val="20"/>
                <w:color w:val="auto"/>
              </w:rPr>
            </w:pPr>
            <w:r>
              <w:rPr>
                <w:rFonts w:ascii="Arial" w:cs="Arial" w:eastAsia="Arial" w:hAnsi="Arial"/>
                <w:sz w:val="16"/>
                <w:szCs w:val="16"/>
                <w:color w:val="auto"/>
                <w:w w:val="95"/>
              </w:rPr>
              <w:t>2,484,988</w:t>
            </w:r>
          </w:p>
        </w:tc>
        <w:tc>
          <w:tcPr>
            <w:tcW w:w="1200" w:type="dxa"/>
            <w:vAlign w:val="bottom"/>
            <w:gridSpan w:val="2"/>
            <w:shd w:val="clear" w:color="auto" w:fill="EAEAEA"/>
          </w:tcPr>
          <w:p>
            <w:pPr>
              <w:jc w:val="right"/>
              <w:ind w:right="103"/>
              <w:spacing w:after="0"/>
              <w:rPr>
                <w:sz w:val="20"/>
                <w:szCs w:val="20"/>
                <w:color w:val="auto"/>
              </w:rPr>
            </w:pPr>
            <w:r>
              <w:rPr>
                <w:rFonts w:ascii="Arial" w:cs="Arial" w:eastAsia="Arial" w:hAnsi="Arial"/>
                <w:sz w:val="16"/>
                <w:szCs w:val="16"/>
                <w:color w:val="auto"/>
              </w:rPr>
              <w:t>1,229,106</w:t>
            </w: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87,825</w:t>
            </w:r>
          </w:p>
        </w:tc>
        <w:tc>
          <w:tcPr>
            <w:tcW w:w="960" w:type="dxa"/>
            <w:vAlign w:val="bottom"/>
            <w:gridSpan w:val="2"/>
            <w:shd w:val="clear" w:color="auto" w:fill="EAEAEA"/>
          </w:tcPr>
          <w:p>
            <w:pPr>
              <w:jc w:val="right"/>
              <w:ind w:right="103"/>
              <w:spacing w:after="0"/>
              <w:rPr>
                <w:sz w:val="20"/>
                <w:szCs w:val="20"/>
                <w:color w:val="auto"/>
              </w:rPr>
            </w:pPr>
            <w:r>
              <w:rPr>
                <w:rFonts w:ascii="Arial" w:cs="Arial" w:eastAsia="Arial" w:hAnsi="Arial"/>
                <w:sz w:val="16"/>
                <w:szCs w:val="16"/>
                <w:color w:val="auto"/>
                <w:w w:val="94"/>
              </w:rPr>
              <w:t>12,357,918</w:t>
            </w:r>
          </w:p>
        </w:tc>
        <w:tc>
          <w:tcPr>
            <w:tcW w:w="0" w:type="dxa"/>
            <w:vAlign w:val="bottom"/>
          </w:tcPr>
          <w:p>
            <w:pPr>
              <w:spacing w:after="0"/>
              <w:rPr>
                <w:sz w:val="1"/>
                <w:szCs w:val="1"/>
                <w:color w:val="auto"/>
              </w:rPr>
            </w:pPr>
          </w:p>
        </w:tc>
      </w:tr>
      <w:tr>
        <w:trPr>
          <w:trHeight w:val="71"/>
        </w:trPr>
        <w:tc>
          <w:tcPr>
            <w:tcW w:w="3120" w:type="dxa"/>
            <w:vAlign w:val="bottom"/>
            <w:vMerge w:val="continue"/>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56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0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shd w:val="clear" w:color="auto" w:fill="EAEAEA"/>
          </w:tcPr>
          <w:p>
            <w:pPr>
              <w:spacing w:after="0"/>
              <w:rPr>
                <w:sz w:val="6"/>
                <w:szCs w:val="6"/>
                <w:color w:val="auto"/>
              </w:rPr>
            </w:pPr>
          </w:p>
        </w:tc>
        <w:tc>
          <w:tcPr>
            <w:tcW w:w="1100" w:type="dxa"/>
            <w:vAlign w:val="bottom"/>
            <w:tcBorders>
              <w:bottom w:val="single" w:sz="8" w:color="auto"/>
            </w:tcBorders>
            <w:shd w:val="clear" w:color="auto" w:fill="EAEAEA"/>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3120" w:type="dxa"/>
            <w:vAlign w:val="bottom"/>
          </w:tcPr>
          <w:p>
            <w:pPr>
              <w:ind w:left="60"/>
              <w:spacing w:after="0" w:line="178" w:lineRule="exact"/>
              <w:rPr>
                <w:sz w:val="20"/>
                <w:szCs w:val="20"/>
                <w:color w:val="auto"/>
              </w:rPr>
            </w:pPr>
            <w:r>
              <w:rPr>
                <w:rFonts w:ascii="Arial" w:cs="Arial" w:eastAsia="Arial" w:hAnsi="Arial"/>
                <w:sz w:val="16"/>
                <w:szCs w:val="16"/>
                <w:color w:val="auto"/>
              </w:rPr>
              <w:t>President and Chief</w:t>
            </w:r>
          </w:p>
        </w:tc>
        <w:tc>
          <w:tcPr>
            <w:tcW w:w="80" w:type="dxa"/>
            <w:vAlign w:val="bottom"/>
            <w:shd w:val="clear" w:color="auto" w:fill="EAEAEA"/>
          </w:tcPr>
          <w:p>
            <w:pPr>
              <w:spacing w:after="0"/>
              <w:rPr>
                <w:sz w:val="15"/>
                <w:szCs w:val="15"/>
                <w:color w:val="auto"/>
              </w:rPr>
            </w:pPr>
          </w:p>
        </w:tc>
        <w:tc>
          <w:tcPr>
            <w:tcW w:w="560" w:type="dxa"/>
            <w:vAlign w:val="bottom"/>
            <w:shd w:val="clear" w:color="auto" w:fill="EAEAEA"/>
          </w:tcPr>
          <w:p>
            <w:pPr>
              <w:jc w:val="right"/>
              <w:ind w:right="103"/>
              <w:spacing w:after="0" w:line="178" w:lineRule="exact"/>
              <w:rPr>
                <w:sz w:val="20"/>
                <w:szCs w:val="20"/>
                <w:color w:val="auto"/>
              </w:rPr>
            </w:pPr>
            <w:r>
              <w:rPr>
                <w:rFonts w:ascii="Arial" w:cs="Arial" w:eastAsia="Arial" w:hAnsi="Arial"/>
                <w:sz w:val="16"/>
                <w:szCs w:val="16"/>
                <w:color w:val="auto"/>
              </w:rPr>
              <w:t>2019</w:t>
            </w:r>
          </w:p>
        </w:tc>
        <w:tc>
          <w:tcPr>
            <w:tcW w:w="880" w:type="dxa"/>
            <w:vAlign w:val="bottom"/>
          </w:tcPr>
          <w:p>
            <w:pPr>
              <w:jc w:val="right"/>
              <w:ind w:right="103"/>
              <w:spacing w:after="0" w:line="178" w:lineRule="exact"/>
              <w:rPr>
                <w:sz w:val="20"/>
                <w:szCs w:val="20"/>
                <w:color w:val="auto"/>
              </w:rPr>
            </w:pPr>
            <w:r>
              <w:rPr>
                <w:rFonts w:ascii="Arial" w:cs="Arial" w:eastAsia="Arial" w:hAnsi="Arial"/>
                <w:sz w:val="16"/>
                <w:szCs w:val="16"/>
                <w:color w:val="auto"/>
                <w:w w:val="95"/>
              </w:rPr>
              <w:t>1,030,769</w:t>
            </w:r>
          </w:p>
        </w:tc>
        <w:tc>
          <w:tcPr>
            <w:tcW w:w="80" w:type="dxa"/>
            <w:vAlign w:val="bottom"/>
            <w:shd w:val="clear" w:color="auto" w:fill="EAEAEA"/>
          </w:tcPr>
          <w:p>
            <w:pPr>
              <w:spacing w:after="0"/>
              <w:rPr>
                <w:sz w:val="15"/>
                <w:szCs w:val="15"/>
                <w:color w:val="auto"/>
              </w:rPr>
            </w:pPr>
          </w:p>
        </w:tc>
        <w:tc>
          <w:tcPr>
            <w:tcW w:w="800" w:type="dxa"/>
            <w:vAlign w:val="bottom"/>
            <w:shd w:val="clear" w:color="auto" w:fill="EAEAEA"/>
          </w:tcPr>
          <w:p>
            <w:pPr>
              <w:jc w:val="right"/>
              <w:ind w:right="104"/>
              <w:spacing w:after="0" w:line="178" w:lineRule="exact"/>
              <w:rPr>
                <w:sz w:val="20"/>
                <w:szCs w:val="20"/>
                <w:color w:val="auto"/>
              </w:rPr>
            </w:pPr>
            <w:r>
              <w:rPr>
                <w:rFonts w:ascii="Arial" w:cs="Arial" w:eastAsia="Arial" w:hAnsi="Arial"/>
                <w:sz w:val="16"/>
                <w:szCs w:val="16"/>
                <w:color w:val="auto"/>
                <w:w w:val="84"/>
              </w:rPr>
              <w:t>7,039,560</w:t>
            </w:r>
          </w:p>
        </w:tc>
        <w:tc>
          <w:tcPr>
            <w:tcW w:w="880" w:type="dxa"/>
            <w:vAlign w:val="bottom"/>
          </w:tcPr>
          <w:p>
            <w:pPr>
              <w:jc w:val="right"/>
              <w:ind w:right="103"/>
              <w:spacing w:after="0" w:line="178" w:lineRule="exact"/>
              <w:rPr>
                <w:sz w:val="20"/>
                <w:szCs w:val="20"/>
                <w:color w:val="auto"/>
              </w:rPr>
            </w:pPr>
            <w:r>
              <w:rPr>
                <w:rFonts w:ascii="Arial" w:cs="Arial" w:eastAsia="Arial" w:hAnsi="Arial"/>
                <w:sz w:val="16"/>
                <w:szCs w:val="16"/>
                <w:color w:val="auto"/>
                <w:w w:val="95"/>
              </w:rPr>
              <w:t>2,362,177</w:t>
            </w:r>
          </w:p>
        </w:tc>
        <w:tc>
          <w:tcPr>
            <w:tcW w:w="100" w:type="dxa"/>
            <w:vAlign w:val="bottom"/>
            <w:shd w:val="clear" w:color="auto" w:fill="EAEAEA"/>
          </w:tcPr>
          <w:p>
            <w:pPr>
              <w:spacing w:after="0"/>
              <w:rPr>
                <w:sz w:val="15"/>
                <w:szCs w:val="15"/>
                <w:color w:val="auto"/>
              </w:rPr>
            </w:pPr>
          </w:p>
        </w:tc>
        <w:tc>
          <w:tcPr>
            <w:tcW w:w="1100" w:type="dxa"/>
            <w:vAlign w:val="bottom"/>
            <w:shd w:val="clear" w:color="auto" w:fill="EAEAEA"/>
          </w:tcPr>
          <w:p>
            <w:pPr>
              <w:jc w:val="right"/>
              <w:ind w:right="103"/>
              <w:spacing w:after="0" w:line="178" w:lineRule="exact"/>
              <w:rPr>
                <w:sz w:val="20"/>
                <w:szCs w:val="20"/>
                <w:color w:val="auto"/>
              </w:rPr>
            </w:pPr>
            <w:r>
              <w:rPr>
                <w:rFonts w:ascii="Arial" w:cs="Arial" w:eastAsia="Arial" w:hAnsi="Arial"/>
                <w:sz w:val="16"/>
                <w:szCs w:val="16"/>
                <w:color w:val="auto"/>
              </w:rPr>
              <w:t>1,430,337</w:t>
            </w:r>
          </w:p>
        </w:tc>
        <w:tc>
          <w:tcPr>
            <w:tcW w:w="1200" w:type="dxa"/>
            <w:vAlign w:val="bottom"/>
          </w:tcPr>
          <w:p>
            <w:pPr>
              <w:jc w:val="right"/>
              <w:ind w:right="103"/>
              <w:spacing w:after="0" w:line="178" w:lineRule="exact"/>
              <w:rPr>
                <w:sz w:val="20"/>
                <w:szCs w:val="20"/>
                <w:color w:val="auto"/>
              </w:rPr>
            </w:pPr>
            <w:r>
              <w:rPr>
                <w:rFonts w:ascii="Arial" w:cs="Arial" w:eastAsia="Arial" w:hAnsi="Arial"/>
                <w:sz w:val="16"/>
                <w:szCs w:val="16"/>
                <w:color w:val="auto"/>
              </w:rPr>
              <w:t>85,591</w:t>
            </w:r>
          </w:p>
        </w:tc>
        <w:tc>
          <w:tcPr>
            <w:tcW w:w="80" w:type="dxa"/>
            <w:vAlign w:val="bottom"/>
            <w:shd w:val="clear" w:color="auto" w:fill="EAEAEA"/>
          </w:tcPr>
          <w:p>
            <w:pPr>
              <w:spacing w:after="0"/>
              <w:rPr>
                <w:sz w:val="15"/>
                <w:szCs w:val="15"/>
                <w:color w:val="auto"/>
              </w:rPr>
            </w:pPr>
          </w:p>
        </w:tc>
        <w:tc>
          <w:tcPr>
            <w:tcW w:w="880" w:type="dxa"/>
            <w:vAlign w:val="bottom"/>
            <w:shd w:val="clear" w:color="auto" w:fill="EAEAEA"/>
          </w:tcPr>
          <w:p>
            <w:pPr>
              <w:jc w:val="right"/>
              <w:ind w:right="103"/>
              <w:spacing w:after="0" w:line="178" w:lineRule="exact"/>
              <w:rPr>
                <w:sz w:val="20"/>
                <w:szCs w:val="20"/>
                <w:color w:val="auto"/>
              </w:rPr>
            </w:pPr>
            <w:r>
              <w:rPr>
                <w:rFonts w:ascii="Arial" w:cs="Arial" w:eastAsia="Arial" w:hAnsi="Arial"/>
                <w:sz w:val="16"/>
                <w:szCs w:val="16"/>
                <w:color w:val="auto"/>
                <w:w w:val="84"/>
              </w:rPr>
              <w:t>11,948,434</w:t>
            </w:r>
          </w:p>
        </w:tc>
        <w:tc>
          <w:tcPr>
            <w:tcW w:w="0" w:type="dxa"/>
            <w:vAlign w:val="bottom"/>
          </w:tcPr>
          <w:p>
            <w:pPr>
              <w:spacing w:after="0"/>
              <w:rPr>
                <w:sz w:val="1"/>
                <w:szCs w:val="1"/>
                <w:color w:val="auto"/>
              </w:rPr>
            </w:pPr>
          </w:p>
        </w:tc>
      </w:tr>
      <w:tr>
        <w:trPr>
          <w:trHeight w:val="88"/>
        </w:trPr>
        <w:tc>
          <w:tcPr>
            <w:tcW w:w="3120" w:type="dxa"/>
            <w:vAlign w:val="bottom"/>
            <w:vMerge w:val="restart"/>
          </w:tcPr>
          <w:p>
            <w:pPr>
              <w:ind w:left="60"/>
              <w:spacing w:after="0"/>
              <w:rPr>
                <w:sz w:val="20"/>
                <w:szCs w:val="20"/>
                <w:color w:val="auto"/>
              </w:rPr>
            </w:pPr>
            <w:r>
              <w:rPr>
                <w:rFonts w:ascii="Arial" w:cs="Arial" w:eastAsia="Arial" w:hAnsi="Arial"/>
                <w:sz w:val="16"/>
                <w:szCs w:val="16"/>
                <w:color w:val="auto"/>
              </w:rPr>
              <w:t>Executive Officer</w:t>
            </w:r>
          </w:p>
        </w:tc>
        <w:tc>
          <w:tcPr>
            <w:tcW w:w="80" w:type="dxa"/>
            <w:vAlign w:val="bottom"/>
            <w:tcBorders>
              <w:bottom w:val="single" w:sz="8" w:color="auto"/>
            </w:tcBorders>
            <w:shd w:val="clear" w:color="auto" w:fill="EAEAEA"/>
          </w:tcPr>
          <w:p>
            <w:pPr>
              <w:spacing w:after="0"/>
              <w:rPr>
                <w:sz w:val="7"/>
                <w:szCs w:val="7"/>
                <w:color w:val="auto"/>
              </w:rPr>
            </w:pPr>
          </w:p>
        </w:tc>
        <w:tc>
          <w:tcPr>
            <w:tcW w:w="560" w:type="dxa"/>
            <w:vAlign w:val="bottom"/>
            <w:tcBorders>
              <w:bottom w:val="single" w:sz="8" w:color="auto"/>
            </w:tcBorders>
            <w:shd w:val="clear" w:color="auto" w:fill="EAEAEA"/>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shd w:val="clear" w:color="auto" w:fill="EAEAEA"/>
          </w:tcPr>
          <w:p>
            <w:pPr>
              <w:spacing w:after="0"/>
              <w:rPr>
                <w:sz w:val="7"/>
                <w:szCs w:val="7"/>
                <w:color w:val="auto"/>
              </w:rPr>
            </w:pPr>
          </w:p>
        </w:tc>
        <w:tc>
          <w:tcPr>
            <w:tcW w:w="800" w:type="dxa"/>
            <w:vAlign w:val="bottom"/>
            <w:tcBorders>
              <w:bottom w:val="single" w:sz="8" w:color="auto"/>
            </w:tcBorders>
            <w:shd w:val="clear" w:color="auto" w:fill="EAEAEA"/>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shd w:val="clear" w:color="auto" w:fill="EAEAEA"/>
          </w:tcPr>
          <w:p>
            <w:pPr>
              <w:spacing w:after="0"/>
              <w:rPr>
                <w:sz w:val="7"/>
                <w:szCs w:val="7"/>
                <w:color w:val="auto"/>
              </w:rPr>
            </w:pPr>
          </w:p>
        </w:tc>
        <w:tc>
          <w:tcPr>
            <w:tcW w:w="1100" w:type="dxa"/>
            <w:vAlign w:val="bottom"/>
            <w:tcBorders>
              <w:bottom w:val="single" w:sz="8" w:color="auto"/>
            </w:tcBorders>
            <w:shd w:val="clear" w:color="auto" w:fill="EAEAEA"/>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shd w:val="clear" w:color="auto" w:fill="EAEAEA"/>
          </w:tcPr>
          <w:p>
            <w:pPr>
              <w:spacing w:after="0"/>
              <w:rPr>
                <w:sz w:val="7"/>
                <w:szCs w:val="7"/>
                <w:color w:val="auto"/>
              </w:rPr>
            </w:pPr>
          </w:p>
        </w:tc>
        <w:tc>
          <w:tcPr>
            <w:tcW w:w="880" w:type="dxa"/>
            <w:vAlign w:val="bottom"/>
            <w:tcBorders>
              <w:bottom w:val="single" w:sz="8" w:color="auto"/>
            </w:tcBorders>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120" w:type="dxa"/>
            <w:vAlign w:val="bottom"/>
            <w:vMerge w:val="continue"/>
          </w:tcPr>
          <w:p>
            <w:pPr>
              <w:spacing w:after="0"/>
              <w:rPr>
                <w:sz w:val="7"/>
                <w:szCs w:val="7"/>
                <w:color w:val="auto"/>
              </w:rPr>
            </w:pPr>
          </w:p>
        </w:tc>
        <w:tc>
          <w:tcPr>
            <w:tcW w:w="80" w:type="dxa"/>
            <w:vAlign w:val="bottom"/>
            <w:shd w:val="clear" w:color="auto" w:fill="EAEAEA"/>
          </w:tcPr>
          <w:p>
            <w:pPr>
              <w:spacing w:after="0"/>
              <w:rPr>
                <w:sz w:val="7"/>
                <w:szCs w:val="7"/>
                <w:color w:val="auto"/>
              </w:rPr>
            </w:pPr>
          </w:p>
        </w:tc>
        <w:tc>
          <w:tcPr>
            <w:tcW w:w="560" w:type="dxa"/>
            <w:vAlign w:val="bottom"/>
            <w:vMerge w:val="restart"/>
            <w:shd w:val="clear" w:color="auto" w:fill="EAEAEA"/>
          </w:tcPr>
          <w:p>
            <w:pPr>
              <w:jc w:val="right"/>
              <w:ind w:right="103"/>
              <w:spacing w:after="0"/>
              <w:rPr>
                <w:sz w:val="20"/>
                <w:szCs w:val="20"/>
                <w:color w:val="auto"/>
              </w:rPr>
            </w:pPr>
            <w:r>
              <w:rPr>
                <w:rFonts w:ascii="Arial" w:cs="Arial" w:eastAsia="Arial" w:hAnsi="Arial"/>
                <w:sz w:val="16"/>
                <w:szCs w:val="16"/>
                <w:color w:val="auto"/>
              </w:rPr>
              <w:t>2018</w:t>
            </w:r>
          </w:p>
        </w:tc>
        <w:tc>
          <w:tcPr>
            <w:tcW w:w="880" w:type="dxa"/>
            <w:vAlign w:val="bottom"/>
            <w:vMerge w:val="restart"/>
          </w:tcPr>
          <w:p>
            <w:pPr>
              <w:jc w:val="right"/>
              <w:ind w:right="103"/>
              <w:spacing w:after="0"/>
              <w:rPr>
                <w:sz w:val="20"/>
                <w:szCs w:val="20"/>
                <w:color w:val="auto"/>
              </w:rPr>
            </w:pPr>
            <w:r>
              <w:rPr>
                <w:rFonts w:ascii="Arial" w:cs="Arial" w:eastAsia="Arial" w:hAnsi="Arial"/>
                <w:sz w:val="16"/>
                <w:szCs w:val="16"/>
                <w:color w:val="auto"/>
              </w:rPr>
              <w:t>984,615</w:t>
            </w:r>
          </w:p>
        </w:tc>
        <w:tc>
          <w:tcPr>
            <w:tcW w:w="80" w:type="dxa"/>
            <w:vAlign w:val="bottom"/>
            <w:shd w:val="clear" w:color="auto" w:fill="EAEAEA"/>
          </w:tcPr>
          <w:p>
            <w:pPr>
              <w:spacing w:after="0"/>
              <w:rPr>
                <w:sz w:val="7"/>
                <w:szCs w:val="7"/>
                <w:color w:val="auto"/>
              </w:rPr>
            </w:pPr>
          </w:p>
        </w:tc>
        <w:tc>
          <w:tcPr>
            <w:tcW w:w="800" w:type="dxa"/>
            <w:vAlign w:val="bottom"/>
            <w:vMerge w:val="restart"/>
            <w:shd w:val="clear" w:color="auto" w:fill="EAEAEA"/>
          </w:tcPr>
          <w:p>
            <w:pPr>
              <w:jc w:val="right"/>
              <w:ind w:right="104"/>
              <w:spacing w:after="0"/>
              <w:rPr>
                <w:sz w:val="20"/>
                <w:szCs w:val="20"/>
                <w:color w:val="auto"/>
              </w:rPr>
            </w:pPr>
            <w:r>
              <w:rPr>
                <w:rFonts w:ascii="Arial" w:cs="Arial" w:eastAsia="Arial" w:hAnsi="Arial"/>
                <w:sz w:val="16"/>
                <w:szCs w:val="16"/>
                <w:color w:val="auto"/>
                <w:w w:val="84"/>
              </w:rPr>
              <w:t>4,949,953</w:t>
            </w:r>
          </w:p>
        </w:tc>
        <w:tc>
          <w:tcPr>
            <w:tcW w:w="880" w:type="dxa"/>
            <w:vAlign w:val="bottom"/>
            <w:vMerge w:val="restart"/>
          </w:tcPr>
          <w:p>
            <w:pPr>
              <w:jc w:val="right"/>
              <w:ind w:right="103"/>
              <w:spacing w:after="0"/>
              <w:rPr>
                <w:sz w:val="20"/>
                <w:szCs w:val="20"/>
                <w:color w:val="auto"/>
              </w:rPr>
            </w:pPr>
            <w:r>
              <w:rPr>
                <w:rFonts w:ascii="Arial" w:cs="Arial" w:eastAsia="Arial" w:hAnsi="Arial"/>
                <w:sz w:val="16"/>
                <w:szCs w:val="16"/>
                <w:color w:val="auto"/>
                <w:w w:val="95"/>
              </w:rPr>
              <w:t>2,305,013</w:t>
            </w:r>
          </w:p>
        </w:tc>
        <w:tc>
          <w:tcPr>
            <w:tcW w:w="100" w:type="dxa"/>
            <w:vAlign w:val="bottom"/>
            <w:shd w:val="clear" w:color="auto" w:fill="EAEAEA"/>
          </w:tcPr>
          <w:p>
            <w:pPr>
              <w:spacing w:after="0"/>
              <w:rPr>
                <w:sz w:val="7"/>
                <w:szCs w:val="7"/>
                <w:color w:val="auto"/>
              </w:rPr>
            </w:pPr>
          </w:p>
        </w:tc>
        <w:tc>
          <w:tcPr>
            <w:tcW w:w="1100" w:type="dxa"/>
            <w:vAlign w:val="bottom"/>
            <w:vMerge w:val="restart"/>
            <w:shd w:val="clear" w:color="auto" w:fill="EAEAEA"/>
          </w:tcPr>
          <w:p>
            <w:pPr>
              <w:jc w:val="right"/>
              <w:ind w:right="103"/>
              <w:spacing w:after="0"/>
              <w:rPr>
                <w:sz w:val="20"/>
                <w:szCs w:val="20"/>
                <w:color w:val="auto"/>
              </w:rPr>
            </w:pPr>
            <w:r>
              <w:rPr>
                <w:rFonts w:ascii="Arial" w:cs="Arial" w:eastAsia="Arial" w:hAnsi="Arial"/>
                <w:sz w:val="16"/>
                <w:szCs w:val="16"/>
                <w:color w:val="auto"/>
              </w:rPr>
              <w:t>2,682,173</w:t>
            </w:r>
          </w:p>
        </w:tc>
        <w:tc>
          <w:tcPr>
            <w:tcW w:w="1200" w:type="dxa"/>
            <w:vAlign w:val="bottom"/>
            <w:vMerge w:val="restart"/>
          </w:tcPr>
          <w:p>
            <w:pPr>
              <w:jc w:val="right"/>
              <w:ind w:right="103"/>
              <w:spacing w:after="0"/>
              <w:rPr>
                <w:sz w:val="20"/>
                <w:szCs w:val="20"/>
                <w:color w:val="auto"/>
              </w:rPr>
            </w:pPr>
            <w:r>
              <w:rPr>
                <w:rFonts w:ascii="Arial" w:cs="Arial" w:eastAsia="Arial" w:hAnsi="Arial"/>
                <w:sz w:val="16"/>
                <w:szCs w:val="16"/>
                <w:color w:val="auto"/>
              </w:rPr>
              <w:t>85,937</w:t>
            </w:r>
          </w:p>
        </w:tc>
        <w:tc>
          <w:tcPr>
            <w:tcW w:w="80" w:type="dxa"/>
            <w:vAlign w:val="bottom"/>
            <w:shd w:val="clear" w:color="auto" w:fill="EAEAEA"/>
          </w:tcPr>
          <w:p>
            <w:pPr>
              <w:spacing w:after="0"/>
              <w:rPr>
                <w:sz w:val="7"/>
                <w:szCs w:val="7"/>
                <w:color w:val="auto"/>
              </w:rPr>
            </w:pPr>
          </w:p>
        </w:tc>
        <w:tc>
          <w:tcPr>
            <w:tcW w:w="880" w:type="dxa"/>
            <w:vAlign w:val="bottom"/>
            <w:vMerge w:val="restart"/>
            <w:shd w:val="clear" w:color="auto" w:fill="EAEAEA"/>
          </w:tcPr>
          <w:p>
            <w:pPr>
              <w:jc w:val="right"/>
              <w:ind w:right="103"/>
              <w:spacing w:after="0"/>
              <w:rPr>
                <w:sz w:val="20"/>
                <w:szCs w:val="20"/>
                <w:color w:val="auto"/>
              </w:rPr>
            </w:pPr>
            <w:r>
              <w:rPr>
                <w:rFonts w:ascii="Arial" w:cs="Arial" w:eastAsia="Arial" w:hAnsi="Arial"/>
                <w:sz w:val="16"/>
                <w:szCs w:val="16"/>
                <w:color w:val="auto"/>
                <w:w w:val="84"/>
              </w:rPr>
              <w:t>11,007,691</w:t>
            </w:r>
          </w:p>
        </w:tc>
        <w:tc>
          <w:tcPr>
            <w:tcW w:w="0" w:type="dxa"/>
            <w:vAlign w:val="bottom"/>
          </w:tcPr>
          <w:p>
            <w:pPr>
              <w:spacing w:after="0"/>
              <w:rPr>
                <w:sz w:val="1"/>
                <w:szCs w:val="1"/>
                <w:color w:val="auto"/>
              </w:rPr>
            </w:pPr>
          </w:p>
        </w:tc>
      </w:tr>
      <w:tr>
        <w:trPr>
          <w:trHeight w:val="104"/>
        </w:trPr>
        <w:tc>
          <w:tcPr>
            <w:tcW w:w="3120" w:type="dxa"/>
            <w:vAlign w:val="bottom"/>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560" w:type="dxa"/>
            <w:vAlign w:val="bottom"/>
            <w:vMerge w:val="continue"/>
            <w:shd w:val="clear" w:color="auto" w:fill="EAEAEA"/>
          </w:tcPr>
          <w:p>
            <w:pPr>
              <w:spacing w:after="0"/>
              <w:rPr>
                <w:sz w:val="9"/>
                <w:szCs w:val="9"/>
                <w:color w:val="auto"/>
              </w:rPr>
            </w:pPr>
          </w:p>
        </w:tc>
        <w:tc>
          <w:tcPr>
            <w:tcW w:w="880" w:type="dxa"/>
            <w:vAlign w:val="bottom"/>
            <w:vMerge w:val="continue"/>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800" w:type="dxa"/>
            <w:vAlign w:val="bottom"/>
            <w:vMerge w:val="continue"/>
            <w:shd w:val="clear" w:color="auto" w:fill="EAEAEA"/>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shd w:val="clear" w:color="auto" w:fill="EAEAEA"/>
          </w:tcPr>
          <w:p>
            <w:pPr>
              <w:spacing w:after="0"/>
              <w:rPr>
                <w:sz w:val="9"/>
                <w:szCs w:val="9"/>
                <w:color w:val="auto"/>
              </w:rPr>
            </w:pPr>
          </w:p>
        </w:tc>
        <w:tc>
          <w:tcPr>
            <w:tcW w:w="1100" w:type="dxa"/>
            <w:vAlign w:val="bottom"/>
            <w:vMerge w:val="continue"/>
            <w:shd w:val="clear" w:color="auto" w:fill="EAEAEA"/>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88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3120" w:type="dxa"/>
            <w:vAlign w:val="bottom"/>
            <w:tcBorders>
              <w:bottom w:val="single" w:sz="8" w:color="0066BA"/>
            </w:tcBorders>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56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80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tcPr>
          <w:p>
            <w:pPr>
              <w:spacing w:after="0"/>
              <w:rPr>
                <w:sz w:val="6"/>
                <w:szCs w:val="6"/>
                <w:color w:val="auto"/>
              </w:rPr>
            </w:pPr>
          </w:p>
        </w:tc>
        <w:tc>
          <w:tcPr>
            <w:tcW w:w="100" w:type="dxa"/>
            <w:vAlign w:val="bottom"/>
            <w:tcBorders>
              <w:bottom w:val="single" w:sz="8" w:color="0066BA"/>
            </w:tcBorders>
            <w:shd w:val="clear" w:color="auto" w:fill="EAEAEA"/>
          </w:tcPr>
          <w:p>
            <w:pPr>
              <w:spacing w:after="0"/>
              <w:rPr>
                <w:sz w:val="6"/>
                <w:szCs w:val="6"/>
                <w:color w:val="auto"/>
              </w:rPr>
            </w:pPr>
          </w:p>
        </w:tc>
        <w:tc>
          <w:tcPr>
            <w:tcW w:w="1100" w:type="dxa"/>
            <w:vAlign w:val="bottom"/>
            <w:tcBorders>
              <w:bottom w:val="single" w:sz="8" w:color="0066BA"/>
            </w:tcBorders>
            <w:shd w:val="clear" w:color="auto" w:fill="EAEAEA"/>
          </w:tcPr>
          <w:p>
            <w:pPr>
              <w:spacing w:after="0"/>
              <w:rPr>
                <w:sz w:val="6"/>
                <w:szCs w:val="6"/>
                <w:color w:val="auto"/>
              </w:rPr>
            </w:pPr>
          </w:p>
        </w:tc>
        <w:tc>
          <w:tcPr>
            <w:tcW w:w="1200" w:type="dxa"/>
            <w:vAlign w:val="bottom"/>
            <w:tcBorders>
              <w:bottom w:val="single" w:sz="8" w:color="0066BA"/>
            </w:tcBorders>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120" w:type="dxa"/>
            <w:vAlign w:val="bottom"/>
          </w:tcPr>
          <w:p>
            <w:pPr>
              <w:ind w:left="60"/>
              <w:spacing w:after="0"/>
              <w:rPr>
                <w:sz w:val="20"/>
                <w:szCs w:val="20"/>
                <w:color w:val="auto"/>
              </w:rPr>
            </w:pPr>
            <w:r>
              <w:rPr>
                <w:rFonts w:ascii="Arial" w:cs="Arial" w:eastAsia="Arial" w:hAnsi="Arial"/>
                <w:sz w:val="16"/>
                <w:szCs w:val="16"/>
                <w:b w:val="1"/>
                <w:bCs w:val="1"/>
                <w:color w:val="0066BA"/>
              </w:rPr>
              <w:t>Prashanth Mahendra-Rajah</w:t>
            </w:r>
          </w:p>
        </w:tc>
        <w:tc>
          <w:tcPr>
            <w:tcW w:w="640" w:type="dxa"/>
            <w:vAlign w:val="bottom"/>
            <w:gridSpan w:val="2"/>
            <w:shd w:val="clear" w:color="auto" w:fill="EAEAEA"/>
          </w:tcPr>
          <w:p>
            <w:pPr>
              <w:jc w:val="right"/>
              <w:ind w:right="103"/>
              <w:spacing w:after="0"/>
              <w:rPr>
                <w:sz w:val="20"/>
                <w:szCs w:val="20"/>
                <w:color w:val="auto"/>
              </w:rPr>
            </w:pPr>
            <w:r>
              <w:rPr>
                <w:rFonts w:ascii="Arial" w:cs="Arial" w:eastAsia="Arial" w:hAnsi="Arial"/>
                <w:sz w:val="16"/>
                <w:szCs w:val="16"/>
                <w:color w:val="auto"/>
              </w:rPr>
              <w:t>2020</w:t>
            </w: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575,000</w:t>
            </w:r>
          </w:p>
        </w:tc>
        <w:tc>
          <w:tcPr>
            <w:tcW w:w="880" w:type="dxa"/>
            <w:vAlign w:val="bottom"/>
            <w:gridSpan w:val="2"/>
            <w:shd w:val="clear" w:color="auto" w:fill="EAEAEA"/>
          </w:tcPr>
          <w:p>
            <w:pPr>
              <w:jc w:val="right"/>
              <w:ind w:right="104"/>
              <w:spacing w:after="0"/>
              <w:rPr>
                <w:sz w:val="20"/>
                <w:szCs w:val="20"/>
                <w:color w:val="auto"/>
              </w:rPr>
            </w:pPr>
            <w:r>
              <w:rPr>
                <w:rFonts w:ascii="Arial" w:cs="Arial" w:eastAsia="Arial" w:hAnsi="Arial"/>
                <w:sz w:val="16"/>
                <w:szCs w:val="16"/>
                <w:color w:val="auto"/>
                <w:w w:val="95"/>
              </w:rPr>
              <w:t>1,951,648</w:t>
            </w: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646,093</w:t>
            </w:r>
          </w:p>
        </w:tc>
        <w:tc>
          <w:tcPr>
            <w:tcW w:w="1200" w:type="dxa"/>
            <w:vAlign w:val="bottom"/>
            <w:gridSpan w:val="2"/>
            <w:shd w:val="clear" w:color="auto" w:fill="EAEAEA"/>
          </w:tcPr>
          <w:p>
            <w:pPr>
              <w:jc w:val="right"/>
              <w:ind w:right="103"/>
              <w:spacing w:after="0"/>
              <w:rPr>
                <w:sz w:val="20"/>
                <w:szCs w:val="20"/>
                <w:color w:val="auto"/>
              </w:rPr>
            </w:pPr>
            <w:r>
              <w:rPr>
                <w:rFonts w:ascii="Arial" w:cs="Arial" w:eastAsia="Arial" w:hAnsi="Arial"/>
                <w:sz w:val="16"/>
                <w:szCs w:val="16"/>
                <w:color w:val="auto"/>
              </w:rPr>
              <w:t>448,721</w:t>
            </w: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57,200</w:t>
            </w:r>
          </w:p>
        </w:tc>
        <w:tc>
          <w:tcPr>
            <w:tcW w:w="960" w:type="dxa"/>
            <w:vAlign w:val="bottom"/>
            <w:gridSpan w:val="2"/>
            <w:shd w:val="clear" w:color="auto" w:fill="EAEAEA"/>
          </w:tcPr>
          <w:p>
            <w:pPr>
              <w:jc w:val="right"/>
              <w:ind w:right="103"/>
              <w:spacing w:after="0"/>
              <w:rPr>
                <w:sz w:val="20"/>
                <w:szCs w:val="20"/>
                <w:color w:val="auto"/>
              </w:rPr>
            </w:pPr>
            <w:r>
              <w:rPr>
                <w:rFonts w:ascii="Arial" w:cs="Arial" w:eastAsia="Arial" w:hAnsi="Arial"/>
                <w:sz w:val="16"/>
                <w:szCs w:val="16"/>
                <w:color w:val="auto"/>
              </w:rPr>
              <w:t>3,678,662</w:t>
            </w:r>
          </w:p>
        </w:tc>
        <w:tc>
          <w:tcPr>
            <w:tcW w:w="0" w:type="dxa"/>
            <w:vAlign w:val="bottom"/>
          </w:tcPr>
          <w:p>
            <w:pPr>
              <w:spacing w:after="0"/>
              <w:rPr>
                <w:sz w:val="1"/>
                <w:szCs w:val="1"/>
                <w:color w:val="auto"/>
              </w:rPr>
            </w:pPr>
          </w:p>
        </w:tc>
      </w:tr>
      <w:tr>
        <w:trPr>
          <w:trHeight w:val="88"/>
        </w:trPr>
        <w:tc>
          <w:tcPr>
            <w:tcW w:w="3120" w:type="dxa"/>
            <w:vAlign w:val="bottom"/>
            <w:vMerge w:val="restart"/>
          </w:tcPr>
          <w:p>
            <w:pPr>
              <w:ind w:left="60"/>
              <w:spacing w:after="0"/>
              <w:rPr>
                <w:sz w:val="20"/>
                <w:szCs w:val="20"/>
                <w:color w:val="auto"/>
              </w:rPr>
            </w:pPr>
            <w:r>
              <w:rPr>
                <w:rFonts w:ascii="Arial" w:cs="Arial" w:eastAsia="Arial" w:hAnsi="Arial"/>
                <w:sz w:val="16"/>
                <w:szCs w:val="16"/>
                <w:color w:val="auto"/>
              </w:rPr>
              <w:t>Senior Vice President,</w:t>
            </w:r>
          </w:p>
        </w:tc>
        <w:tc>
          <w:tcPr>
            <w:tcW w:w="80" w:type="dxa"/>
            <w:vAlign w:val="bottom"/>
            <w:tcBorders>
              <w:bottom w:val="single" w:sz="8" w:color="auto"/>
            </w:tcBorders>
            <w:shd w:val="clear" w:color="auto" w:fill="EAEAEA"/>
          </w:tcPr>
          <w:p>
            <w:pPr>
              <w:spacing w:after="0"/>
              <w:rPr>
                <w:sz w:val="7"/>
                <w:szCs w:val="7"/>
                <w:color w:val="auto"/>
              </w:rPr>
            </w:pPr>
          </w:p>
        </w:tc>
        <w:tc>
          <w:tcPr>
            <w:tcW w:w="560" w:type="dxa"/>
            <w:vAlign w:val="bottom"/>
            <w:tcBorders>
              <w:bottom w:val="single" w:sz="8" w:color="auto"/>
            </w:tcBorders>
            <w:shd w:val="clear" w:color="auto" w:fill="EAEAEA"/>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shd w:val="clear" w:color="auto" w:fill="EAEAEA"/>
          </w:tcPr>
          <w:p>
            <w:pPr>
              <w:spacing w:after="0"/>
              <w:rPr>
                <w:sz w:val="7"/>
                <w:szCs w:val="7"/>
                <w:color w:val="auto"/>
              </w:rPr>
            </w:pPr>
          </w:p>
        </w:tc>
        <w:tc>
          <w:tcPr>
            <w:tcW w:w="800" w:type="dxa"/>
            <w:vAlign w:val="bottom"/>
            <w:tcBorders>
              <w:bottom w:val="single" w:sz="8" w:color="auto"/>
            </w:tcBorders>
            <w:shd w:val="clear" w:color="auto" w:fill="EAEAEA"/>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shd w:val="clear" w:color="auto" w:fill="EAEAEA"/>
          </w:tcPr>
          <w:p>
            <w:pPr>
              <w:spacing w:after="0"/>
              <w:rPr>
                <w:sz w:val="7"/>
                <w:szCs w:val="7"/>
                <w:color w:val="auto"/>
              </w:rPr>
            </w:pPr>
          </w:p>
        </w:tc>
        <w:tc>
          <w:tcPr>
            <w:tcW w:w="1100" w:type="dxa"/>
            <w:vAlign w:val="bottom"/>
            <w:tcBorders>
              <w:bottom w:val="single" w:sz="8" w:color="auto"/>
            </w:tcBorders>
            <w:shd w:val="clear" w:color="auto" w:fill="EAEAEA"/>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shd w:val="clear" w:color="auto" w:fill="EAEAEA"/>
          </w:tcPr>
          <w:p>
            <w:pPr>
              <w:spacing w:after="0"/>
              <w:rPr>
                <w:sz w:val="7"/>
                <w:szCs w:val="7"/>
                <w:color w:val="auto"/>
              </w:rPr>
            </w:pPr>
          </w:p>
        </w:tc>
        <w:tc>
          <w:tcPr>
            <w:tcW w:w="880" w:type="dxa"/>
            <w:vAlign w:val="bottom"/>
            <w:tcBorders>
              <w:bottom w:val="single" w:sz="8" w:color="auto"/>
            </w:tcBorders>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120" w:type="dxa"/>
            <w:vAlign w:val="bottom"/>
            <w:vMerge w:val="continue"/>
          </w:tcPr>
          <w:p>
            <w:pPr>
              <w:spacing w:after="0"/>
              <w:rPr>
                <w:sz w:val="7"/>
                <w:szCs w:val="7"/>
                <w:color w:val="auto"/>
              </w:rPr>
            </w:pPr>
          </w:p>
        </w:tc>
        <w:tc>
          <w:tcPr>
            <w:tcW w:w="80" w:type="dxa"/>
            <w:vAlign w:val="bottom"/>
            <w:shd w:val="clear" w:color="auto" w:fill="EAEAEA"/>
          </w:tcPr>
          <w:p>
            <w:pPr>
              <w:spacing w:after="0"/>
              <w:rPr>
                <w:sz w:val="7"/>
                <w:szCs w:val="7"/>
                <w:color w:val="auto"/>
              </w:rPr>
            </w:pPr>
          </w:p>
        </w:tc>
        <w:tc>
          <w:tcPr>
            <w:tcW w:w="560" w:type="dxa"/>
            <w:vAlign w:val="bottom"/>
            <w:vMerge w:val="restart"/>
            <w:shd w:val="clear" w:color="auto" w:fill="EAEAEA"/>
          </w:tcPr>
          <w:p>
            <w:pPr>
              <w:jc w:val="right"/>
              <w:ind w:right="103"/>
              <w:spacing w:after="0"/>
              <w:rPr>
                <w:sz w:val="20"/>
                <w:szCs w:val="20"/>
                <w:color w:val="auto"/>
              </w:rPr>
            </w:pPr>
            <w:r>
              <w:rPr>
                <w:rFonts w:ascii="Arial" w:cs="Arial" w:eastAsia="Arial" w:hAnsi="Arial"/>
                <w:sz w:val="16"/>
                <w:szCs w:val="16"/>
                <w:color w:val="auto"/>
              </w:rPr>
              <w:t>2019</w:t>
            </w:r>
          </w:p>
        </w:tc>
        <w:tc>
          <w:tcPr>
            <w:tcW w:w="880" w:type="dxa"/>
            <w:vAlign w:val="bottom"/>
            <w:vMerge w:val="restart"/>
          </w:tcPr>
          <w:p>
            <w:pPr>
              <w:jc w:val="right"/>
              <w:ind w:right="103"/>
              <w:spacing w:after="0"/>
              <w:rPr>
                <w:sz w:val="20"/>
                <w:szCs w:val="20"/>
                <w:color w:val="auto"/>
              </w:rPr>
            </w:pPr>
            <w:r>
              <w:rPr>
                <w:rFonts w:ascii="Arial" w:cs="Arial" w:eastAsia="Arial" w:hAnsi="Arial"/>
                <w:sz w:val="16"/>
                <w:szCs w:val="16"/>
                <w:color w:val="auto"/>
              </w:rPr>
              <w:t>565,385</w:t>
            </w:r>
          </w:p>
        </w:tc>
        <w:tc>
          <w:tcPr>
            <w:tcW w:w="80" w:type="dxa"/>
            <w:vAlign w:val="bottom"/>
            <w:shd w:val="clear" w:color="auto" w:fill="EAEAEA"/>
          </w:tcPr>
          <w:p>
            <w:pPr>
              <w:spacing w:after="0"/>
              <w:rPr>
                <w:sz w:val="7"/>
                <w:szCs w:val="7"/>
                <w:color w:val="auto"/>
              </w:rPr>
            </w:pPr>
          </w:p>
        </w:tc>
        <w:tc>
          <w:tcPr>
            <w:tcW w:w="800" w:type="dxa"/>
            <w:vAlign w:val="bottom"/>
            <w:vMerge w:val="restart"/>
            <w:shd w:val="clear" w:color="auto" w:fill="EAEAEA"/>
          </w:tcPr>
          <w:p>
            <w:pPr>
              <w:jc w:val="right"/>
              <w:ind w:right="104"/>
              <w:spacing w:after="0"/>
              <w:rPr>
                <w:sz w:val="20"/>
                <w:szCs w:val="20"/>
                <w:color w:val="auto"/>
              </w:rPr>
            </w:pPr>
            <w:r>
              <w:rPr>
                <w:rFonts w:ascii="Arial" w:cs="Arial" w:eastAsia="Arial" w:hAnsi="Arial"/>
                <w:sz w:val="16"/>
                <w:szCs w:val="16"/>
                <w:color w:val="auto"/>
                <w:w w:val="84"/>
              </w:rPr>
              <w:t>1,851,447</w:t>
            </w:r>
          </w:p>
        </w:tc>
        <w:tc>
          <w:tcPr>
            <w:tcW w:w="880" w:type="dxa"/>
            <w:vAlign w:val="bottom"/>
            <w:vMerge w:val="restart"/>
          </w:tcPr>
          <w:p>
            <w:pPr>
              <w:jc w:val="right"/>
              <w:ind w:right="103"/>
              <w:spacing w:after="0"/>
              <w:rPr>
                <w:sz w:val="20"/>
                <w:szCs w:val="20"/>
                <w:color w:val="auto"/>
              </w:rPr>
            </w:pPr>
            <w:r>
              <w:rPr>
                <w:rFonts w:ascii="Arial" w:cs="Arial" w:eastAsia="Arial" w:hAnsi="Arial"/>
                <w:sz w:val="16"/>
                <w:szCs w:val="16"/>
                <w:color w:val="auto"/>
              </w:rPr>
              <w:t>621,295</w:t>
            </w:r>
          </w:p>
        </w:tc>
        <w:tc>
          <w:tcPr>
            <w:tcW w:w="100" w:type="dxa"/>
            <w:vAlign w:val="bottom"/>
            <w:shd w:val="clear" w:color="auto" w:fill="EAEAEA"/>
          </w:tcPr>
          <w:p>
            <w:pPr>
              <w:spacing w:after="0"/>
              <w:rPr>
                <w:sz w:val="7"/>
                <w:szCs w:val="7"/>
                <w:color w:val="auto"/>
              </w:rPr>
            </w:pPr>
          </w:p>
        </w:tc>
        <w:tc>
          <w:tcPr>
            <w:tcW w:w="1100" w:type="dxa"/>
            <w:vAlign w:val="bottom"/>
            <w:vMerge w:val="restart"/>
            <w:shd w:val="clear" w:color="auto" w:fill="EAEAEA"/>
          </w:tcPr>
          <w:p>
            <w:pPr>
              <w:jc w:val="right"/>
              <w:ind w:right="103"/>
              <w:spacing w:after="0"/>
              <w:rPr>
                <w:sz w:val="20"/>
                <w:szCs w:val="20"/>
                <w:color w:val="auto"/>
              </w:rPr>
            </w:pPr>
            <w:r>
              <w:rPr>
                <w:rFonts w:ascii="Arial" w:cs="Arial" w:eastAsia="Arial" w:hAnsi="Arial"/>
                <w:sz w:val="16"/>
                <w:szCs w:val="16"/>
                <w:color w:val="auto"/>
              </w:rPr>
              <w:t>523,413</w:t>
            </w:r>
          </w:p>
        </w:tc>
        <w:tc>
          <w:tcPr>
            <w:tcW w:w="1200" w:type="dxa"/>
            <w:vAlign w:val="bottom"/>
            <w:vMerge w:val="restart"/>
          </w:tcPr>
          <w:p>
            <w:pPr>
              <w:jc w:val="right"/>
              <w:ind w:right="103"/>
              <w:spacing w:after="0"/>
              <w:rPr>
                <w:sz w:val="20"/>
                <w:szCs w:val="20"/>
                <w:color w:val="auto"/>
              </w:rPr>
            </w:pPr>
            <w:r>
              <w:rPr>
                <w:rFonts w:ascii="Arial" w:cs="Arial" w:eastAsia="Arial" w:hAnsi="Arial"/>
                <w:sz w:val="16"/>
                <w:szCs w:val="16"/>
                <w:color w:val="auto"/>
              </w:rPr>
              <w:t>153,136</w:t>
            </w:r>
          </w:p>
        </w:tc>
        <w:tc>
          <w:tcPr>
            <w:tcW w:w="80" w:type="dxa"/>
            <w:vAlign w:val="bottom"/>
            <w:shd w:val="clear" w:color="auto" w:fill="EAEAEA"/>
          </w:tcPr>
          <w:p>
            <w:pPr>
              <w:spacing w:after="0"/>
              <w:rPr>
                <w:sz w:val="7"/>
                <w:szCs w:val="7"/>
                <w:color w:val="auto"/>
              </w:rPr>
            </w:pPr>
          </w:p>
        </w:tc>
        <w:tc>
          <w:tcPr>
            <w:tcW w:w="880" w:type="dxa"/>
            <w:vAlign w:val="bottom"/>
            <w:vMerge w:val="restart"/>
            <w:shd w:val="clear" w:color="auto" w:fill="EAEAEA"/>
          </w:tcPr>
          <w:p>
            <w:pPr>
              <w:jc w:val="right"/>
              <w:ind w:right="103"/>
              <w:spacing w:after="0"/>
              <w:rPr>
                <w:sz w:val="20"/>
                <w:szCs w:val="20"/>
                <w:color w:val="auto"/>
              </w:rPr>
            </w:pPr>
            <w:r>
              <w:rPr>
                <w:rFonts w:ascii="Arial" w:cs="Arial" w:eastAsia="Arial" w:hAnsi="Arial"/>
                <w:sz w:val="16"/>
                <w:szCs w:val="16"/>
                <w:color w:val="auto"/>
                <w:w w:val="95"/>
              </w:rPr>
              <w:t>3,714,676</w:t>
            </w:r>
          </w:p>
        </w:tc>
        <w:tc>
          <w:tcPr>
            <w:tcW w:w="0" w:type="dxa"/>
            <w:vAlign w:val="bottom"/>
          </w:tcPr>
          <w:p>
            <w:pPr>
              <w:spacing w:after="0"/>
              <w:rPr>
                <w:sz w:val="1"/>
                <w:szCs w:val="1"/>
                <w:color w:val="auto"/>
              </w:rPr>
            </w:pPr>
          </w:p>
        </w:tc>
      </w:tr>
      <w:tr>
        <w:trPr>
          <w:trHeight w:val="108"/>
        </w:trPr>
        <w:tc>
          <w:tcPr>
            <w:tcW w:w="3120" w:type="dxa"/>
            <w:vAlign w:val="bottom"/>
            <w:vMerge w:val="restart"/>
          </w:tcPr>
          <w:p>
            <w:pPr>
              <w:ind w:left="60"/>
              <w:spacing w:after="0" w:line="179" w:lineRule="exact"/>
              <w:rPr>
                <w:sz w:val="20"/>
                <w:szCs w:val="20"/>
                <w:color w:val="auto"/>
              </w:rPr>
            </w:pPr>
            <w:r>
              <w:rPr>
                <w:rFonts w:ascii="Arial" w:cs="Arial" w:eastAsia="Arial" w:hAnsi="Arial"/>
                <w:sz w:val="16"/>
                <w:szCs w:val="16"/>
                <w:color w:val="auto"/>
              </w:rPr>
              <w:t>Finance and Chief</w:t>
            </w:r>
          </w:p>
        </w:tc>
        <w:tc>
          <w:tcPr>
            <w:tcW w:w="80" w:type="dxa"/>
            <w:vAlign w:val="bottom"/>
            <w:shd w:val="clear" w:color="auto" w:fill="EAEAEA"/>
          </w:tcPr>
          <w:p>
            <w:pPr>
              <w:spacing w:after="0"/>
              <w:rPr>
                <w:sz w:val="9"/>
                <w:szCs w:val="9"/>
                <w:color w:val="auto"/>
              </w:rPr>
            </w:pPr>
          </w:p>
        </w:tc>
        <w:tc>
          <w:tcPr>
            <w:tcW w:w="560" w:type="dxa"/>
            <w:vAlign w:val="bottom"/>
            <w:vMerge w:val="continue"/>
            <w:shd w:val="clear" w:color="auto" w:fill="EAEAEA"/>
          </w:tcPr>
          <w:p>
            <w:pPr>
              <w:spacing w:after="0"/>
              <w:rPr>
                <w:sz w:val="9"/>
                <w:szCs w:val="9"/>
                <w:color w:val="auto"/>
              </w:rPr>
            </w:pPr>
          </w:p>
        </w:tc>
        <w:tc>
          <w:tcPr>
            <w:tcW w:w="880" w:type="dxa"/>
            <w:vAlign w:val="bottom"/>
            <w:vMerge w:val="continue"/>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800" w:type="dxa"/>
            <w:vAlign w:val="bottom"/>
            <w:vMerge w:val="continue"/>
            <w:shd w:val="clear" w:color="auto" w:fill="EAEAEA"/>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shd w:val="clear" w:color="auto" w:fill="EAEAEA"/>
          </w:tcPr>
          <w:p>
            <w:pPr>
              <w:spacing w:after="0"/>
              <w:rPr>
                <w:sz w:val="9"/>
                <w:szCs w:val="9"/>
                <w:color w:val="auto"/>
              </w:rPr>
            </w:pPr>
          </w:p>
        </w:tc>
        <w:tc>
          <w:tcPr>
            <w:tcW w:w="1100" w:type="dxa"/>
            <w:vAlign w:val="bottom"/>
            <w:vMerge w:val="continue"/>
            <w:shd w:val="clear" w:color="auto" w:fill="EAEAEA"/>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88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3120" w:type="dxa"/>
            <w:vAlign w:val="bottom"/>
            <w:vMerge w:val="continue"/>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56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0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shd w:val="clear" w:color="auto" w:fill="EAEAEA"/>
          </w:tcPr>
          <w:p>
            <w:pPr>
              <w:spacing w:after="0"/>
              <w:rPr>
                <w:sz w:val="6"/>
                <w:szCs w:val="6"/>
                <w:color w:val="auto"/>
              </w:rPr>
            </w:pPr>
          </w:p>
        </w:tc>
        <w:tc>
          <w:tcPr>
            <w:tcW w:w="1100" w:type="dxa"/>
            <w:vAlign w:val="bottom"/>
            <w:tcBorders>
              <w:bottom w:val="single" w:sz="8" w:color="auto"/>
            </w:tcBorders>
            <w:shd w:val="clear" w:color="auto" w:fill="EAEAEA"/>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60"/>
              <w:spacing w:after="0"/>
              <w:rPr>
                <w:sz w:val="20"/>
                <w:szCs w:val="20"/>
                <w:color w:val="auto"/>
              </w:rPr>
            </w:pPr>
            <w:r>
              <w:rPr>
                <w:rFonts w:ascii="Arial" w:cs="Arial" w:eastAsia="Arial" w:hAnsi="Arial"/>
                <w:sz w:val="16"/>
                <w:szCs w:val="16"/>
                <w:color w:val="auto"/>
              </w:rPr>
              <w:t>Financial Officer</w:t>
            </w:r>
          </w:p>
        </w:tc>
        <w:tc>
          <w:tcPr>
            <w:tcW w:w="80" w:type="dxa"/>
            <w:vAlign w:val="bottom"/>
            <w:shd w:val="clear" w:color="auto" w:fill="EAEAEA"/>
          </w:tcPr>
          <w:p>
            <w:pPr>
              <w:spacing w:after="0"/>
              <w:rPr>
                <w:sz w:val="16"/>
                <w:szCs w:val="16"/>
                <w:color w:val="auto"/>
              </w:rPr>
            </w:pPr>
          </w:p>
        </w:tc>
        <w:tc>
          <w:tcPr>
            <w:tcW w:w="560" w:type="dxa"/>
            <w:vAlign w:val="bottom"/>
            <w:shd w:val="clear" w:color="auto" w:fill="EAEAEA"/>
          </w:tcPr>
          <w:p>
            <w:pPr>
              <w:jc w:val="right"/>
              <w:ind w:right="103"/>
              <w:spacing w:after="0"/>
              <w:rPr>
                <w:sz w:val="20"/>
                <w:szCs w:val="20"/>
                <w:color w:val="auto"/>
              </w:rPr>
            </w:pPr>
            <w:r>
              <w:rPr>
                <w:rFonts w:ascii="Arial" w:cs="Arial" w:eastAsia="Arial" w:hAnsi="Arial"/>
                <w:sz w:val="16"/>
                <w:szCs w:val="16"/>
                <w:color w:val="auto"/>
              </w:rPr>
              <w:t>2018</w:t>
            </w: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571,154</w:t>
            </w:r>
          </w:p>
        </w:tc>
        <w:tc>
          <w:tcPr>
            <w:tcW w:w="80" w:type="dxa"/>
            <w:vAlign w:val="bottom"/>
            <w:shd w:val="clear" w:color="auto" w:fill="EAEAEA"/>
          </w:tcPr>
          <w:p>
            <w:pPr>
              <w:spacing w:after="0"/>
              <w:rPr>
                <w:sz w:val="16"/>
                <w:szCs w:val="16"/>
                <w:color w:val="auto"/>
              </w:rPr>
            </w:pPr>
          </w:p>
        </w:tc>
        <w:tc>
          <w:tcPr>
            <w:tcW w:w="800" w:type="dxa"/>
            <w:vAlign w:val="bottom"/>
            <w:shd w:val="clear" w:color="auto" w:fill="EAEAEA"/>
          </w:tcPr>
          <w:p>
            <w:pPr>
              <w:jc w:val="right"/>
              <w:ind w:right="104"/>
              <w:spacing w:after="0"/>
              <w:rPr>
                <w:sz w:val="20"/>
                <w:szCs w:val="20"/>
                <w:color w:val="auto"/>
              </w:rPr>
            </w:pPr>
            <w:r>
              <w:rPr>
                <w:rFonts w:ascii="Arial" w:cs="Arial" w:eastAsia="Arial" w:hAnsi="Arial"/>
                <w:sz w:val="16"/>
                <w:szCs w:val="16"/>
                <w:color w:val="auto"/>
                <w:w w:val="84"/>
              </w:rPr>
              <w:t>1,555,801</w:t>
            </w: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724,429</w:t>
            </w:r>
          </w:p>
        </w:tc>
        <w:tc>
          <w:tcPr>
            <w:tcW w:w="100" w:type="dxa"/>
            <w:vAlign w:val="bottom"/>
            <w:shd w:val="clear" w:color="auto" w:fill="EAEAEA"/>
          </w:tcPr>
          <w:p>
            <w:pPr>
              <w:spacing w:after="0"/>
              <w:rPr>
                <w:sz w:val="16"/>
                <w:szCs w:val="16"/>
                <w:color w:val="auto"/>
              </w:rPr>
            </w:pPr>
          </w:p>
        </w:tc>
        <w:tc>
          <w:tcPr>
            <w:tcW w:w="1100" w:type="dxa"/>
            <w:vAlign w:val="bottom"/>
            <w:shd w:val="clear" w:color="auto" w:fill="EAEAEA"/>
          </w:tcPr>
          <w:p>
            <w:pPr>
              <w:jc w:val="right"/>
              <w:ind w:right="103"/>
              <w:spacing w:after="0"/>
              <w:rPr>
                <w:sz w:val="20"/>
                <w:szCs w:val="20"/>
                <w:color w:val="auto"/>
              </w:rPr>
            </w:pPr>
            <w:r>
              <w:rPr>
                <w:rFonts w:ascii="Arial" w:cs="Arial" w:eastAsia="Arial" w:hAnsi="Arial"/>
                <w:sz w:val="16"/>
                <w:szCs w:val="16"/>
                <w:color w:val="auto"/>
              </w:rPr>
              <w:t>1,040,769</w:t>
            </w: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92,608</w:t>
            </w:r>
          </w:p>
        </w:tc>
        <w:tc>
          <w:tcPr>
            <w:tcW w:w="80" w:type="dxa"/>
            <w:vAlign w:val="bottom"/>
            <w:shd w:val="clear" w:color="auto" w:fill="EAEAEA"/>
          </w:tcPr>
          <w:p>
            <w:pPr>
              <w:spacing w:after="0"/>
              <w:rPr>
                <w:sz w:val="16"/>
                <w:szCs w:val="16"/>
                <w:color w:val="auto"/>
              </w:rPr>
            </w:pPr>
          </w:p>
        </w:tc>
        <w:tc>
          <w:tcPr>
            <w:tcW w:w="880" w:type="dxa"/>
            <w:vAlign w:val="bottom"/>
            <w:shd w:val="clear" w:color="auto" w:fill="EAEAEA"/>
          </w:tcPr>
          <w:p>
            <w:pPr>
              <w:jc w:val="right"/>
              <w:ind w:right="103"/>
              <w:spacing w:after="0"/>
              <w:rPr>
                <w:sz w:val="20"/>
                <w:szCs w:val="20"/>
                <w:color w:val="auto"/>
              </w:rPr>
            </w:pPr>
            <w:r>
              <w:rPr>
                <w:rFonts w:ascii="Arial" w:cs="Arial" w:eastAsia="Arial" w:hAnsi="Arial"/>
                <w:sz w:val="16"/>
                <w:szCs w:val="16"/>
                <w:color w:val="auto"/>
                <w:w w:val="95"/>
              </w:rPr>
              <w:t>3,984,761</w:t>
            </w:r>
          </w:p>
        </w:tc>
        <w:tc>
          <w:tcPr>
            <w:tcW w:w="0" w:type="dxa"/>
            <w:vAlign w:val="bottom"/>
          </w:tcPr>
          <w:p>
            <w:pPr>
              <w:spacing w:after="0"/>
              <w:rPr>
                <w:sz w:val="1"/>
                <w:szCs w:val="1"/>
                <w:color w:val="auto"/>
              </w:rPr>
            </w:pPr>
          </w:p>
        </w:tc>
      </w:tr>
      <w:tr>
        <w:trPr>
          <w:trHeight w:val="71"/>
        </w:trPr>
        <w:tc>
          <w:tcPr>
            <w:tcW w:w="3120" w:type="dxa"/>
            <w:vAlign w:val="bottom"/>
            <w:tcBorders>
              <w:bottom w:val="single" w:sz="8" w:color="0066BA"/>
            </w:tcBorders>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56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80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tcPr>
          <w:p>
            <w:pPr>
              <w:spacing w:after="0"/>
              <w:rPr>
                <w:sz w:val="6"/>
                <w:szCs w:val="6"/>
                <w:color w:val="auto"/>
              </w:rPr>
            </w:pPr>
          </w:p>
        </w:tc>
        <w:tc>
          <w:tcPr>
            <w:tcW w:w="100" w:type="dxa"/>
            <w:vAlign w:val="bottom"/>
            <w:tcBorders>
              <w:bottom w:val="single" w:sz="8" w:color="0066BA"/>
            </w:tcBorders>
            <w:shd w:val="clear" w:color="auto" w:fill="EAEAEA"/>
          </w:tcPr>
          <w:p>
            <w:pPr>
              <w:spacing w:after="0"/>
              <w:rPr>
                <w:sz w:val="6"/>
                <w:szCs w:val="6"/>
                <w:color w:val="auto"/>
              </w:rPr>
            </w:pPr>
          </w:p>
        </w:tc>
        <w:tc>
          <w:tcPr>
            <w:tcW w:w="1100" w:type="dxa"/>
            <w:vAlign w:val="bottom"/>
            <w:tcBorders>
              <w:bottom w:val="single" w:sz="8" w:color="0066BA"/>
            </w:tcBorders>
            <w:shd w:val="clear" w:color="auto" w:fill="EAEAEA"/>
          </w:tcPr>
          <w:p>
            <w:pPr>
              <w:spacing w:after="0"/>
              <w:rPr>
                <w:sz w:val="6"/>
                <w:szCs w:val="6"/>
                <w:color w:val="auto"/>
              </w:rPr>
            </w:pPr>
          </w:p>
        </w:tc>
        <w:tc>
          <w:tcPr>
            <w:tcW w:w="1200" w:type="dxa"/>
            <w:vAlign w:val="bottom"/>
            <w:tcBorders>
              <w:bottom w:val="single" w:sz="8" w:color="0066BA"/>
            </w:tcBorders>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120" w:type="dxa"/>
            <w:vAlign w:val="bottom"/>
          </w:tcPr>
          <w:p>
            <w:pPr>
              <w:ind w:left="60"/>
              <w:spacing w:after="0"/>
              <w:rPr>
                <w:sz w:val="20"/>
                <w:szCs w:val="20"/>
                <w:color w:val="auto"/>
              </w:rPr>
            </w:pPr>
            <w:r>
              <w:rPr>
                <w:rFonts w:ascii="Arial" w:cs="Arial" w:eastAsia="Arial" w:hAnsi="Arial"/>
                <w:sz w:val="16"/>
                <w:szCs w:val="16"/>
                <w:b w:val="1"/>
                <w:bCs w:val="1"/>
                <w:color w:val="0066BA"/>
              </w:rPr>
              <w:t>Martin Cotter</w:t>
            </w:r>
          </w:p>
        </w:tc>
        <w:tc>
          <w:tcPr>
            <w:tcW w:w="640" w:type="dxa"/>
            <w:vAlign w:val="bottom"/>
            <w:gridSpan w:val="2"/>
            <w:shd w:val="clear" w:color="auto" w:fill="EAEAEA"/>
          </w:tcPr>
          <w:p>
            <w:pPr>
              <w:jc w:val="right"/>
              <w:ind w:right="103"/>
              <w:spacing w:after="0"/>
              <w:rPr>
                <w:sz w:val="20"/>
                <w:szCs w:val="20"/>
                <w:color w:val="auto"/>
              </w:rPr>
            </w:pPr>
            <w:r>
              <w:rPr>
                <w:rFonts w:ascii="Arial" w:cs="Arial" w:eastAsia="Arial" w:hAnsi="Arial"/>
                <w:sz w:val="16"/>
                <w:szCs w:val="16"/>
                <w:color w:val="auto"/>
              </w:rPr>
              <w:t>2020</w:t>
            </w: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460,000</w:t>
            </w:r>
          </w:p>
        </w:tc>
        <w:tc>
          <w:tcPr>
            <w:tcW w:w="880" w:type="dxa"/>
            <w:vAlign w:val="bottom"/>
            <w:gridSpan w:val="2"/>
            <w:shd w:val="clear" w:color="auto" w:fill="EAEAEA"/>
          </w:tcPr>
          <w:p>
            <w:pPr>
              <w:jc w:val="right"/>
              <w:ind w:right="104"/>
              <w:spacing w:after="0"/>
              <w:rPr>
                <w:sz w:val="20"/>
                <w:szCs w:val="20"/>
                <w:color w:val="auto"/>
              </w:rPr>
            </w:pPr>
            <w:r>
              <w:rPr>
                <w:rFonts w:ascii="Arial" w:cs="Arial" w:eastAsia="Arial" w:hAnsi="Arial"/>
                <w:sz w:val="16"/>
                <w:szCs w:val="16"/>
                <w:color w:val="auto"/>
                <w:w w:val="95"/>
              </w:rPr>
              <w:t>1,351,289</w:t>
            </w: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447,305</w:t>
            </w:r>
          </w:p>
        </w:tc>
        <w:tc>
          <w:tcPr>
            <w:tcW w:w="1200" w:type="dxa"/>
            <w:vAlign w:val="bottom"/>
            <w:gridSpan w:val="2"/>
            <w:shd w:val="clear" w:color="auto" w:fill="EAEAEA"/>
          </w:tcPr>
          <w:p>
            <w:pPr>
              <w:jc w:val="right"/>
              <w:ind w:right="103"/>
              <w:spacing w:after="0"/>
              <w:rPr>
                <w:sz w:val="20"/>
                <w:szCs w:val="20"/>
                <w:color w:val="auto"/>
              </w:rPr>
            </w:pPr>
            <w:r>
              <w:rPr>
                <w:rFonts w:ascii="Arial" w:cs="Arial" w:eastAsia="Arial" w:hAnsi="Arial"/>
                <w:sz w:val="16"/>
                <w:szCs w:val="16"/>
                <w:color w:val="auto"/>
              </w:rPr>
              <w:t>358,977</w:t>
            </w: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36,800</w:t>
            </w:r>
          </w:p>
        </w:tc>
        <w:tc>
          <w:tcPr>
            <w:tcW w:w="960" w:type="dxa"/>
            <w:vAlign w:val="bottom"/>
            <w:gridSpan w:val="2"/>
            <w:shd w:val="clear" w:color="auto" w:fill="EAEAEA"/>
          </w:tcPr>
          <w:p>
            <w:pPr>
              <w:jc w:val="right"/>
              <w:ind w:right="103"/>
              <w:spacing w:after="0"/>
              <w:rPr>
                <w:sz w:val="20"/>
                <w:szCs w:val="20"/>
                <w:color w:val="auto"/>
              </w:rPr>
            </w:pPr>
            <w:r>
              <w:rPr>
                <w:rFonts w:ascii="Arial" w:cs="Arial" w:eastAsia="Arial" w:hAnsi="Arial"/>
                <w:sz w:val="16"/>
                <w:szCs w:val="16"/>
                <w:color w:val="auto"/>
              </w:rPr>
              <w:t>2,654,371</w:t>
            </w:r>
          </w:p>
        </w:tc>
        <w:tc>
          <w:tcPr>
            <w:tcW w:w="0" w:type="dxa"/>
            <w:vAlign w:val="bottom"/>
          </w:tcPr>
          <w:p>
            <w:pPr>
              <w:spacing w:after="0"/>
              <w:rPr>
                <w:sz w:val="1"/>
                <w:szCs w:val="1"/>
                <w:color w:val="auto"/>
              </w:rPr>
            </w:pPr>
          </w:p>
        </w:tc>
      </w:tr>
      <w:tr>
        <w:trPr>
          <w:trHeight w:val="88"/>
        </w:trPr>
        <w:tc>
          <w:tcPr>
            <w:tcW w:w="3120" w:type="dxa"/>
            <w:vAlign w:val="bottom"/>
            <w:vMerge w:val="restart"/>
          </w:tcPr>
          <w:p>
            <w:pPr>
              <w:ind w:left="60"/>
              <w:spacing w:after="0"/>
              <w:rPr>
                <w:sz w:val="20"/>
                <w:szCs w:val="20"/>
                <w:color w:val="auto"/>
              </w:rPr>
            </w:pPr>
            <w:r>
              <w:rPr>
                <w:rFonts w:ascii="Arial" w:cs="Arial" w:eastAsia="Arial" w:hAnsi="Arial"/>
                <w:sz w:val="16"/>
                <w:szCs w:val="16"/>
                <w:color w:val="auto"/>
              </w:rPr>
              <w:t>Senior Vice President,</w:t>
            </w:r>
          </w:p>
        </w:tc>
        <w:tc>
          <w:tcPr>
            <w:tcW w:w="80" w:type="dxa"/>
            <w:vAlign w:val="bottom"/>
            <w:tcBorders>
              <w:bottom w:val="single" w:sz="8" w:color="auto"/>
            </w:tcBorders>
            <w:shd w:val="clear" w:color="auto" w:fill="EAEAEA"/>
          </w:tcPr>
          <w:p>
            <w:pPr>
              <w:spacing w:after="0"/>
              <w:rPr>
                <w:sz w:val="7"/>
                <w:szCs w:val="7"/>
                <w:color w:val="auto"/>
              </w:rPr>
            </w:pPr>
          </w:p>
        </w:tc>
        <w:tc>
          <w:tcPr>
            <w:tcW w:w="560" w:type="dxa"/>
            <w:vAlign w:val="bottom"/>
            <w:tcBorders>
              <w:bottom w:val="single" w:sz="8" w:color="auto"/>
            </w:tcBorders>
            <w:shd w:val="clear" w:color="auto" w:fill="EAEAEA"/>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shd w:val="clear" w:color="auto" w:fill="EAEAEA"/>
          </w:tcPr>
          <w:p>
            <w:pPr>
              <w:spacing w:after="0"/>
              <w:rPr>
                <w:sz w:val="7"/>
                <w:szCs w:val="7"/>
                <w:color w:val="auto"/>
              </w:rPr>
            </w:pPr>
          </w:p>
        </w:tc>
        <w:tc>
          <w:tcPr>
            <w:tcW w:w="800" w:type="dxa"/>
            <w:vAlign w:val="bottom"/>
            <w:tcBorders>
              <w:bottom w:val="single" w:sz="8" w:color="auto"/>
            </w:tcBorders>
            <w:shd w:val="clear" w:color="auto" w:fill="EAEAEA"/>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shd w:val="clear" w:color="auto" w:fill="EAEAEA"/>
          </w:tcPr>
          <w:p>
            <w:pPr>
              <w:spacing w:after="0"/>
              <w:rPr>
                <w:sz w:val="7"/>
                <w:szCs w:val="7"/>
                <w:color w:val="auto"/>
              </w:rPr>
            </w:pPr>
          </w:p>
        </w:tc>
        <w:tc>
          <w:tcPr>
            <w:tcW w:w="1100" w:type="dxa"/>
            <w:vAlign w:val="bottom"/>
            <w:tcBorders>
              <w:bottom w:val="single" w:sz="8" w:color="auto"/>
            </w:tcBorders>
            <w:shd w:val="clear" w:color="auto" w:fill="EAEAEA"/>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shd w:val="clear" w:color="auto" w:fill="EAEAEA"/>
          </w:tcPr>
          <w:p>
            <w:pPr>
              <w:spacing w:after="0"/>
              <w:rPr>
                <w:sz w:val="7"/>
                <w:szCs w:val="7"/>
                <w:color w:val="auto"/>
              </w:rPr>
            </w:pPr>
          </w:p>
        </w:tc>
        <w:tc>
          <w:tcPr>
            <w:tcW w:w="880" w:type="dxa"/>
            <w:vAlign w:val="bottom"/>
            <w:tcBorders>
              <w:bottom w:val="single" w:sz="8" w:color="auto"/>
            </w:tcBorders>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120" w:type="dxa"/>
            <w:vAlign w:val="bottom"/>
            <w:vMerge w:val="continue"/>
          </w:tcPr>
          <w:p>
            <w:pPr>
              <w:spacing w:after="0"/>
              <w:rPr>
                <w:sz w:val="7"/>
                <w:szCs w:val="7"/>
                <w:color w:val="auto"/>
              </w:rPr>
            </w:pPr>
          </w:p>
        </w:tc>
        <w:tc>
          <w:tcPr>
            <w:tcW w:w="80" w:type="dxa"/>
            <w:vAlign w:val="bottom"/>
            <w:shd w:val="clear" w:color="auto" w:fill="EAEAEA"/>
          </w:tcPr>
          <w:p>
            <w:pPr>
              <w:spacing w:after="0"/>
              <w:rPr>
                <w:sz w:val="7"/>
                <w:szCs w:val="7"/>
                <w:color w:val="auto"/>
              </w:rPr>
            </w:pPr>
          </w:p>
        </w:tc>
        <w:tc>
          <w:tcPr>
            <w:tcW w:w="560" w:type="dxa"/>
            <w:vAlign w:val="bottom"/>
            <w:vMerge w:val="restart"/>
            <w:shd w:val="clear" w:color="auto" w:fill="EAEAEA"/>
          </w:tcPr>
          <w:p>
            <w:pPr>
              <w:jc w:val="right"/>
              <w:ind w:right="103"/>
              <w:spacing w:after="0"/>
              <w:rPr>
                <w:sz w:val="20"/>
                <w:szCs w:val="20"/>
                <w:color w:val="auto"/>
              </w:rPr>
            </w:pPr>
            <w:r>
              <w:rPr>
                <w:rFonts w:ascii="Arial" w:cs="Arial" w:eastAsia="Arial" w:hAnsi="Arial"/>
                <w:sz w:val="16"/>
                <w:szCs w:val="16"/>
                <w:color w:val="auto"/>
              </w:rPr>
              <w:t>2019</w:t>
            </w:r>
          </w:p>
        </w:tc>
        <w:tc>
          <w:tcPr>
            <w:tcW w:w="880" w:type="dxa"/>
            <w:vAlign w:val="bottom"/>
            <w:vMerge w:val="restart"/>
          </w:tcPr>
          <w:p>
            <w:pPr>
              <w:jc w:val="right"/>
              <w:ind w:right="103"/>
              <w:spacing w:after="0"/>
              <w:rPr>
                <w:sz w:val="20"/>
                <w:szCs w:val="20"/>
                <w:color w:val="auto"/>
              </w:rPr>
            </w:pPr>
            <w:r>
              <w:rPr>
                <w:rFonts w:ascii="Arial" w:cs="Arial" w:eastAsia="Arial" w:hAnsi="Arial"/>
                <w:sz w:val="16"/>
                <w:szCs w:val="16"/>
                <w:color w:val="auto"/>
              </w:rPr>
              <w:t>456,154</w:t>
            </w:r>
          </w:p>
        </w:tc>
        <w:tc>
          <w:tcPr>
            <w:tcW w:w="80" w:type="dxa"/>
            <w:vAlign w:val="bottom"/>
            <w:shd w:val="clear" w:color="auto" w:fill="EAEAEA"/>
          </w:tcPr>
          <w:p>
            <w:pPr>
              <w:spacing w:after="0"/>
              <w:rPr>
                <w:sz w:val="7"/>
                <w:szCs w:val="7"/>
                <w:color w:val="auto"/>
              </w:rPr>
            </w:pPr>
          </w:p>
        </w:tc>
        <w:tc>
          <w:tcPr>
            <w:tcW w:w="800" w:type="dxa"/>
            <w:vAlign w:val="bottom"/>
            <w:vMerge w:val="restart"/>
            <w:shd w:val="clear" w:color="auto" w:fill="EAEAEA"/>
          </w:tcPr>
          <w:p>
            <w:pPr>
              <w:jc w:val="right"/>
              <w:ind w:right="104"/>
              <w:spacing w:after="0"/>
              <w:rPr>
                <w:sz w:val="20"/>
                <w:szCs w:val="20"/>
                <w:color w:val="auto"/>
              </w:rPr>
            </w:pPr>
            <w:r>
              <w:rPr>
                <w:rFonts w:ascii="Arial" w:cs="Arial" w:eastAsia="Arial" w:hAnsi="Arial"/>
                <w:sz w:val="16"/>
                <w:szCs w:val="16"/>
                <w:color w:val="auto"/>
                <w:w w:val="84"/>
              </w:rPr>
              <w:t>1,178,980</w:t>
            </w:r>
          </w:p>
        </w:tc>
        <w:tc>
          <w:tcPr>
            <w:tcW w:w="880" w:type="dxa"/>
            <w:vAlign w:val="bottom"/>
            <w:vMerge w:val="restart"/>
          </w:tcPr>
          <w:p>
            <w:pPr>
              <w:jc w:val="right"/>
              <w:ind w:right="103"/>
              <w:spacing w:after="0"/>
              <w:rPr>
                <w:sz w:val="20"/>
                <w:szCs w:val="20"/>
                <w:color w:val="auto"/>
              </w:rPr>
            </w:pPr>
            <w:r>
              <w:rPr>
                <w:rFonts w:ascii="Arial" w:cs="Arial" w:eastAsia="Arial" w:hAnsi="Arial"/>
                <w:sz w:val="16"/>
                <w:szCs w:val="16"/>
                <w:color w:val="auto"/>
              </w:rPr>
              <w:t>408,592</w:t>
            </w:r>
          </w:p>
        </w:tc>
        <w:tc>
          <w:tcPr>
            <w:tcW w:w="100" w:type="dxa"/>
            <w:vAlign w:val="bottom"/>
            <w:shd w:val="clear" w:color="auto" w:fill="EAEAEA"/>
          </w:tcPr>
          <w:p>
            <w:pPr>
              <w:spacing w:after="0"/>
              <w:rPr>
                <w:sz w:val="7"/>
                <w:szCs w:val="7"/>
                <w:color w:val="auto"/>
              </w:rPr>
            </w:pPr>
          </w:p>
        </w:tc>
        <w:tc>
          <w:tcPr>
            <w:tcW w:w="1100" w:type="dxa"/>
            <w:vAlign w:val="bottom"/>
            <w:vMerge w:val="restart"/>
            <w:shd w:val="clear" w:color="auto" w:fill="EAEAEA"/>
          </w:tcPr>
          <w:p>
            <w:pPr>
              <w:jc w:val="right"/>
              <w:ind w:right="103"/>
              <w:spacing w:after="0"/>
              <w:rPr>
                <w:sz w:val="20"/>
                <w:szCs w:val="20"/>
                <w:color w:val="auto"/>
              </w:rPr>
            </w:pPr>
            <w:r>
              <w:rPr>
                <w:rFonts w:ascii="Arial" w:cs="Arial" w:eastAsia="Arial" w:hAnsi="Arial"/>
                <w:sz w:val="16"/>
                <w:szCs w:val="16"/>
                <w:color w:val="auto"/>
              </w:rPr>
              <w:t>395,809</w:t>
            </w:r>
          </w:p>
        </w:tc>
        <w:tc>
          <w:tcPr>
            <w:tcW w:w="1200" w:type="dxa"/>
            <w:vAlign w:val="bottom"/>
            <w:vMerge w:val="restart"/>
          </w:tcPr>
          <w:p>
            <w:pPr>
              <w:jc w:val="right"/>
              <w:ind w:right="103"/>
              <w:spacing w:after="0"/>
              <w:rPr>
                <w:sz w:val="20"/>
                <w:szCs w:val="20"/>
                <w:color w:val="auto"/>
              </w:rPr>
            </w:pPr>
            <w:r>
              <w:rPr>
                <w:rFonts w:ascii="Arial" w:cs="Arial" w:eastAsia="Arial" w:hAnsi="Arial"/>
                <w:sz w:val="16"/>
                <w:szCs w:val="16"/>
                <w:color w:val="auto"/>
              </w:rPr>
              <w:t>103,098</w:t>
            </w:r>
          </w:p>
        </w:tc>
        <w:tc>
          <w:tcPr>
            <w:tcW w:w="80" w:type="dxa"/>
            <w:vAlign w:val="bottom"/>
            <w:shd w:val="clear" w:color="auto" w:fill="EAEAEA"/>
          </w:tcPr>
          <w:p>
            <w:pPr>
              <w:spacing w:after="0"/>
              <w:rPr>
                <w:sz w:val="7"/>
                <w:szCs w:val="7"/>
                <w:color w:val="auto"/>
              </w:rPr>
            </w:pPr>
          </w:p>
        </w:tc>
        <w:tc>
          <w:tcPr>
            <w:tcW w:w="880" w:type="dxa"/>
            <w:vAlign w:val="bottom"/>
            <w:vMerge w:val="restart"/>
            <w:shd w:val="clear" w:color="auto" w:fill="EAEAEA"/>
          </w:tcPr>
          <w:p>
            <w:pPr>
              <w:jc w:val="right"/>
              <w:ind w:right="103"/>
              <w:spacing w:after="0"/>
              <w:rPr>
                <w:sz w:val="20"/>
                <w:szCs w:val="20"/>
                <w:color w:val="auto"/>
              </w:rPr>
            </w:pPr>
            <w:r>
              <w:rPr>
                <w:rFonts w:ascii="Arial" w:cs="Arial" w:eastAsia="Arial" w:hAnsi="Arial"/>
                <w:sz w:val="16"/>
                <w:szCs w:val="16"/>
                <w:color w:val="auto"/>
                <w:w w:val="95"/>
              </w:rPr>
              <w:t>2,542,633</w:t>
            </w:r>
          </w:p>
        </w:tc>
        <w:tc>
          <w:tcPr>
            <w:tcW w:w="0" w:type="dxa"/>
            <w:vAlign w:val="bottom"/>
          </w:tcPr>
          <w:p>
            <w:pPr>
              <w:spacing w:after="0"/>
              <w:rPr>
                <w:sz w:val="1"/>
                <w:szCs w:val="1"/>
                <w:color w:val="auto"/>
              </w:rPr>
            </w:pPr>
          </w:p>
        </w:tc>
      </w:tr>
      <w:tr>
        <w:trPr>
          <w:trHeight w:val="108"/>
        </w:trPr>
        <w:tc>
          <w:tcPr>
            <w:tcW w:w="3120" w:type="dxa"/>
            <w:vAlign w:val="bottom"/>
            <w:vMerge w:val="restart"/>
          </w:tcPr>
          <w:p>
            <w:pPr>
              <w:ind w:left="60"/>
              <w:spacing w:after="0" w:line="179" w:lineRule="exact"/>
              <w:rPr>
                <w:sz w:val="20"/>
                <w:szCs w:val="20"/>
                <w:color w:val="auto"/>
              </w:rPr>
            </w:pPr>
            <w:r>
              <w:rPr>
                <w:rFonts w:ascii="Arial" w:cs="Arial" w:eastAsia="Arial" w:hAnsi="Arial"/>
                <w:sz w:val="16"/>
                <w:szCs w:val="16"/>
                <w:color w:val="auto"/>
              </w:rPr>
              <w:t>Worldwide Sales &amp;</w:t>
            </w:r>
          </w:p>
        </w:tc>
        <w:tc>
          <w:tcPr>
            <w:tcW w:w="80" w:type="dxa"/>
            <w:vAlign w:val="bottom"/>
            <w:shd w:val="clear" w:color="auto" w:fill="EAEAEA"/>
          </w:tcPr>
          <w:p>
            <w:pPr>
              <w:spacing w:after="0"/>
              <w:rPr>
                <w:sz w:val="9"/>
                <w:szCs w:val="9"/>
                <w:color w:val="auto"/>
              </w:rPr>
            </w:pPr>
          </w:p>
        </w:tc>
        <w:tc>
          <w:tcPr>
            <w:tcW w:w="560" w:type="dxa"/>
            <w:vAlign w:val="bottom"/>
            <w:vMerge w:val="continue"/>
            <w:shd w:val="clear" w:color="auto" w:fill="EAEAEA"/>
          </w:tcPr>
          <w:p>
            <w:pPr>
              <w:spacing w:after="0"/>
              <w:rPr>
                <w:sz w:val="9"/>
                <w:szCs w:val="9"/>
                <w:color w:val="auto"/>
              </w:rPr>
            </w:pPr>
          </w:p>
        </w:tc>
        <w:tc>
          <w:tcPr>
            <w:tcW w:w="880" w:type="dxa"/>
            <w:vAlign w:val="bottom"/>
            <w:vMerge w:val="continue"/>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800" w:type="dxa"/>
            <w:vAlign w:val="bottom"/>
            <w:vMerge w:val="continue"/>
            <w:shd w:val="clear" w:color="auto" w:fill="EAEAEA"/>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shd w:val="clear" w:color="auto" w:fill="EAEAEA"/>
          </w:tcPr>
          <w:p>
            <w:pPr>
              <w:spacing w:after="0"/>
              <w:rPr>
                <w:sz w:val="9"/>
                <w:szCs w:val="9"/>
                <w:color w:val="auto"/>
              </w:rPr>
            </w:pPr>
          </w:p>
        </w:tc>
        <w:tc>
          <w:tcPr>
            <w:tcW w:w="1100" w:type="dxa"/>
            <w:vAlign w:val="bottom"/>
            <w:vMerge w:val="continue"/>
            <w:shd w:val="clear" w:color="auto" w:fill="EAEAEA"/>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88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3120" w:type="dxa"/>
            <w:vAlign w:val="bottom"/>
            <w:vMerge w:val="continue"/>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56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0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shd w:val="clear" w:color="auto" w:fill="EAEAEA"/>
          </w:tcPr>
          <w:p>
            <w:pPr>
              <w:spacing w:after="0"/>
              <w:rPr>
                <w:sz w:val="6"/>
                <w:szCs w:val="6"/>
                <w:color w:val="auto"/>
              </w:rPr>
            </w:pPr>
          </w:p>
        </w:tc>
        <w:tc>
          <w:tcPr>
            <w:tcW w:w="1100" w:type="dxa"/>
            <w:vAlign w:val="bottom"/>
            <w:tcBorders>
              <w:bottom w:val="single" w:sz="8" w:color="auto"/>
            </w:tcBorders>
            <w:shd w:val="clear" w:color="auto" w:fill="EAEAEA"/>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60"/>
              <w:spacing w:after="0"/>
              <w:rPr>
                <w:sz w:val="20"/>
                <w:szCs w:val="20"/>
                <w:color w:val="auto"/>
              </w:rPr>
            </w:pPr>
            <w:r>
              <w:rPr>
                <w:rFonts w:ascii="Arial" w:cs="Arial" w:eastAsia="Arial" w:hAnsi="Arial"/>
                <w:sz w:val="16"/>
                <w:szCs w:val="16"/>
                <w:color w:val="auto"/>
              </w:rPr>
              <w:t>Digital Marketing</w:t>
            </w:r>
          </w:p>
        </w:tc>
        <w:tc>
          <w:tcPr>
            <w:tcW w:w="80" w:type="dxa"/>
            <w:vAlign w:val="bottom"/>
            <w:shd w:val="clear" w:color="auto" w:fill="EAEAEA"/>
          </w:tcPr>
          <w:p>
            <w:pPr>
              <w:spacing w:after="0"/>
              <w:rPr>
                <w:sz w:val="16"/>
                <w:szCs w:val="16"/>
                <w:color w:val="auto"/>
              </w:rPr>
            </w:pPr>
          </w:p>
        </w:tc>
        <w:tc>
          <w:tcPr>
            <w:tcW w:w="560" w:type="dxa"/>
            <w:vAlign w:val="bottom"/>
            <w:shd w:val="clear" w:color="auto" w:fill="EAEAEA"/>
          </w:tcPr>
          <w:p>
            <w:pPr>
              <w:jc w:val="right"/>
              <w:ind w:right="103"/>
              <w:spacing w:after="0"/>
              <w:rPr>
                <w:sz w:val="20"/>
                <w:szCs w:val="20"/>
                <w:color w:val="auto"/>
              </w:rPr>
            </w:pPr>
            <w:r>
              <w:rPr>
                <w:rFonts w:ascii="Arial" w:cs="Arial" w:eastAsia="Arial" w:hAnsi="Arial"/>
                <w:sz w:val="16"/>
                <w:szCs w:val="16"/>
                <w:color w:val="auto"/>
              </w:rPr>
              <w:t>2018</w:t>
            </w: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445,673</w:t>
            </w:r>
          </w:p>
        </w:tc>
        <w:tc>
          <w:tcPr>
            <w:tcW w:w="80" w:type="dxa"/>
            <w:vAlign w:val="bottom"/>
            <w:shd w:val="clear" w:color="auto" w:fill="EAEAEA"/>
          </w:tcPr>
          <w:p>
            <w:pPr>
              <w:spacing w:after="0"/>
              <w:rPr>
                <w:sz w:val="16"/>
                <w:szCs w:val="16"/>
                <w:color w:val="auto"/>
              </w:rPr>
            </w:pPr>
          </w:p>
        </w:tc>
        <w:tc>
          <w:tcPr>
            <w:tcW w:w="800" w:type="dxa"/>
            <w:vAlign w:val="bottom"/>
            <w:shd w:val="clear" w:color="auto" w:fill="EAEAEA"/>
          </w:tcPr>
          <w:p>
            <w:pPr>
              <w:jc w:val="right"/>
              <w:ind w:right="104"/>
              <w:spacing w:after="0"/>
              <w:rPr>
                <w:sz w:val="20"/>
                <w:szCs w:val="20"/>
                <w:color w:val="auto"/>
              </w:rPr>
            </w:pPr>
            <w:r>
              <w:rPr>
                <w:rFonts w:ascii="Arial" w:cs="Arial" w:eastAsia="Arial" w:hAnsi="Arial"/>
                <w:sz w:val="16"/>
                <w:szCs w:val="16"/>
                <w:color w:val="auto"/>
                <w:w w:val="84"/>
              </w:rPr>
              <w:t>1,208,486</w:t>
            </w: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428,088</w:t>
            </w:r>
          </w:p>
        </w:tc>
        <w:tc>
          <w:tcPr>
            <w:tcW w:w="100" w:type="dxa"/>
            <w:vAlign w:val="bottom"/>
            <w:shd w:val="clear" w:color="auto" w:fill="EAEAEA"/>
          </w:tcPr>
          <w:p>
            <w:pPr>
              <w:spacing w:after="0"/>
              <w:rPr>
                <w:sz w:val="16"/>
                <w:szCs w:val="16"/>
                <w:color w:val="auto"/>
              </w:rPr>
            </w:pPr>
          </w:p>
        </w:tc>
        <w:tc>
          <w:tcPr>
            <w:tcW w:w="1100" w:type="dxa"/>
            <w:vAlign w:val="bottom"/>
            <w:shd w:val="clear" w:color="auto" w:fill="EAEAEA"/>
          </w:tcPr>
          <w:p>
            <w:pPr>
              <w:jc w:val="right"/>
              <w:ind w:right="103"/>
              <w:spacing w:after="0"/>
              <w:rPr>
                <w:sz w:val="20"/>
                <w:szCs w:val="20"/>
                <w:color w:val="auto"/>
              </w:rPr>
            </w:pPr>
            <w:r>
              <w:rPr>
                <w:rFonts w:ascii="Arial" w:cs="Arial" w:eastAsia="Arial" w:hAnsi="Arial"/>
                <w:sz w:val="16"/>
                <w:szCs w:val="16"/>
                <w:color w:val="auto"/>
              </w:rPr>
              <w:t>687,348</w:t>
            </w: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108,627</w:t>
            </w:r>
          </w:p>
        </w:tc>
        <w:tc>
          <w:tcPr>
            <w:tcW w:w="80" w:type="dxa"/>
            <w:vAlign w:val="bottom"/>
            <w:shd w:val="clear" w:color="auto" w:fill="EAEAEA"/>
          </w:tcPr>
          <w:p>
            <w:pPr>
              <w:spacing w:after="0"/>
              <w:rPr>
                <w:sz w:val="16"/>
                <w:szCs w:val="16"/>
                <w:color w:val="auto"/>
              </w:rPr>
            </w:pPr>
          </w:p>
        </w:tc>
        <w:tc>
          <w:tcPr>
            <w:tcW w:w="880" w:type="dxa"/>
            <w:vAlign w:val="bottom"/>
            <w:shd w:val="clear" w:color="auto" w:fill="EAEAEA"/>
          </w:tcPr>
          <w:p>
            <w:pPr>
              <w:jc w:val="right"/>
              <w:ind w:right="103"/>
              <w:spacing w:after="0"/>
              <w:rPr>
                <w:sz w:val="20"/>
                <w:szCs w:val="20"/>
                <w:color w:val="auto"/>
              </w:rPr>
            </w:pPr>
            <w:r>
              <w:rPr>
                <w:rFonts w:ascii="Arial" w:cs="Arial" w:eastAsia="Arial" w:hAnsi="Arial"/>
                <w:sz w:val="16"/>
                <w:szCs w:val="16"/>
                <w:color w:val="auto"/>
                <w:w w:val="95"/>
              </w:rPr>
              <w:t>2,878,222</w:t>
            </w:r>
          </w:p>
        </w:tc>
        <w:tc>
          <w:tcPr>
            <w:tcW w:w="0" w:type="dxa"/>
            <w:vAlign w:val="bottom"/>
          </w:tcPr>
          <w:p>
            <w:pPr>
              <w:spacing w:after="0"/>
              <w:rPr>
                <w:sz w:val="1"/>
                <w:szCs w:val="1"/>
                <w:color w:val="auto"/>
              </w:rPr>
            </w:pPr>
          </w:p>
        </w:tc>
      </w:tr>
      <w:tr>
        <w:trPr>
          <w:trHeight w:val="71"/>
        </w:trPr>
        <w:tc>
          <w:tcPr>
            <w:tcW w:w="3120" w:type="dxa"/>
            <w:vAlign w:val="bottom"/>
            <w:tcBorders>
              <w:bottom w:val="single" w:sz="8" w:color="0066BA"/>
            </w:tcBorders>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56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80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tcPr>
          <w:p>
            <w:pPr>
              <w:spacing w:after="0"/>
              <w:rPr>
                <w:sz w:val="6"/>
                <w:szCs w:val="6"/>
                <w:color w:val="auto"/>
              </w:rPr>
            </w:pPr>
          </w:p>
        </w:tc>
        <w:tc>
          <w:tcPr>
            <w:tcW w:w="100" w:type="dxa"/>
            <w:vAlign w:val="bottom"/>
            <w:tcBorders>
              <w:bottom w:val="single" w:sz="8" w:color="0066BA"/>
            </w:tcBorders>
            <w:shd w:val="clear" w:color="auto" w:fill="EAEAEA"/>
          </w:tcPr>
          <w:p>
            <w:pPr>
              <w:spacing w:after="0"/>
              <w:rPr>
                <w:sz w:val="6"/>
                <w:szCs w:val="6"/>
                <w:color w:val="auto"/>
              </w:rPr>
            </w:pPr>
          </w:p>
        </w:tc>
        <w:tc>
          <w:tcPr>
            <w:tcW w:w="1100" w:type="dxa"/>
            <w:vAlign w:val="bottom"/>
            <w:tcBorders>
              <w:bottom w:val="single" w:sz="8" w:color="0066BA"/>
            </w:tcBorders>
            <w:shd w:val="clear" w:color="auto" w:fill="EAEAEA"/>
          </w:tcPr>
          <w:p>
            <w:pPr>
              <w:spacing w:after="0"/>
              <w:rPr>
                <w:sz w:val="6"/>
                <w:szCs w:val="6"/>
                <w:color w:val="auto"/>
              </w:rPr>
            </w:pPr>
          </w:p>
        </w:tc>
        <w:tc>
          <w:tcPr>
            <w:tcW w:w="1200" w:type="dxa"/>
            <w:vAlign w:val="bottom"/>
            <w:tcBorders>
              <w:bottom w:val="single" w:sz="8" w:color="0066BA"/>
            </w:tcBorders>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312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John Hassett</w:t>
            </w:r>
          </w:p>
        </w:tc>
        <w:tc>
          <w:tcPr>
            <w:tcW w:w="640" w:type="dxa"/>
            <w:vAlign w:val="bottom"/>
            <w:gridSpan w:val="2"/>
            <w:shd w:val="clear" w:color="auto" w:fill="EAEAEA"/>
          </w:tcPr>
          <w:p>
            <w:pPr>
              <w:jc w:val="right"/>
              <w:ind w:right="103"/>
              <w:spacing w:after="0"/>
              <w:rPr>
                <w:sz w:val="20"/>
                <w:szCs w:val="20"/>
                <w:color w:val="auto"/>
              </w:rPr>
            </w:pPr>
            <w:r>
              <w:rPr>
                <w:rFonts w:ascii="Arial" w:cs="Arial" w:eastAsia="Arial" w:hAnsi="Arial"/>
                <w:sz w:val="16"/>
                <w:szCs w:val="16"/>
                <w:color w:val="auto"/>
              </w:rPr>
              <w:t>2020</w:t>
            </w: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475,000</w:t>
            </w:r>
          </w:p>
        </w:tc>
        <w:tc>
          <w:tcPr>
            <w:tcW w:w="880" w:type="dxa"/>
            <w:vAlign w:val="bottom"/>
            <w:gridSpan w:val="2"/>
            <w:shd w:val="clear" w:color="auto" w:fill="EAEAEA"/>
          </w:tcPr>
          <w:p>
            <w:pPr>
              <w:jc w:val="right"/>
              <w:ind w:right="104"/>
              <w:spacing w:after="0"/>
              <w:rPr>
                <w:sz w:val="20"/>
                <w:szCs w:val="20"/>
                <w:color w:val="auto"/>
              </w:rPr>
            </w:pPr>
            <w:r>
              <w:rPr>
                <w:rFonts w:ascii="Arial" w:cs="Arial" w:eastAsia="Arial" w:hAnsi="Arial"/>
                <w:sz w:val="16"/>
                <w:szCs w:val="16"/>
                <w:color w:val="auto"/>
                <w:w w:val="95"/>
              </w:rPr>
              <w:t>1,351,289</w:t>
            </w: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447,305</w:t>
            </w:r>
          </w:p>
        </w:tc>
        <w:tc>
          <w:tcPr>
            <w:tcW w:w="1200" w:type="dxa"/>
            <w:vAlign w:val="bottom"/>
            <w:gridSpan w:val="2"/>
            <w:shd w:val="clear" w:color="auto" w:fill="EAEAEA"/>
          </w:tcPr>
          <w:p>
            <w:pPr>
              <w:jc w:val="right"/>
              <w:ind w:right="103"/>
              <w:spacing w:after="0"/>
              <w:rPr>
                <w:sz w:val="20"/>
                <w:szCs w:val="20"/>
                <w:color w:val="auto"/>
              </w:rPr>
            </w:pPr>
            <w:r>
              <w:rPr>
                <w:rFonts w:ascii="Arial" w:cs="Arial" w:eastAsia="Arial" w:hAnsi="Arial"/>
                <w:sz w:val="16"/>
                <w:szCs w:val="16"/>
                <w:color w:val="auto"/>
              </w:rPr>
              <w:t>370,683</w:t>
            </w: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51,767</w:t>
            </w:r>
          </w:p>
        </w:tc>
        <w:tc>
          <w:tcPr>
            <w:tcW w:w="960" w:type="dxa"/>
            <w:vAlign w:val="bottom"/>
            <w:gridSpan w:val="2"/>
            <w:shd w:val="clear" w:color="auto" w:fill="EAEAEA"/>
          </w:tcPr>
          <w:p>
            <w:pPr>
              <w:jc w:val="right"/>
              <w:ind w:right="103"/>
              <w:spacing w:after="0"/>
              <w:rPr>
                <w:sz w:val="20"/>
                <w:szCs w:val="20"/>
                <w:color w:val="auto"/>
              </w:rPr>
            </w:pPr>
            <w:r>
              <w:rPr>
                <w:rFonts w:ascii="Arial" w:cs="Arial" w:eastAsia="Arial" w:hAnsi="Arial"/>
                <w:sz w:val="16"/>
                <w:szCs w:val="16"/>
                <w:color w:val="auto"/>
              </w:rPr>
              <w:t>2,696,044</w:t>
            </w:r>
          </w:p>
        </w:tc>
        <w:tc>
          <w:tcPr>
            <w:tcW w:w="0" w:type="dxa"/>
            <w:vAlign w:val="bottom"/>
          </w:tcPr>
          <w:p>
            <w:pPr>
              <w:spacing w:after="0"/>
              <w:rPr>
                <w:sz w:val="1"/>
                <w:szCs w:val="1"/>
                <w:color w:val="auto"/>
              </w:rPr>
            </w:pPr>
          </w:p>
        </w:tc>
      </w:tr>
      <w:tr>
        <w:trPr>
          <w:trHeight w:val="71"/>
        </w:trPr>
        <w:tc>
          <w:tcPr>
            <w:tcW w:w="3120" w:type="dxa"/>
            <w:vAlign w:val="bottom"/>
            <w:vMerge w:val="continue"/>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56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0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shd w:val="clear" w:color="auto" w:fill="EAEAEA"/>
          </w:tcPr>
          <w:p>
            <w:pPr>
              <w:spacing w:after="0"/>
              <w:rPr>
                <w:sz w:val="6"/>
                <w:szCs w:val="6"/>
                <w:color w:val="auto"/>
              </w:rPr>
            </w:pPr>
          </w:p>
        </w:tc>
        <w:tc>
          <w:tcPr>
            <w:tcW w:w="1100" w:type="dxa"/>
            <w:vAlign w:val="bottom"/>
            <w:tcBorders>
              <w:bottom w:val="single" w:sz="8" w:color="auto"/>
            </w:tcBorders>
            <w:shd w:val="clear" w:color="auto" w:fill="EAEAEA"/>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3120" w:type="dxa"/>
            <w:vAlign w:val="bottom"/>
          </w:tcPr>
          <w:p>
            <w:pPr>
              <w:ind w:left="60"/>
              <w:spacing w:after="0" w:line="178" w:lineRule="exact"/>
              <w:rPr>
                <w:sz w:val="20"/>
                <w:szCs w:val="20"/>
                <w:color w:val="auto"/>
              </w:rPr>
            </w:pPr>
            <w:r>
              <w:rPr>
                <w:rFonts w:ascii="Arial" w:cs="Arial" w:eastAsia="Arial" w:hAnsi="Arial"/>
                <w:sz w:val="16"/>
                <w:szCs w:val="16"/>
                <w:color w:val="auto"/>
              </w:rPr>
              <w:t>Senior Vice President,</w:t>
            </w:r>
          </w:p>
        </w:tc>
        <w:tc>
          <w:tcPr>
            <w:tcW w:w="80" w:type="dxa"/>
            <w:vAlign w:val="bottom"/>
            <w:shd w:val="clear" w:color="auto" w:fill="EAEAEA"/>
          </w:tcPr>
          <w:p>
            <w:pPr>
              <w:spacing w:after="0"/>
              <w:rPr>
                <w:sz w:val="15"/>
                <w:szCs w:val="15"/>
                <w:color w:val="auto"/>
              </w:rPr>
            </w:pPr>
          </w:p>
        </w:tc>
        <w:tc>
          <w:tcPr>
            <w:tcW w:w="560" w:type="dxa"/>
            <w:vAlign w:val="bottom"/>
            <w:shd w:val="clear" w:color="auto" w:fill="EAEAEA"/>
          </w:tcPr>
          <w:p>
            <w:pPr>
              <w:jc w:val="right"/>
              <w:ind w:right="103"/>
              <w:spacing w:after="0" w:line="178" w:lineRule="exact"/>
              <w:rPr>
                <w:sz w:val="20"/>
                <w:szCs w:val="20"/>
                <w:color w:val="auto"/>
              </w:rPr>
            </w:pPr>
            <w:r>
              <w:rPr>
                <w:rFonts w:ascii="Arial" w:cs="Arial" w:eastAsia="Arial" w:hAnsi="Arial"/>
                <w:sz w:val="16"/>
                <w:szCs w:val="16"/>
                <w:color w:val="auto"/>
              </w:rPr>
              <w:t>2019</w:t>
            </w:r>
          </w:p>
        </w:tc>
        <w:tc>
          <w:tcPr>
            <w:tcW w:w="880" w:type="dxa"/>
            <w:vAlign w:val="bottom"/>
          </w:tcPr>
          <w:p>
            <w:pPr>
              <w:jc w:val="right"/>
              <w:ind w:right="103"/>
              <w:spacing w:after="0" w:line="178" w:lineRule="exact"/>
              <w:rPr>
                <w:sz w:val="20"/>
                <w:szCs w:val="20"/>
                <w:color w:val="auto"/>
              </w:rPr>
            </w:pPr>
            <w:r>
              <w:rPr>
                <w:rFonts w:ascii="Arial" w:cs="Arial" w:eastAsia="Arial" w:hAnsi="Arial"/>
                <w:sz w:val="16"/>
                <w:szCs w:val="16"/>
                <w:color w:val="auto"/>
              </w:rPr>
              <w:t>471,154</w:t>
            </w:r>
          </w:p>
        </w:tc>
        <w:tc>
          <w:tcPr>
            <w:tcW w:w="80" w:type="dxa"/>
            <w:vAlign w:val="bottom"/>
            <w:shd w:val="clear" w:color="auto" w:fill="EAEAEA"/>
          </w:tcPr>
          <w:p>
            <w:pPr>
              <w:spacing w:after="0"/>
              <w:rPr>
                <w:sz w:val="15"/>
                <w:szCs w:val="15"/>
                <w:color w:val="auto"/>
              </w:rPr>
            </w:pPr>
          </w:p>
        </w:tc>
        <w:tc>
          <w:tcPr>
            <w:tcW w:w="800" w:type="dxa"/>
            <w:vAlign w:val="bottom"/>
            <w:shd w:val="clear" w:color="auto" w:fill="EAEAEA"/>
          </w:tcPr>
          <w:p>
            <w:pPr>
              <w:jc w:val="right"/>
              <w:ind w:right="104"/>
              <w:spacing w:after="0" w:line="178" w:lineRule="exact"/>
              <w:rPr>
                <w:sz w:val="20"/>
                <w:szCs w:val="20"/>
                <w:color w:val="auto"/>
              </w:rPr>
            </w:pPr>
            <w:r>
              <w:rPr>
                <w:rFonts w:ascii="Arial" w:cs="Arial" w:eastAsia="Arial" w:hAnsi="Arial"/>
                <w:sz w:val="16"/>
                <w:szCs w:val="16"/>
                <w:color w:val="auto"/>
                <w:w w:val="84"/>
              </w:rPr>
              <w:t>1,234,544</w:t>
            </w:r>
          </w:p>
        </w:tc>
        <w:tc>
          <w:tcPr>
            <w:tcW w:w="880" w:type="dxa"/>
            <w:vAlign w:val="bottom"/>
          </w:tcPr>
          <w:p>
            <w:pPr>
              <w:jc w:val="right"/>
              <w:ind w:right="103"/>
              <w:spacing w:after="0" w:line="178" w:lineRule="exact"/>
              <w:rPr>
                <w:sz w:val="20"/>
                <w:szCs w:val="20"/>
                <w:color w:val="auto"/>
              </w:rPr>
            </w:pPr>
            <w:r>
              <w:rPr>
                <w:rFonts w:ascii="Arial" w:cs="Arial" w:eastAsia="Arial" w:hAnsi="Arial"/>
                <w:sz w:val="16"/>
                <w:szCs w:val="16"/>
                <w:color w:val="auto"/>
              </w:rPr>
              <w:t>414,212</w:t>
            </w:r>
          </w:p>
        </w:tc>
        <w:tc>
          <w:tcPr>
            <w:tcW w:w="100" w:type="dxa"/>
            <w:vAlign w:val="bottom"/>
            <w:shd w:val="clear" w:color="auto" w:fill="EAEAEA"/>
          </w:tcPr>
          <w:p>
            <w:pPr>
              <w:spacing w:after="0"/>
              <w:rPr>
                <w:sz w:val="15"/>
                <w:szCs w:val="15"/>
                <w:color w:val="auto"/>
              </w:rPr>
            </w:pPr>
          </w:p>
        </w:tc>
        <w:tc>
          <w:tcPr>
            <w:tcW w:w="1100" w:type="dxa"/>
            <w:vAlign w:val="bottom"/>
            <w:shd w:val="clear" w:color="auto" w:fill="EAEAEA"/>
          </w:tcPr>
          <w:p>
            <w:pPr>
              <w:jc w:val="right"/>
              <w:ind w:right="103"/>
              <w:spacing w:after="0" w:line="178" w:lineRule="exact"/>
              <w:rPr>
                <w:sz w:val="20"/>
                <w:szCs w:val="20"/>
                <w:color w:val="auto"/>
              </w:rPr>
            </w:pPr>
            <w:r>
              <w:rPr>
                <w:rFonts w:ascii="Arial" w:cs="Arial" w:eastAsia="Arial" w:hAnsi="Arial"/>
                <w:sz w:val="16"/>
                <w:szCs w:val="16"/>
                <w:color w:val="auto"/>
              </w:rPr>
              <w:t>437,875</w:t>
            </w:r>
          </w:p>
        </w:tc>
        <w:tc>
          <w:tcPr>
            <w:tcW w:w="1200" w:type="dxa"/>
            <w:vAlign w:val="bottom"/>
          </w:tcPr>
          <w:p>
            <w:pPr>
              <w:jc w:val="right"/>
              <w:ind w:right="103"/>
              <w:spacing w:after="0" w:line="178" w:lineRule="exact"/>
              <w:rPr>
                <w:sz w:val="20"/>
                <w:szCs w:val="20"/>
                <w:color w:val="auto"/>
              </w:rPr>
            </w:pPr>
            <w:r>
              <w:rPr>
                <w:rFonts w:ascii="Arial" w:cs="Arial" w:eastAsia="Arial" w:hAnsi="Arial"/>
                <w:sz w:val="16"/>
                <w:szCs w:val="16"/>
                <w:color w:val="auto"/>
              </w:rPr>
              <w:t>45,899</w:t>
            </w:r>
          </w:p>
        </w:tc>
        <w:tc>
          <w:tcPr>
            <w:tcW w:w="80" w:type="dxa"/>
            <w:vAlign w:val="bottom"/>
            <w:shd w:val="clear" w:color="auto" w:fill="EAEAEA"/>
          </w:tcPr>
          <w:p>
            <w:pPr>
              <w:spacing w:after="0"/>
              <w:rPr>
                <w:sz w:val="15"/>
                <w:szCs w:val="15"/>
                <w:color w:val="auto"/>
              </w:rPr>
            </w:pPr>
          </w:p>
        </w:tc>
        <w:tc>
          <w:tcPr>
            <w:tcW w:w="880" w:type="dxa"/>
            <w:vAlign w:val="bottom"/>
            <w:shd w:val="clear" w:color="auto" w:fill="EAEAEA"/>
          </w:tcPr>
          <w:p>
            <w:pPr>
              <w:jc w:val="right"/>
              <w:ind w:right="103"/>
              <w:spacing w:after="0" w:line="178" w:lineRule="exact"/>
              <w:rPr>
                <w:sz w:val="20"/>
                <w:szCs w:val="20"/>
                <w:color w:val="auto"/>
              </w:rPr>
            </w:pPr>
            <w:r>
              <w:rPr>
                <w:rFonts w:ascii="Arial" w:cs="Arial" w:eastAsia="Arial" w:hAnsi="Arial"/>
                <w:sz w:val="16"/>
                <w:szCs w:val="16"/>
                <w:color w:val="auto"/>
                <w:w w:val="95"/>
              </w:rPr>
              <w:t>2,603,684</w:t>
            </w:r>
          </w:p>
        </w:tc>
        <w:tc>
          <w:tcPr>
            <w:tcW w:w="0" w:type="dxa"/>
            <w:vAlign w:val="bottom"/>
          </w:tcPr>
          <w:p>
            <w:pPr>
              <w:spacing w:after="0"/>
              <w:rPr>
                <w:sz w:val="1"/>
                <w:szCs w:val="1"/>
                <w:color w:val="auto"/>
              </w:rPr>
            </w:pPr>
          </w:p>
        </w:tc>
      </w:tr>
      <w:tr>
        <w:trPr>
          <w:trHeight w:val="88"/>
        </w:trPr>
        <w:tc>
          <w:tcPr>
            <w:tcW w:w="3120" w:type="dxa"/>
            <w:vAlign w:val="bottom"/>
            <w:vMerge w:val="restart"/>
          </w:tcPr>
          <w:p>
            <w:pPr>
              <w:ind w:left="60"/>
              <w:spacing w:after="0"/>
              <w:rPr>
                <w:sz w:val="20"/>
                <w:szCs w:val="20"/>
                <w:color w:val="auto"/>
              </w:rPr>
            </w:pPr>
            <w:r>
              <w:rPr>
                <w:rFonts w:ascii="Arial" w:cs="Arial" w:eastAsia="Arial" w:hAnsi="Arial"/>
                <w:sz w:val="16"/>
                <w:szCs w:val="16"/>
                <w:color w:val="auto"/>
              </w:rPr>
              <w:t>Industrial and Consumer</w:t>
            </w:r>
          </w:p>
        </w:tc>
        <w:tc>
          <w:tcPr>
            <w:tcW w:w="80" w:type="dxa"/>
            <w:vAlign w:val="bottom"/>
            <w:tcBorders>
              <w:bottom w:val="single" w:sz="8" w:color="auto"/>
            </w:tcBorders>
            <w:shd w:val="clear" w:color="auto" w:fill="EAEAEA"/>
          </w:tcPr>
          <w:p>
            <w:pPr>
              <w:spacing w:after="0"/>
              <w:rPr>
                <w:sz w:val="7"/>
                <w:szCs w:val="7"/>
                <w:color w:val="auto"/>
              </w:rPr>
            </w:pPr>
          </w:p>
        </w:tc>
        <w:tc>
          <w:tcPr>
            <w:tcW w:w="560" w:type="dxa"/>
            <w:vAlign w:val="bottom"/>
            <w:tcBorders>
              <w:bottom w:val="single" w:sz="8" w:color="auto"/>
            </w:tcBorders>
            <w:shd w:val="clear" w:color="auto" w:fill="EAEAEA"/>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shd w:val="clear" w:color="auto" w:fill="EAEAEA"/>
          </w:tcPr>
          <w:p>
            <w:pPr>
              <w:spacing w:after="0"/>
              <w:rPr>
                <w:sz w:val="7"/>
                <w:szCs w:val="7"/>
                <w:color w:val="auto"/>
              </w:rPr>
            </w:pPr>
          </w:p>
        </w:tc>
        <w:tc>
          <w:tcPr>
            <w:tcW w:w="800" w:type="dxa"/>
            <w:vAlign w:val="bottom"/>
            <w:tcBorders>
              <w:bottom w:val="single" w:sz="8" w:color="auto"/>
            </w:tcBorders>
            <w:shd w:val="clear" w:color="auto" w:fill="EAEAEA"/>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shd w:val="clear" w:color="auto" w:fill="EAEAEA"/>
          </w:tcPr>
          <w:p>
            <w:pPr>
              <w:spacing w:after="0"/>
              <w:rPr>
                <w:sz w:val="7"/>
                <w:szCs w:val="7"/>
                <w:color w:val="auto"/>
              </w:rPr>
            </w:pPr>
          </w:p>
        </w:tc>
        <w:tc>
          <w:tcPr>
            <w:tcW w:w="1100" w:type="dxa"/>
            <w:vAlign w:val="bottom"/>
            <w:tcBorders>
              <w:bottom w:val="single" w:sz="8" w:color="auto"/>
            </w:tcBorders>
            <w:shd w:val="clear" w:color="auto" w:fill="EAEAEA"/>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shd w:val="clear" w:color="auto" w:fill="EAEAEA"/>
          </w:tcPr>
          <w:p>
            <w:pPr>
              <w:spacing w:after="0"/>
              <w:rPr>
                <w:sz w:val="7"/>
                <w:szCs w:val="7"/>
                <w:color w:val="auto"/>
              </w:rPr>
            </w:pPr>
          </w:p>
        </w:tc>
        <w:tc>
          <w:tcPr>
            <w:tcW w:w="880" w:type="dxa"/>
            <w:vAlign w:val="bottom"/>
            <w:tcBorders>
              <w:bottom w:val="single" w:sz="8" w:color="auto"/>
            </w:tcBorders>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120" w:type="dxa"/>
            <w:vAlign w:val="bottom"/>
            <w:vMerge w:val="continue"/>
          </w:tcPr>
          <w:p>
            <w:pPr>
              <w:spacing w:after="0"/>
              <w:rPr>
                <w:sz w:val="7"/>
                <w:szCs w:val="7"/>
                <w:color w:val="auto"/>
              </w:rPr>
            </w:pPr>
          </w:p>
        </w:tc>
        <w:tc>
          <w:tcPr>
            <w:tcW w:w="80" w:type="dxa"/>
            <w:vAlign w:val="bottom"/>
            <w:shd w:val="clear" w:color="auto" w:fill="EAEAEA"/>
          </w:tcPr>
          <w:p>
            <w:pPr>
              <w:spacing w:after="0"/>
              <w:rPr>
                <w:sz w:val="7"/>
                <w:szCs w:val="7"/>
                <w:color w:val="auto"/>
              </w:rPr>
            </w:pPr>
          </w:p>
        </w:tc>
        <w:tc>
          <w:tcPr>
            <w:tcW w:w="560" w:type="dxa"/>
            <w:vAlign w:val="bottom"/>
            <w:vMerge w:val="restart"/>
            <w:shd w:val="clear" w:color="auto" w:fill="EAEAEA"/>
          </w:tcPr>
          <w:p>
            <w:pPr>
              <w:jc w:val="right"/>
              <w:ind w:right="103"/>
              <w:spacing w:after="0"/>
              <w:rPr>
                <w:sz w:val="20"/>
                <w:szCs w:val="20"/>
                <w:color w:val="auto"/>
              </w:rPr>
            </w:pPr>
            <w:r>
              <w:rPr>
                <w:rFonts w:ascii="Arial" w:cs="Arial" w:eastAsia="Arial" w:hAnsi="Arial"/>
                <w:sz w:val="16"/>
                <w:szCs w:val="16"/>
                <w:color w:val="auto"/>
              </w:rPr>
              <w:t>2018</w:t>
            </w:r>
          </w:p>
        </w:tc>
        <w:tc>
          <w:tcPr>
            <w:tcW w:w="880" w:type="dxa"/>
            <w:vAlign w:val="bottom"/>
            <w:vMerge w:val="restart"/>
          </w:tcPr>
          <w:p>
            <w:pPr>
              <w:jc w:val="right"/>
              <w:ind w:right="103"/>
              <w:spacing w:after="0"/>
              <w:rPr>
                <w:sz w:val="20"/>
                <w:szCs w:val="20"/>
                <w:color w:val="auto"/>
              </w:rPr>
            </w:pPr>
            <w:r>
              <w:rPr>
                <w:rFonts w:ascii="Arial" w:cs="Arial" w:eastAsia="Arial" w:hAnsi="Arial"/>
                <w:sz w:val="16"/>
                <w:szCs w:val="16"/>
                <w:color w:val="auto"/>
              </w:rPr>
              <w:t>469,423</w:t>
            </w:r>
          </w:p>
        </w:tc>
        <w:tc>
          <w:tcPr>
            <w:tcW w:w="80" w:type="dxa"/>
            <w:vAlign w:val="bottom"/>
            <w:shd w:val="clear" w:color="auto" w:fill="EAEAEA"/>
          </w:tcPr>
          <w:p>
            <w:pPr>
              <w:spacing w:after="0"/>
              <w:rPr>
                <w:sz w:val="7"/>
                <w:szCs w:val="7"/>
                <w:color w:val="auto"/>
              </w:rPr>
            </w:pPr>
          </w:p>
        </w:tc>
        <w:tc>
          <w:tcPr>
            <w:tcW w:w="800" w:type="dxa"/>
            <w:vAlign w:val="bottom"/>
            <w:vMerge w:val="restart"/>
            <w:shd w:val="clear" w:color="auto" w:fill="EAEAEA"/>
          </w:tcPr>
          <w:p>
            <w:pPr>
              <w:jc w:val="right"/>
              <w:ind w:right="104"/>
              <w:spacing w:after="0"/>
              <w:rPr>
                <w:sz w:val="20"/>
                <w:szCs w:val="20"/>
                <w:color w:val="auto"/>
              </w:rPr>
            </w:pPr>
            <w:r>
              <w:rPr>
                <w:rFonts w:ascii="Arial" w:cs="Arial" w:eastAsia="Arial" w:hAnsi="Arial"/>
                <w:sz w:val="16"/>
                <w:szCs w:val="16"/>
                <w:color w:val="auto"/>
                <w:w w:val="84"/>
              </w:rPr>
              <w:t>1,208,486</w:t>
            </w:r>
          </w:p>
        </w:tc>
        <w:tc>
          <w:tcPr>
            <w:tcW w:w="880" w:type="dxa"/>
            <w:vAlign w:val="bottom"/>
            <w:vMerge w:val="restart"/>
          </w:tcPr>
          <w:p>
            <w:pPr>
              <w:jc w:val="right"/>
              <w:ind w:right="103"/>
              <w:spacing w:after="0"/>
              <w:rPr>
                <w:sz w:val="20"/>
                <w:szCs w:val="20"/>
                <w:color w:val="auto"/>
              </w:rPr>
            </w:pPr>
            <w:r>
              <w:rPr>
                <w:rFonts w:ascii="Arial" w:cs="Arial" w:eastAsia="Arial" w:hAnsi="Arial"/>
                <w:sz w:val="16"/>
                <w:szCs w:val="16"/>
                <w:color w:val="auto"/>
              </w:rPr>
              <w:t>428,088</w:t>
            </w:r>
          </w:p>
        </w:tc>
        <w:tc>
          <w:tcPr>
            <w:tcW w:w="100" w:type="dxa"/>
            <w:vAlign w:val="bottom"/>
            <w:shd w:val="clear" w:color="auto" w:fill="EAEAEA"/>
          </w:tcPr>
          <w:p>
            <w:pPr>
              <w:spacing w:after="0"/>
              <w:rPr>
                <w:sz w:val="7"/>
                <w:szCs w:val="7"/>
                <w:color w:val="auto"/>
              </w:rPr>
            </w:pPr>
          </w:p>
        </w:tc>
        <w:tc>
          <w:tcPr>
            <w:tcW w:w="1100" w:type="dxa"/>
            <w:vAlign w:val="bottom"/>
            <w:vMerge w:val="restart"/>
            <w:shd w:val="clear" w:color="auto" w:fill="EAEAEA"/>
          </w:tcPr>
          <w:p>
            <w:pPr>
              <w:jc w:val="right"/>
              <w:ind w:right="103"/>
              <w:spacing w:after="0"/>
              <w:rPr>
                <w:sz w:val="20"/>
                <w:szCs w:val="20"/>
                <w:color w:val="auto"/>
              </w:rPr>
            </w:pPr>
            <w:r>
              <w:rPr>
                <w:rFonts w:ascii="Arial" w:cs="Arial" w:eastAsia="Arial" w:hAnsi="Arial"/>
                <w:sz w:val="16"/>
                <w:szCs w:val="16"/>
                <w:color w:val="auto"/>
              </w:rPr>
              <w:t>762,186</w:t>
            </w:r>
          </w:p>
        </w:tc>
        <w:tc>
          <w:tcPr>
            <w:tcW w:w="1200" w:type="dxa"/>
            <w:vAlign w:val="bottom"/>
            <w:vMerge w:val="restart"/>
          </w:tcPr>
          <w:p>
            <w:pPr>
              <w:jc w:val="right"/>
              <w:ind w:right="103"/>
              <w:spacing w:after="0"/>
              <w:rPr>
                <w:sz w:val="20"/>
                <w:szCs w:val="20"/>
                <w:color w:val="auto"/>
              </w:rPr>
            </w:pPr>
            <w:r>
              <w:rPr>
                <w:rFonts w:ascii="Arial" w:cs="Arial" w:eastAsia="Arial" w:hAnsi="Arial"/>
                <w:sz w:val="16"/>
                <w:szCs w:val="16"/>
                <w:color w:val="auto"/>
              </w:rPr>
              <w:t>49,668</w:t>
            </w:r>
          </w:p>
        </w:tc>
        <w:tc>
          <w:tcPr>
            <w:tcW w:w="80" w:type="dxa"/>
            <w:vAlign w:val="bottom"/>
            <w:shd w:val="clear" w:color="auto" w:fill="EAEAEA"/>
          </w:tcPr>
          <w:p>
            <w:pPr>
              <w:spacing w:after="0"/>
              <w:rPr>
                <w:sz w:val="7"/>
                <w:szCs w:val="7"/>
                <w:color w:val="auto"/>
              </w:rPr>
            </w:pPr>
          </w:p>
        </w:tc>
        <w:tc>
          <w:tcPr>
            <w:tcW w:w="880" w:type="dxa"/>
            <w:vAlign w:val="bottom"/>
            <w:vMerge w:val="restart"/>
            <w:shd w:val="clear" w:color="auto" w:fill="EAEAEA"/>
          </w:tcPr>
          <w:p>
            <w:pPr>
              <w:jc w:val="right"/>
              <w:ind w:right="103"/>
              <w:spacing w:after="0"/>
              <w:rPr>
                <w:sz w:val="20"/>
                <w:szCs w:val="20"/>
                <w:color w:val="auto"/>
              </w:rPr>
            </w:pPr>
            <w:r>
              <w:rPr>
                <w:rFonts w:ascii="Arial" w:cs="Arial" w:eastAsia="Arial" w:hAnsi="Arial"/>
                <w:sz w:val="16"/>
                <w:szCs w:val="16"/>
                <w:color w:val="auto"/>
                <w:w w:val="95"/>
              </w:rPr>
              <w:t>2,917,851</w:t>
            </w:r>
          </w:p>
        </w:tc>
        <w:tc>
          <w:tcPr>
            <w:tcW w:w="0" w:type="dxa"/>
            <w:vAlign w:val="bottom"/>
          </w:tcPr>
          <w:p>
            <w:pPr>
              <w:spacing w:after="0"/>
              <w:rPr>
                <w:sz w:val="1"/>
                <w:szCs w:val="1"/>
                <w:color w:val="auto"/>
              </w:rPr>
            </w:pPr>
          </w:p>
        </w:tc>
      </w:tr>
      <w:tr>
        <w:trPr>
          <w:trHeight w:val="104"/>
        </w:trPr>
        <w:tc>
          <w:tcPr>
            <w:tcW w:w="3120" w:type="dxa"/>
            <w:vAlign w:val="bottom"/>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560" w:type="dxa"/>
            <w:vAlign w:val="bottom"/>
            <w:vMerge w:val="continue"/>
            <w:shd w:val="clear" w:color="auto" w:fill="EAEAEA"/>
          </w:tcPr>
          <w:p>
            <w:pPr>
              <w:spacing w:after="0"/>
              <w:rPr>
                <w:sz w:val="9"/>
                <w:szCs w:val="9"/>
                <w:color w:val="auto"/>
              </w:rPr>
            </w:pPr>
          </w:p>
        </w:tc>
        <w:tc>
          <w:tcPr>
            <w:tcW w:w="880" w:type="dxa"/>
            <w:vAlign w:val="bottom"/>
            <w:vMerge w:val="continue"/>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800" w:type="dxa"/>
            <w:vAlign w:val="bottom"/>
            <w:vMerge w:val="continue"/>
            <w:shd w:val="clear" w:color="auto" w:fill="EAEAEA"/>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shd w:val="clear" w:color="auto" w:fill="EAEAEA"/>
          </w:tcPr>
          <w:p>
            <w:pPr>
              <w:spacing w:after="0"/>
              <w:rPr>
                <w:sz w:val="9"/>
                <w:szCs w:val="9"/>
                <w:color w:val="auto"/>
              </w:rPr>
            </w:pPr>
          </w:p>
        </w:tc>
        <w:tc>
          <w:tcPr>
            <w:tcW w:w="1100" w:type="dxa"/>
            <w:vAlign w:val="bottom"/>
            <w:vMerge w:val="continue"/>
            <w:shd w:val="clear" w:color="auto" w:fill="EAEAEA"/>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88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3120" w:type="dxa"/>
            <w:vAlign w:val="bottom"/>
            <w:tcBorders>
              <w:bottom w:val="single" w:sz="8" w:color="0066BA"/>
            </w:tcBorders>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56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80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tcPr>
          <w:p>
            <w:pPr>
              <w:spacing w:after="0"/>
              <w:rPr>
                <w:sz w:val="6"/>
                <w:szCs w:val="6"/>
                <w:color w:val="auto"/>
              </w:rPr>
            </w:pPr>
          </w:p>
        </w:tc>
        <w:tc>
          <w:tcPr>
            <w:tcW w:w="100" w:type="dxa"/>
            <w:vAlign w:val="bottom"/>
            <w:tcBorders>
              <w:bottom w:val="single" w:sz="8" w:color="0066BA"/>
            </w:tcBorders>
            <w:shd w:val="clear" w:color="auto" w:fill="EAEAEA"/>
          </w:tcPr>
          <w:p>
            <w:pPr>
              <w:spacing w:after="0"/>
              <w:rPr>
                <w:sz w:val="6"/>
                <w:szCs w:val="6"/>
                <w:color w:val="auto"/>
              </w:rPr>
            </w:pPr>
          </w:p>
        </w:tc>
        <w:tc>
          <w:tcPr>
            <w:tcW w:w="1100" w:type="dxa"/>
            <w:vAlign w:val="bottom"/>
            <w:tcBorders>
              <w:bottom w:val="single" w:sz="8" w:color="0066BA"/>
            </w:tcBorders>
            <w:shd w:val="clear" w:color="auto" w:fill="EAEAEA"/>
          </w:tcPr>
          <w:p>
            <w:pPr>
              <w:spacing w:after="0"/>
              <w:rPr>
                <w:sz w:val="6"/>
                <w:szCs w:val="6"/>
                <w:color w:val="auto"/>
              </w:rPr>
            </w:pPr>
          </w:p>
        </w:tc>
        <w:tc>
          <w:tcPr>
            <w:tcW w:w="1200" w:type="dxa"/>
            <w:vAlign w:val="bottom"/>
            <w:tcBorders>
              <w:bottom w:val="single" w:sz="8" w:color="0066BA"/>
            </w:tcBorders>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312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Steve Pietkiewicz</w:t>
            </w:r>
          </w:p>
        </w:tc>
        <w:tc>
          <w:tcPr>
            <w:tcW w:w="640" w:type="dxa"/>
            <w:vAlign w:val="bottom"/>
            <w:gridSpan w:val="2"/>
            <w:shd w:val="clear" w:color="auto" w:fill="EAEAEA"/>
          </w:tcPr>
          <w:p>
            <w:pPr>
              <w:jc w:val="right"/>
              <w:ind w:right="103"/>
              <w:spacing w:after="0"/>
              <w:rPr>
                <w:sz w:val="20"/>
                <w:szCs w:val="20"/>
                <w:color w:val="auto"/>
              </w:rPr>
            </w:pPr>
            <w:r>
              <w:rPr>
                <w:rFonts w:ascii="Arial" w:cs="Arial" w:eastAsia="Arial" w:hAnsi="Arial"/>
                <w:sz w:val="16"/>
                <w:szCs w:val="16"/>
                <w:color w:val="auto"/>
              </w:rPr>
              <w:t>2020</w:t>
            </w: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450,000</w:t>
            </w:r>
          </w:p>
        </w:tc>
        <w:tc>
          <w:tcPr>
            <w:tcW w:w="880" w:type="dxa"/>
            <w:vAlign w:val="bottom"/>
            <w:gridSpan w:val="2"/>
            <w:shd w:val="clear" w:color="auto" w:fill="EAEAEA"/>
          </w:tcPr>
          <w:p>
            <w:pPr>
              <w:jc w:val="right"/>
              <w:ind w:right="104"/>
              <w:spacing w:after="0"/>
              <w:rPr>
                <w:sz w:val="20"/>
                <w:szCs w:val="20"/>
                <w:color w:val="auto"/>
              </w:rPr>
            </w:pPr>
            <w:r>
              <w:rPr>
                <w:rFonts w:ascii="Arial" w:cs="Arial" w:eastAsia="Arial" w:hAnsi="Arial"/>
                <w:sz w:val="16"/>
                <w:szCs w:val="16"/>
                <w:color w:val="auto"/>
                <w:w w:val="95"/>
              </w:rPr>
              <w:t>1,351,289</w:t>
            </w: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447,305</w:t>
            </w:r>
          </w:p>
        </w:tc>
        <w:tc>
          <w:tcPr>
            <w:tcW w:w="1200" w:type="dxa"/>
            <w:vAlign w:val="bottom"/>
            <w:gridSpan w:val="2"/>
            <w:shd w:val="clear" w:color="auto" w:fill="EAEAEA"/>
          </w:tcPr>
          <w:p>
            <w:pPr>
              <w:jc w:val="right"/>
              <w:ind w:right="103"/>
              <w:spacing w:after="0"/>
              <w:rPr>
                <w:sz w:val="20"/>
                <w:szCs w:val="20"/>
                <w:color w:val="auto"/>
              </w:rPr>
            </w:pPr>
            <w:r>
              <w:rPr>
                <w:rFonts w:ascii="Arial" w:cs="Arial" w:eastAsia="Arial" w:hAnsi="Arial"/>
                <w:sz w:val="16"/>
                <w:szCs w:val="16"/>
                <w:color w:val="auto"/>
              </w:rPr>
              <w:t>345,496</w:t>
            </w: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63,760</w:t>
            </w:r>
          </w:p>
        </w:tc>
        <w:tc>
          <w:tcPr>
            <w:tcW w:w="960" w:type="dxa"/>
            <w:vAlign w:val="bottom"/>
            <w:gridSpan w:val="2"/>
            <w:shd w:val="clear" w:color="auto" w:fill="EAEAEA"/>
          </w:tcPr>
          <w:p>
            <w:pPr>
              <w:jc w:val="right"/>
              <w:ind w:right="103"/>
              <w:spacing w:after="0"/>
              <w:rPr>
                <w:sz w:val="20"/>
                <w:szCs w:val="20"/>
                <w:color w:val="auto"/>
              </w:rPr>
            </w:pPr>
            <w:r>
              <w:rPr>
                <w:rFonts w:ascii="Arial" w:cs="Arial" w:eastAsia="Arial" w:hAnsi="Arial"/>
                <w:sz w:val="16"/>
                <w:szCs w:val="16"/>
                <w:color w:val="auto"/>
              </w:rPr>
              <w:t>2,657,850</w:t>
            </w:r>
          </w:p>
        </w:tc>
        <w:tc>
          <w:tcPr>
            <w:tcW w:w="0" w:type="dxa"/>
            <w:vAlign w:val="bottom"/>
          </w:tcPr>
          <w:p>
            <w:pPr>
              <w:spacing w:after="0"/>
              <w:rPr>
                <w:sz w:val="1"/>
                <w:szCs w:val="1"/>
                <w:color w:val="auto"/>
              </w:rPr>
            </w:pPr>
          </w:p>
        </w:tc>
      </w:tr>
      <w:tr>
        <w:trPr>
          <w:trHeight w:val="71"/>
        </w:trPr>
        <w:tc>
          <w:tcPr>
            <w:tcW w:w="3120" w:type="dxa"/>
            <w:vAlign w:val="bottom"/>
            <w:vMerge w:val="continue"/>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56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0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shd w:val="clear" w:color="auto" w:fill="EAEAEA"/>
          </w:tcPr>
          <w:p>
            <w:pPr>
              <w:spacing w:after="0"/>
              <w:rPr>
                <w:sz w:val="6"/>
                <w:szCs w:val="6"/>
                <w:color w:val="auto"/>
              </w:rPr>
            </w:pPr>
          </w:p>
        </w:tc>
        <w:tc>
          <w:tcPr>
            <w:tcW w:w="1100" w:type="dxa"/>
            <w:vAlign w:val="bottom"/>
            <w:tcBorders>
              <w:bottom w:val="single" w:sz="8" w:color="auto"/>
            </w:tcBorders>
            <w:shd w:val="clear" w:color="auto" w:fill="EAEAEA"/>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3120" w:type="dxa"/>
            <w:vAlign w:val="bottom"/>
          </w:tcPr>
          <w:p>
            <w:pPr>
              <w:ind w:left="60"/>
              <w:spacing w:after="0" w:line="178" w:lineRule="exact"/>
              <w:rPr>
                <w:sz w:val="20"/>
                <w:szCs w:val="20"/>
                <w:color w:val="auto"/>
              </w:rPr>
            </w:pPr>
            <w:r>
              <w:rPr>
                <w:rFonts w:ascii="Arial" w:cs="Arial" w:eastAsia="Arial" w:hAnsi="Arial"/>
                <w:sz w:val="16"/>
                <w:szCs w:val="16"/>
                <w:color w:val="auto"/>
              </w:rPr>
              <w:t>Senior Vice President,</w:t>
            </w:r>
          </w:p>
        </w:tc>
        <w:tc>
          <w:tcPr>
            <w:tcW w:w="80" w:type="dxa"/>
            <w:vAlign w:val="bottom"/>
            <w:shd w:val="clear" w:color="auto" w:fill="EAEAEA"/>
          </w:tcPr>
          <w:p>
            <w:pPr>
              <w:spacing w:after="0"/>
              <w:rPr>
                <w:sz w:val="15"/>
                <w:szCs w:val="15"/>
                <w:color w:val="auto"/>
              </w:rPr>
            </w:pPr>
          </w:p>
        </w:tc>
        <w:tc>
          <w:tcPr>
            <w:tcW w:w="560" w:type="dxa"/>
            <w:vAlign w:val="bottom"/>
            <w:shd w:val="clear" w:color="auto" w:fill="EAEAEA"/>
          </w:tcPr>
          <w:p>
            <w:pPr>
              <w:jc w:val="right"/>
              <w:ind w:right="103"/>
              <w:spacing w:after="0" w:line="178" w:lineRule="exact"/>
              <w:rPr>
                <w:sz w:val="20"/>
                <w:szCs w:val="20"/>
                <w:color w:val="auto"/>
              </w:rPr>
            </w:pPr>
            <w:r>
              <w:rPr>
                <w:rFonts w:ascii="Arial" w:cs="Arial" w:eastAsia="Arial" w:hAnsi="Arial"/>
                <w:sz w:val="16"/>
                <w:szCs w:val="16"/>
                <w:color w:val="auto"/>
              </w:rPr>
              <w:t>2019</w:t>
            </w:r>
          </w:p>
        </w:tc>
        <w:tc>
          <w:tcPr>
            <w:tcW w:w="880" w:type="dxa"/>
            <w:vAlign w:val="bottom"/>
          </w:tcPr>
          <w:p>
            <w:pPr>
              <w:jc w:val="right"/>
              <w:ind w:right="103"/>
              <w:spacing w:after="0" w:line="178" w:lineRule="exact"/>
              <w:rPr>
                <w:sz w:val="20"/>
                <w:szCs w:val="20"/>
                <w:color w:val="auto"/>
              </w:rPr>
            </w:pPr>
            <w:r>
              <w:rPr>
                <w:rFonts w:ascii="Arial" w:cs="Arial" w:eastAsia="Arial" w:hAnsi="Arial"/>
                <w:sz w:val="16"/>
                <w:szCs w:val="16"/>
                <w:color w:val="auto"/>
              </w:rPr>
              <w:t>438,462</w:t>
            </w:r>
          </w:p>
        </w:tc>
        <w:tc>
          <w:tcPr>
            <w:tcW w:w="80" w:type="dxa"/>
            <w:vAlign w:val="bottom"/>
            <w:shd w:val="clear" w:color="auto" w:fill="EAEAEA"/>
          </w:tcPr>
          <w:p>
            <w:pPr>
              <w:spacing w:after="0"/>
              <w:rPr>
                <w:sz w:val="15"/>
                <w:szCs w:val="15"/>
                <w:color w:val="auto"/>
              </w:rPr>
            </w:pPr>
          </w:p>
        </w:tc>
        <w:tc>
          <w:tcPr>
            <w:tcW w:w="800" w:type="dxa"/>
            <w:vAlign w:val="bottom"/>
            <w:shd w:val="clear" w:color="auto" w:fill="EAEAEA"/>
          </w:tcPr>
          <w:p>
            <w:pPr>
              <w:jc w:val="right"/>
              <w:ind w:right="104"/>
              <w:spacing w:after="0" w:line="178" w:lineRule="exact"/>
              <w:rPr>
                <w:sz w:val="20"/>
                <w:szCs w:val="20"/>
                <w:color w:val="auto"/>
              </w:rPr>
            </w:pPr>
            <w:r>
              <w:rPr>
                <w:rFonts w:ascii="Arial" w:cs="Arial" w:eastAsia="Arial" w:hAnsi="Arial"/>
                <w:sz w:val="16"/>
                <w:szCs w:val="16"/>
                <w:color w:val="auto"/>
                <w:w w:val="84"/>
              </w:rPr>
              <w:t>1,618,867</w:t>
            </w:r>
          </w:p>
        </w:tc>
        <w:tc>
          <w:tcPr>
            <w:tcW w:w="880" w:type="dxa"/>
            <w:vAlign w:val="bottom"/>
          </w:tcPr>
          <w:p>
            <w:pPr>
              <w:jc w:val="right"/>
              <w:ind w:right="103"/>
              <w:spacing w:after="0" w:line="178" w:lineRule="exact"/>
              <w:rPr>
                <w:sz w:val="20"/>
                <w:szCs w:val="20"/>
                <w:color w:val="auto"/>
              </w:rPr>
            </w:pPr>
            <w:r>
              <w:rPr>
                <w:rFonts w:ascii="Arial" w:cs="Arial" w:eastAsia="Arial" w:hAnsi="Arial"/>
                <w:sz w:val="16"/>
                <w:szCs w:val="16"/>
                <w:color w:val="auto"/>
              </w:rPr>
              <w:t>414,212</w:t>
            </w:r>
          </w:p>
        </w:tc>
        <w:tc>
          <w:tcPr>
            <w:tcW w:w="100" w:type="dxa"/>
            <w:vAlign w:val="bottom"/>
            <w:shd w:val="clear" w:color="auto" w:fill="EAEAEA"/>
          </w:tcPr>
          <w:p>
            <w:pPr>
              <w:spacing w:after="0"/>
              <w:rPr>
                <w:sz w:val="15"/>
                <w:szCs w:val="15"/>
                <w:color w:val="auto"/>
              </w:rPr>
            </w:pPr>
          </w:p>
        </w:tc>
        <w:tc>
          <w:tcPr>
            <w:tcW w:w="1100" w:type="dxa"/>
            <w:vAlign w:val="bottom"/>
            <w:shd w:val="clear" w:color="auto" w:fill="EAEAEA"/>
          </w:tcPr>
          <w:p>
            <w:pPr>
              <w:jc w:val="right"/>
              <w:ind w:right="103"/>
              <w:spacing w:after="0" w:line="178" w:lineRule="exact"/>
              <w:rPr>
                <w:sz w:val="20"/>
                <w:szCs w:val="20"/>
                <w:color w:val="auto"/>
              </w:rPr>
            </w:pPr>
            <w:r>
              <w:rPr>
                <w:rFonts w:ascii="Arial" w:cs="Arial" w:eastAsia="Arial" w:hAnsi="Arial"/>
                <w:sz w:val="16"/>
                <w:szCs w:val="16"/>
                <w:color w:val="auto"/>
              </w:rPr>
              <w:t>365,763</w:t>
            </w:r>
          </w:p>
        </w:tc>
        <w:tc>
          <w:tcPr>
            <w:tcW w:w="1200" w:type="dxa"/>
            <w:vAlign w:val="bottom"/>
          </w:tcPr>
          <w:p>
            <w:pPr>
              <w:jc w:val="right"/>
              <w:ind w:right="103"/>
              <w:spacing w:after="0" w:line="178" w:lineRule="exact"/>
              <w:rPr>
                <w:sz w:val="20"/>
                <w:szCs w:val="20"/>
                <w:color w:val="auto"/>
              </w:rPr>
            </w:pPr>
            <w:r>
              <w:rPr>
                <w:rFonts w:ascii="Arial" w:cs="Arial" w:eastAsia="Arial" w:hAnsi="Arial"/>
                <w:sz w:val="16"/>
                <w:szCs w:val="16"/>
                <w:color w:val="auto"/>
              </w:rPr>
              <w:t>331,740</w:t>
            </w:r>
          </w:p>
        </w:tc>
        <w:tc>
          <w:tcPr>
            <w:tcW w:w="80" w:type="dxa"/>
            <w:vAlign w:val="bottom"/>
            <w:shd w:val="clear" w:color="auto" w:fill="EAEAEA"/>
          </w:tcPr>
          <w:p>
            <w:pPr>
              <w:spacing w:after="0"/>
              <w:rPr>
                <w:sz w:val="15"/>
                <w:szCs w:val="15"/>
                <w:color w:val="auto"/>
              </w:rPr>
            </w:pPr>
          </w:p>
        </w:tc>
        <w:tc>
          <w:tcPr>
            <w:tcW w:w="880" w:type="dxa"/>
            <w:vAlign w:val="bottom"/>
            <w:shd w:val="clear" w:color="auto" w:fill="EAEAEA"/>
          </w:tcPr>
          <w:p>
            <w:pPr>
              <w:jc w:val="right"/>
              <w:ind w:right="103"/>
              <w:spacing w:after="0" w:line="178" w:lineRule="exact"/>
              <w:rPr>
                <w:sz w:val="20"/>
                <w:szCs w:val="20"/>
                <w:color w:val="auto"/>
              </w:rPr>
            </w:pPr>
            <w:r>
              <w:rPr>
                <w:rFonts w:ascii="Arial" w:cs="Arial" w:eastAsia="Arial" w:hAnsi="Arial"/>
                <w:sz w:val="16"/>
                <w:szCs w:val="16"/>
                <w:color w:val="auto"/>
                <w:w w:val="95"/>
              </w:rPr>
              <w:t>3,169,044</w:t>
            </w:r>
          </w:p>
        </w:tc>
        <w:tc>
          <w:tcPr>
            <w:tcW w:w="0" w:type="dxa"/>
            <w:vAlign w:val="bottom"/>
          </w:tcPr>
          <w:p>
            <w:pPr>
              <w:spacing w:after="0"/>
              <w:rPr>
                <w:sz w:val="1"/>
                <w:szCs w:val="1"/>
                <w:color w:val="auto"/>
              </w:rPr>
            </w:pPr>
          </w:p>
        </w:tc>
      </w:tr>
      <w:tr>
        <w:trPr>
          <w:trHeight w:val="88"/>
        </w:trPr>
        <w:tc>
          <w:tcPr>
            <w:tcW w:w="3120" w:type="dxa"/>
            <w:vAlign w:val="bottom"/>
            <w:vMerge w:val="restart"/>
          </w:tcPr>
          <w:p>
            <w:pPr>
              <w:ind w:left="60"/>
              <w:spacing w:after="0"/>
              <w:rPr>
                <w:sz w:val="20"/>
                <w:szCs w:val="20"/>
                <w:color w:val="auto"/>
              </w:rPr>
            </w:pPr>
            <w:r>
              <w:rPr>
                <w:rFonts w:ascii="Arial" w:cs="Arial" w:eastAsia="Arial" w:hAnsi="Arial"/>
                <w:sz w:val="16"/>
                <w:szCs w:val="16"/>
                <w:color w:val="auto"/>
              </w:rPr>
              <w:t>Power Products</w:t>
            </w:r>
          </w:p>
        </w:tc>
        <w:tc>
          <w:tcPr>
            <w:tcW w:w="80" w:type="dxa"/>
            <w:vAlign w:val="bottom"/>
            <w:tcBorders>
              <w:bottom w:val="single" w:sz="8" w:color="auto"/>
            </w:tcBorders>
            <w:shd w:val="clear" w:color="auto" w:fill="EAEAEA"/>
          </w:tcPr>
          <w:p>
            <w:pPr>
              <w:spacing w:after="0"/>
              <w:rPr>
                <w:sz w:val="7"/>
                <w:szCs w:val="7"/>
                <w:color w:val="auto"/>
              </w:rPr>
            </w:pPr>
          </w:p>
        </w:tc>
        <w:tc>
          <w:tcPr>
            <w:tcW w:w="560" w:type="dxa"/>
            <w:vAlign w:val="bottom"/>
            <w:tcBorders>
              <w:bottom w:val="single" w:sz="8" w:color="auto"/>
            </w:tcBorders>
            <w:shd w:val="clear" w:color="auto" w:fill="EAEAEA"/>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shd w:val="clear" w:color="auto" w:fill="EAEAEA"/>
          </w:tcPr>
          <w:p>
            <w:pPr>
              <w:spacing w:after="0"/>
              <w:rPr>
                <w:sz w:val="7"/>
                <w:szCs w:val="7"/>
                <w:color w:val="auto"/>
              </w:rPr>
            </w:pPr>
          </w:p>
        </w:tc>
        <w:tc>
          <w:tcPr>
            <w:tcW w:w="800" w:type="dxa"/>
            <w:vAlign w:val="bottom"/>
            <w:tcBorders>
              <w:bottom w:val="single" w:sz="8" w:color="auto"/>
            </w:tcBorders>
            <w:shd w:val="clear" w:color="auto" w:fill="EAEAEA"/>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shd w:val="clear" w:color="auto" w:fill="EAEAEA"/>
          </w:tcPr>
          <w:p>
            <w:pPr>
              <w:spacing w:after="0"/>
              <w:rPr>
                <w:sz w:val="7"/>
                <w:szCs w:val="7"/>
                <w:color w:val="auto"/>
              </w:rPr>
            </w:pPr>
          </w:p>
        </w:tc>
        <w:tc>
          <w:tcPr>
            <w:tcW w:w="1100" w:type="dxa"/>
            <w:vAlign w:val="bottom"/>
            <w:tcBorders>
              <w:bottom w:val="single" w:sz="8" w:color="auto"/>
            </w:tcBorders>
            <w:shd w:val="clear" w:color="auto" w:fill="EAEAEA"/>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shd w:val="clear" w:color="auto" w:fill="EAEAEA"/>
          </w:tcPr>
          <w:p>
            <w:pPr>
              <w:spacing w:after="0"/>
              <w:rPr>
                <w:sz w:val="7"/>
                <w:szCs w:val="7"/>
                <w:color w:val="auto"/>
              </w:rPr>
            </w:pPr>
          </w:p>
        </w:tc>
        <w:tc>
          <w:tcPr>
            <w:tcW w:w="880" w:type="dxa"/>
            <w:vAlign w:val="bottom"/>
            <w:tcBorders>
              <w:bottom w:val="single" w:sz="8" w:color="auto"/>
            </w:tcBorders>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120" w:type="dxa"/>
            <w:vAlign w:val="bottom"/>
            <w:vMerge w:val="continue"/>
          </w:tcPr>
          <w:p>
            <w:pPr>
              <w:spacing w:after="0"/>
              <w:rPr>
                <w:sz w:val="7"/>
                <w:szCs w:val="7"/>
                <w:color w:val="auto"/>
              </w:rPr>
            </w:pPr>
          </w:p>
        </w:tc>
        <w:tc>
          <w:tcPr>
            <w:tcW w:w="80" w:type="dxa"/>
            <w:vAlign w:val="bottom"/>
            <w:shd w:val="clear" w:color="auto" w:fill="EAEAEA"/>
          </w:tcPr>
          <w:p>
            <w:pPr>
              <w:spacing w:after="0"/>
              <w:rPr>
                <w:sz w:val="7"/>
                <w:szCs w:val="7"/>
                <w:color w:val="auto"/>
              </w:rPr>
            </w:pPr>
          </w:p>
        </w:tc>
        <w:tc>
          <w:tcPr>
            <w:tcW w:w="560" w:type="dxa"/>
            <w:vAlign w:val="bottom"/>
            <w:vMerge w:val="restart"/>
            <w:shd w:val="clear" w:color="auto" w:fill="EAEAEA"/>
          </w:tcPr>
          <w:p>
            <w:pPr>
              <w:jc w:val="right"/>
              <w:ind w:right="103"/>
              <w:spacing w:after="0"/>
              <w:rPr>
                <w:sz w:val="20"/>
                <w:szCs w:val="20"/>
                <w:color w:val="auto"/>
              </w:rPr>
            </w:pPr>
            <w:r>
              <w:rPr>
                <w:rFonts w:ascii="Arial" w:cs="Arial" w:eastAsia="Arial" w:hAnsi="Arial"/>
                <w:sz w:val="16"/>
                <w:szCs w:val="16"/>
                <w:color w:val="auto"/>
              </w:rPr>
              <w:t>2018</w:t>
            </w:r>
          </w:p>
        </w:tc>
        <w:tc>
          <w:tcPr>
            <w:tcW w:w="880" w:type="dxa"/>
            <w:vAlign w:val="bottom"/>
            <w:vMerge w:val="restart"/>
          </w:tcPr>
          <w:p>
            <w:pPr>
              <w:jc w:val="right"/>
              <w:ind w:right="103"/>
              <w:spacing w:after="0"/>
              <w:rPr>
                <w:sz w:val="20"/>
                <w:szCs w:val="20"/>
                <w:color w:val="auto"/>
              </w:rPr>
            </w:pPr>
            <w:r>
              <w:rPr>
                <w:rFonts w:ascii="Arial" w:cs="Arial" w:eastAsia="Arial" w:hAnsi="Arial"/>
                <w:sz w:val="16"/>
                <w:szCs w:val="16"/>
                <w:color w:val="auto"/>
              </w:rPr>
              <w:t>408,786</w:t>
            </w:r>
          </w:p>
        </w:tc>
        <w:tc>
          <w:tcPr>
            <w:tcW w:w="80" w:type="dxa"/>
            <w:vAlign w:val="bottom"/>
            <w:shd w:val="clear" w:color="auto" w:fill="EAEAEA"/>
          </w:tcPr>
          <w:p>
            <w:pPr>
              <w:spacing w:after="0"/>
              <w:rPr>
                <w:sz w:val="7"/>
                <w:szCs w:val="7"/>
                <w:color w:val="auto"/>
              </w:rPr>
            </w:pPr>
          </w:p>
        </w:tc>
        <w:tc>
          <w:tcPr>
            <w:tcW w:w="800" w:type="dxa"/>
            <w:vAlign w:val="bottom"/>
            <w:vMerge w:val="restart"/>
            <w:shd w:val="clear" w:color="auto" w:fill="EAEAEA"/>
          </w:tcPr>
          <w:p>
            <w:pPr>
              <w:jc w:val="right"/>
              <w:ind w:right="104"/>
              <w:spacing w:after="0"/>
              <w:rPr>
                <w:sz w:val="20"/>
                <w:szCs w:val="20"/>
                <w:color w:val="auto"/>
              </w:rPr>
            </w:pPr>
            <w:r>
              <w:rPr>
                <w:rFonts w:ascii="Arial" w:cs="Arial" w:eastAsia="Arial" w:hAnsi="Arial"/>
                <w:sz w:val="16"/>
                <w:szCs w:val="16"/>
                <w:color w:val="auto"/>
                <w:w w:val="84"/>
              </w:rPr>
              <w:t>1,451,045</w:t>
            </w:r>
          </w:p>
        </w:tc>
        <w:tc>
          <w:tcPr>
            <w:tcW w:w="880" w:type="dxa"/>
            <w:vAlign w:val="bottom"/>
            <w:vMerge w:val="restart"/>
          </w:tcPr>
          <w:p>
            <w:pPr>
              <w:jc w:val="right"/>
              <w:ind w:right="103"/>
              <w:spacing w:after="0"/>
              <w:rPr>
                <w:sz w:val="20"/>
                <w:szCs w:val="20"/>
                <w:color w:val="auto"/>
              </w:rPr>
            </w:pPr>
            <w:r>
              <w:rPr>
                <w:rFonts w:ascii="Arial" w:cs="Arial" w:eastAsia="Arial" w:hAnsi="Arial"/>
                <w:sz w:val="16"/>
                <w:szCs w:val="16"/>
                <w:color w:val="auto"/>
              </w:rPr>
              <w:t>493,930</w:t>
            </w:r>
          </w:p>
        </w:tc>
        <w:tc>
          <w:tcPr>
            <w:tcW w:w="100" w:type="dxa"/>
            <w:vAlign w:val="bottom"/>
            <w:shd w:val="clear" w:color="auto" w:fill="EAEAEA"/>
          </w:tcPr>
          <w:p>
            <w:pPr>
              <w:spacing w:after="0"/>
              <w:rPr>
                <w:sz w:val="7"/>
                <w:szCs w:val="7"/>
                <w:color w:val="auto"/>
              </w:rPr>
            </w:pPr>
          </w:p>
        </w:tc>
        <w:tc>
          <w:tcPr>
            <w:tcW w:w="1100" w:type="dxa"/>
            <w:vAlign w:val="bottom"/>
            <w:vMerge w:val="restart"/>
            <w:shd w:val="clear" w:color="auto" w:fill="EAEAEA"/>
          </w:tcPr>
          <w:p>
            <w:pPr>
              <w:jc w:val="right"/>
              <w:ind w:right="103"/>
              <w:spacing w:after="0"/>
              <w:rPr>
                <w:sz w:val="20"/>
                <w:szCs w:val="20"/>
                <w:color w:val="auto"/>
              </w:rPr>
            </w:pPr>
            <w:r>
              <w:rPr>
                <w:rFonts w:ascii="Arial" w:cs="Arial" w:eastAsia="Arial" w:hAnsi="Arial"/>
                <w:sz w:val="16"/>
                <w:szCs w:val="16"/>
                <w:color w:val="auto"/>
              </w:rPr>
              <w:t>771,403</w:t>
            </w:r>
          </w:p>
        </w:tc>
        <w:tc>
          <w:tcPr>
            <w:tcW w:w="1200" w:type="dxa"/>
            <w:vAlign w:val="bottom"/>
            <w:vMerge w:val="restart"/>
          </w:tcPr>
          <w:p>
            <w:pPr>
              <w:jc w:val="right"/>
              <w:ind w:right="103"/>
              <w:spacing w:after="0"/>
              <w:rPr>
                <w:sz w:val="20"/>
                <w:szCs w:val="20"/>
                <w:color w:val="auto"/>
              </w:rPr>
            </w:pPr>
            <w:r>
              <w:rPr>
                <w:rFonts w:ascii="Arial" w:cs="Arial" w:eastAsia="Arial" w:hAnsi="Arial"/>
                <w:sz w:val="16"/>
                <w:szCs w:val="16"/>
                <w:color w:val="auto"/>
              </w:rPr>
              <w:t>242,397</w:t>
            </w:r>
          </w:p>
        </w:tc>
        <w:tc>
          <w:tcPr>
            <w:tcW w:w="80" w:type="dxa"/>
            <w:vAlign w:val="bottom"/>
            <w:shd w:val="clear" w:color="auto" w:fill="EAEAEA"/>
          </w:tcPr>
          <w:p>
            <w:pPr>
              <w:spacing w:after="0"/>
              <w:rPr>
                <w:sz w:val="7"/>
                <w:szCs w:val="7"/>
                <w:color w:val="auto"/>
              </w:rPr>
            </w:pPr>
          </w:p>
        </w:tc>
        <w:tc>
          <w:tcPr>
            <w:tcW w:w="880" w:type="dxa"/>
            <w:vAlign w:val="bottom"/>
            <w:vMerge w:val="restart"/>
            <w:shd w:val="clear" w:color="auto" w:fill="EAEAEA"/>
          </w:tcPr>
          <w:p>
            <w:pPr>
              <w:jc w:val="right"/>
              <w:ind w:right="103"/>
              <w:spacing w:after="0"/>
              <w:rPr>
                <w:sz w:val="20"/>
                <w:szCs w:val="20"/>
                <w:color w:val="auto"/>
              </w:rPr>
            </w:pPr>
            <w:r>
              <w:rPr>
                <w:rFonts w:ascii="Arial" w:cs="Arial" w:eastAsia="Arial" w:hAnsi="Arial"/>
                <w:sz w:val="16"/>
                <w:szCs w:val="16"/>
                <w:color w:val="auto"/>
                <w:w w:val="95"/>
              </w:rPr>
              <w:t>3,367,561</w:t>
            </w:r>
          </w:p>
        </w:tc>
        <w:tc>
          <w:tcPr>
            <w:tcW w:w="0" w:type="dxa"/>
            <w:vAlign w:val="bottom"/>
          </w:tcPr>
          <w:p>
            <w:pPr>
              <w:spacing w:after="0"/>
              <w:rPr>
                <w:sz w:val="1"/>
                <w:szCs w:val="1"/>
                <w:color w:val="auto"/>
              </w:rPr>
            </w:pPr>
          </w:p>
        </w:tc>
      </w:tr>
      <w:tr>
        <w:trPr>
          <w:trHeight w:val="104"/>
        </w:trPr>
        <w:tc>
          <w:tcPr>
            <w:tcW w:w="3120" w:type="dxa"/>
            <w:vAlign w:val="bottom"/>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560" w:type="dxa"/>
            <w:vAlign w:val="bottom"/>
            <w:vMerge w:val="continue"/>
            <w:shd w:val="clear" w:color="auto" w:fill="EAEAEA"/>
          </w:tcPr>
          <w:p>
            <w:pPr>
              <w:spacing w:after="0"/>
              <w:rPr>
                <w:sz w:val="9"/>
                <w:szCs w:val="9"/>
                <w:color w:val="auto"/>
              </w:rPr>
            </w:pPr>
          </w:p>
        </w:tc>
        <w:tc>
          <w:tcPr>
            <w:tcW w:w="880" w:type="dxa"/>
            <w:vAlign w:val="bottom"/>
            <w:vMerge w:val="continue"/>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800" w:type="dxa"/>
            <w:vAlign w:val="bottom"/>
            <w:vMerge w:val="continue"/>
            <w:shd w:val="clear" w:color="auto" w:fill="EAEAEA"/>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shd w:val="clear" w:color="auto" w:fill="EAEAEA"/>
          </w:tcPr>
          <w:p>
            <w:pPr>
              <w:spacing w:after="0"/>
              <w:rPr>
                <w:sz w:val="9"/>
                <w:szCs w:val="9"/>
                <w:color w:val="auto"/>
              </w:rPr>
            </w:pPr>
          </w:p>
        </w:tc>
        <w:tc>
          <w:tcPr>
            <w:tcW w:w="1100" w:type="dxa"/>
            <w:vAlign w:val="bottom"/>
            <w:vMerge w:val="continue"/>
            <w:shd w:val="clear" w:color="auto" w:fill="EAEAEA"/>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88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3120" w:type="dxa"/>
            <w:vAlign w:val="bottom"/>
            <w:tcBorders>
              <w:bottom w:val="single" w:sz="8" w:color="0066BA"/>
            </w:tcBorders>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56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80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tcPr>
          <w:p>
            <w:pPr>
              <w:spacing w:after="0"/>
              <w:rPr>
                <w:sz w:val="6"/>
                <w:szCs w:val="6"/>
                <w:color w:val="auto"/>
              </w:rPr>
            </w:pPr>
          </w:p>
        </w:tc>
        <w:tc>
          <w:tcPr>
            <w:tcW w:w="100" w:type="dxa"/>
            <w:vAlign w:val="bottom"/>
            <w:tcBorders>
              <w:bottom w:val="single" w:sz="8" w:color="0066BA"/>
            </w:tcBorders>
            <w:shd w:val="clear" w:color="auto" w:fill="EAEAEA"/>
          </w:tcPr>
          <w:p>
            <w:pPr>
              <w:spacing w:after="0"/>
              <w:rPr>
                <w:sz w:val="6"/>
                <w:szCs w:val="6"/>
                <w:color w:val="auto"/>
              </w:rPr>
            </w:pPr>
          </w:p>
        </w:tc>
        <w:tc>
          <w:tcPr>
            <w:tcW w:w="1100" w:type="dxa"/>
            <w:vAlign w:val="bottom"/>
            <w:tcBorders>
              <w:bottom w:val="single" w:sz="8" w:color="0066BA"/>
            </w:tcBorders>
            <w:shd w:val="clear" w:color="auto" w:fill="EAEAEA"/>
          </w:tcPr>
          <w:p>
            <w:pPr>
              <w:spacing w:after="0"/>
              <w:rPr>
                <w:sz w:val="6"/>
                <w:szCs w:val="6"/>
                <w:color w:val="auto"/>
              </w:rPr>
            </w:pPr>
          </w:p>
        </w:tc>
        <w:tc>
          <w:tcPr>
            <w:tcW w:w="1200" w:type="dxa"/>
            <w:vAlign w:val="bottom"/>
            <w:tcBorders>
              <w:bottom w:val="single" w:sz="8" w:color="0066BA"/>
            </w:tcBorders>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bl>
    <w:p>
      <w:pPr>
        <w:ind w:left="740" w:right="1040" w:hanging="265"/>
        <w:spacing w:after="0" w:line="302" w:lineRule="auto"/>
        <w:tabs>
          <w:tab w:leader="none" w:pos="769"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Amounts represent the aggregate grant date fair value of time-based RSUs and PRSUs granted in fiscal 2020, 2019 and 2018. b. Amounts represent the aggregate grant date fair value of stock options granted in fiscal 2020, 2019 and 2018.</w:t>
      </w:r>
    </w:p>
    <w:p>
      <w:pPr>
        <w:spacing w:after="0" w:line="149" w:lineRule="exact"/>
        <w:rPr>
          <w:sz w:val="20"/>
          <w:szCs w:val="20"/>
          <w:color w:val="auto"/>
        </w:rPr>
      </w:pPr>
    </w:p>
    <w:p>
      <w:pPr>
        <w:ind w:left="480"/>
        <w:spacing w:after="0" w:line="270" w:lineRule="auto"/>
        <w:rPr>
          <w:sz w:val="20"/>
          <w:szCs w:val="20"/>
          <w:color w:val="auto"/>
        </w:rPr>
      </w:pPr>
      <w:r>
        <w:rPr>
          <w:rFonts w:ascii="Arial" w:cs="Arial" w:eastAsia="Arial" w:hAnsi="Arial"/>
          <w:sz w:val="17"/>
          <w:szCs w:val="17"/>
          <w:color w:val="auto"/>
        </w:rPr>
        <w:t>These amounts do not represent the actual amounts paid to or realized by the NEO for these awards during the respective fiscal years. We recognize the value as of the grant date for stock options and time-based RSUs and PRSUs over the number of days of service required for the grant to become vested.</w:t>
      </w:r>
    </w:p>
    <w:p>
      <w:pPr>
        <w:spacing w:after="0" w:line="200" w:lineRule="exact"/>
        <w:rPr>
          <w:sz w:val="20"/>
          <w:szCs w:val="20"/>
          <w:color w:val="auto"/>
        </w:rPr>
      </w:pPr>
    </w:p>
    <w:p>
      <w:pPr>
        <w:spacing w:after="0" w:line="29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0740"/>
          </w:cols>
          <w:pgMar w:left="320" w:top="447" w:right="8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both"/>
        <w:ind w:left="480" w:right="180"/>
        <w:spacing w:after="0" w:line="270" w:lineRule="auto"/>
        <w:rPr>
          <w:sz w:val="20"/>
          <w:szCs w:val="20"/>
          <w:color w:val="auto"/>
        </w:rPr>
      </w:pPr>
      <w:r>
        <w:rPr>
          <w:rFonts w:ascii="Arial" w:cs="Arial" w:eastAsia="Arial" w:hAnsi="Arial"/>
          <w:sz w:val="17"/>
          <w:szCs w:val="17"/>
          <w:color w:val="auto"/>
        </w:rPr>
        <w:t>The following table includes the assumptions, rounded to the nearest hundredth, that we used to calculate the grant date fair value reported for fiscal years 2020, 2019 and 2018 on a grant-by-grant basis and the grant date fair value of relative TSR PRSUs and financial metric PRSUs, assuming the achievement of the maximum level of performance conditions.</w:t>
      </w:r>
    </w:p>
    <w:p>
      <w:pPr>
        <w:spacing w:after="0" w:line="211"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200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Name</w:t>
            </w:r>
          </w:p>
        </w:tc>
        <w:tc>
          <w:tcPr>
            <w:tcW w:w="120" w:type="dxa"/>
            <w:vAlign w:val="bottom"/>
            <w:shd w:val="clear" w:color="auto" w:fill="0066BA"/>
          </w:tcPr>
          <w:p>
            <w:pPr>
              <w:spacing w:after="0"/>
              <w:rPr>
                <w:sz w:val="14"/>
                <w:szCs w:val="14"/>
                <w:color w:val="auto"/>
              </w:rPr>
            </w:pPr>
          </w:p>
        </w:tc>
        <w:tc>
          <w:tcPr>
            <w:tcW w:w="700" w:type="dxa"/>
            <w:vAlign w:val="bottom"/>
            <w:tcBorders>
              <w:right w:val="single" w:sz="8" w:color="0066BA"/>
            </w:tcBorders>
            <w:shd w:val="clear" w:color="auto" w:fill="0066BA"/>
          </w:tcPr>
          <w:p>
            <w:pPr>
              <w:jc w:val="right"/>
              <w:spacing w:after="0"/>
              <w:rPr>
                <w:sz w:val="20"/>
                <w:szCs w:val="20"/>
                <w:color w:val="auto"/>
              </w:rPr>
            </w:pPr>
            <w:r>
              <w:rPr>
                <w:rFonts w:ascii="Arial" w:cs="Arial" w:eastAsia="Arial" w:hAnsi="Arial"/>
                <w:sz w:val="14"/>
                <w:szCs w:val="14"/>
                <w:b w:val="1"/>
                <w:bCs w:val="1"/>
                <w:color w:val="FFFFFF"/>
              </w:rPr>
              <w:t>Grant</w:t>
            </w:r>
          </w:p>
        </w:tc>
        <w:tc>
          <w:tcPr>
            <w:tcW w:w="1120" w:type="dxa"/>
            <w:vAlign w:val="bottom"/>
            <w:shd w:val="clear" w:color="auto" w:fill="0066BA"/>
          </w:tcPr>
          <w:p>
            <w:pPr>
              <w:jc w:val="right"/>
              <w:ind w:right="183"/>
              <w:spacing w:after="0"/>
              <w:rPr>
                <w:sz w:val="20"/>
                <w:szCs w:val="20"/>
                <w:color w:val="auto"/>
              </w:rPr>
            </w:pPr>
            <w:r>
              <w:rPr>
                <w:rFonts w:ascii="Arial" w:cs="Arial" w:eastAsia="Arial" w:hAnsi="Arial"/>
                <w:sz w:val="14"/>
                <w:szCs w:val="14"/>
                <w:b w:val="1"/>
                <w:bCs w:val="1"/>
                <w:color w:val="FFFFFF"/>
              </w:rPr>
              <w:t>Options/</w:t>
            </w:r>
          </w:p>
        </w:tc>
        <w:tc>
          <w:tcPr>
            <w:tcW w:w="740" w:type="dxa"/>
            <w:vAlign w:val="bottom"/>
            <w:gridSpan w:val="3"/>
            <w:shd w:val="clear" w:color="auto" w:fill="0066BA"/>
          </w:tcPr>
          <w:p>
            <w:pPr>
              <w:jc w:val="right"/>
              <w:ind w:right="80"/>
              <w:spacing w:after="0"/>
              <w:rPr>
                <w:sz w:val="20"/>
                <w:szCs w:val="20"/>
                <w:color w:val="auto"/>
              </w:rPr>
            </w:pPr>
            <w:r>
              <w:rPr>
                <w:rFonts w:ascii="Arial" w:cs="Arial" w:eastAsia="Arial" w:hAnsi="Arial"/>
                <w:sz w:val="14"/>
                <w:szCs w:val="14"/>
                <w:b w:val="1"/>
                <w:bCs w:val="1"/>
                <w:color w:val="FFFFFF"/>
              </w:rPr>
              <w:t>Exercise</w:t>
            </w:r>
          </w:p>
        </w:tc>
        <w:tc>
          <w:tcPr>
            <w:tcW w:w="980" w:type="dxa"/>
            <w:vAlign w:val="bottom"/>
            <w:shd w:val="clear" w:color="auto" w:fill="0066BA"/>
          </w:tcPr>
          <w:p>
            <w:pPr>
              <w:jc w:val="right"/>
              <w:ind w:right="2"/>
              <w:spacing w:after="0"/>
              <w:rPr>
                <w:sz w:val="20"/>
                <w:szCs w:val="20"/>
                <w:color w:val="auto"/>
              </w:rPr>
            </w:pPr>
            <w:r>
              <w:rPr>
                <w:rFonts w:ascii="Arial" w:cs="Arial" w:eastAsia="Arial" w:hAnsi="Arial"/>
                <w:sz w:val="14"/>
                <w:szCs w:val="14"/>
                <w:b w:val="1"/>
                <w:bCs w:val="1"/>
                <w:color w:val="FFFFFF"/>
              </w:rPr>
              <w:t>Volatility (%)</w:t>
            </w:r>
          </w:p>
        </w:tc>
        <w:tc>
          <w:tcPr>
            <w:tcW w:w="780" w:type="dxa"/>
            <w:vAlign w:val="bottom"/>
            <w:gridSpan w:val="3"/>
            <w:shd w:val="clear" w:color="auto" w:fill="0066BA"/>
          </w:tcPr>
          <w:p>
            <w:pPr>
              <w:jc w:val="right"/>
              <w:ind w:right="60"/>
              <w:spacing w:after="0"/>
              <w:rPr>
                <w:sz w:val="20"/>
                <w:szCs w:val="20"/>
                <w:color w:val="auto"/>
              </w:rPr>
            </w:pPr>
            <w:r>
              <w:rPr>
                <w:rFonts w:ascii="Arial" w:cs="Arial" w:eastAsia="Arial" w:hAnsi="Arial"/>
                <w:sz w:val="14"/>
                <w:szCs w:val="14"/>
                <w:b w:val="1"/>
                <w:bCs w:val="1"/>
                <w:color w:val="FFFFFF"/>
              </w:rPr>
              <w:t>Expected</w:t>
            </w:r>
          </w:p>
        </w:tc>
        <w:tc>
          <w:tcPr>
            <w:tcW w:w="720" w:type="dxa"/>
            <w:vAlign w:val="bottom"/>
            <w:shd w:val="clear" w:color="auto" w:fill="0066BA"/>
          </w:tcPr>
          <w:p>
            <w:pPr>
              <w:jc w:val="right"/>
              <w:ind w:right="3"/>
              <w:spacing w:after="0"/>
              <w:rPr>
                <w:sz w:val="20"/>
                <w:szCs w:val="20"/>
                <w:color w:val="auto"/>
              </w:rPr>
            </w:pPr>
            <w:r>
              <w:rPr>
                <w:rFonts w:ascii="Arial" w:cs="Arial" w:eastAsia="Arial" w:hAnsi="Arial"/>
                <w:sz w:val="14"/>
                <w:szCs w:val="14"/>
                <w:b w:val="1"/>
                <w:bCs w:val="1"/>
                <w:color w:val="FFFFFF"/>
              </w:rPr>
              <w:t>Risk-</w:t>
            </w:r>
          </w:p>
        </w:tc>
        <w:tc>
          <w:tcPr>
            <w:tcW w:w="740" w:type="dxa"/>
            <w:vAlign w:val="bottom"/>
            <w:gridSpan w:val="3"/>
            <w:shd w:val="clear" w:color="auto" w:fill="0066BA"/>
          </w:tcPr>
          <w:p>
            <w:pPr>
              <w:ind w:left="80"/>
              <w:spacing w:after="0"/>
              <w:rPr>
                <w:sz w:val="20"/>
                <w:szCs w:val="20"/>
                <w:color w:val="auto"/>
              </w:rPr>
            </w:pPr>
            <w:r>
              <w:rPr>
                <w:rFonts w:ascii="Arial" w:cs="Arial" w:eastAsia="Arial" w:hAnsi="Arial"/>
                <w:sz w:val="14"/>
                <w:szCs w:val="14"/>
                <w:b w:val="1"/>
                <w:bCs w:val="1"/>
                <w:color w:val="FFFFFF"/>
              </w:rPr>
              <w:t>Dividend</w:t>
            </w:r>
          </w:p>
        </w:tc>
        <w:tc>
          <w:tcPr>
            <w:tcW w:w="880" w:type="dxa"/>
            <w:vAlign w:val="bottom"/>
            <w:shd w:val="clear" w:color="auto" w:fill="0066BA"/>
          </w:tcPr>
          <w:p>
            <w:pPr>
              <w:jc w:val="right"/>
              <w:ind w:right="3"/>
              <w:spacing w:after="0"/>
              <w:rPr>
                <w:sz w:val="20"/>
                <w:szCs w:val="20"/>
                <w:color w:val="auto"/>
              </w:rPr>
            </w:pPr>
            <w:r>
              <w:rPr>
                <w:rFonts w:ascii="Arial" w:cs="Arial" w:eastAsia="Arial" w:hAnsi="Arial"/>
                <w:sz w:val="14"/>
                <w:szCs w:val="14"/>
                <w:b w:val="1"/>
                <w:bCs w:val="1"/>
                <w:color w:val="FFFFFF"/>
              </w:rPr>
              <w:t>Grant Date</w:t>
            </w:r>
          </w:p>
        </w:tc>
        <w:tc>
          <w:tcPr>
            <w:tcW w:w="120" w:type="dxa"/>
            <w:vAlign w:val="bottom"/>
            <w:shd w:val="clear" w:color="auto" w:fill="0066BA"/>
          </w:tcPr>
          <w:p>
            <w:pPr>
              <w:spacing w:after="0"/>
              <w:rPr>
                <w:sz w:val="14"/>
                <w:szCs w:val="14"/>
                <w:color w:val="auto"/>
              </w:rPr>
            </w:pPr>
          </w:p>
        </w:tc>
        <w:tc>
          <w:tcPr>
            <w:tcW w:w="1080" w:type="dxa"/>
            <w:vAlign w:val="bottom"/>
            <w:gridSpan w:val="2"/>
            <w:shd w:val="clear" w:color="auto" w:fill="0066BA"/>
          </w:tcPr>
          <w:p>
            <w:pPr>
              <w:jc w:val="right"/>
              <w:ind w:right="80"/>
              <w:spacing w:after="0"/>
              <w:rPr>
                <w:sz w:val="20"/>
                <w:szCs w:val="20"/>
                <w:color w:val="auto"/>
              </w:rPr>
            </w:pPr>
            <w:r>
              <w:rPr>
                <w:rFonts w:ascii="Arial" w:cs="Arial" w:eastAsia="Arial" w:hAnsi="Arial"/>
                <w:sz w:val="14"/>
                <w:szCs w:val="14"/>
                <w:b w:val="1"/>
                <w:bCs w:val="1"/>
                <w:color w:val="FFFFFF"/>
              </w:rPr>
              <w:t>Grant Date</w:t>
            </w:r>
          </w:p>
        </w:tc>
        <w:tc>
          <w:tcPr>
            <w:tcW w:w="0" w:type="dxa"/>
            <w:vAlign w:val="bottom"/>
          </w:tcPr>
          <w:p>
            <w:pPr>
              <w:spacing w:after="0"/>
              <w:rPr>
                <w:sz w:val="1"/>
                <w:szCs w:val="1"/>
                <w:color w:val="auto"/>
              </w:rPr>
            </w:pPr>
          </w:p>
        </w:tc>
      </w:tr>
      <w:tr>
        <w:trPr>
          <w:trHeight w:val="156"/>
        </w:trPr>
        <w:tc>
          <w:tcPr>
            <w:tcW w:w="2000" w:type="dxa"/>
            <w:vAlign w:val="bottom"/>
            <w:shd w:val="clear" w:color="auto" w:fill="0066BA"/>
          </w:tcPr>
          <w:p>
            <w:pPr>
              <w:spacing w:after="0"/>
              <w:rPr>
                <w:sz w:val="13"/>
                <w:szCs w:val="13"/>
                <w:color w:val="auto"/>
              </w:rPr>
            </w:pPr>
          </w:p>
        </w:tc>
        <w:tc>
          <w:tcPr>
            <w:tcW w:w="120" w:type="dxa"/>
            <w:vAlign w:val="bottom"/>
            <w:shd w:val="clear" w:color="auto" w:fill="0066BA"/>
          </w:tcPr>
          <w:p>
            <w:pPr>
              <w:spacing w:after="0"/>
              <w:rPr>
                <w:sz w:val="13"/>
                <w:szCs w:val="13"/>
                <w:color w:val="auto"/>
              </w:rPr>
            </w:pPr>
          </w:p>
        </w:tc>
        <w:tc>
          <w:tcPr>
            <w:tcW w:w="700" w:type="dxa"/>
            <w:vAlign w:val="bottom"/>
            <w:tcBorders>
              <w:right w:val="single" w:sz="8" w:color="0066BA"/>
            </w:tcBorders>
            <w:shd w:val="clear" w:color="auto" w:fill="0066BA"/>
          </w:tcPr>
          <w:p>
            <w:pPr>
              <w:jc w:val="right"/>
              <w:spacing w:after="0" w:line="156" w:lineRule="exact"/>
              <w:rPr>
                <w:sz w:val="20"/>
                <w:szCs w:val="20"/>
                <w:color w:val="auto"/>
              </w:rPr>
            </w:pPr>
            <w:r>
              <w:rPr>
                <w:rFonts w:ascii="Arial" w:cs="Arial" w:eastAsia="Arial" w:hAnsi="Arial"/>
                <w:sz w:val="14"/>
                <w:szCs w:val="14"/>
                <w:b w:val="1"/>
                <w:bCs w:val="1"/>
                <w:color w:val="FFFFFF"/>
              </w:rPr>
              <w:t>Date</w:t>
            </w:r>
          </w:p>
        </w:tc>
        <w:tc>
          <w:tcPr>
            <w:tcW w:w="1120" w:type="dxa"/>
            <w:vAlign w:val="bottom"/>
            <w:shd w:val="clear" w:color="auto" w:fill="0066BA"/>
          </w:tcPr>
          <w:p>
            <w:pPr>
              <w:jc w:val="right"/>
              <w:ind w:right="183"/>
              <w:spacing w:after="0" w:line="156" w:lineRule="exact"/>
              <w:rPr>
                <w:sz w:val="20"/>
                <w:szCs w:val="20"/>
                <w:color w:val="auto"/>
              </w:rPr>
            </w:pPr>
            <w:r>
              <w:rPr>
                <w:rFonts w:ascii="Arial" w:cs="Arial" w:eastAsia="Arial" w:hAnsi="Arial"/>
                <w:sz w:val="14"/>
                <w:szCs w:val="14"/>
                <w:b w:val="1"/>
                <w:bCs w:val="1"/>
                <w:color w:val="FFFFFF"/>
              </w:rPr>
              <w:t>Restricted</w:t>
            </w:r>
          </w:p>
        </w:tc>
        <w:tc>
          <w:tcPr>
            <w:tcW w:w="740" w:type="dxa"/>
            <w:vAlign w:val="bottom"/>
            <w:gridSpan w:val="3"/>
            <w:shd w:val="clear" w:color="auto" w:fill="0066BA"/>
          </w:tcPr>
          <w:p>
            <w:pPr>
              <w:jc w:val="right"/>
              <w:ind w:right="80"/>
              <w:spacing w:after="0" w:line="156" w:lineRule="exact"/>
              <w:rPr>
                <w:sz w:val="20"/>
                <w:szCs w:val="20"/>
                <w:color w:val="auto"/>
              </w:rPr>
            </w:pPr>
            <w:r>
              <w:rPr>
                <w:rFonts w:ascii="Arial" w:cs="Arial" w:eastAsia="Arial" w:hAnsi="Arial"/>
                <w:sz w:val="14"/>
                <w:szCs w:val="14"/>
                <w:b w:val="1"/>
                <w:bCs w:val="1"/>
                <w:color w:val="FFFFFF"/>
              </w:rPr>
              <w:t>Price ($)</w:t>
            </w:r>
          </w:p>
        </w:tc>
        <w:tc>
          <w:tcPr>
            <w:tcW w:w="980" w:type="dxa"/>
            <w:vAlign w:val="bottom"/>
            <w:shd w:val="clear" w:color="auto" w:fill="0066BA"/>
          </w:tcPr>
          <w:p>
            <w:pPr>
              <w:spacing w:after="0"/>
              <w:rPr>
                <w:sz w:val="13"/>
                <w:szCs w:val="13"/>
                <w:color w:val="auto"/>
              </w:rPr>
            </w:pPr>
          </w:p>
        </w:tc>
        <w:tc>
          <w:tcPr>
            <w:tcW w:w="180" w:type="dxa"/>
            <w:vAlign w:val="bottom"/>
            <w:shd w:val="clear" w:color="auto" w:fill="0066BA"/>
          </w:tcPr>
          <w:p>
            <w:pPr>
              <w:spacing w:after="0"/>
              <w:rPr>
                <w:sz w:val="13"/>
                <w:szCs w:val="13"/>
                <w:color w:val="auto"/>
              </w:rPr>
            </w:pPr>
          </w:p>
        </w:tc>
        <w:tc>
          <w:tcPr>
            <w:tcW w:w="600" w:type="dxa"/>
            <w:vAlign w:val="bottom"/>
            <w:gridSpan w:val="2"/>
            <w:shd w:val="clear" w:color="auto" w:fill="0066BA"/>
          </w:tcPr>
          <w:p>
            <w:pPr>
              <w:jc w:val="right"/>
              <w:ind w:right="60"/>
              <w:spacing w:after="0" w:line="156" w:lineRule="exact"/>
              <w:rPr>
                <w:sz w:val="20"/>
                <w:szCs w:val="20"/>
                <w:color w:val="auto"/>
              </w:rPr>
            </w:pPr>
            <w:r>
              <w:rPr>
                <w:rFonts w:ascii="Arial" w:cs="Arial" w:eastAsia="Arial" w:hAnsi="Arial"/>
                <w:sz w:val="14"/>
                <w:szCs w:val="14"/>
                <w:b w:val="1"/>
                <w:bCs w:val="1"/>
                <w:color w:val="FFFFFF"/>
              </w:rPr>
              <w:t>Life</w:t>
            </w:r>
          </w:p>
        </w:tc>
        <w:tc>
          <w:tcPr>
            <w:tcW w:w="720" w:type="dxa"/>
            <w:vAlign w:val="bottom"/>
            <w:shd w:val="clear" w:color="auto" w:fill="0066BA"/>
          </w:tcPr>
          <w:p>
            <w:pPr>
              <w:jc w:val="right"/>
              <w:ind w:right="3"/>
              <w:spacing w:after="0" w:line="156" w:lineRule="exact"/>
              <w:rPr>
                <w:sz w:val="20"/>
                <w:szCs w:val="20"/>
                <w:color w:val="auto"/>
              </w:rPr>
            </w:pPr>
            <w:r>
              <w:rPr>
                <w:rFonts w:ascii="Arial" w:cs="Arial" w:eastAsia="Arial" w:hAnsi="Arial"/>
                <w:sz w:val="14"/>
                <w:szCs w:val="14"/>
                <w:b w:val="1"/>
                <w:bCs w:val="1"/>
                <w:color w:val="FFFFFF"/>
              </w:rPr>
              <w:t>Free</w:t>
            </w:r>
          </w:p>
        </w:tc>
        <w:tc>
          <w:tcPr>
            <w:tcW w:w="740" w:type="dxa"/>
            <w:vAlign w:val="bottom"/>
            <w:gridSpan w:val="3"/>
            <w:shd w:val="clear" w:color="auto" w:fill="0066BA"/>
          </w:tcPr>
          <w:p>
            <w:pPr>
              <w:ind w:left="80"/>
              <w:spacing w:after="0" w:line="156" w:lineRule="exact"/>
              <w:rPr>
                <w:sz w:val="20"/>
                <w:szCs w:val="20"/>
                <w:color w:val="auto"/>
              </w:rPr>
            </w:pPr>
            <w:r>
              <w:rPr>
                <w:rFonts w:ascii="Arial" w:cs="Arial" w:eastAsia="Arial" w:hAnsi="Arial"/>
                <w:sz w:val="14"/>
                <w:szCs w:val="14"/>
                <w:b w:val="1"/>
                <w:bCs w:val="1"/>
                <w:color w:val="FFFFFF"/>
              </w:rPr>
              <w:t>Yield (%)</w:t>
            </w:r>
          </w:p>
        </w:tc>
        <w:tc>
          <w:tcPr>
            <w:tcW w:w="880" w:type="dxa"/>
            <w:vAlign w:val="bottom"/>
            <w:shd w:val="clear" w:color="auto" w:fill="0066BA"/>
          </w:tcPr>
          <w:p>
            <w:pPr>
              <w:jc w:val="right"/>
              <w:ind w:right="3"/>
              <w:spacing w:after="0" w:line="156" w:lineRule="exact"/>
              <w:rPr>
                <w:sz w:val="20"/>
                <w:szCs w:val="20"/>
                <w:color w:val="auto"/>
              </w:rPr>
            </w:pPr>
            <w:r>
              <w:rPr>
                <w:rFonts w:ascii="Arial" w:cs="Arial" w:eastAsia="Arial" w:hAnsi="Arial"/>
                <w:sz w:val="14"/>
                <w:szCs w:val="14"/>
                <w:b w:val="1"/>
                <w:bCs w:val="1"/>
                <w:color w:val="FFFFFF"/>
              </w:rPr>
              <w:t>Fair Value</w:t>
            </w:r>
          </w:p>
        </w:tc>
        <w:tc>
          <w:tcPr>
            <w:tcW w:w="120" w:type="dxa"/>
            <w:vAlign w:val="bottom"/>
            <w:shd w:val="clear" w:color="auto" w:fill="0066BA"/>
          </w:tcPr>
          <w:p>
            <w:pPr>
              <w:spacing w:after="0"/>
              <w:rPr>
                <w:sz w:val="13"/>
                <w:szCs w:val="13"/>
                <w:color w:val="auto"/>
              </w:rPr>
            </w:pPr>
          </w:p>
        </w:tc>
        <w:tc>
          <w:tcPr>
            <w:tcW w:w="1080" w:type="dxa"/>
            <w:vAlign w:val="bottom"/>
            <w:gridSpan w:val="2"/>
            <w:shd w:val="clear" w:color="auto" w:fill="0066BA"/>
          </w:tcPr>
          <w:p>
            <w:pPr>
              <w:jc w:val="right"/>
              <w:ind w:right="80"/>
              <w:spacing w:after="0" w:line="156" w:lineRule="exact"/>
              <w:rPr>
                <w:sz w:val="20"/>
                <w:szCs w:val="20"/>
                <w:color w:val="auto"/>
              </w:rPr>
            </w:pPr>
            <w:r>
              <w:rPr>
                <w:rFonts w:ascii="Arial" w:cs="Arial" w:eastAsia="Arial" w:hAnsi="Arial"/>
                <w:sz w:val="14"/>
                <w:szCs w:val="14"/>
                <w:b w:val="1"/>
                <w:bCs w:val="1"/>
                <w:color w:val="FFFFFF"/>
              </w:rPr>
              <w:t>Fair Value at</w:t>
            </w:r>
          </w:p>
        </w:tc>
        <w:tc>
          <w:tcPr>
            <w:tcW w:w="0" w:type="dxa"/>
            <w:vAlign w:val="bottom"/>
          </w:tcPr>
          <w:p>
            <w:pPr>
              <w:spacing w:after="0"/>
              <w:rPr>
                <w:sz w:val="1"/>
                <w:szCs w:val="1"/>
                <w:color w:val="auto"/>
              </w:rPr>
            </w:pPr>
          </w:p>
        </w:tc>
      </w:tr>
      <w:tr>
        <w:trPr>
          <w:trHeight w:val="156"/>
        </w:trPr>
        <w:tc>
          <w:tcPr>
            <w:tcW w:w="2000" w:type="dxa"/>
            <w:vAlign w:val="bottom"/>
            <w:shd w:val="clear" w:color="auto" w:fill="0066BA"/>
          </w:tcPr>
          <w:p>
            <w:pPr>
              <w:spacing w:after="0"/>
              <w:rPr>
                <w:sz w:val="13"/>
                <w:szCs w:val="13"/>
                <w:color w:val="auto"/>
              </w:rPr>
            </w:pPr>
          </w:p>
        </w:tc>
        <w:tc>
          <w:tcPr>
            <w:tcW w:w="120" w:type="dxa"/>
            <w:vAlign w:val="bottom"/>
            <w:shd w:val="clear" w:color="auto" w:fill="0066BA"/>
          </w:tcPr>
          <w:p>
            <w:pPr>
              <w:spacing w:after="0"/>
              <w:rPr>
                <w:sz w:val="13"/>
                <w:szCs w:val="13"/>
                <w:color w:val="auto"/>
              </w:rPr>
            </w:pPr>
          </w:p>
        </w:tc>
        <w:tc>
          <w:tcPr>
            <w:tcW w:w="700" w:type="dxa"/>
            <w:vAlign w:val="bottom"/>
            <w:tcBorders>
              <w:right w:val="single" w:sz="8" w:color="0066BA"/>
            </w:tcBorders>
            <w:shd w:val="clear" w:color="auto" w:fill="0066BA"/>
          </w:tcPr>
          <w:p>
            <w:pPr>
              <w:spacing w:after="0"/>
              <w:rPr>
                <w:sz w:val="13"/>
                <w:szCs w:val="13"/>
                <w:color w:val="auto"/>
              </w:rPr>
            </w:pPr>
          </w:p>
        </w:tc>
        <w:tc>
          <w:tcPr>
            <w:tcW w:w="1120" w:type="dxa"/>
            <w:vAlign w:val="bottom"/>
            <w:shd w:val="clear" w:color="auto" w:fill="0066BA"/>
          </w:tcPr>
          <w:p>
            <w:pPr>
              <w:jc w:val="right"/>
              <w:ind w:right="183"/>
              <w:spacing w:after="0" w:line="156" w:lineRule="exact"/>
              <w:rPr>
                <w:sz w:val="20"/>
                <w:szCs w:val="20"/>
                <w:color w:val="auto"/>
              </w:rPr>
            </w:pPr>
            <w:r>
              <w:rPr>
                <w:rFonts w:ascii="Arial" w:cs="Arial" w:eastAsia="Arial" w:hAnsi="Arial"/>
                <w:sz w:val="14"/>
                <w:szCs w:val="14"/>
                <w:b w:val="1"/>
                <w:bCs w:val="1"/>
                <w:color w:val="FFFFFF"/>
              </w:rPr>
              <w:t>Stock Units</w:t>
            </w:r>
          </w:p>
        </w:tc>
        <w:tc>
          <w:tcPr>
            <w:tcW w:w="120" w:type="dxa"/>
            <w:vAlign w:val="bottom"/>
            <w:shd w:val="clear" w:color="auto" w:fill="0066BA"/>
          </w:tcPr>
          <w:p>
            <w:pPr>
              <w:spacing w:after="0"/>
              <w:rPr>
                <w:sz w:val="13"/>
                <w:szCs w:val="13"/>
                <w:color w:val="auto"/>
              </w:rPr>
            </w:pPr>
          </w:p>
        </w:tc>
        <w:tc>
          <w:tcPr>
            <w:tcW w:w="54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980" w:type="dxa"/>
            <w:vAlign w:val="bottom"/>
            <w:shd w:val="clear" w:color="auto" w:fill="0066BA"/>
          </w:tcPr>
          <w:p>
            <w:pPr>
              <w:spacing w:after="0"/>
              <w:rPr>
                <w:sz w:val="13"/>
                <w:szCs w:val="13"/>
                <w:color w:val="auto"/>
              </w:rPr>
            </w:pPr>
          </w:p>
        </w:tc>
        <w:tc>
          <w:tcPr>
            <w:tcW w:w="180" w:type="dxa"/>
            <w:vAlign w:val="bottom"/>
            <w:shd w:val="clear" w:color="auto" w:fill="0066BA"/>
          </w:tcPr>
          <w:p>
            <w:pPr>
              <w:spacing w:after="0"/>
              <w:rPr>
                <w:sz w:val="13"/>
                <w:szCs w:val="13"/>
                <w:color w:val="auto"/>
              </w:rPr>
            </w:pPr>
          </w:p>
        </w:tc>
        <w:tc>
          <w:tcPr>
            <w:tcW w:w="600" w:type="dxa"/>
            <w:vAlign w:val="bottom"/>
            <w:gridSpan w:val="2"/>
            <w:shd w:val="clear" w:color="auto" w:fill="0066BA"/>
          </w:tcPr>
          <w:p>
            <w:pPr>
              <w:jc w:val="right"/>
              <w:ind w:right="60"/>
              <w:spacing w:after="0" w:line="156" w:lineRule="exact"/>
              <w:rPr>
                <w:sz w:val="20"/>
                <w:szCs w:val="20"/>
                <w:color w:val="auto"/>
              </w:rPr>
            </w:pPr>
            <w:r>
              <w:rPr>
                <w:rFonts w:ascii="Arial" w:cs="Arial" w:eastAsia="Arial" w:hAnsi="Arial"/>
                <w:sz w:val="14"/>
                <w:szCs w:val="14"/>
                <w:b w:val="1"/>
                <w:bCs w:val="1"/>
                <w:color w:val="FFFFFF"/>
              </w:rPr>
              <w:t>(Years)</w:t>
            </w:r>
          </w:p>
        </w:tc>
        <w:tc>
          <w:tcPr>
            <w:tcW w:w="720" w:type="dxa"/>
            <w:vAlign w:val="bottom"/>
            <w:shd w:val="clear" w:color="auto" w:fill="0066BA"/>
          </w:tcPr>
          <w:p>
            <w:pPr>
              <w:jc w:val="right"/>
              <w:ind w:right="3"/>
              <w:spacing w:after="0" w:line="156" w:lineRule="exact"/>
              <w:rPr>
                <w:sz w:val="20"/>
                <w:szCs w:val="20"/>
                <w:color w:val="auto"/>
              </w:rPr>
            </w:pPr>
            <w:r>
              <w:rPr>
                <w:rFonts w:ascii="Arial" w:cs="Arial" w:eastAsia="Arial" w:hAnsi="Arial"/>
                <w:sz w:val="14"/>
                <w:szCs w:val="14"/>
                <w:b w:val="1"/>
                <w:bCs w:val="1"/>
                <w:color w:val="FFFFFF"/>
              </w:rPr>
              <w:t>Interest</w:t>
            </w:r>
          </w:p>
        </w:tc>
        <w:tc>
          <w:tcPr>
            <w:tcW w:w="140" w:type="dxa"/>
            <w:vAlign w:val="bottom"/>
            <w:shd w:val="clear" w:color="auto" w:fill="0066BA"/>
          </w:tcPr>
          <w:p>
            <w:pPr>
              <w:spacing w:after="0"/>
              <w:rPr>
                <w:sz w:val="13"/>
                <w:szCs w:val="13"/>
                <w:color w:val="auto"/>
              </w:rPr>
            </w:pPr>
          </w:p>
        </w:tc>
        <w:tc>
          <w:tcPr>
            <w:tcW w:w="52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880" w:type="dxa"/>
            <w:vAlign w:val="bottom"/>
            <w:shd w:val="clear" w:color="auto" w:fill="0066BA"/>
          </w:tcPr>
          <w:p>
            <w:pPr>
              <w:jc w:val="right"/>
              <w:ind w:right="3"/>
              <w:spacing w:after="0" w:line="156" w:lineRule="exact"/>
              <w:rPr>
                <w:sz w:val="20"/>
                <w:szCs w:val="20"/>
                <w:color w:val="auto"/>
              </w:rPr>
            </w:pPr>
            <w:r>
              <w:rPr>
                <w:rFonts w:ascii="Arial" w:cs="Arial" w:eastAsia="Arial" w:hAnsi="Arial"/>
                <w:sz w:val="14"/>
                <w:szCs w:val="14"/>
                <w:b w:val="1"/>
                <w:bCs w:val="1"/>
                <w:color w:val="FFFFFF"/>
              </w:rPr>
              <w:t>($) Per</w:t>
            </w:r>
          </w:p>
        </w:tc>
        <w:tc>
          <w:tcPr>
            <w:tcW w:w="120" w:type="dxa"/>
            <w:vAlign w:val="bottom"/>
            <w:shd w:val="clear" w:color="auto" w:fill="0066BA"/>
          </w:tcPr>
          <w:p>
            <w:pPr>
              <w:spacing w:after="0"/>
              <w:rPr>
                <w:sz w:val="13"/>
                <w:szCs w:val="13"/>
                <w:color w:val="auto"/>
              </w:rPr>
            </w:pPr>
          </w:p>
        </w:tc>
        <w:tc>
          <w:tcPr>
            <w:tcW w:w="1080" w:type="dxa"/>
            <w:vAlign w:val="bottom"/>
            <w:gridSpan w:val="2"/>
            <w:shd w:val="clear" w:color="auto" w:fill="0066BA"/>
          </w:tcPr>
          <w:p>
            <w:pPr>
              <w:jc w:val="right"/>
              <w:ind w:right="80"/>
              <w:spacing w:after="0" w:line="156" w:lineRule="exact"/>
              <w:rPr>
                <w:sz w:val="20"/>
                <w:szCs w:val="20"/>
                <w:color w:val="auto"/>
              </w:rPr>
            </w:pPr>
            <w:r>
              <w:rPr>
                <w:rFonts w:ascii="Arial" w:cs="Arial" w:eastAsia="Arial" w:hAnsi="Arial"/>
                <w:sz w:val="14"/>
                <w:szCs w:val="14"/>
                <w:b w:val="1"/>
                <w:bCs w:val="1"/>
                <w:color w:val="FFFFFF"/>
              </w:rPr>
              <w:t>Maximum</w:t>
            </w:r>
          </w:p>
        </w:tc>
        <w:tc>
          <w:tcPr>
            <w:tcW w:w="0" w:type="dxa"/>
            <w:vAlign w:val="bottom"/>
          </w:tcPr>
          <w:p>
            <w:pPr>
              <w:spacing w:after="0"/>
              <w:rPr>
                <w:sz w:val="1"/>
                <w:szCs w:val="1"/>
                <w:color w:val="auto"/>
              </w:rPr>
            </w:pPr>
          </w:p>
        </w:tc>
      </w:tr>
      <w:tr>
        <w:trPr>
          <w:trHeight w:val="156"/>
        </w:trPr>
        <w:tc>
          <w:tcPr>
            <w:tcW w:w="2000" w:type="dxa"/>
            <w:vAlign w:val="bottom"/>
            <w:shd w:val="clear" w:color="auto" w:fill="0066BA"/>
          </w:tcPr>
          <w:p>
            <w:pPr>
              <w:spacing w:after="0"/>
              <w:rPr>
                <w:sz w:val="13"/>
                <w:szCs w:val="13"/>
                <w:color w:val="auto"/>
              </w:rPr>
            </w:pPr>
          </w:p>
        </w:tc>
        <w:tc>
          <w:tcPr>
            <w:tcW w:w="120" w:type="dxa"/>
            <w:vAlign w:val="bottom"/>
            <w:shd w:val="clear" w:color="auto" w:fill="0066BA"/>
          </w:tcPr>
          <w:p>
            <w:pPr>
              <w:spacing w:after="0"/>
              <w:rPr>
                <w:sz w:val="13"/>
                <w:szCs w:val="13"/>
                <w:color w:val="auto"/>
              </w:rPr>
            </w:pPr>
          </w:p>
        </w:tc>
        <w:tc>
          <w:tcPr>
            <w:tcW w:w="700" w:type="dxa"/>
            <w:vAlign w:val="bottom"/>
            <w:tcBorders>
              <w:right w:val="single" w:sz="8" w:color="0066BA"/>
            </w:tcBorders>
            <w:shd w:val="clear" w:color="auto" w:fill="0066BA"/>
          </w:tcPr>
          <w:p>
            <w:pPr>
              <w:spacing w:after="0"/>
              <w:rPr>
                <w:sz w:val="13"/>
                <w:szCs w:val="13"/>
                <w:color w:val="auto"/>
              </w:rPr>
            </w:pPr>
          </w:p>
        </w:tc>
        <w:tc>
          <w:tcPr>
            <w:tcW w:w="1120" w:type="dxa"/>
            <w:vAlign w:val="bottom"/>
            <w:shd w:val="clear" w:color="auto" w:fill="0066BA"/>
          </w:tcPr>
          <w:p>
            <w:pPr>
              <w:jc w:val="right"/>
              <w:ind w:right="183"/>
              <w:spacing w:after="0" w:line="156" w:lineRule="exact"/>
              <w:rPr>
                <w:sz w:val="20"/>
                <w:szCs w:val="20"/>
                <w:color w:val="auto"/>
              </w:rPr>
            </w:pPr>
            <w:r>
              <w:rPr>
                <w:rFonts w:ascii="Arial" w:cs="Arial" w:eastAsia="Arial" w:hAnsi="Arial"/>
                <w:sz w:val="14"/>
                <w:szCs w:val="14"/>
                <w:b w:val="1"/>
                <w:bCs w:val="1"/>
                <w:color w:val="FFFFFF"/>
              </w:rPr>
              <w:t>Granted (#)</w:t>
            </w:r>
          </w:p>
        </w:tc>
        <w:tc>
          <w:tcPr>
            <w:tcW w:w="120" w:type="dxa"/>
            <w:vAlign w:val="bottom"/>
            <w:shd w:val="clear" w:color="auto" w:fill="0066BA"/>
          </w:tcPr>
          <w:p>
            <w:pPr>
              <w:spacing w:after="0"/>
              <w:rPr>
                <w:sz w:val="13"/>
                <w:szCs w:val="13"/>
                <w:color w:val="auto"/>
              </w:rPr>
            </w:pPr>
          </w:p>
        </w:tc>
        <w:tc>
          <w:tcPr>
            <w:tcW w:w="54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980" w:type="dxa"/>
            <w:vAlign w:val="bottom"/>
            <w:shd w:val="clear" w:color="auto" w:fill="0066BA"/>
          </w:tcPr>
          <w:p>
            <w:pPr>
              <w:spacing w:after="0"/>
              <w:rPr>
                <w:sz w:val="13"/>
                <w:szCs w:val="13"/>
                <w:color w:val="auto"/>
              </w:rPr>
            </w:pPr>
          </w:p>
        </w:tc>
        <w:tc>
          <w:tcPr>
            <w:tcW w:w="180" w:type="dxa"/>
            <w:vAlign w:val="bottom"/>
            <w:shd w:val="clear" w:color="auto" w:fill="0066BA"/>
          </w:tcPr>
          <w:p>
            <w:pPr>
              <w:spacing w:after="0"/>
              <w:rPr>
                <w:sz w:val="13"/>
                <w:szCs w:val="13"/>
                <w:color w:val="auto"/>
              </w:rPr>
            </w:pPr>
          </w:p>
        </w:tc>
        <w:tc>
          <w:tcPr>
            <w:tcW w:w="52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720" w:type="dxa"/>
            <w:vAlign w:val="bottom"/>
            <w:shd w:val="clear" w:color="auto" w:fill="0066BA"/>
          </w:tcPr>
          <w:p>
            <w:pPr>
              <w:jc w:val="right"/>
              <w:ind w:right="3"/>
              <w:spacing w:after="0" w:line="156" w:lineRule="exact"/>
              <w:rPr>
                <w:sz w:val="20"/>
                <w:szCs w:val="20"/>
                <w:color w:val="auto"/>
              </w:rPr>
            </w:pPr>
            <w:r>
              <w:rPr>
                <w:rFonts w:ascii="Arial" w:cs="Arial" w:eastAsia="Arial" w:hAnsi="Arial"/>
                <w:sz w:val="14"/>
                <w:szCs w:val="14"/>
                <w:b w:val="1"/>
                <w:bCs w:val="1"/>
                <w:color w:val="FFFFFF"/>
              </w:rPr>
              <w:t>Rate (%)</w:t>
            </w:r>
          </w:p>
        </w:tc>
        <w:tc>
          <w:tcPr>
            <w:tcW w:w="140" w:type="dxa"/>
            <w:vAlign w:val="bottom"/>
            <w:shd w:val="clear" w:color="auto" w:fill="0066BA"/>
          </w:tcPr>
          <w:p>
            <w:pPr>
              <w:spacing w:after="0"/>
              <w:rPr>
                <w:sz w:val="13"/>
                <w:szCs w:val="13"/>
                <w:color w:val="auto"/>
              </w:rPr>
            </w:pPr>
          </w:p>
        </w:tc>
        <w:tc>
          <w:tcPr>
            <w:tcW w:w="52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880" w:type="dxa"/>
            <w:vAlign w:val="bottom"/>
            <w:shd w:val="clear" w:color="auto" w:fill="0066BA"/>
          </w:tcPr>
          <w:p>
            <w:pPr>
              <w:jc w:val="right"/>
              <w:ind w:right="3"/>
              <w:spacing w:after="0" w:line="156" w:lineRule="exact"/>
              <w:rPr>
                <w:sz w:val="20"/>
                <w:szCs w:val="20"/>
                <w:color w:val="auto"/>
              </w:rPr>
            </w:pPr>
            <w:r>
              <w:rPr>
                <w:rFonts w:ascii="Arial" w:cs="Arial" w:eastAsia="Arial" w:hAnsi="Arial"/>
                <w:sz w:val="14"/>
                <w:szCs w:val="14"/>
                <w:b w:val="1"/>
                <w:bCs w:val="1"/>
                <w:color w:val="FFFFFF"/>
              </w:rPr>
              <w:t>Share</w:t>
            </w:r>
          </w:p>
        </w:tc>
        <w:tc>
          <w:tcPr>
            <w:tcW w:w="120" w:type="dxa"/>
            <w:vAlign w:val="bottom"/>
            <w:shd w:val="clear" w:color="auto" w:fill="0066BA"/>
          </w:tcPr>
          <w:p>
            <w:pPr>
              <w:spacing w:after="0"/>
              <w:rPr>
                <w:sz w:val="13"/>
                <w:szCs w:val="13"/>
                <w:color w:val="auto"/>
              </w:rPr>
            </w:pPr>
          </w:p>
        </w:tc>
        <w:tc>
          <w:tcPr>
            <w:tcW w:w="1080" w:type="dxa"/>
            <w:vAlign w:val="bottom"/>
            <w:gridSpan w:val="2"/>
            <w:shd w:val="clear" w:color="auto" w:fill="0066BA"/>
          </w:tcPr>
          <w:p>
            <w:pPr>
              <w:jc w:val="right"/>
              <w:ind w:right="80"/>
              <w:spacing w:after="0" w:line="156" w:lineRule="exact"/>
              <w:rPr>
                <w:sz w:val="20"/>
                <w:szCs w:val="20"/>
                <w:color w:val="auto"/>
              </w:rPr>
            </w:pPr>
            <w:r>
              <w:rPr>
                <w:rFonts w:ascii="Arial" w:cs="Arial" w:eastAsia="Arial" w:hAnsi="Arial"/>
                <w:sz w:val="14"/>
                <w:szCs w:val="14"/>
                <w:b w:val="1"/>
                <w:bCs w:val="1"/>
                <w:color w:val="FFFFFF"/>
              </w:rPr>
              <w:t>Achievement</w:t>
            </w:r>
          </w:p>
        </w:tc>
        <w:tc>
          <w:tcPr>
            <w:tcW w:w="0" w:type="dxa"/>
            <w:vAlign w:val="bottom"/>
          </w:tcPr>
          <w:p>
            <w:pPr>
              <w:spacing w:after="0"/>
              <w:rPr>
                <w:sz w:val="1"/>
                <w:szCs w:val="1"/>
                <w:color w:val="auto"/>
              </w:rPr>
            </w:pPr>
          </w:p>
        </w:tc>
      </w:tr>
      <w:tr>
        <w:trPr>
          <w:trHeight w:val="156"/>
        </w:trPr>
        <w:tc>
          <w:tcPr>
            <w:tcW w:w="2000" w:type="dxa"/>
            <w:vAlign w:val="bottom"/>
            <w:shd w:val="clear" w:color="auto" w:fill="0066BA"/>
          </w:tcPr>
          <w:p>
            <w:pPr>
              <w:spacing w:after="0"/>
              <w:rPr>
                <w:sz w:val="13"/>
                <w:szCs w:val="13"/>
                <w:color w:val="auto"/>
              </w:rPr>
            </w:pPr>
          </w:p>
        </w:tc>
        <w:tc>
          <w:tcPr>
            <w:tcW w:w="120" w:type="dxa"/>
            <w:vAlign w:val="bottom"/>
            <w:shd w:val="clear" w:color="auto" w:fill="0066BA"/>
          </w:tcPr>
          <w:p>
            <w:pPr>
              <w:spacing w:after="0"/>
              <w:rPr>
                <w:sz w:val="13"/>
                <w:szCs w:val="13"/>
                <w:color w:val="auto"/>
              </w:rPr>
            </w:pPr>
          </w:p>
        </w:tc>
        <w:tc>
          <w:tcPr>
            <w:tcW w:w="700" w:type="dxa"/>
            <w:vAlign w:val="bottom"/>
            <w:tcBorders>
              <w:right w:val="single" w:sz="8" w:color="0066BA"/>
            </w:tcBorders>
            <w:shd w:val="clear" w:color="auto" w:fill="0066BA"/>
          </w:tcPr>
          <w:p>
            <w:pPr>
              <w:spacing w:after="0"/>
              <w:rPr>
                <w:sz w:val="13"/>
                <w:szCs w:val="13"/>
                <w:color w:val="auto"/>
              </w:rPr>
            </w:pPr>
          </w:p>
        </w:tc>
        <w:tc>
          <w:tcPr>
            <w:tcW w:w="1120" w:type="dxa"/>
            <w:vAlign w:val="bottom"/>
            <w:shd w:val="clear" w:color="auto" w:fill="0066BA"/>
          </w:tcPr>
          <w:p>
            <w:pPr>
              <w:spacing w:after="0"/>
              <w:rPr>
                <w:sz w:val="13"/>
                <w:szCs w:val="13"/>
                <w:color w:val="auto"/>
              </w:rPr>
            </w:pPr>
          </w:p>
        </w:tc>
        <w:tc>
          <w:tcPr>
            <w:tcW w:w="120" w:type="dxa"/>
            <w:vAlign w:val="bottom"/>
            <w:shd w:val="clear" w:color="auto" w:fill="0066BA"/>
          </w:tcPr>
          <w:p>
            <w:pPr>
              <w:spacing w:after="0"/>
              <w:rPr>
                <w:sz w:val="13"/>
                <w:szCs w:val="13"/>
                <w:color w:val="auto"/>
              </w:rPr>
            </w:pPr>
          </w:p>
        </w:tc>
        <w:tc>
          <w:tcPr>
            <w:tcW w:w="54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980" w:type="dxa"/>
            <w:vAlign w:val="bottom"/>
            <w:shd w:val="clear" w:color="auto" w:fill="0066BA"/>
          </w:tcPr>
          <w:p>
            <w:pPr>
              <w:spacing w:after="0"/>
              <w:rPr>
                <w:sz w:val="13"/>
                <w:szCs w:val="13"/>
                <w:color w:val="auto"/>
              </w:rPr>
            </w:pPr>
          </w:p>
        </w:tc>
        <w:tc>
          <w:tcPr>
            <w:tcW w:w="180" w:type="dxa"/>
            <w:vAlign w:val="bottom"/>
            <w:shd w:val="clear" w:color="auto" w:fill="0066BA"/>
          </w:tcPr>
          <w:p>
            <w:pPr>
              <w:spacing w:after="0"/>
              <w:rPr>
                <w:sz w:val="13"/>
                <w:szCs w:val="13"/>
                <w:color w:val="auto"/>
              </w:rPr>
            </w:pPr>
          </w:p>
        </w:tc>
        <w:tc>
          <w:tcPr>
            <w:tcW w:w="52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720" w:type="dxa"/>
            <w:vAlign w:val="bottom"/>
            <w:shd w:val="clear" w:color="auto" w:fill="0066BA"/>
          </w:tcPr>
          <w:p>
            <w:pPr>
              <w:spacing w:after="0"/>
              <w:rPr>
                <w:sz w:val="13"/>
                <w:szCs w:val="13"/>
                <w:color w:val="auto"/>
              </w:rPr>
            </w:pPr>
          </w:p>
        </w:tc>
        <w:tc>
          <w:tcPr>
            <w:tcW w:w="140" w:type="dxa"/>
            <w:vAlign w:val="bottom"/>
            <w:shd w:val="clear" w:color="auto" w:fill="0066BA"/>
          </w:tcPr>
          <w:p>
            <w:pPr>
              <w:spacing w:after="0"/>
              <w:rPr>
                <w:sz w:val="13"/>
                <w:szCs w:val="13"/>
                <w:color w:val="auto"/>
              </w:rPr>
            </w:pPr>
          </w:p>
        </w:tc>
        <w:tc>
          <w:tcPr>
            <w:tcW w:w="52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880" w:type="dxa"/>
            <w:vAlign w:val="bottom"/>
            <w:shd w:val="clear" w:color="auto" w:fill="0066BA"/>
          </w:tcPr>
          <w:p>
            <w:pPr>
              <w:spacing w:after="0"/>
              <w:rPr>
                <w:sz w:val="13"/>
                <w:szCs w:val="13"/>
                <w:color w:val="auto"/>
              </w:rPr>
            </w:pPr>
          </w:p>
        </w:tc>
        <w:tc>
          <w:tcPr>
            <w:tcW w:w="120" w:type="dxa"/>
            <w:vAlign w:val="bottom"/>
            <w:shd w:val="clear" w:color="auto" w:fill="0066BA"/>
          </w:tcPr>
          <w:p>
            <w:pPr>
              <w:spacing w:after="0"/>
              <w:rPr>
                <w:sz w:val="13"/>
                <w:szCs w:val="13"/>
                <w:color w:val="auto"/>
              </w:rPr>
            </w:pPr>
          </w:p>
        </w:tc>
        <w:tc>
          <w:tcPr>
            <w:tcW w:w="1080" w:type="dxa"/>
            <w:vAlign w:val="bottom"/>
            <w:gridSpan w:val="2"/>
            <w:shd w:val="clear" w:color="auto" w:fill="0066BA"/>
          </w:tcPr>
          <w:p>
            <w:pPr>
              <w:jc w:val="right"/>
              <w:ind w:right="80"/>
              <w:spacing w:after="0" w:line="156" w:lineRule="exact"/>
              <w:rPr>
                <w:sz w:val="20"/>
                <w:szCs w:val="20"/>
                <w:color w:val="auto"/>
              </w:rPr>
            </w:pPr>
            <w:r>
              <w:rPr>
                <w:rFonts w:ascii="Arial" w:cs="Arial" w:eastAsia="Arial" w:hAnsi="Arial"/>
                <w:sz w:val="14"/>
                <w:szCs w:val="14"/>
                <w:b w:val="1"/>
                <w:bCs w:val="1"/>
                <w:color w:val="FFFFFF"/>
              </w:rPr>
              <w:t>Level for</w:t>
            </w:r>
          </w:p>
        </w:tc>
        <w:tc>
          <w:tcPr>
            <w:tcW w:w="0" w:type="dxa"/>
            <w:vAlign w:val="bottom"/>
          </w:tcPr>
          <w:p>
            <w:pPr>
              <w:spacing w:after="0"/>
              <w:rPr>
                <w:sz w:val="1"/>
                <w:szCs w:val="1"/>
                <w:color w:val="auto"/>
              </w:rPr>
            </w:pPr>
          </w:p>
        </w:tc>
      </w:tr>
      <w:tr>
        <w:trPr>
          <w:trHeight w:val="156"/>
        </w:trPr>
        <w:tc>
          <w:tcPr>
            <w:tcW w:w="2000" w:type="dxa"/>
            <w:vAlign w:val="bottom"/>
            <w:shd w:val="clear" w:color="auto" w:fill="0066BA"/>
          </w:tcPr>
          <w:p>
            <w:pPr>
              <w:spacing w:after="0"/>
              <w:rPr>
                <w:sz w:val="13"/>
                <w:szCs w:val="13"/>
                <w:color w:val="auto"/>
              </w:rPr>
            </w:pPr>
          </w:p>
        </w:tc>
        <w:tc>
          <w:tcPr>
            <w:tcW w:w="120" w:type="dxa"/>
            <w:vAlign w:val="bottom"/>
            <w:shd w:val="clear" w:color="auto" w:fill="0066BA"/>
          </w:tcPr>
          <w:p>
            <w:pPr>
              <w:spacing w:after="0"/>
              <w:rPr>
                <w:sz w:val="13"/>
                <w:szCs w:val="13"/>
                <w:color w:val="auto"/>
              </w:rPr>
            </w:pPr>
          </w:p>
        </w:tc>
        <w:tc>
          <w:tcPr>
            <w:tcW w:w="700" w:type="dxa"/>
            <w:vAlign w:val="bottom"/>
            <w:tcBorders>
              <w:right w:val="single" w:sz="8" w:color="0066BA"/>
            </w:tcBorders>
            <w:shd w:val="clear" w:color="auto" w:fill="0066BA"/>
          </w:tcPr>
          <w:p>
            <w:pPr>
              <w:spacing w:after="0"/>
              <w:rPr>
                <w:sz w:val="13"/>
                <w:szCs w:val="13"/>
                <w:color w:val="auto"/>
              </w:rPr>
            </w:pPr>
          </w:p>
        </w:tc>
        <w:tc>
          <w:tcPr>
            <w:tcW w:w="1120" w:type="dxa"/>
            <w:vAlign w:val="bottom"/>
            <w:shd w:val="clear" w:color="auto" w:fill="0066BA"/>
          </w:tcPr>
          <w:p>
            <w:pPr>
              <w:spacing w:after="0"/>
              <w:rPr>
                <w:sz w:val="13"/>
                <w:szCs w:val="13"/>
                <w:color w:val="auto"/>
              </w:rPr>
            </w:pPr>
          </w:p>
        </w:tc>
        <w:tc>
          <w:tcPr>
            <w:tcW w:w="120" w:type="dxa"/>
            <w:vAlign w:val="bottom"/>
            <w:shd w:val="clear" w:color="auto" w:fill="0066BA"/>
          </w:tcPr>
          <w:p>
            <w:pPr>
              <w:spacing w:after="0"/>
              <w:rPr>
                <w:sz w:val="13"/>
                <w:szCs w:val="13"/>
                <w:color w:val="auto"/>
              </w:rPr>
            </w:pPr>
          </w:p>
        </w:tc>
        <w:tc>
          <w:tcPr>
            <w:tcW w:w="54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980" w:type="dxa"/>
            <w:vAlign w:val="bottom"/>
            <w:shd w:val="clear" w:color="auto" w:fill="0066BA"/>
          </w:tcPr>
          <w:p>
            <w:pPr>
              <w:spacing w:after="0"/>
              <w:rPr>
                <w:sz w:val="13"/>
                <w:szCs w:val="13"/>
                <w:color w:val="auto"/>
              </w:rPr>
            </w:pPr>
          </w:p>
        </w:tc>
        <w:tc>
          <w:tcPr>
            <w:tcW w:w="180" w:type="dxa"/>
            <w:vAlign w:val="bottom"/>
            <w:shd w:val="clear" w:color="auto" w:fill="0066BA"/>
          </w:tcPr>
          <w:p>
            <w:pPr>
              <w:spacing w:after="0"/>
              <w:rPr>
                <w:sz w:val="13"/>
                <w:szCs w:val="13"/>
                <w:color w:val="auto"/>
              </w:rPr>
            </w:pPr>
          </w:p>
        </w:tc>
        <w:tc>
          <w:tcPr>
            <w:tcW w:w="52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720" w:type="dxa"/>
            <w:vAlign w:val="bottom"/>
            <w:shd w:val="clear" w:color="auto" w:fill="0066BA"/>
          </w:tcPr>
          <w:p>
            <w:pPr>
              <w:spacing w:after="0"/>
              <w:rPr>
                <w:sz w:val="13"/>
                <w:szCs w:val="13"/>
                <w:color w:val="auto"/>
              </w:rPr>
            </w:pPr>
          </w:p>
        </w:tc>
        <w:tc>
          <w:tcPr>
            <w:tcW w:w="140" w:type="dxa"/>
            <w:vAlign w:val="bottom"/>
            <w:shd w:val="clear" w:color="auto" w:fill="0066BA"/>
          </w:tcPr>
          <w:p>
            <w:pPr>
              <w:spacing w:after="0"/>
              <w:rPr>
                <w:sz w:val="13"/>
                <w:szCs w:val="13"/>
                <w:color w:val="auto"/>
              </w:rPr>
            </w:pPr>
          </w:p>
        </w:tc>
        <w:tc>
          <w:tcPr>
            <w:tcW w:w="52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880" w:type="dxa"/>
            <w:vAlign w:val="bottom"/>
            <w:shd w:val="clear" w:color="auto" w:fill="0066BA"/>
          </w:tcPr>
          <w:p>
            <w:pPr>
              <w:spacing w:after="0"/>
              <w:rPr>
                <w:sz w:val="13"/>
                <w:szCs w:val="13"/>
                <w:color w:val="auto"/>
              </w:rPr>
            </w:pPr>
          </w:p>
        </w:tc>
        <w:tc>
          <w:tcPr>
            <w:tcW w:w="120" w:type="dxa"/>
            <w:vAlign w:val="bottom"/>
            <w:shd w:val="clear" w:color="auto" w:fill="0066BA"/>
          </w:tcPr>
          <w:p>
            <w:pPr>
              <w:spacing w:after="0"/>
              <w:rPr>
                <w:sz w:val="13"/>
                <w:szCs w:val="13"/>
                <w:color w:val="auto"/>
              </w:rPr>
            </w:pPr>
          </w:p>
        </w:tc>
        <w:tc>
          <w:tcPr>
            <w:tcW w:w="1080" w:type="dxa"/>
            <w:vAlign w:val="bottom"/>
            <w:gridSpan w:val="2"/>
            <w:shd w:val="clear" w:color="auto" w:fill="0066BA"/>
          </w:tcPr>
          <w:p>
            <w:pPr>
              <w:jc w:val="right"/>
              <w:ind w:right="80"/>
              <w:spacing w:after="0" w:line="156" w:lineRule="exact"/>
              <w:rPr>
                <w:sz w:val="20"/>
                <w:szCs w:val="20"/>
                <w:color w:val="auto"/>
              </w:rPr>
            </w:pPr>
            <w:r>
              <w:rPr>
                <w:rFonts w:ascii="Arial" w:cs="Arial" w:eastAsia="Arial" w:hAnsi="Arial"/>
                <w:sz w:val="14"/>
                <w:szCs w:val="14"/>
                <w:b w:val="1"/>
                <w:bCs w:val="1"/>
                <w:color w:val="FFFFFF"/>
              </w:rPr>
              <w:t>Performance</w:t>
            </w:r>
          </w:p>
        </w:tc>
        <w:tc>
          <w:tcPr>
            <w:tcW w:w="0" w:type="dxa"/>
            <w:vAlign w:val="bottom"/>
          </w:tcPr>
          <w:p>
            <w:pPr>
              <w:spacing w:after="0"/>
              <w:rPr>
                <w:sz w:val="1"/>
                <w:szCs w:val="1"/>
                <w:color w:val="auto"/>
              </w:rPr>
            </w:pPr>
          </w:p>
        </w:tc>
      </w:tr>
      <w:tr>
        <w:trPr>
          <w:trHeight w:val="182"/>
        </w:trPr>
        <w:tc>
          <w:tcPr>
            <w:tcW w:w="2000" w:type="dxa"/>
            <w:vAlign w:val="bottom"/>
            <w:shd w:val="clear" w:color="auto" w:fill="0066BA"/>
          </w:tcPr>
          <w:p>
            <w:pPr>
              <w:spacing w:after="0"/>
              <w:rPr>
                <w:sz w:val="15"/>
                <w:szCs w:val="15"/>
                <w:color w:val="auto"/>
              </w:rPr>
            </w:pPr>
          </w:p>
        </w:tc>
        <w:tc>
          <w:tcPr>
            <w:tcW w:w="120" w:type="dxa"/>
            <w:vAlign w:val="bottom"/>
            <w:shd w:val="clear" w:color="auto" w:fill="0066BA"/>
          </w:tcPr>
          <w:p>
            <w:pPr>
              <w:spacing w:after="0"/>
              <w:rPr>
                <w:sz w:val="15"/>
                <w:szCs w:val="15"/>
                <w:color w:val="auto"/>
              </w:rPr>
            </w:pPr>
          </w:p>
        </w:tc>
        <w:tc>
          <w:tcPr>
            <w:tcW w:w="700" w:type="dxa"/>
            <w:vAlign w:val="bottom"/>
            <w:tcBorders>
              <w:right w:val="single" w:sz="8" w:color="0066BA"/>
            </w:tcBorders>
            <w:shd w:val="clear" w:color="auto" w:fill="0066BA"/>
          </w:tcPr>
          <w:p>
            <w:pPr>
              <w:spacing w:after="0"/>
              <w:rPr>
                <w:sz w:val="15"/>
                <w:szCs w:val="15"/>
                <w:color w:val="auto"/>
              </w:rPr>
            </w:pPr>
          </w:p>
        </w:tc>
        <w:tc>
          <w:tcPr>
            <w:tcW w:w="1120" w:type="dxa"/>
            <w:vAlign w:val="bottom"/>
            <w:shd w:val="clear" w:color="auto" w:fill="0066BA"/>
          </w:tcPr>
          <w:p>
            <w:pPr>
              <w:spacing w:after="0"/>
              <w:rPr>
                <w:sz w:val="15"/>
                <w:szCs w:val="15"/>
                <w:color w:val="auto"/>
              </w:rPr>
            </w:pPr>
          </w:p>
        </w:tc>
        <w:tc>
          <w:tcPr>
            <w:tcW w:w="120" w:type="dxa"/>
            <w:vAlign w:val="bottom"/>
            <w:shd w:val="clear" w:color="auto" w:fill="0066BA"/>
          </w:tcPr>
          <w:p>
            <w:pPr>
              <w:spacing w:after="0"/>
              <w:rPr>
                <w:sz w:val="15"/>
                <w:szCs w:val="15"/>
                <w:color w:val="auto"/>
              </w:rPr>
            </w:pPr>
          </w:p>
        </w:tc>
        <w:tc>
          <w:tcPr>
            <w:tcW w:w="540" w:type="dxa"/>
            <w:vAlign w:val="bottom"/>
            <w:shd w:val="clear" w:color="auto" w:fill="0066BA"/>
          </w:tcPr>
          <w:p>
            <w:pPr>
              <w:spacing w:after="0"/>
              <w:rPr>
                <w:sz w:val="15"/>
                <w:szCs w:val="15"/>
                <w:color w:val="auto"/>
              </w:rPr>
            </w:pPr>
          </w:p>
        </w:tc>
        <w:tc>
          <w:tcPr>
            <w:tcW w:w="80" w:type="dxa"/>
            <w:vAlign w:val="bottom"/>
            <w:shd w:val="clear" w:color="auto" w:fill="0066BA"/>
          </w:tcPr>
          <w:p>
            <w:pPr>
              <w:spacing w:after="0"/>
              <w:rPr>
                <w:sz w:val="15"/>
                <w:szCs w:val="15"/>
                <w:color w:val="auto"/>
              </w:rPr>
            </w:pPr>
          </w:p>
        </w:tc>
        <w:tc>
          <w:tcPr>
            <w:tcW w:w="980" w:type="dxa"/>
            <w:vAlign w:val="bottom"/>
            <w:shd w:val="clear" w:color="auto" w:fill="0066BA"/>
          </w:tcPr>
          <w:p>
            <w:pPr>
              <w:spacing w:after="0"/>
              <w:rPr>
                <w:sz w:val="15"/>
                <w:szCs w:val="15"/>
                <w:color w:val="auto"/>
              </w:rPr>
            </w:pPr>
          </w:p>
        </w:tc>
        <w:tc>
          <w:tcPr>
            <w:tcW w:w="180" w:type="dxa"/>
            <w:vAlign w:val="bottom"/>
            <w:shd w:val="clear" w:color="auto" w:fill="0066BA"/>
          </w:tcPr>
          <w:p>
            <w:pPr>
              <w:spacing w:after="0"/>
              <w:rPr>
                <w:sz w:val="15"/>
                <w:szCs w:val="15"/>
                <w:color w:val="auto"/>
              </w:rPr>
            </w:pPr>
          </w:p>
        </w:tc>
        <w:tc>
          <w:tcPr>
            <w:tcW w:w="520" w:type="dxa"/>
            <w:vAlign w:val="bottom"/>
            <w:shd w:val="clear" w:color="auto" w:fill="0066BA"/>
          </w:tcPr>
          <w:p>
            <w:pPr>
              <w:spacing w:after="0"/>
              <w:rPr>
                <w:sz w:val="15"/>
                <w:szCs w:val="15"/>
                <w:color w:val="auto"/>
              </w:rPr>
            </w:pPr>
          </w:p>
        </w:tc>
        <w:tc>
          <w:tcPr>
            <w:tcW w:w="80" w:type="dxa"/>
            <w:vAlign w:val="bottom"/>
            <w:shd w:val="clear" w:color="auto" w:fill="0066BA"/>
          </w:tcPr>
          <w:p>
            <w:pPr>
              <w:spacing w:after="0"/>
              <w:rPr>
                <w:sz w:val="15"/>
                <w:szCs w:val="15"/>
                <w:color w:val="auto"/>
              </w:rPr>
            </w:pPr>
          </w:p>
        </w:tc>
        <w:tc>
          <w:tcPr>
            <w:tcW w:w="720" w:type="dxa"/>
            <w:vAlign w:val="bottom"/>
            <w:shd w:val="clear" w:color="auto" w:fill="0066BA"/>
          </w:tcPr>
          <w:p>
            <w:pPr>
              <w:spacing w:after="0"/>
              <w:rPr>
                <w:sz w:val="15"/>
                <w:szCs w:val="15"/>
                <w:color w:val="auto"/>
              </w:rPr>
            </w:pPr>
          </w:p>
        </w:tc>
        <w:tc>
          <w:tcPr>
            <w:tcW w:w="140" w:type="dxa"/>
            <w:vAlign w:val="bottom"/>
            <w:shd w:val="clear" w:color="auto" w:fill="0066BA"/>
          </w:tcPr>
          <w:p>
            <w:pPr>
              <w:spacing w:after="0"/>
              <w:rPr>
                <w:sz w:val="15"/>
                <w:szCs w:val="15"/>
                <w:color w:val="auto"/>
              </w:rPr>
            </w:pPr>
          </w:p>
        </w:tc>
        <w:tc>
          <w:tcPr>
            <w:tcW w:w="520" w:type="dxa"/>
            <w:vAlign w:val="bottom"/>
            <w:shd w:val="clear" w:color="auto" w:fill="0066BA"/>
          </w:tcPr>
          <w:p>
            <w:pPr>
              <w:spacing w:after="0"/>
              <w:rPr>
                <w:sz w:val="15"/>
                <w:szCs w:val="15"/>
                <w:color w:val="auto"/>
              </w:rPr>
            </w:pPr>
          </w:p>
        </w:tc>
        <w:tc>
          <w:tcPr>
            <w:tcW w:w="80" w:type="dxa"/>
            <w:vAlign w:val="bottom"/>
            <w:shd w:val="clear" w:color="auto" w:fill="0066BA"/>
          </w:tcPr>
          <w:p>
            <w:pPr>
              <w:spacing w:after="0"/>
              <w:rPr>
                <w:sz w:val="15"/>
                <w:szCs w:val="15"/>
                <w:color w:val="auto"/>
              </w:rPr>
            </w:pPr>
          </w:p>
        </w:tc>
        <w:tc>
          <w:tcPr>
            <w:tcW w:w="880" w:type="dxa"/>
            <w:vAlign w:val="bottom"/>
            <w:shd w:val="clear" w:color="auto" w:fill="0066BA"/>
          </w:tcPr>
          <w:p>
            <w:pPr>
              <w:spacing w:after="0"/>
              <w:rPr>
                <w:sz w:val="15"/>
                <w:szCs w:val="15"/>
                <w:color w:val="auto"/>
              </w:rPr>
            </w:pPr>
          </w:p>
        </w:tc>
        <w:tc>
          <w:tcPr>
            <w:tcW w:w="1200" w:type="dxa"/>
            <w:vAlign w:val="bottom"/>
            <w:gridSpan w:val="3"/>
            <w:shd w:val="clear" w:color="auto" w:fill="0066BA"/>
          </w:tcPr>
          <w:p>
            <w:pPr>
              <w:jc w:val="right"/>
              <w:ind w:right="80"/>
              <w:spacing w:after="0"/>
              <w:rPr>
                <w:sz w:val="20"/>
                <w:szCs w:val="20"/>
                <w:color w:val="auto"/>
              </w:rPr>
            </w:pPr>
            <w:r>
              <w:rPr>
                <w:rFonts w:ascii="Arial" w:cs="Arial" w:eastAsia="Arial" w:hAnsi="Arial"/>
                <w:sz w:val="14"/>
                <w:szCs w:val="14"/>
                <w:b w:val="1"/>
                <w:bCs w:val="1"/>
                <w:color w:val="FFFFFF"/>
              </w:rPr>
              <w:t>Based RSUs ($)</w:t>
            </w:r>
          </w:p>
        </w:tc>
        <w:tc>
          <w:tcPr>
            <w:tcW w:w="0" w:type="dxa"/>
            <w:vAlign w:val="bottom"/>
          </w:tcPr>
          <w:p>
            <w:pPr>
              <w:spacing w:after="0"/>
              <w:rPr>
                <w:sz w:val="1"/>
                <w:szCs w:val="1"/>
                <w:color w:val="auto"/>
              </w:rPr>
            </w:pPr>
          </w:p>
        </w:tc>
      </w:tr>
      <w:tr>
        <w:trPr>
          <w:trHeight w:val="90"/>
        </w:trPr>
        <w:tc>
          <w:tcPr>
            <w:tcW w:w="2000" w:type="dxa"/>
            <w:vAlign w:val="bottom"/>
            <w:shd w:val="clear" w:color="auto" w:fill="0066BA"/>
          </w:tcPr>
          <w:p>
            <w:pPr>
              <w:spacing w:after="0"/>
              <w:rPr>
                <w:sz w:val="7"/>
                <w:szCs w:val="7"/>
                <w:color w:val="auto"/>
              </w:rPr>
            </w:pPr>
          </w:p>
        </w:tc>
        <w:tc>
          <w:tcPr>
            <w:tcW w:w="120" w:type="dxa"/>
            <w:vAlign w:val="bottom"/>
            <w:shd w:val="clear" w:color="auto" w:fill="0066BA"/>
          </w:tcPr>
          <w:p>
            <w:pPr>
              <w:spacing w:after="0"/>
              <w:rPr>
                <w:sz w:val="7"/>
                <w:szCs w:val="7"/>
                <w:color w:val="auto"/>
              </w:rPr>
            </w:pPr>
          </w:p>
        </w:tc>
        <w:tc>
          <w:tcPr>
            <w:tcW w:w="700" w:type="dxa"/>
            <w:vAlign w:val="bottom"/>
            <w:tcBorders>
              <w:right w:val="single" w:sz="8" w:color="0066BA"/>
            </w:tcBorders>
            <w:shd w:val="clear" w:color="auto" w:fill="0066BA"/>
          </w:tcPr>
          <w:p>
            <w:pPr>
              <w:spacing w:after="0"/>
              <w:rPr>
                <w:sz w:val="7"/>
                <w:szCs w:val="7"/>
                <w:color w:val="auto"/>
              </w:rPr>
            </w:pPr>
          </w:p>
        </w:tc>
        <w:tc>
          <w:tcPr>
            <w:tcW w:w="1120" w:type="dxa"/>
            <w:vAlign w:val="bottom"/>
            <w:shd w:val="clear" w:color="auto" w:fill="0066BA"/>
          </w:tcPr>
          <w:p>
            <w:pPr>
              <w:spacing w:after="0"/>
              <w:rPr>
                <w:sz w:val="7"/>
                <w:szCs w:val="7"/>
                <w:color w:val="auto"/>
              </w:rPr>
            </w:pPr>
          </w:p>
        </w:tc>
        <w:tc>
          <w:tcPr>
            <w:tcW w:w="120" w:type="dxa"/>
            <w:vAlign w:val="bottom"/>
            <w:shd w:val="clear" w:color="auto" w:fill="0066BA"/>
          </w:tcPr>
          <w:p>
            <w:pPr>
              <w:spacing w:after="0"/>
              <w:rPr>
                <w:sz w:val="7"/>
                <w:szCs w:val="7"/>
                <w:color w:val="auto"/>
              </w:rPr>
            </w:pPr>
          </w:p>
        </w:tc>
        <w:tc>
          <w:tcPr>
            <w:tcW w:w="540" w:type="dxa"/>
            <w:vAlign w:val="bottom"/>
            <w:shd w:val="clear" w:color="auto" w:fill="0066BA"/>
          </w:tcPr>
          <w:p>
            <w:pPr>
              <w:spacing w:after="0"/>
              <w:rPr>
                <w:sz w:val="7"/>
                <w:szCs w:val="7"/>
                <w:color w:val="auto"/>
              </w:rPr>
            </w:pPr>
          </w:p>
        </w:tc>
        <w:tc>
          <w:tcPr>
            <w:tcW w:w="80" w:type="dxa"/>
            <w:vAlign w:val="bottom"/>
            <w:shd w:val="clear" w:color="auto" w:fill="0066BA"/>
          </w:tcPr>
          <w:p>
            <w:pPr>
              <w:spacing w:after="0"/>
              <w:rPr>
                <w:sz w:val="7"/>
                <w:szCs w:val="7"/>
                <w:color w:val="auto"/>
              </w:rPr>
            </w:pPr>
          </w:p>
        </w:tc>
        <w:tc>
          <w:tcPr>
            <w:tcW w:w="980" w:type="dxa"/>
            <w:vAlign w:val="bottom"/>
            <w:shd w:val="clear" w:color="auto" w:fill="0066BA"/>
          </w:tcPr>
          <w:p>
            <w:pPr>
              <w:spacing w:after="0"/>
              <w:rPr>
                <w:sz w:val="7"/>
                <w:szCs w:val="7"/>
                <w:color w:val="auto"/>
              </w:rPr>
            </w:pPr>
          </w:p>
        </w:tc>
        <w:tc>
          <w:tcPr>
            <w:tcW w:w="180" w:type="dxa"/>
            <w:vAlign w:val="bottom"/>
            <w:shd w:val="clear" w:color="auto" w:fill="0066BA"/>
          </w:tcPr>
          <w:p>
            <w:pPr>
              <w:spacing w:after="0"/>
              <w:rPr>
                <w:sz w:val="7"/>
                <w:szCs w:val="7"/>
                <w:color w:val="auto"/>
              </w:rPr>
            </w:pPr>
          </w:p>
        </w:tc>
        <w:tc>
          <w:tcPr>
            <w:tcW w:w="520" w:type="dxa"/>
            <w:vAlign w:val="bottom"/>
            <w:shd w:val="clear" w:color="auto" w:fill="0066BA"/>
          </w:tcPr>
          <w:p>
            <w:pPr>
              <w:spacing w:after="0"/>
              <w:rPr>
                <w:sz w:val="7"/>
                <w:szCs w:val="7"/>
                <w:color w:val="auto"/>
              </w:rPr>
            </w:pPr>
          </w:p>
        </w:tc>
        <w:tc>
          <w:tcPr>
            <w:tcW w:w="80" w:type="dxa"/>
            <w:vAlign w:val="bottom"/>
            <w:shd w:val="clear" w:color="auto" w:fill="0066BA"/>
          </w:tcPr>
          <w:p>
            <w:pPr>
              <w:spacing w:after="0"/>
              <w:rPr>
                <w:sz w:val="7"/>
                <w:szCs w:val="7"/>
                <w:color w:val="auto"/>
              </w:rPr>
            </w:pPr>
          </w:p>
        </w:tc>
        <w:tc>
          <w:tcPr>
            <w:tcW w:w="720" w:type="dxa"/>
            <w:vAlign w:val="bottom"/>
            <w:shd w:val="clear" w:color="auto" w:fill="0066BA"/>
          </w:tcPr>
          <w:p>
            <w:pPr>
              <w:spacing w:after="0"/>
              <w:rPr>
                <w:sz w:val="7"/>
                <w:szCs w:val="7"/>
                <w:color w:val="auto"/>
              </w:rPr>
            </w:pPr>
          </w:p>
        </w:tc>
        <w:tc>
          <w:tcPr>
            <w:tcW w:w="140" w:type="dxa"/>
            <w:vAlign w:val="bottom"/>
            <w:shd w:val="clear" w:color="auto" w:fill="0066BA"/>
          </w:tcPr>
          <w:p>
            <w:pPr>
              <w:spacing w:after="0"/>
              <w:rPr>
                <w:sz w:val="7"/>
                <w:szCs w:val="7"/>
                <w:color w:val="auto"/>
              </w:rPr>
            </w:pPr>
          </w:p>
        </w:tc>
        <w:tc>
          <w:tcPr>
            <w:tcW w:w="520" w:type="dxa"/>
            <w:vAlign w:val="bottom"/>
            <w:shd w:val="clear" w:color="auto" w:fill="0066BA"/>
          </w:tcPr>
          <w:p>
            <w:pPr>
              <w:spacing w:after="0"/>
              <w:rPr>
                <w:sz w:val="7"/>
                <w:szCs w:val="7"/>
                <w:color w:val="auto"/>
              </w:rPr>
            </w:pPr>
          </w:p>
        </w:tc>
        <w:tc>
          <w:tcPr>
            <w:tcW w:w="80" w:type="dxa"/>
            <w:vAlign w:val="bottom"/>
            <w:shd w:val="clear" w:color="auto" w:fill="0066BA"/>
          </w:tcPr>
          <w:p>
            <w:pPr>
              <w:spacing w:after="0"/>
              <w:rPr>
                <w:sz w:val="7"/>
                <w:szCs w:val="7"/>
                <w:color w:val="auto"/>
              </w:rPr>
            </w:pPr>
          </w:p>
        </w:tc>
        <w:tc>
          <w:tcPr>
            <w:tcW w:w="880" w:type="dxa"/>
            <w:vAlign w:val="bottom"/>
            <w:shd w:val="clear" w:color="auto" w:fill="0066BA"/>
          </w:tcPr>
          <w:p>
            <w:pPr>
              <w:spacing w:after="0"/>
              <w:rPr>
                <w:sz w:val="7"/>
                <w:szCs w:val="7"/>
                <w:color w:val="auto"/>
              </w:rPr>
            </w:pPr>
          </w:p>
        </w:tc>
        <w:tc>
          <w:tcPr>
            <w:tcW w:w="120" w:type="dxa"/>
            <w:vAlign w:val="bottom"/>
            <w:shd w:val="clear" w:color="auto" w:fill="0066BA"/>
          </w:tcPr>
          <w:p>
            <w:pPr>
              <w:spacing w:after="0"/>
              <w:rPr>
                <w:sz w:val="7"/>
                <w:szCs w:val="7"/>
                <w:color w:val="auto"/>
              </w:rPr>
            </w:pPr>
          </w:p>
        </w:tc>
        <w:tc>
          <w:tcPr>
            <w:tcW w:w="1000" w:type="dxa"/>
            <w:vAlign w:val="bottom"/>
            <w:shd w:val="clear" w:color="auto" w:fill="0066BA"/>
          </w:tcPr>
          <w:p>
            <w:pPr>
              <w:spacing w:after="0"/>
              <w:rPr>
                <w:sz w:val="7"/>
                <w:szCs w:val="7"/>
                <w:color w:val="auto"/>
              </w:rPr>
            </w:pPr>
          </w:p>
        </w:tc>
        <w:tc>
          <w:tcPr>
            <w:tcW w:w="80" w:type="dxa"/>
            <w:vAlign w:val="bottom"/>
            <w:shd w:val="clear" w:color="auto" w:fill="0066BA"/>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00" w:type="dxa"/>
            <w:vAlign w:val="bottom"/>
          </w:tcPr>
          <w:p>
            <w:pPr>
              <w:spacing w:after="0"/>
              <w:rPr>
                <w:sz w:val="22"/>
                <w:szCs w:val="22"/>
                <w:color w:val="auto"/>
              </w:rPr>
            </w:pPr>
          </w:p>
        </w:tc>
        <w:tc>
          <w:tcPr>
            <w:tcW w:w="820" w:type="dxa"/>
            <w:vAlign w:val="bottom"/>
            <w:tcBorders>
              <w:right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3/29/2018</w:t>
            </w:r>
          </w:p>
        </w:tc>
        <w:tc>
          <w:tcPr>
            <w:tcW w:w="1120" w:type="dxa"/>
            <w:vAlign w:val="bottom"/>
          </w:tcPr>
          <w:p>
            <w:pPr>
              <w:jc w:val="right"/>
              <w:ind w:right="103"/>
              <w:spacing w:after="0"/>
              <w:rPr>
                <w:sz w:val="20"/>
                <w:szCs w:val="20"/>
                <w:color w:val="auto"/>
              </w:rPr>
            </w:pPr>
            <w:r>
              <w:rPr>
                <w:rFonts w:ascii="Arial" w:cs="Arial" w:eastAsia="Arial" w:hAnsi="Arial"/>
                <w:sz w:val="16"/>
                <w:szCs w:val="16"/>
                <w:color w:val="auto"/>
              </w:rPr>
              <w:t>26,366*</w:t>
            </w:r>
          </w:p>
        </w:tc>
        <w:tc>
          <w:tcPr>
            <w:tcW w:w="120" w:type="dxa"/>
            <w:vAlign w:val="bottom"/>
            <w:shd w:val="clear" w:color="auto" w:fill="EAEAEA"/>
          </w:tcPr>
          <w:p>
            <w:pPr>
              <w:spacing w:after="0"/>
              <w:rPr>
                <w:sz w:val="22"/>
                <w:szCs w:val="22"/>
                <w:color w:val="auto"/>
              </w:rPr>
            </w:pPr>
          </w:p>
        </w:tc>
        <w:tc>
          <w:tcPr>
            <w:tcW w:w="620" w:type="dxa"/>
            <w:vAlign w:val="bottom"/>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22"/>
                <w:szCs w:val="22"/>
                <w:color w:val="auto"/>
              </w:rPr>
            </w:pPr>
          </w:p>
        </w:tc>
        <w:tc>
          <w:tcPr>
            <w:tcW w:w="600" w:type="dxa"/>
            <w:vAlign w:val="bottom"/>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2.54</w:t>
            </w:r>
          </w:p>
        </w:tc>
        <w:tc>
          <w:tcPr>
            <w:tcW w:w="740" w:type="dxa"/>
            <w:vAlign w:val="bottom"/>
            <w:gridSpan w:val="3"/>
            <w:shd w:val="clear" w:color="auto" w:fill="EAEAEA"/>
          </w:tcPr>
          <w:p>
            <w:pPr>
              <w:ind w:left="400"/>
              <w:spacing w:after="0"/>
              <w:rPr>
                <w:sz w:val="20"/>
                <w:szCs w:val="20"/>
                <w:color w:val="auto"/>
              </w:rPr>
            </w:pPr>
            <w:r>
              <w:rPr>
                <w:rFonts w:ascii="Arial" w:cs="Arial" w:eastAsia="Arial" w:hAnsi="Arial"/>
                <w:sz w:val="16"/>
                <w:szCs w:val="16"/>
                <w:color w:val="auto"/>
              </w:rPr>
              <w:t>2.11</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86.51</w:t>
            </w:r>
          </w:p>
        </w:tc>
        <w:tc>
          <w:tcPr>
            <w:tcW w:w="120" w:type="dxa"/>
            <w:vAlign w:val="bottom"/>
            <w:shd w:val="clear" w:color="auto" w:fill="EAEAEA"/>
          </w:tcPr>
          <w:p>
            <w:pPr>
              <w:spacing w:after="0"/>
              <w:rPr>
                <w:sz w:val="22"/>
                <w:szCs w:val="22"/>
                <w:color w:val="auto"/>
              </w:rPr>
            </w:pPr>
          </w:p>
        </w:tc>
        <w:tc>
          <w:tcPr>
            <w:tcW w:w="1000" w:type="dxa"/>
            <w:vAlign w:val="bottom"/>
            <w:shd w:val="clear" w:color="auto" w:fill="EAEAEA"/>
          </w:tcPr>
          <w:p>
            <w:pPr>
              <w:spacing w:after="0"/>
              <w:rPr>
                <w:sz w:val="22"/>
                <w:szCs w:val="22"/>
                <w:color w:val="auto"/>
              </w:rPr>
            </w:pPr>
          </w:p>
        </w:tc>
        <w:tc>
          <w:tcPr>
            <w:tcW w:w="80" w:type="dxa"/>
            <w:vAlign w:val="bottom"/>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3/29/2018</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26,366**</w:t>
            </w:r>
          </w:p>
        </w:tc>
        <w:tc>
          <w:tcPr>
            <w:tcW w:w="120" w:type="dxa"/>
            <w:vAlign w:val="bottom"/>
            <w:shd w:val="clear" w:color="auto" w:fill="EAEAEA"/>
          </w:tcPr>
          <w:p>
            <w:pPr>
              <w:spacing w:after="0"/>
              <w:rPr>
                <w:sz w:val="16"/>
                <w:szCs w:val="16"/>
                <w:color w:val="auto"/>
              </w:rPr>
            </w:pPr>
          </w:p>
        </w:tc>
        <w:tc>
          <w:tcPr>
            <w:tcW w:w="620" w:type="dxa"/>
            <w:vAlign w:val="bottom"/>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25.63</w:t>
            </w:r>
          </w:p>
        </w:tc>
        <w:tc>
          <w:tcPr>
            <w:tcW w:w="180" w:type="dxa"/>
            <w:vAlign w:val="bottom"/>
            <w:shd w:val="clear" w:color="auto" w:fill="EAEAEA"/>
          </w:tcPr>
          <w:p>
            <w:pPr>
              <w:spacing w:after="0"/>
              <w:rPr>
                <w:sz w:val="16"/>
                <w:szCs w:val="16"/>
                <w:color w:val="auto"/>
              </w:rPr>
            </w:pPr>
          </w:p>
        </w:tc>
        <w:tc>
          <w:tcPr>
            <w:tcW w:w="600" w:type="dxa"/>
            <w:vAlign w:val="bottom"/>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2.37</w:t>
            </w:r>
          </w:p>
        </w:tc>
        <w:tc>
          <w:tcPr>
            <w:tcW w:w="140" w:type="dxa"/>
            <w:vAlign w:val="bottom"/>
            <w:shd w:val="clear" w:color="auto" w:fill="EAEAEA"/>
          </w:tcPr>
          <w:p>
            <w:pPr>
              <w:spacing w:after="0"/>
              <w:rPr>
                <w:sz w:val="16"/>
                <w:szCs w:val="16"/>
                <w:color w:val="auto"/>
              </w:rPr>
            </w:pPr>
          </w:p>
        </w:tc>
        <w:tc>
          <w:tcPr>
            <w:tcW w:w="600" w:type="dxa"/>
            <w:vAlign w:val="bottom"/>
            <w:gridSpan w:val="2"/>
            <w:shd w:val="clear" w:color="auto" w:fill="EAEAEA"/>
          </w:tcPr>
          <w:p>
            <w:pPr>
              <w:ind w:left="260"/>
              <w:spacing w:after="0"/>
              <w:rPr>
                <w:sz w:val="20"/>
                <w:szCs w:val="20"/>
                <w:color w:val="auto"/>
              </w:rPr>
            </w:pPr>
            <w:r>
              <w:rPr>
                <w:rFonts w:ascii="Arial" w:cs="Arial" w:eastAsia="Arial" w:hAnsi="Arial"/>
                <w:sz w:val="16"/>
                <w:szCs w:val="16"/>
                <w:color w:val="auto"/>
              </w:rPr>
              <w:t>2.08</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101.23</w:t>
            </w:r>
          </w:p>
        </w:tc>
        <w:tc>
          <w:tcPr>
            <w:tcW w:w="120" w:type="dxa"/>
            <w:vAlign w:val="bottom"/>
            <w:shd w:val="clear" w:color="auto" w:fill="EAEAEA"/>
          </w:tcPr>
          <w:p>
            <w:pPr>
              <w:spacing w:after="0"/>
              <w:rPr>
                <w:sz w:val="16"/>
                <w:szCs w:val="16"/>
                <w:color w:val="auto"/>
              </w:rPr>
            </w:pPr>
          </w:p>
        </w:tc>
        <w:tc>
          <w:tcPr>
            <w:tcW w:w="1080" w:type="dxa"/>
            <w:vAlign w:val="bottom"/>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5,338,060</w:t>
            </w: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3/29/2018</w:t>
            </w: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110,661</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91.13</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27.77</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2.64</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2.11</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20.83</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3/13/2019</w:t>
            </w:r>
          </w:p>
        </w:tc>
        <w:tc>
          <w:tcPr>
            <w:tcW w:w="1120" w:type="dxa"/>
            <w:vAlign w:val="bottom"/>
          </w:tcPr>
          <w:p>
            <w:pPr>
              <w:jc w:val="right"/>
              <w:ind w:right="103"/>
              <w:spacing w:after="0"/>
              <w:rPr>
                <w:sz w:val="20"/>
                <w:szCs w:val="20"/>
                <w:color w:val="auto"/>
              </w:rPr>
            </w:pPr>
            <w:r>
              <w:rPr>
                <w:rFonts w:ascii="Arial" w:cs="Arial" w:eastAsia="Arial" w:hAnsi="Arial"/>
                <w:sz w:val="16"/>
                <w:szCs w:val="16"/>
                <w:color w:val="auto"/>
              </w:rPr>
              <w:t>22,763*</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2.42</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102.89</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Vincent</w:t>
            </w: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3/13/2019</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22,763**</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24.07</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2.38</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114.36</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5,206,353</w:t>
            </w: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vMerge w:val="continue"/>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00" w:type="dxa"/>
            <w:vAlign w:val="bottom"/>
            <w:vMerge w:val="continue"/>
          </w:tcPr>
          <w:p>
            <w:pPr>
              <w:spacing w:after="0"/>
              <w:rPr>
                <w:sz w:val="7"/>
                <w:szCs w:val="7"/>
                <w:color w:val="auto"/>
              </w:rPr>
            </w:pPr>
          </w:p>
        </w:tc>
        <w:tc>
          <w:tcPr>
            <w:tcW w:w="120" w:type="dxa"/>
            <w:vAlign w:val="bottom"/>
            <w:shd w:val="clear" w:color="auto" w:fill="EAEAEA"/>
          </w:tcPr>
          <w:p>
            <w:pPr>
              <w:spacing w:after="0"/>
              <w:rPr>
                <w:sz w:val="7"/>
                <w:szCs w:val="7"/>
                <w:color w:val="auto"/>
              </w:rPr>
            </w:pPr>
          </w:p>
        </w:tc>
        <w:tc>
          <w:tcPr>
            <w:tcW w:w="700" w:type="dxa"/>
            <w:vAlign w:val="bottom"/>
            <w:tcBorders>
              <w:right w:val="single" w:sz="8" w:color="EAEAEA"/>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87"/>
              </w:rPr>
              <w:t>3/13/2019</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22,763***</w:t>
            </w:r>
          </w:p>
        </w:tc>
        <w:tc>
          <w:tcPr>
            <w:tcW w:w="120" w:type="dxa"/>
            <w:vAlign w:val="bottom"/>
            <w:shd w:val="clear" w:color="auto" w:fill="EAEAEA"/>
          </w:tcPr>
          <w:p>
            <w:pPr>
              <w:spacing w:after="0"/>
              <w:rPr>
                <w:sz w:val="7"/>
                <w:szCs w:val="7"/>
                <w:color w:val="auto"/>
              </w:rPr>
            </w:pPr>
          </w:p>
        </w:tc>
        <w:tc>
          <w:tcPr>
            <w:tcW w:w="54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7"/>
                <w:szCs w:val="7"/>
                <w:color w:val="auto"/>
              </w:rPr>
            </w:pPr>
          </w:p>
        </w:tc>
        <w:tc>
          <w:tcPr>
            <w:tcW w:w="98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7"/>
                <w:szCs w:val="7"/>
                <w:color w:val="auto"/>
              </w:rPr>
            </w:pPr>
          </w:p>
        </w:tc>
        <w:tc>
          <w:tcPr>
            <w:tcW w:w="52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7"/>
                <w:szCs w:val="7"/>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6"/>
                <w:szCs w:val="16"/>
                <w:color w:val="auto"/>
              </w:rPr>
              <w:t>2.42</w:t>
            </w:r>
          </w:p>
        </w:tc>
        <w:tc>
          <w:tcPr>
            <w:tcW w:w="140" w:type="dxa"/>
            <w:vAlign w:val="bottom"/>
            <w:shd w:val="clear" w:color="auto" w:fill="EAEAEA"/>
          </w:tcPr>
          <w:p>
            <w:pPr>
              <w:spacing w:after="0"/>
              <w:rPr>
                <w:sz w:val="7"/>
                <w:szCs w:val="7"/>
                <w:color w:val="auto"/>
              </w:rPr>
            </w:pPr>
          </w:p>
        </w:tc>
        <w:tc>
          <w:tcPr>
            <w:tcW w:w="520" w:type="dxa"/>
            <w:vAlign w:val="bottom"/>
            <w:vMerge w:val="restart"/>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shd w:val="clear" w:color="auto" w:fill="EAEAEA"/>
          </w:tcPr>
          <w:p>
            <w:pPr>
              <w:spacing w:after="0"/>
              <w:rPr>
                <w:sz w:val="7"/>
                <w:szCs w:val="7"/>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6"/>
                <w:szCs w:val="16"/>
                <w:color w:val="auto"/>
              </w:rPr>
              <w:t>92.00</w:t>
            </w:r>
          </w:p>
        </w:tc>
        <w:tc>
          <w:tcPr>
            <w:tcW w:w="120" w:type="dxa"/>
            <w:vAlign w:val="bottom"/>
            <w:shd w:val="clear" w:color="auto" w:fill="EAEAEA"/>
          </w:tcPr>
          <w:p>
            <w:pPr>
              <w:spacing w:after="0"/>
              <w:rPr>
                <w:sz w:val="7"/>
                <w:szCs w:val="7"/>
                <w:color w:val="auto"/>
              </w:rPr>
            </w:pPr>
          </w:p>
        </w:tc>
        <w:tc>
          <w:tcPr>
            <w:tcW w:w="10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4,636,823</w:t>
            </w:r>
          </w:p>
        </w:tc>
        <w:tc>
          <w:tcPr>
            <w:tcW w:w="80" w:type="dxa"/>
            <w:vAlign w:val="bottom"/>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0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Roche</w:t>
            </w:r>
          </w:p>
        </w:tc>
        <w:tc>
          <w:tcPr>
            <w:tcW w:w="120" w:type="dxa"/>
            <w:vAlign w:val="bottom"/>
            <w:shd w:val="clear" w:color="auto" w:fill="EAEAEA"/>
          </w:tcPr>
          <w:p>
            <w:pPr>
              <w:spacing w:after="0"/>
              <w:rPr>
                <w:sz w:val="9"/>
                <w:szCs w:val="9"/>
                <w:color w:val="auto"/>
              </w:rPr>
            </w:pPr>
          </w:p>
        </w:tc>
        <w:tc>
          <w:tcPr>
            <w:tcW w:w="700" w:type="dxa"/>
            <w:vAlign w:val="bottom"/>
            <w:tcBorders>
              <w:right w:val="single" w:sz="8" w:color="EAEAEA"/>
            </w:tcBorders>
            <w:vMerge w:val="continue"/>
            <w:shd w:val="clear" w:color="auto" w:fill="EAEAEA"/>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shd w:val="clear" w:color="auto" w:fill="EAEAEA"/>
          </w:tcPr>
          <w:p>
            <w:pPr>
              <w:spacing w:after="0"/>
              <w:rPr>
                <w:sz w:val="9"/>
                <w:szCs w:val="9"/>
                <w:color w:val="auto"/>
              </w:rPr>
            </w:pPr>
          </w:p>
        </w:tc>
        <w:tc>
          <w:tcPr>
            <w:tcW w:w="540" w:type="dxa"/>
            <w:vAlign w:val="bottom"/>
            <w:vMerge w:val="continue"/>
            <w:shd w:val="clear" w:color="auto" w:fill="EAEAEA"/>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980" w:type="dxa"/>
            <w:vAlign w:val="bottom"/>
            <w:vMerge w:val="continue"/>
          </w:tcPr>
          <w:p>
            <w:pPr>
              <w:spacing w:after="0"/>
              <w:rPr>
                <w:sz w:val="9"/>
                <w:szCs w:val="9"/>
                <w:color w:val="auto"/>
              </w:rPr>
            </w:pPr>
          </w:p>
        </w:tc>
        <w:tc>
          <w:tcPr>
            <w:tcW w:w="180" w:type="dxa"/>
            <w:vAlign w:val="bottom"/>
            <w:shd w:val="clear" w:color="auto" w:fill="EAEAEA"/>
          </w:tcPr>
          <w:p>
            <w:pPr>
              <w:spacing w:after="0"/>
              <w:rPr>
                <w:sz w:val="9"/>
                <w:szCs w:val="9"/>
                <w:color w:val="auto"/>
              </w:rPr>
            </w:pPr>
          </w:p>
        </w:tc>
        <w:tc>
          <w:tcPr>
            <w:tcW w:w="520" w:type="dxa"/>
            <w:vAlign w:val="bottom"/>
            <w:vMerge w:val="continue"/>
            <w:shd w:val="clear" w:color="auto" w:fill="EAEAEA"/>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720" w:type="dxa"/>
            <w:vAlign w:val="bottom"/>
            <w:vMerge w:val="continue"/>
          </w:tcPr>
          <w:p>
            <w:pPr>
              <w:spacing w:after="0"/>
              <w:rPr>
                <w:sz w:val="9"/>
                <w:szCs w:val="9"/>
                <w:color w:val="auto"/>
              </w:rPr>
            </w:pPr>
          </w:p>
        </w:tc>
        <w:tc>
          <w:tcPr>
            <w:tcW w:w="140" w:type="dxa"/>
            <w:vAlign w:val="bottom"/>
            <w:shd w:val="clear" w:color="auto" w:fill="EAEAEA"/>
          </w:tcPr>
          <w:p>
            <w:pPr>
              <w:spacing w:after="0"/>
              <w:rPr>
                <w:sz w:val="9"/>
                <w:szCs w:val="9"/>
                <w:color w:val="auto"/>
              </w:rPr>
            </w:pPr>
          </w:p>
        </w:tc>
        <w:tc>
          <w:tcPr>
            <w:tcW w:w="520" w:type="dxa"/>
            <w:vAlign w:val="bottom"/>
            <w:vMerge w:val="continue"/>
            <w:shd w:val="clear" w:color="auto" w:fill="EAEAEA"/>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shd w:val="clear" w:color="auto" w:fill="EAEAEA"/>
          </w:tcPr>
          <w:p>
            <w:pPr>
              <w:spacing w:after="0"/>
              <w:rPr>
                <w:sz w:val="9"/>
                <w:szCs w:val="9"/>
                <w:color w:val="auto"/>
              </w:rPr>
            </w:pPr>
          </w:p>
        </w:tc>
        <w:tc>
          <w:tcPr>
            <w:tcW w:w="1000" w:type="dxa"/>
            <w:vAlign w:val="bottom"/>
            <w:vMerge w:val="continue"/>
            <w:shd w:val="clear" w:color="auto" w:fill="EAEAEA"/>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00" w:type="dxa"/>
            <w:vAlign w:val="bottom"/>
            <w:vMerge w:val="continue"/>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3/13/2019</w:t>
            </w: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100,803</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108.08</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26.32</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2.42</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23.43</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3/11/2020</w:t>
            </w:r>
          </w:p>
        </w:tc>
        <w:tc>
          <w:tcPr>
            <w:tcW w:w="1120" w:type="dxa"/>
            <w:vAlign w:val="bottom"/>
          </w:tcPr>
          <w:p>
            <w:pPr>
              <w:jc w:val="right"/>
              <w:ind w:right="103"/>
              <w:spacing w:after="0"/>
              <w:rPr>
                <w:sz w:val="20"/>
                <w:szCs w:val="20"/>
                <w:color w:val="auto"/>
              </w:rPr>
            </w:pPr>
            <w:r>
              <w:rPr>
                <w:rFonts w:ascii="Arial" w:cs="Arial" w:eastAsia="Arial" w:hAnsi="Arial"/>
                <w:sz w:val="16"/>
                <w:szCs w:val="16"/>
                <w:color w:val="auto"/>
              </w:rPr>
              <w:t>27,368*</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0.66</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2.63</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88.28</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3/11/2020</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27,368**</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27.99</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0.58</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2.59</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97.71</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5,348,255</w:t>
            </w: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3/11/2020</w:t>
            </w:r>
          </w:p>
        </w:tc>
        <w:tc>
          <w:tcPr>
            <w:tcW w:w="1120" w:type="dxa"/>
            <w:vAlign w:val="bottom"/>
          </w:tcPr>
          <w:p>
            <w:pPr>
              <w:jc w:val="right"/>
              <w:spacing w:after="0"/>
              <w:rPr>
                <w:sz w:val="20"/>
                <w:szCs w:val="20"/>
                <w:color w:val="auto"/>
              </w:rPr>
            </w:pPr>
            <w:r>
              <w:rPr>
                <w:rFonts w:ascii="Arial" w:cs="Arial" w:eastAsia="Arial" w:hAnsi="Arial"/>
                <w:sz w:val="16"/>
                <w:szCs w:val="16"/>
                <w:color w:val="auto"/>
              </w:rPr>
              <w:t>27,368***</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0.66</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2.63</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88.28</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4,832,094</w:t>
            </w: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3/11/2020</w:t>
            </w: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134,620</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94.41</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29.49</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0.66</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2.63</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18.46</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Borders>
              <w:bottom w:val="single" w:sz="8" w:color="0066BA"/>
            </w:tcBorders>
          </w:tcPr>
          <w:p>
            <w:pPr>
              <w:spacing w:after="0"/>
              <w:rPr>
                <w:sz w:val="6"/>
                <w:szCs w:val="6"/>
                <w:color w:val="auto"/>
              </w:rPr>
            </w:pPr>
          </w:p>
        </w:tc>
        <w:tc>
          <w:tcPr>
            <w:tcW w:w="120" w:type="dxa"/>
            <w:vAlign w:val="bottom"/>
            <w:tcBorders>
              <w:bottom w:val="single" w:sz="8" w:color="0066BA"/>
            </w:tcBorders>
            <w:shd w:val="clear" w:color="auto" w:fill="EAEAEA"/>
          </w:tcPr>
          <w:p>
            <w:pPr>
              <w:spacing w:after="0"/>
              <w:rPr>
                <w:sz w:val="6"/>
                <w:szCs w:val="6"/>
                <w:color w:val="auto"/>
              </w:rPr>
            </w:pPr>
          </w:p>
        </w:tc>
        <w:tc>
          <w:tcPr>
            <w:tcW w:w="700" w:type="dxa"/>
            <w:vAlign w:val="bottom"/>
            <w:tcBorders>
              <w:bottom w:val="single" w:sz="8" w:color="0066BA"/>
              <w:right w:val="single" w:sz="8" w:color="EAEAEA"/>
            </w:tcBorders>
            <w:shd w:val="clear" w:color="auto" w:fill="EAEAEA"/>
          </w:tcPr>
          <w:p>
            <w:pPr>
              <w:spacing w:after="0"/>
              <w:rPr>
                <w:sz w:val="6"/>
                <w:szCs w:val="6"/>
                <w:color w:val="auto"/>
              </w:rPr>
            </w:pPr>
          </w:p>
        </w:tc>
        <w:tc>
          <w:tcPr>
            <w:tcW w:w="1120" w:type="dxa"/>
            <w:vAlign w:val="bottom"/>
            <w:tcBorders>
              <w:bottom w:val="single" w:sz="8" w:color="0066BA"/>
            </w:tcBorders>
          </w:tcPr>
          <w:p>
            <w:pPr>
              <w:spacing w:after="0"/>
              <w:rPr>
                <w:sz w:val="6"/>
                <w:szCs w:val="6"/>
                <w:color w:val="auto"/>
              </w:rPr>
            </w:pPr>
          </w:p>
        </w:tc>
        <w:tc>
          <w:tcPr>
            <w:tcW w:w="120" w:type="dxa"/>
            <w:vAlign w:val="bottom"/>
            <w:tcBorders>
              <w:bottom w:val="single" w:sz="8" w:color="0066BA"/>
            </w:tcBorders>
            <w:shd w:val="clear" w:color="auto" w:fill="EAEAEA"/>
          </w:tcPr>
          <w:p>
            <w:pPr>
              <w:spacing w:after="0"/>
              <w:rPr>
                <w:sz w:val="6"/>
                <w:szCs w:val="6"/>
                <w:color w:val="auto"/>
              </w:rPr>
            </w:pPr>
          </w:p>
        </w:tc>
        <w:tc>
          <w:tcPr>
            <w:tcW w:w="540" w:type="dxa"/>
            <w:vAlign w:val="bottom"/>
            <w:tcBorders>
              <w:bottom w:val="single" w:sz="8" w:color="0066BA"/>
            </w:tcBorders>
            <w:shd w:val="clear" w:color="auto" w:fill="EAEAEA"/>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980" w:type="dxa"/>
            <w:vAlign w:val="bottom"/>
            <w:tcBorders>
              <w:bottom w:val="single" w:sz="8" w:color="0066BA"/>
            </w:tcBorders>
          </w:tcPr>
          <w:p>
            <w:pPr>
              <w:spacing w:after="0"/>
              <w:rPr>
                <w:sz w:val="6"/>
                <w:szCs w:val="6"/>
                <w:color w:val="auto"/>
              </w:rPr>
            </w:pPr>
          </w:p>
        </w:tc>
        <w:tc>
          <w:tcPr>
            <w:tcW w:w="180" w:type="dxa"/>
            <w:vAlign w:val="bottom"/>
            <w:tcBorders>
              <w:bottom w:val="single" w:sz="8" w:color="0066BA"/>
            </w:tcBorders>
            <w:shd w:val="clear" w:color="auto" w:fill="EAEAEA"/>
          </w:tcPr>
          <w:p>
            <w:pPr>
              <w:spacing w:after="0"/>
              <w:rPr>
                <w:sz w:val="6"/>
                <w:szCs w:val="6"/>
                <w:color w:val="auto"/>
              </w:rPr>
            </w:pPr>
          </w:p>
        </w:tc>
        <w:tc>
          <w:tcPr>
            <w:tcW w:w="520" w:type="dxa"/>
            <w:vAlign w:val="bottom"/>
            <w:tcBorders>
              <w:bottom w:val="single" w:sz="8" w:color="0066BA"/>
            </w:tcBorders>
            <w:shd w:val="clear" w:color="auto" w:fill="EAEAEA"/>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720" w:type="dxa"/>
            <w:vAlign w:val="bottom"/>
            <w:tcBorders>
              <w:bottom w:val="single" w:sz="8" w:color="0066BA"/>
            </w:tcBorders>
          </w:tcPr>
          <w:p>
            <w:pPr>
              <w:spacing w:after="0"/>
              <w:rPr>
                <w:sz w:val="6"/>
                <w:szCs w:val="6"/>
                <w:color w:val="auto"/>
              </w:rPr>
            </w:pPr>
          </w:p>
        </w:tc>
        <w:tc>
          <w:tcPr>
            <w:tcW w:w="140" w:type="dxa"/>
            <w:vAlign w:val="bottom"/>
            <w:tcBorders>
              <w:bottom w:val="single" w:sz="8" w:color="0066BA"/>
            </w:tcBorders>
            <w:shd w:val="clear" w:color="auto" w:fill="EAEAEA"/>
          </w:tcPr>
          <w:p>
            <w:pPr>
              <w:spacing w:after="0"/>
              <w:rPr>
                <w:sz w:val="6"/>
                <w:szCs w:val="6"/>
                <w:color w:val="auto"/>
              </w:rPr>
            </w:pPr>
          </w:p>
        </w:tc>
        <w:tc>
          <w:tcPr>
            <w:tcW w:w="520" w:type="dxa"/>
            <w:vAlign w:val="bottom"/>
            <w:tcBorders>
              <w:bottom w:val="single" w:sz="8" w:color="0066BA"/>
            </w:tcBorders>
            <w:shd w:val="clear" w:color="auto" w:fill="EAEAEA"/>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tcPr>
          <w:p>
            <w:pPr>
              <w:spacing w:after="0"/>
              <w:rPr>
                <w:sz w:val="6"/>
                <w:szCs w:val="6"/>
                <w:color w:val="auto"/>
              </w:rPr>
            </w:pPr>
          </w:p>
        </w:tc>
        <w:tc>
          <w:tcPr>
            <w:tcW w:w="120" w:type="dxa"/>
            <w:vAlign w:val="bottom"/>
            <w:tcBorders>
              <w:bottom w:val="single" w:sz="8" w:color="0066BA"/>
            </w:tcBorders>
            <w:shd w:val="clear" w:color="auto" w:fill="EAEAEA"/>
          </w:tcPr>
          <w:p>
            <w:pPr>
              <w:spacing w:after="0"/>
              <w:rPr>
                <w:sz w:val="6"/>
                <w:szCs w:val="6"/>
                <w:color w:val="auto"/>
              </w:rPr>
            </w:pPr>
          </w:p>
        </w:tc>
        <w:tc>
          <w:tcPr>
            <w:tcW w:w="1000" w:type="dxa"/>
            <w:vAlign w:val="bottom"/>
            <w:tcBorders>
              <w:bottom w:val="single" w:sz="8" w:color="0066BA"/>
            </w:tcBorders>
            <w:shd w:val="clear" w:color="auto" w:fill="EAEAEA"/>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820" w:type="dxa"/>
            <w:vAlign w:val="bottom"/>
            <w:tcBorders>
              <w:right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3/29/2018</w:t>
            </w:r>
          </w:p>
        </w:tc>
        <w:tc>
          <w:tcPr>
            <w:tcW w:w="1120" w:type="dxa"/>
            <w:vAlign w:val="bottom"/>
          </w:tcPr>
          <w:p>
            <w:pPr>
              <w:jc w:val="right"/>
              <w:ind w:right="103"/>
              <w:spacing w:after="0"/>
              <w:rPr>
                <w:sz w:val="20"/>
                <w:szCs w:val="20"/>
                <w:color w:val="auto"/>
              </w:rPr>
            </w:pPr>
            <w:r>
              <w:rPr>
                <w:rFonts w:ascii="Arial" w:cs="Arial" w:eastAsia="Arial" w:hAnsi="Arial"/>
                <w:sz w:val="16"/>
                <w:szCs w:val="16"/>
                <w:color w:val="auto"/>
              </w:rPr>
              <w:t>8,287*</w:t>
            </w:r>
          </w:p>
        </w:tc>
        <w:tc>
          <w:tcPr>
            <w:tcW w:w="120" w:type="dxa"/>
            <w:vAlign w:val="bottom"/>
            <w:shd w:val="clear" w:color="auto" w:fill="EAEAEA"/>
          </w:tcPr>
          <w:p>
            <w:pPr>
              <w:spacing w:after="0"/>
              <w:rPr>
                <w:sz w:val="20"/>
                <w:szCs w:val="20"/>
                <w:color w:val="auto"/>
              </w:rPr>
            </w:pPr>
          </w:p>
        </w:tc>
        <w:tc>
          <w:tcPr>
            <w:tcW w:w="620" w:type="dxa"/>
            <w:vAlign w:val="bottom"/>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20"/>
                <w:szCs w:val="20"/>
                <w:color w:val="auto"/>
              </w:rPr>
            </w:pPr>
          </w:p>
        </w:tc>
        <w:tc>
          <w:tcPr>
            <w:tcW w:w="600" w:type="dxa"/>
            <w:vAlign w:val="bottom"/>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2.54</w:t>
            </w:r>
          </w:p>
        </w:tc>
        <w:tc>
          <w:tcPr>
            <w:tcW w:w="740" w:type="dxa"/>
            <w:vAlign w:val="bottom"/>
            <w:gridSpan w:val="3"/>
            <w:shd w:val="clear" w:color="auto" w:fill="EAEAEA"/>
          </w:tcPr>
          <w:p>
            <w:pPr>
              <w:ind w:left="400"/>
              <w:spacing w:after="0"/>
              <w:rPr>
                <w:sz w:val="20"/>
                <w:szCs w:val="20"/>
                <w:color w:val="auto"/>
              </w:rPr>
            </w:pPr>
            <w:r>
              <w:rPr>
                <w:rFonts w:ascii="Arial" w:cs="Arial" w:eastAsia="Arial" w:hAnsi="Arial"/>
                <w:sz w:val="16"/>
                <w:szCs w:val="16"/>
                <w:color w:val="auto"/>
              </w:rPr>
              <w:t>2.11</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86.51</w:t>
            </w:r>
          </w:p>
        </w:tc>
        <w:tc>
          <w:tcPr>
            <w:tcW w:w="120" w:type="dxa"/>
            <w:vAlign w:val="bottom"/>
            <w:shd w:val="clear" w:color="auto" w:fill="EAEAEA"/>
          </w:tcPr>
          <w:p>
            <w:pPr>
              <w:spacing w:after="0"/>
              <w:rPr>
                <w:sz w:val="20"/>
                <w:szCs w:val="20"/>
                <w:color w:val="auto"/>
              </w:rPr>
            </w:pPr>
          </w:p>
        </w:tc>
        <w:tc>
          <w:tcPr>
            <w:tcW w:w="100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820" w:type="dxa"/>
            <w:vAlign w:val="bottom"/>
            <w:tcBorders>
              <w:bottom w:val="single" w:sz="8" w:color="auto"/>
              <w:right w:val="single" w:sz="8" w:color="EAEAEA"/>
            </w:tcBorders>
            <w:gridSpan w:val="2"/>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620" w:type="dxa"/>
            <w:vAlign w:val="bottom"/>
            <w:tcBorders>
              <w:bottom w:val="single" w:sz="8" w:color="auto"/>
            </w:tcBorders>
            <w:gridSpan w:val="2"/>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600" w:type="dxa"/>
            <w:vAlign w:val="bottom"/>
            <w:tcBorders>
              <w:bottom w:val="single" w:sz="8" w:color="auto"/>
            </w:tcBorders>
            <w:gridSpan w:val="2"/>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gridSpan w:val="3"/>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gridSpan w:val="3"/>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3/29/2018</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8,287**</w:t>
            </w:r>
          </w:p>
        </w:tc>
        <w:tc>
          <w:tcPr>
            <w:tcW w:w="120" w:type="dxa"/>
            <w:vAlign w:val="bottom"/>
            <w:shd w:val="clear" w:color="auto" w:fill="EAEAEA"/>
          </w:tcPr>
          <w:p>
            <w:pPr>
              <w:spacing w:after="0"/>
              <w:rPr>
                <w:sz w:val="16"/>
                <w:szCs w:val="16"/>
                <w:color w:val="auto"/>
              </w:rPr>
            </w:pPr>
          </w:p>
        </w:tc>
        <w:tc>
          <w:tcPr>
            <w:tcW w:w="620" w:type="dxa"/>
            <w:vAlign w:val="bottom"/>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25.63</w:t>
            </w:r>
          </w:p>
        </w:tc>
        <w:tc>
          <w:tcPr>
            <w:tcW w:w="180" w:type="dxa"/>
            <w:vAlign w:val="bottom"/>
            <w:shd w:val="clear" w:color="auto" w:fill="EAEAEA"/>
          </w:tcPr>
          <w:p>
            <w:pPr>
              <w:spacing w:after="0"/>
              <w:rPr>
                <w:sz w:val="16"/>
                <w:szCs w:val="16"/>
                <w:color w:val="auto"/>
              </w:rPr>
            </w:pPr>
          </w:p>
        </w:tc>
        <w:tc>
          <w:tcPr>
            <w:tcW w:w="600" w:type="dxa"/>
            <w:vAlign w:val="bottom"/>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2.37</w:t>
            </w:r>
          </w:p>
        </w:tc>
        <w:tc>
          <w:tcPr>
            <w:tcW w:w="140" w:type="dxa"/>
            <w:vAlign w:val="bottom"/>
            <w:shd w:val="clear" w:color="auto" w:fill="EAEAEA"/>
          </w:tcPr>
          <w:p>
            <w:pPr>
              <w:spacing w:after="0"/>
              <w:rPr>
                <w:sz w:val="16"/>
                <w:szCs w:val="16"/>
                <w:color w:val="auto"/>
              </w:rPr>
            </w:pPr>
          </w:p>
        </w:tc>
        <w:tc>
          <w:tcPr>
            <w:tcW w:w="600" w:type="dxa"/>
            <w:vAlign w:val="bottom"/>
            <w:gridSpan w:val="2"/>
            <w:shd w:val="clear" w:color="auto" w:fill="EAEAEA"/>
          </w:tcPr>
          <w:p>
            <w:pPr>
              <w:ind w:left="260"/>
              <w:spacing w:after="0"/>
              <w:rPr>
                <w:sz w:val="20"/>
                <w:szCs w:val="20"/>
                <w:color w:val="auto"/>
              </w:rPr>
            </w:pPr>
            <w:r>
              <w:rPr>
                <w:rFonts w:ascii="Arial" w:cs="Arial" w:eastAsia="Arial" w:hAnsi="Arial"/>
                <w:sz w:val="16"/>
                <w:szCs w:val="16"/>
                <w:color w:val="auto"/>
              </w:rPr>
              <w:t>2.08</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101.23</w:t>
            </w:r>
          </w:p>
        </w:tc>
        <w:tc>
          <w:tcPr>
            <w:tcW w:w="120" w:type="dxa"/>
            <w:vAlign w:val="bottom"/>
            <w:shd w:val="clear" w:color="auto" w:fill="EAEAEA"/>
          </w:tcPr>
          <w:p>
            <w:pPr>
              <w:spacing w:after="0"/>
              <w:rPr>
                <w:sz w:val="16"/>
                <w:szCs w:val="16"/>
                <w:color w:val="auto"/>
              </w:rPr>
            </w:pPr>
          </w:p>
        </w:tc>
        <w:tc>
          <w:tcPr>
            <w:tcW w:w="1080" w:type="dxa"/>
            <w:vAlign w:val="bottom"/>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1,677,786</w:t>
            </w: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620" w:type="dxa"/>
            <w:vAlign w:val="bottom"/>
            <w:tcBorders>
              <w:bottom w:val="single" w:sz="8" w:color="auto"/>
            </w:tcBorders>
            <w:gridSpan w:val="2"/>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600" w:type="dxa"/>
            <w:vAlign w:val="bottom"/>
            <w:tcBorders>
              <w:bottom w:val="single" w:sz="8" w:color="auto"/>
            </w:tcBorders>
            <w:gridSpan w:val="2"/>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600" w:type="dxa"/>
            <w:vAlign w:val="bottom"/>
            <w:tcBorders>
              <w:bottom w:val="single" w:sz="8" w:color="auto"/>
            </w:tcBorders>
            <w:gridSpan w:val="2"/>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3/29/2018</w:t>
            </w: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34,779</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91.13</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27.77</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2.64</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2.11</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20.83</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3/13/2019</w:t>
            </w:r>
          </w:p>
        </w:tc>
        <w:tc>
          <w:tcPr>
            <w:tcW w:w="1120" w:type="dxa"/>
            <w:vAlign w:val="bottom"/>
          </w:tcPr>
          <w:p>
            <w:pPr>
              <w:jc w:val="right"/>
              <w:ind w:right="103"/>
              <w:spacing w:after="0"/>
              <w:rPr>
                <w:sz w:val="20"/>
                <w:szCs w:val="20"/>
                <w:color w:val="auto"/>
              </w:rPr>
            </w:pPr>
            <w:r>
              <w:rPr>
                <w:rFonts w:ascii="Arial" w:cs="Arial" w:eastAsia="Arial" w:hAnsi="Arial"/>
                <w:sz w:val="16"/>
                <w:szCs w:val="16"/>
                <w:color w:val="auto"/>
              </w:rPr>
              <w:t>5,987*</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2.42</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102.89</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Prashanth</w:t>
            </w: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3/13/2019</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5,987**</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24.07</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2.38</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114.36</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1,369,347</w:t>
            </w: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vMerge w:val="continue"/>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00" w:type="dxa"/>
            <w:vAlign w:val="bottom"/>
            <w:vMerge w:val="continue"/>
          </w:tcPr>
          <w:p>
            <w:pPr>
              <w:spacing w:after="0"/>
              <w:rPr>
                <w:sz w:val="7"/>
                <w:szCs w:val="7"/>
                <w:color w:val="auto"/>
              </w:rPr>
            </w:pPr>
          </w:p>
        </w:tc>
        <w:tc>
          <w:tcPr>
            <w:tcW w:w="120" w:type="dxa"/>
            <w:vAlign w:val="bottom"/>
            <w:shd w:val="clear" w:color="auto" w:fill="EAEAEA"/>
          </w:tcPr>
          <w:p>
            <w:pPr>
              <w:spacing w:after="0"/>
              <w:rPr>
                <w:sz w:val="7"/>
                <w:szCs w:val="7"/>
                <w:color w:val="auto"/>
              </w:rPr>
            </w:pPr>
          </w:p>
        </w:tc>
        <w:tc>
          <w:tcPr>
            <w:tcW w:w="700" w:type="dxa"/>
            <w:vAlign w:val="bottom"/>
            <w:tcBorders>
              <w:right w:val="single" w:sz="8" w:color="EAEAEA"/>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87"/>
              </w:rPr>
              <w:t>3/13/2019</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5,987***</w:t>
            </w:r>
          </w:p>
        </w:tc>
        <w:tc>
          <w:tcPr>
            <w:tcW w:w="120" w:type="dxa"/>
            <w:vAlign w:val="bottom"/>
            <w:shd w:val="clear" w:color="auto" w:fill="EAEAEA"/>
          </w:tcPr>
          <w:p>
            <w:pPr>
              <w:spacing w:after="0"/>
              <w:rPr>
                <w:sz w:val="7"/>
                <w:szCs w:val="7"/>
                <w:color w:val="auto"/>
              </w:rPr>
            </w:pPr>
          </w:p>
        </w:tc>
        <w:tc>
          <w:tcPr>
            <w:tcW w:w="54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7"/>
                <w:szCs w:val="7"/>
                <w:color w:val="auto"/>
              </w:rPr>
            </w:pPr>
          </w:p>
        </w:tc>
        <w:tc>
          <w:tcPr>
            <w:tcW w:w="98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7"/>
                <w:szCs w:val="7"/>
                <w:color w:val="auto"/>
              </w:rPr>
            </w:pPr>
          </w:p>
        </w:tc>
        <w:tc>
          <w:tcPr>
            <w:tcW w:w="52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7"/>
                <w:szCs w:val="7"/>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6"/>
                <w:szCs w:val="16"/>
                <w:color w:val="auto"/>
              </w:rPr>
              <w:t>2.42</w:t>
            </w:r>
          </w:p>
        </w:tc>
        <w:tc>
          <w:tcPr>
            <w:tcW w:w="140" w:type="dxa"/>
            <w:vAlign w:val="bottom"/>
            <w:shd w:val="clear" w:color="auto" w:fill="EAEAEA"/>
          </w:tcPr>
          <w:p>
            <w:pPr>
              <w:spacing w:after="0"/>
              <w:rPr>
                <w:sz w:val="7"/>
                <w:szCs w:val="7"/>
                <w:color w:val="auto"/>
              </w:rPr>
            </w:pPr>
          </w:p>
        </w:tc>
        <w:tc>
          <w:tcPr>
            <w:tcW w:w="520" w:type="dxa"/>
            <w:vAlign w:val="bottom"/>
            <w:vMerge w:val="restart"/>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shd w:val="clear" w:color="auto" w:fill="EAEAEA"/>
          </w:tcPr>
          <w:p>
            <w:pPr>
              <w:spacing w:after="0"/>
              <w:rPr>
                <w:sz w:val="7"/>
                <w:szCs w:val="7"/>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6"/>
                <w:szCs w:val="16"/>
                <w:color w:val="auto"/>
              </w:rPr>
              <w:t>92.00</w:t>
            </w:r>
          </w:p>
        </w:tc>
        <w:tc>
          <w:tcPr>
            <w:tcW w:w="120" w:type="dxa"/>
            <w:vAlign w:val="bottom"/>
            <w:shd w:val="clear" w:color="auto" w:fill="EAEAEA"/>
          </w:tcPr>
          <w:p>
            <w:pPr>
              <w:spacing w:after="0"/>
              <w:rPr>
                <w:sz w:val="7"/>
                <w:szCs w:val="7"/>
                <w:color w:val="auto"/>
              </w:rPr>
            </w:pPr>
          </w:p>
        </w:tc>
        <w:tc>
          <w:tcPr>
            <w:tcW w:w="10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1,219,552</w:t>
            </w:r>
          </w:p>
        </w:tc>
        <w:tc>
          <w:tcPr>
            <w:tcW w:w="80" w:type="dxa"/>
            <w:vAlign w:val="bottom"/>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0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Mahendra-Rajah</w:t>
            </w:r>
          </w:p>
        </w:tc>
        <w:tc>
          <w:tcPr>
            <w:tcW w:w="120" w:type="dxa"/>
            <w:vAlign w:val="bottom"/>
            <w:shd w:val="clear" w:color="auto" w:fill="EAEAEA"/>
          </w:tcPr>
          <w:p>
            <w:pPr>
              <w:spacing w:after="0"/>
              <w:rPr>
                <w:sz w:val="9"/>
                <w:szCs w:val="9"/>
                <w:color w:val="auto"/>
              </w:rPr>
            </w:pPr>
          </w:p>
        </w:tc>
        <w:tc>
          <w:tcPr>
            <w:tcW w:w="700" w:type="dxa"/>
            <w:vAlign w:val="bottom"/>
            <w:tcBorders>
              <w:right w:val="single" w:sz="8" w:color="EAEAEA"/>
            </w:tcBorders>
            <w:vMerge w:val="continue"/>
            <w:shd w:val="clear" w:color="auto" w:fill="EAEAEA"/>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shd w:val="clear" w:color="auto" w:fill="EAEAEA"/>
          </w:tcPr>
          <w:p>
            <w:pPr>
              <w:spacing w:after="0"/>
              <w:rPr>
                <w:sz w:val="9"/>
                <w:szCs w:val="9"/>
                <w:color w:val="auto"/>
              </w:rPr>
            </w:pPr>
          </w:p>
        </w:tc>
        <w:tc>
          <w:tcPr>
            <w:tcW w:w="540" w:type="dxa"/>
            <w:vAlign w:val="bottom"/>
            <w:vMerge w:val="continue"/>
            <w:shd w:val="clear" w:color="auto" w:fill="EAEAEA"/>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980" w:type="dxa"/>
            <w:vAlign w:val="bottom"/>
            <w:vMerge w:val="continue"/>
          </w:tcPr>
          <w:p>
            <w:pPr>
              <w:spacing w:after="0"/>
              <w:rPr>
                <w:sz w:val="9"/>
                <w:szCs w:val="9"/>
                <w:color w:val="auto"/>
              </w:rPr>
            </w:pPr>
          </w:p>
        </w:tc>
        <w:tc>
          <w:tcPr>
            <w:tcW w:w="180" w:type="dxa"/>
            <w:vAlign w:val="bottom"/>
            <w:shd w:val="clear" w:color="auto" w:fill="EAEAEA"/>
          </w:tcPr>
          <w:p>
            <w:pPr>
              <w:spacing w:after="0"/>
              <w:rPr>
                <w:sz w:val="9"/>
                <w:szCs w:val="9"/>
                <w:color w:val="auto"/>
              </w:rPr>
            </w:pPr>
          </w:p>
        </w:tc>
        <w:tc>
          <w:tcPr>
            <w:tcW w:w="520" w:type="dxa"/>
            <w:vAlign w:val="bottom"/>
            <w:vMerge w:val="continue"/>
            <w:shd w:val="clear" w:color="auto" w:fill="EAEAEA"/>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720" w:type="dxa"/>
            <w:vAlign w:val="bottom"/>
            <w:vMerge w:val="continue"/>
          </w:tcPr>
          <w:p>
            <w:pPr>
              <w:spacing w:after="0"/>
              <w:rPr>
                <w:sz w:val="9"/>
                <w:szCs w:val="9"/>
                <w:color w:val="auto"/>
              </w:rPr>
            </w:pPr>
          </w:p>
        </w:tc>
        <w:tc>
          <w:tcPr>
            <w:tcW w:w="140" w:type="dxa"/>
            <w:vAlign w:val="bottom"/>
            <w:shd w:val="clear" w:color="auto" w:fill="EAEAEA"/>
          </w:tcPr>
          <w:p>
            <w:pPr>
              <w:spacing w:after="0"/>
              <w:rPr>
                <w:sz w:val="9"/>
                <w:szCs w:val="9"/>
                <w:color w:val="auto"/>
              </w:rPr>
            </w:pPr>
          </w:p>
        </w:tc>
        <w:tc>
          <w:tcPr>
            <w:tcW w:w="520" w:type="dxa"/>
            <w:vAlign w:val="bottom"/>
            <w:vMerge w:val="continue"/>
            <w:shd w:val="clear" w:color="auto" w:fill="EAEAEA"/>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shd w:val="clear" w:color="auto" w:fill="EAEAEA"/>
          </w:tcPr>
          <w:p>
            <w:pPr>
              <w:spacing w:after="0"/>
              <w:rPr>
                <w:sz w:val="9"/>
                <w:szCs w:val="9"/>
                <w:color w:val="auto"/>
              </w:rPr>
            </w:pPr>
          </w:p>
        </w:tc>
        <w:tc>
          <w:tcPr>
            <w:tcW w:w="1000" w:type="dxa"/>
            <w:vAlign w:val="bottom"/>
            <w:vMerge w:val="continue"/>
            <w:shd w:val="clear" w:color="auto" w:fill="EAEAEA"/>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00" w:type="dxa"/>
            <w:vAlign w:val="bottom"/>
            <w:vMerge w:val="continue"/>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3/13/2019</w:t>
            </w: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26,513</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108.08</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26.32</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2.42</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23.43</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3/11/2020</w:t>
            </w:r>
          </w:p>
        </w:tc>
        <w:tc>
          <w:tcPr>
            <w:tcW w:w="1120" w:type="dxa"/>
            <w:vAlign w:val="bottom"/>
          </w:tcPr>
          <w:p>
            <w:pPr>
              <w:jc w:val="right"/>
              <w:ind w:right="103"/>
              <w:spacing w:after="0"/>
              <w:rPr>
                <w:sz w:val="20"/>
                <w:szCs w:val="20"/>
                <w:color w:val="auto"/>
              </w:rPr>
            </w:pPr>
            <w:r>
              <w:rPr>
                <w:rFonts w:ascii="Arial" w:cs="Arial" w:eastAsia="Arial" w:hAnsi="Arial"/>
                <w:sz w:val="16"/>
                <w:szCs w:val="16"/>
                <w:color w:val="auto"/>
              </w:rPr>
              <w:t>7,116*</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0.66</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2.63</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88.28</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3/11/2020</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7,116**</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27.99</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0.58</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2.59</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97.71</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1,390,609</w:t>
            </w: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3/11/2020</w:t>
            </w:r>
          </w:p>
        </w:tc>
        <w:tc>
          <w:tcPr>
            <w:tcW w:w="1120" w:type="dxa"/>
            <w:vAlign w:val="bottom"/>
          </w:tcPr>
          <w:p>
            <w:pPr>
              <w:jc w:val="right"/>
              <w:spacing w:after="0"/>
              <w:rPr>
                <w:sz w:val="20"/>
                <w:szCs w:val="20"/>
                <w:color w:val="auto"/>
              </w:rPr>
            </w:pPr>
            <w:r>
              <w:rPr>
                <w:rFonts w:ascii="Arial" w:cs="Arial" w:eastAsia="Arial" w:hAnsi="Arial"/>
                <w:sz w:val="16"/>
                <w:szCs w:val="16"/>
                <w:color w:val="auto"/>
              </w:rPr>
              <w:t>7,116***</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0.66</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2.63</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88.28</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1,256,401</w:t>
            </w: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3/11/2020</w:t>
            </w: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35,001</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94.41</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29.49</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0.66</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2.63</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18.46</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Borders>
              <w:bottom w:val="single" w:sz="8" w:color="0066BA"/>
            </w:tcBorders>
          </w:tcPr>
          <w:p>
            <w:pPr>
              <w:spacing w:after="0"/>
              <w:rPr>
                <w:sz w:val="6"/>
                <w:szCs w:val="6"/>
                <w:color w:val="auto"/>
              </w:rPr>
            </w:pPr>
          </w:p>
        </w:tc>
        <w:tc>
          <w:tcPr>
            <w:tcW w:w="120" w:type="dxa"/>
            <w:vAlign w:val="bottom"/>
            <w:tcBorders>
              <w:bottom w:val="single" w:sz="8" w:color="0066BA"/>
            </w:tcBorders>
            <w:shd w:val="clear" w:color="auto" w:fill="EAEAEA"/>
          </w:tcPr>
          <w:p>
            <w:pPr>
              <w:spacing w:after="0"/>
              <w:rPr>
                <w:sz w:val="6"/>
                <w:szCs w:val="6"/>
                <w:color w:val="auto"/>
              </w:rPr>
            </w:pPr>
          </w:p>
        </w:tc>
        <w:tc>
          <w:tcPr>
            <w:tcW w:w="700" w:type="dxa"/>
            <w:vAlign w:val="bottom"/>
            <w:tcBorders>
              <w:bottom w:val="single" w:sz="8" w:color="0066BA"/>
              <w:right w:val="single" w:sz="8" w:color="EAEAEA"/>
            </w:tcBorders>
            <w:shd w:val="clear" w:color="auto" w:fill="EAEAEA"/>
          </w:tcPr>
          <w:p>
            <w:pPr>
              <w:spacing w:after="0"/>
              <w:rPr>
                <w:sz w:val="6"/>
                <w:szCs w:val="6"/>
                <w:color w:val="auto"/>
              </w:rPr>
            </w:pPr>
          </w:p>
        </w:tc>
        <w:tc>
          <w:tcPr>
            <w:tcW w:w="1120" w:type="dxa"/>
            <w:vAlign w:val="bottom"/>
            <w:tcBorders>
              <w:bottom w:val="single" w:sz="8" w:color="0066BA"/>
            </w:tcBorders>
          </w:tcPr>
          <w:p>
            <w:pPr>
              <w:spacing w:after="0"/>
              <w:rPr>
                <w:sz w:val="6"/>
                <w:szCs w:val="6"/>
                <w:color w:val="auto"/>
              </w:rPr>
            </w:pPr>
          </w:p>
        </w:tc>
        <w:tc>
          <w:tcPr>
            <w:tcW w:w="120" w:type="dxa"/>
            <w:vAlign w:val="bottom"/>
            <w:tcBorders>
              <w:bottom w:val="single" w:sz="8" w:color="0066BA"/>
            </w:tcBorders>
            <w:shd w:val="clear" w:color="auto" w:fill="EAEAEA"/>
          </w:tcPr>
          <w:p>
            <w:pPr>
              <w:spacing w:after="0"/>
              <w:rPr>
                <w:sz w:val="6"/>
                <w:szCs w:val="6"/>
                <w:color w:val="auto"/>
              </w:rPr>
            </w:pPr>
          </w:p>
        </w:tc>
        <w:tc>
          <w:tcPr>
            <w:tcW w:w="540" w:type="dxa"/>
            <w:vAlign w:val="bottom"/>
            <w:tcBorders>
              <w:bottom w:val="single" w:sz="8" w:color="0066BA"/>
            </w:tcBorders>
            <w:shd w:val="clear" w:color="auto" w:fill="EAEAEA"/>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980" w:type="dxa"/>
            <w:vAlign w:val="bottom"/>
            <w:tcBorders>
              <w:bottom w:val="single" w:sz="8" w:color="0066BA"/>
            </w:tcBorders>
          </w:tcPr>
          <w:p>
            <w:pPr>
              <w:spacing w:after="0"/>
              <w:rPr>
                <w:sz w:val="6"/>
                <w:szCs w:val="6"/>
                <w:color w:val="auto"/>
              </w:rPr>
            </w:pPr>
          </w:p>
        </w:tc>
        <w:tc>
          <w:tcPr>
            <w:tcW w:w="180" w:type="dxa"/>
            <w:vAlign w:val="bottom"/>
            <w:tcBorders>
              <w:bottom w:val="single" w:sz="8" w:color="0066BA"/>
            </w:tcBorders>
            <w:shd w:val="clear" w:color="auto" w:fill="EAEAEA"/>
          </w:tcPr>
          <w:p>
            <w:pPr>
              <w:spacing w:after="0"/>
              <w:rPr>
                <w:sz w:val="6"/>
                <w:szCs w:val="6"/>
                <w:color w:val="auto"/>
              </w:rPr>
            </w:pPr>
          </w:p>
        </w:tc>
        <w:tc>
          <w:tcPr>
            <w:tcW w:w="520" w:type="dxa"/>
            <w:vAlign w:val="bottom"/>
            <w:tcBorders>
              <w:bottom w:val="single" w:sz="8" w:color="0066BA"/>
            </w:tcBorders>
            <w:shd w:val="clear" w:color="auto" w:fill="EAEAEA"/>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720" w:type="dxa"/>
            <w:vAlign w:val="bottom"/>
            <w:tcBorders>
              <w:bottom w:val="single" w:sz="8" w:color="0066BA"/>
            </w:tcBorders>
          </w:tcPr>
          <w:p>
            <w:pPr>
              <w:spacing w:after="0"/>
              <w:rPr>
                <w:sz w:val="6"/>
                <w:szCs w:val="6"/>
                <w:color w:val="auto"/>
              </w:rPr>
            </w:pPr>
          </w:p>
        </w:tc>
        <w:tc>
          <w:tcPr>
            <w:tcW w:w="140" w:type="dxa"/>
            <w:vAlign w:val="bottom"/>
            <w:tcBorders>
              <w:bottom w:val="single" w:sz="8" w:color="0066BA"/>
            </w:tcBorders>
            <w:shd w:val="clear" w:color="auto" w:fill="EAEAEA"/>
          </w:tcPr>
          <w:p>
            <w:pPr>
              <w:spacing w:after="0"/>
              <w:rPr>
                <w:sz w:val="6"/>
                <w:szCs w:val="6"/>
                <w:color w:val="auto"/>
              </w:rPr>
            </w:pPr>
          </w:p>
        </w:tc>
        <w:tc>
          <w:tcPr>
            <w:tcW w:w="520" w:type="dxa"/>
            <w:vAlign w:val="bottom"/>
            <w:tcBorders>
              <w:bottom w:val="single" w:sz="8" w:color="0066BA"/>
            </w:tcBorders>
            <w:shd w:val="clear" w:color="auto" w:fill="EAEAEA"/>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tcPr>
          <w:p>
            <w:pPr>
              <w:spacing w:after="0"/>
              <w:rPr>
                <w:sz w:val="6"/>
                <w:szCs w:val="6"/>
                <w:color w:val="auto"/>
              </w:rPr>
            </w:pPr>
          </w:p>
        </w:tc>
        <w:tc>
          <w:tcPr>
            <w:tcW w:w="120" w:type="dxa"/>
            <w:vAlign w:val="bottom"/>
            <w:tcBorders>
              <w:bottom w:val="single" w:sz="8" w:color="0066BA"/>
            </w:tcBorders>
            <w:shd w:val="clear" w:color="auto" w:fill="EAEAEA"/>
          </w:tcPr>
          <w:p>
            <w:pPr>
              <w:spacing w:after="0"/>
              <w:rPr>
                <w:sz w:val="6"/>
                <w:szCs w:val="6"/>
                <w:color w:val="auto"/>
              </w:rPr>
            </w:pPr>
          </w:p>
        </w:tc>
        <w:tc>
          <w:tcPr>
            <w:tcW w:w="1000" w:type="dxa"/>
            <w:vAlign w:val="bottom"/>
            <w:tcBorders>
              <w:bottom w:val="single" w:sz="8" w:color="0066BA"/>
            </w:tcBorders>
            <w:shd w:val="clear" w:color="auto" w:fill="EAEAEA"/>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820" w:type="dxa"/>
            <w:vAlign w:val="bottom"/>
            <w:tcBorders>
              <w:right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3/29/2018</w:t>
            </w:r>
          </w:p>
        </w:tc>
        <w:tc>
          <w:tcPr>
            <w:tcW w:w="1120" w:type="dxa"/>
            <w:vAlign w:val="bottom"/>
          </w:tcPr>
          <w:p>
            <w:pPr>
              <w:jc w:val="right"/>
              <w:ind w:right="103"/>
              <w:spacing w:after="0"/>
              <w:rPr>
                <w:sz w:val="20"/>
                <w:szCs w:val="20"/>
                <w:color w:val="auto"/>
              </w:rPr>
            </w:pPr>
            <w:r>
              <w:rPr>
                <w:rFonts w:ascii="Arial" w:cs="Arial" w:eastAsia="Arial" w:hAnsi="Arial"/>
                <w:sz w:val="16"/>
                <w:szCs w:val="16"/>
                <w:color w:val="auto"/>
              </w:rPr>
              <w:t>4,897*</w:t>
            </w:r>
          </w:p>
        </w:tc>
        <w:tc>
          <w:tcPr>
            <w:tcW w:w="120" w:type="dxa"/>
            <w:vAlign w:val="bottom"/>
            <w:shd w:val="clear" w:color="auto" w:fill="EAEAEA"/>
          </w:tcPr>
          <w:p>
            <w:pPr>
              <w:spacing w:after="0"/>
              <w:rPr>
                <w:sz w:val="20"/>
                <w:szCs w:val="20"/>
                <w:color w:val="auto"/>
              </w:rPr>
            </w:pPr>
          </w:p>
        </w:tc>
        <w:tc>
          <w:tcPr>
            <w:tcW w:w="620" w:type="dxa"/>
            <w:vAlign w:val="bottom"/>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20"/>
                <w:szCs w:val="20"/>
                <w:color w:val="auto"/>
              </w:rPr>
            </w:pPr>
          </w:p>
        </w:tc>
        <w:tc>
          <w:tcPr>
            <w:tcW w:w="600" w:type="dxa"/>
            <w:vAlign w:val="bottom"/>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2.54</w:t>
            </w:r>
          </w:p>
        </w:tc>
        <w:tc>
          <w:tcPr>
            <w:tcW w:w="740" w:type="dxa"/>
            <w:vAlign w:val="bottom"/>
            <w:gridSpan w:val="3"/>
            <w:shd w:val="clear" w:color="auto" w:fill="EAEAEA"/>
          </w:tcPr>
          <w:p>
            <w:pPr>
              <w:ind w:left="400"/>
              <w:spacing w:after="0"/>
              <w:rPr>
                <w:sz w:val="20"/>
                <w:szCs w:val="20"/>
                <w:color w:val="auto"/>
              </w:rPr>
            </w:pPr>
            <w:r>
              <w:rPr>
                <w:rFonts w:ascii="Arial" w:cs="Arial" w:eastAsia="Arial" w:hAnsi="Arial"/>
                <w:sz w:val="16"/>
                <w:szCs w:val="16"/>
                <w:color w:val="auto"/>
              </w:rPr>
              <w:t>2.11</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86.51</w:t>
            </w:r>
          </w:p>
        </w:tc>
        <w:tc>
          <w:tcPr>
            <w:tcW w:w="120" w:type="dxa"/>
            <w:vAlign w:val="bottom"/>
            <w:shd w:val="clear" w:color="auto" w:fill="EAEAEA"/>
          </w:tcPr>
          <w:p>
            <w:pPr>
              <w:spacing w:after="0"/>
              <w:rPr>
                <w:sz w:val="20"/>
                <w:szCs w:val="20"/>
                <w:color w:val="auto"/>
              </w:rPr>
            </w:pPr>
          </w:p>
        </w:tc>
        <w:tc>
          <w:tcPr>
            <w:tcW w:w="100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820" w:type="dxa"/>
            <w:vAlign w:val="bottom"/>
            <w:tcBorders>
              <w:bottom w:val="single" w:sz="8" w:color="auto"/>
              <w:right w:val="single" w:sz="8" w:color="EAEAEA"/>
            </w:tcBorders>
            <w:gridSpan w:val="2"/>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620" w:type="dxa"/>
            <w:vAlign w:val="bottom"/>
            <w:tcBorders>
              <w:bottom w:val="single" w:sz="8" w:color="auto"/>
            </w:tcBorders>
            <w:gridSpan w:val="2"/>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600" w:type="dxa"/>
            <w:vAlign w:val="bottom"/>
            <w:tcBorders>
              <w:bottom w:val="single" w:sz="8" w:color="auto"/>
            </w:tcBorders>
            <w:gridSpan w:val="2"/>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gridSpan w:val="3"/>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gridSpan w:val="3"/>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3/29/2018</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4,897**</w:t>
            </w:r>
          </w:p>
        </w:tc>
        <w:tc>
          <w:tcPr>
            <w:tcW w:w="120" w:type="dxa"/>
            <w:vAlign w:val="bottom"/>
            <w:shd w:val="clear" w:color="auto" w:fill="EAEAEA"/>
          </w:tcPr>
          <w:p>
            <w:pPr>
              <w:spacing w:after="0"/>
              <w:rPr>
                <w:sz w:val="16"/>
                <w:szCs w:val="16"/>
                <w:color w:val="auto"/>
              </w:rPr>
            </w:pPr>
          </w:p>
        </w:tc>
        <w:tc>
          <w:tcPr>
            <w:tcW w:w="620" w:type="dxa"/>
            <w:vAlign w:val="bottom"/>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25.63</w:t>
            </w:r>
          </w:p>
        </w:tc>
        <w:tc>
          <w:tcPr>
            <w:tcW w:w="180" w:type="dxa"/>
            <w:vAlign w:val="bottom"/>
            <w:shd w:val="clear" w:color="auto" w:fill="EAEAEA"/>
          </w:tcPr>
          <w:p>
            <w:pPr>
              <w:spacing w:after="0"/>
              <w:rPr>
                <w:sz w:val="16"/>
                <w:szCs w:val="16"/>
                <w:color w:val="auto"/>
              </w:rPr>
            </w:pPr>
          </w:p>
        </w:tc>
        <w:tc>
          <w:tcPr>
            <w:tcW w:w="600" w:type="dxa"/>
            <w:vAlign w:val="bottom"/>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2.37</w:t>
            </w:r>
          </w:p>
        </w:tc>
        <w:tc>
          <w:tcPr>
            <w:tcW w:w="140" w:type="dxa"/>
            <w:vAlign w:val="bottom"/>
            <w:shd w:val="clear" w:color="auto" w:fill="EAEAEA"/>
          </w:tcPr>
          <w:p>
            <w:pPr>
              <w:spacing w:after="0"/>
              <w:rPr>
                <w:sz w:val="16"/>
                <w:szCs w:val="16"/>
                <w:color w:val="auto"/>
              </w:rPr>
            </w:pPr>
          </w:p>
        </w:tc>
        <w:tc>
          <w:tcPr>
            <w:tcW w:w="600" w:type="dxa"/>
            <w:vAlign w:val="bottom"/>
            <w:gridSpan w:val="2"/>
            <w:shd w:val="clear" w:color="auto" w:fill="EAEAEA"/>
          </w:tcPr>
          <w:p>
            <w:pPr>
              <w:ind w:left="260"/>
              <w:spacing w:after="0"/>
              <w:rPr>
                <w:sz w:val="20"/>
                <w:szCs w:val="20"/>
                <w:color w:val="auto"/>
              </w:rPr>
            </w:pPr>
            <w:r>
              <w:rPr>
                <w:rFonts w:ascii="Arial" w:cs="Arial" w:eastAsia="Arial" w:hAnsi="Arial"/>
                <w:sz w:val="16"/>
                <w:szCs w:val="16"/>
                <w:color w:val="auto"/>
              </w:rPr>
              <w:t>2.08</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101.23</w:t>
            </w:r>
          </w:p>
        </w:tc>
        <w:tc>
          <w:tcPr>
            <w:tcW w:w="120" w:type="dxa"/>
            <w:vAlign w:val="bottom"/>
            <w:shd w:val="clear" w:color="auto" w:fill="EAEAEA"/>
          </w:tcPr>
          <w:p>
            <w:pPr>
              <w:spacing w:after="0"/>
              <w:rPr>
                <w:sz w:val="16"/>
                <w:szCs w:val="16"/>
                <w:color w:val="auto"/>
              </w:rPr>
            </w:pPr>
          </w:p>
        </w:tc>
        <w:tc>
          <w:tcPr>
            <w:tcW w:w="1080" w:type="dxa"/>
            <w:vAlign w:val="bottom"/>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991,447</w:t>
            </w: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620" w:type="dxa"/>
            <w:vAlign w:val="bottom"/>
            <w:tcBorders>
              <w:bottom w:val="single" w:sz="8" w:color="auto"/>
            </w:tcBorders>
            <w:gridSpan w:val="2"/>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600" w:type="dxa"/>
            <w:vAlign w:val="bottom"/>
            <w:tcBorders>
              <w:bottom w:val="single" w:sz="8" w:color="auto"/>
            </w:tcBorders>
            <w:gridSpan w:val="2"/>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600" w:type="dxa"/>
            <w:vAlign w:val="bottom"/>
            <w:tcBorders>
              <w:bottom w:val="single" w:sz="8" w:color="auto"/>
            </w:tcBorders>
            <w:gridSpan w:val="2"/>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3/29/2018</w:t>
            </w: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20,552</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91.13</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27.77</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2.64</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2.11</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20.83</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9/17/2018</w:t>
            </w:r>
          </w:p>
        </w:tc>
        <w:tc>
          <w:tcPr>
            <w:tcW w:w="1120" w:type="dxa"/>
            <w:vAlign w:val="bottom"/>
          </w:tcPr>
          <w:p>
            <w:pPr>
              <w:jc w:val="right"/>
              <w:ind w:right="103"/>
              <w:spacing w:after="0"/>
              <w:rPr>
                <w:sz w:val="20"/>
                <w:szCs w:val="20"/>
                <w:color w:val="auto"/>
              </w:rPr>
            </w:pPr>
            <w:r>
              <w:rPr>
                <w:rFonts w:ascii="Arial" w:cs="Arial" w:eastAsia="Arial" w:hAnsi="Arial"/>
                <w:sz w:val="16"/>
                <w:szCs w:val="16"/>
                <w:color w:val="auto"/>
              </w:rPr>
              <w:t>3,334*</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2.87</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2.10</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86.72</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3/13/2019</w:t>
            </w:r>
          </w:p>
        </w:tc>
        <w:tc>
          <w:tcPr>
            <w:tcW w:w="1120" w:type="dxa"/>
            <w:vAlign w:val="bottom"/>
          </w:tcPr>
          <w:p>
            <w:pPr>
              <w:jc w:val="right"/>
              <w:ind w:right="103"/>
              <w:spacing w:after="0"/>
              <w:rPr>
                <w:sz w:val="20"/>
                <w:szCs w:val="20"/>
                <w:color w:val="auto"/>
              </w:rPr>
            </w:pPr>
            <w:r>
              <w:rPr>
                <w:rFonts w:ascii="Arial" w:cs="Arial" w:eastAsia="Arial" w:hAnsi="Arial"/>
                <w:sz w:val="16"/>
                <w:szCs w:val="16"/>
                <w:color w:val="auto"/>
              </w:rPr>
              <w:t>2,295*</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2.42</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102.89</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3/13/2019</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2,295**</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24.07</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2.38</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114.36</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524,912</w:t>
            </w: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3/13/2019</w:t>
            </w:r>
          </w:p>
        </w:tc>
        <w:tc>
          <w:tcPr>
            <w:tcW w:w="1120" w:type="dxa"/>
            <w:vAlign w:val="bottom"/>
          </w:tcPr>
          <w:p>
            <w:pPr>
              <w:jc w:val="right"/>
              <w:spacing w:after="0"/>
              <w:rPr>
                <w:sz w:val="20"/>
                <w:szCs w:val="20"/>
                <w:color w:val="auto"/>
              </w:rPr>
            </w:pPr>
            <w:r>
              <w:rPr>
                <w:rFonts w:ascii="Arial" w:cs="Arial" w:eastAsia="Arial" w:hAnsi="Arial"/>
                <w:sz w:val="16"/>
                <w:szCs w:val="16"/>
                <w:color w:val="auto"/>
              </w:rPr>
              <w:t>2,295***</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2.42</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92.00</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467,492</w:t>
            </w: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2000" w:type="dxa"/>
            <w:vAlign w:val="bottom"/>
          </w:tcPr>
          <w:p>
            <w:pPr>
              <w:ind w:left="60"/>
              <w:spacing w:after="0"/>
              <w:rPr>
                <w:sz w:val="20"/>
                <w:szCs w:val="20"/>
                <w:color w:val="auto"/>
              </w:rPr>
            </w:pPr>
            <w:r>
              <w:rPr>
                <w:rFonts w:ascii="Arial" w:cs="Arial" w:eastAsia="Arial" w:hAnsi="Arial"/>
                <w:sz w:val="16"/>
                <w:szCs w:val="16"/>
                <w:b w:val="1"/>
                <w:bCs w:val="1"/>
                <w:color w:val="0066BA"/>
              </w:rPr>
              <w:t>Martin</w:t>
            </w:r>
          </w:p>
        </w:tc>
        <w:tc>
          <w:tcPr>
            <w:tcW w:w="120" w:type="dxa"/>
            <w:vAlign w:val="bottom"/>
            <w:tcBorders>
              <w:bottom w:val="single" w:sz="8" w:color="EAEAEA"/>
            </w:tcBorders>
            <w:shd w:val="clear" w:color="auto" w:fill="EAEAEA"/>
          </w:tcPr>
          <w:p>
            <w:pPr>
              <w:spacing w:after="0"/>
              <w:rPr>
                <w:sz w:val="23"/>
                <w:szCs w:val="23"/>
                <w:color w:val="auto"/>
              </w:rPr>
            </w:pPr>
          </w:p>
        </w:tc>
        <w:tc>
          <w:tcPr>
            <w:tcW w:w="700" w:type="dxa"/>
            <w:vAlign w:val="bottom"/>
            <w:tcBorders>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3/13/2019</w:t>
            </w: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10,164</w:t>
            </w:r>
          </w:p>
        </w:tc>
        <w:tc>
          <w:tcPr>
            <w:tcW w:w="120" w:type="dxa"/>
            <w:vAlign w:val="bottom"/>
            <w:tcBorders>
              <w:bottom w:val="single" w:sz="8" w:color="EAEAEA"/>
            </w:tcBorders>
            <w:shd w:val="clear" w:color="auto" w:fill="EAEAEA"/>
          </w:tcPr>
          <w:p>
            <w:pPr>
              <w:spacing w:after="0"/>
              <w:rPr>
                <w:sz w:val="23"/>
                <w:szCs w:val="23"/>
                <w:color w:val="auto"/>
              </w:rPr>
            </w:pPr>
          </w:p>
        </w:tc>
        <w:tc>
          <w:tcPr>
            <w:tcW w:w="5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108.08</w:t>
            </w:r>
          </w:p>
        </w:tc>
        <w:tc>
          <w:tcPr>
            <w:tcW w:w="80" w:type="dxa"/>
            <w:vAlign w:val="bottom"/>
            <w:tcBorders>
              <w:bottom w:val="single" w:sz="8" w:color="EAEAEA"/>
            </w:tcBorders>
            <w:shd w:val="clear" w:color="auto" w:fill="EAEAEA"/>
          </w:tcPr>
          <w:p>
            <w:pPr>
              <w:spacing w:after="0"/>
              <w:rPr>
                <w:sz w:val="23"/>
                <w:szCs w:val="23"/>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26.32</w:t>
            </w:r>
          </w:p>
        </w:tc>
        <w:tc>
          <w:tcPr>
            <w:tcW w:w="180" w:type="dxa"/>
            <w:vAlign w:val="bottom"/>
            <w:tcBorders>
              <w:bottom w:val="single" w:sz="8" w:color="EAEAEA"/>
            </w:tcBorders>
            <w:shd w:val="clear" w:color="auto" w:fill="EAEAEA"/>
          </w:tcPr>
          <w:p>
            <w:pPr>
              <w:spacing w:after="0"/>
              <w:rPr>
                <w:sz w:val="23"/>
                <w:szCs w:val="23"/>
                <w:color w:val="auto"/>
              </w:rPr>
            </w:pPr>
          </w:p>
        </w:tc>
        <w:tc>
          <w:tcPr>
            <w:tcW w:w="5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EAEAEA"/>
            </w:tcBorders>
            <w:shd w:val="clear" w:color="auto" w:fill="EAEAEA"/>
          </w:tcPr>
          <w:p>
            <w:pPr>
              <w:spacing w:after="0"/>
              <w:rPr>
                <w:sz w:val="23"/>
                <w:szCs w:val="23"/>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2.42</w:t>
            </w:r>
          </w:p>
        </w:tc>
        <w:tc>
          <w:tcPr>
            <w:tcW w:w="140" w:type="dxa"/>
            <w:vAlign w:val="bottom"/>
            <w:tcBorders>
              <w:bottom w:val="single" w:sz="8" w:color="EAEAEA"/>
            </w:tcBorders>
            <w:shd w:val="clear" w:color="auto" w:fill="EAEAEA"/>
          </w:tcPr>
          <w:p>
            <w:pPr>
              <w:spacing w:after="0"/>
              <w:rPr>
                <w:sz w:val="23"/>
                <w:szCs w:val="23"/>
                <w:color w:val="auto"/>
              </w:rPr>
            </w:pPr>
          </w:p>
        </w:tc>
        <w:tc>
          <w:tcPr>
            <w:tcW w:w="520" w:type="dxa"/>
            <w:vAlign w:val="bottom"/>
            <w:tcBorders>
              <w:bottom w:val="single" w:sz="8" w:color="EAEAEA"/>
            </w:tcBorders>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tcBorders>
              <w:bottom w:val="single" w:sz="8" w:color="EAEAEA"/>
            </w:tcBorders>
            <w:shd w:val="clear" w:color="auto" w:fill="EAEAEA"/>
          </w:tcPr>
          <w:p>
            <w:pPr>
              <w:spacing w:after="0"/>
              <w:rPr>
                <w:sz w:val="23"/>
                <w:szCs w:val="23"/>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23.43</w:t>
            </w:r>
          </w:p>
        </w:tc>
        <w:tc>
          <w:tcPr>
            <w:tcW w:w="120" w:type="dxa"/>
            <w:vAlign w:val="bottom"/>
            <w:tcBorders>
              <w:bottom w:val="single" w:sz="8" w:color="EAEAEA"/>
            </w:tcBorders>
            <w:shd w:val="clear" w:color="auto" w:fill="EAEAEA"/>
          </w:tcPr>
          <w:p>
            <w:pPr>
              <w:spacing w:after="0"/>
              <w:rPr>
                <w:sz w:val="23"/>
                <w:szCs w:val="23"/>
                <w:color w:val="auto"/>
              </w:rPr>
            </w:pPr>
          </w:p>
        </w:tc>
        <w:tc>
          <w:tcPr>
            <w:tcW w:w="1000" w:type="dxa"/>
            <w:vAlign w:val="bottom"/>
            <w:tcBorders>
              <w:bottom w:val="single" w:sz="8" w:color="EAEAEA"/>
            </w:tcBorders>
            <w:shd w:val="clear" w:color="auto" w:fill="EAEAEA"/>
          </w:tcPr>
          <w:p>
            <w:pPr>
              <w:spacing w:after="0"/>
              <w:rPr>
                <w:sz w:val="23"/>
                <w:szCs w:val="23"/>
                <w:color w:val="auto"/>
              </w:rPr>
            </w:pPr>
          </w:p>
        </w:tc>
        <w:tc>
          <w:tcPr>
            <w:tcW w:w="80" w:type="dxa"/>
            <w:vAlign w:val="bottom"/>
            <w:tcBorders>
              <w:bottom w:val="single" w:sz="8" w:color="EAEAEA"/>
            </w:tcBorders>
            <w:shd w:val="clear" w:color="auto" w:fill="EAEAEA"/>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00" w:type="dxa"/>
            <w:vAlign w:val="bottom"/>
          </w:tcPr>
          <w:p>
            <w:pPr>
              <w:ind w:left="60"/>
              <w:spacing w:after="0" w:line="143" w:lineRule="exact"/>
              <w:rPr>
                <w:sz w:val="20"/>
                <w:szCs w:val="20"/>
                <w:color w:val="auto"/>
              </w:rPr>
            </w:pPr>
            <w:r>
              <w:rPr>
                <w:rFonts w:ascii="Arial" w:cs="Arial" w:eastAsia="Arial" w:hAnsi="Arial"/>
                <w:sz w:val="16"/>
                <w:szCs w:val="16"/>
                <w:b w:val="1"/>
                <w:bCs w:val="1"/>
                <w:color w:val="0066BA"/>
              </w:rPr>
              <w:t>Cotter</w:t>
            </w:r>
          </w:p>
        </w:tc>
        <w:tc>
          <w:tcPr>
            <w:tcW w:w="120" w:type="dxa"/>
            <w:vAlign w:val="bottom"/>
            <w:tcBorders>
              <w:top w:val="single" w:sz="8" w:color="auto"/>
            </w:tcBorders>
            <w:shd w:val="clear" w:color="auto" w:fill="EAEAEA"/>
          </w:tcPr>
          <w:p>
            <w:pPr>
              <w:spacing w:after="0"/>
              <w:rPr>
                <w:sz w:val="12"/>
                <w:szCs w:val="12"/>
                <w:color w:val="auto"/>
              </w:rPr>
            </w:pPr>
          </w:p>
        </w:tc>
        <w:tc>
          <w:tcPr>
            <w:tcW w:w="700" w:type="dxa"/>
            <w:vAlign w:val="bottom"/>
            <w:tcBorders>
              <w:top w:val="single" w:sz="8" w:color="auto"/>
              <w:right w:val="single" w:sz="8" w:color="EAEAEA"/>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87"/>
              </w:rPr>
              <w:t>6/17/2019</w:t>
            </w:r>
          </w:p>
        </w:tc>
        <w:tc>
          <w:tcPr>
            <w:tcW w:w="1120" w:type="dxa"/>
            <w:vAlign w:val="bottom"/>
            <w:tcBorders>
              <w:top w:val="single" w:sz="8" w:color="auto"/>
            </w:tcBorders>
            <w:vMerge w:val="restart"/>
          </w:tcPr>
          <w:p>
            <w:pPr>
              <w:jc w:val="right"/>
              <w:ind w:right="103"/>
              <w:spacing w:after="0"/>
              <w:rPr>
                <w:sz w:val="20"/>
                <w:szCs w:val="20"/>
                <w:color w:val="auto"/>
              </w:rPr>
            </w:pPr>
            <w:r>
              <w:rPr>
                <w:rFonts w:ascii="Arial" w:cs="Arial" w:eastAsia="Arial" w:hAnsi="Arial"/>
                <w:sz w:val="16"/>
                <w:szCs w:val="16"/>
                <w:color w:val="auto"/>
              </w:rPr>
              <w:t>1,697*</w:t>
            </w:r>
          </w:p>
        </w:tc>
        <w:tc>
          <w:tcPr>
            <w:tcW w:w="120" w:type="dxa"/>
            <w:vAlign w:val="bottom"/>
            <w:tcBorders>
              <w:top w:val="single" w:sz="8" w:color="auto"/>
            </w:tcBorders>
            <w:shd w:val="clear" w:color="auto" w:fill="EAEAEA"/>
          </w:tcPr>
          <w:p>
            <w:pPr>
              <w:spacing w:after="0"/>
              <w:rPr>
                <w:sz w:val="12"/>
                <w:szCs w:val="12"/>
                <w:color w:val="auto"/>
              </w:rPr>
            </w:pPr>
          </w:p>
        </w:tc>
        <w:tc>
          <w:tcPr>
            <w:tcW w:w="54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12"/>
                <w:szCs w:val="12"/>
                <w:color w:val="auto"/>
              </w:rPr>
            </w:pPr>
          </w:p>
        </w:tc>
        <w:tc>
          <w:tcPr>
            <w:tcW w:w="98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shd w:val="clear" w:color="auto" w:fill="EAEAEA"/>
          </w:tcPr>
          <w:p>
            <w:pPr>
              <w:spacing w:after="0"/>
              <w:rPr>
                <w:sz w:val="12"/>
                <w:szCs w:val="12"/>
                <w:color w:val="auto"/>
              </w:rPr>
            </w:pPr>
          </w:p>
        </w:tc>
        <w:tc>
          <w:tcPr>
            <w:tcW w:w="5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12"/>
                <w:szCs w:val="12"/>
                <w:color w:val="auto"/>
              </w:rPr>
            </w:pPr>
          </w:p>
        </w:tc>
        <w:tc>
          <w:tcPr>
            <w:tcW w:w="7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color w:val="auto"/>
              </w:rPr>
              <w:t>1.83</w:t>
            </w:r>
          </w:p>
        </w:tc>
        <w:tc>
          <w:tcPr>
            <w:tcW w:w="140" w:type="dxa"/>
            <w:vAlign w:val="bottom"/>
            <w:tcBorders>
              <w:top w:val="single" w:sz="8" w:color="auto"/>
            </w:tcBorders>
            <w:shd w:val="clear" w:color="auto" w:fill="EAEAEA"/>
          </w:tcPr>
          <w:p>
            <w:pPr>
              <w:spacing w:after="0"/>
              <w:rPr>
                <w:sz w:val="12"/>
                <w:szCs w:val="12"/>
                <w:color w:val="auto"/>
              </w:rPr>
            </w:pPr>
          </w:p>
        </w:tc>
        <w:tc>
          <w:tcPr>
            <w:tcW w:w="520" w:type="dxa"/>
            <w:vAlign w:val="bottom"/>
            <w:tcBorders>
              <w:top w:val="single" w:sz="8" w:color="auto"/>
            </w:tcBorders>
            <w:vMerge w:val="restart"/>
            <w:shd w:val="clear" w:color="auto" w:fill="EAEAEA"/>
          </w:tcPr>
          <w:p>
            <w:pPr>
              <w:ind w:left="260"/>
              <w:spacing w:after="0"/>
              <w:rPr>
                <w:sz w:val="20"/>
                <w:szCs w:val="20"/>
                <w:color w:val="auto"/>
              </w:rPr>
            </w:pPr>
            <w:r>
              <w:rPr>
                <w:rFonts w:ascii="Arial" w:cs="Arial" w:eastAsia="Arial" w:hAnsi="Arial"/>
                <w:sz w:val="16"/>
                <w:szCs w:val="16"/>
                <w:color w:val="auto"/>
                <w:w w:val="76"/>
              </w:rPr>
              <w:t>2.06</w:t>
            </w:r>
          </w:p>
        </w:tc>
        <w:tc>
          <w:tcPr>
            <w:tcW w:w="80" w:type="dxa"/>
            <w:vAlign w:val="bottom"/>
            <w:tcBorders>
              <w:top w:val="single" w:sz="8" w:color="auto"/>
            </w:tcBorders>
            <w:shd w:val="clear" w:color="auto" w:fill="EAEAEA"/>
          </w:tcPr>
          <w:p>
            <w:pPr>
              <w:spacing w:after="0"/>
              <w:rPr>
                <w:sz w:val="12"/>
                <w:szCs w:val="12"/>
                <w:color w:val="auto"/>
              </w:rPr>
            </w:pPr>
          </w:p>
        </w:tc>
        <w:tc>
          <w:tcPr>
            <w:tcW w:w="8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color w:val="auto"/>
              </w:rPr>
              <w:t>100.39</w:t>
            </w:r>
          </w:p>
        </w:tc>
        <w:tc>
          <w:tcPr>
            <w:tcW w:w="120" w:type="dxa"/>
            <w:vAlign w:val="bottom"/>
            <w:tcBorders>
              <w:top w:val="single" w:sz="8" w:color="auto"/>
            </w:tcBorders>
            <w:shd w:val="clear" w:color="auto" w:fill="EAEAEA"/>
          </w:tcPr>
          <w:p>
            <w:pPr>
              <w:spacing w:after="0"/>
              <w:rPr>
                <w:sz w:val="12"/>
                <w:szCs w:val="12"/>
                <w:color w:val="auto"/>
              </w:rPr>
            </w:pPr>
          </w:p>
        </w:tc>
        <w:tc>
          <w:tcPr>
            <w:tcW w:w="1000" w:type="dxa"/>
            <w:vAlign w:val="bottom"/>
            <w:tcBorders>
              <w:top w:val="single" w:sz="8" w:color="auto"/>
            </w:tcBorders>
            <w:shd w:val="clear" w:color="auto" w:fill="EAEAEA"/>
          </w:tcPr>
          <w:p>
            <w:pPr>
              <w:spacing w:after="0"/>
              <w:rPr>
                <w:sz w:val="12"/>
                <w:szCs w:val="12"/>
                <w:color w:val="auto"/>
              </w:rPr>
            </w:pPr>
          </w:p>
        </w:tc>
        <w:tc>
          <w:tcPr>
            <w:tcW w:w="80" w:type="dxa"/>
            <w:vAlign w:val="bottom"/>
            <w:tcBorders>
              <w:top w:val="single" w:sz="8" w:color="auto"/>
            </w:tcBorders>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00" w:type="dxa"/>
            <w:vAlign w:val="bottom"/>
          </w:tcPr>
          <w:p>
            <w:pPr>
              <w:spacing w:after="0"/>
              <w:rPr>
                <w:sz w:val="4"/>
                <w:szCs w:val="4"/>
                <w:color w:val="auto"/>
              </w:rPr>
            </w:pPr>
          </w:p>
        </w:tc>
        <w:tc>
          <w:tcPr>
            <w:tcW w:w="120" w:type="dxa"/>
            <w:vAlign w:val="bottom"/>
            <w:shd w:val="clear" w:color="auto" w:fill="EAEAEA"/>
          </w:tcPr>
          <w:p>
            <w:pPr>
              <w:spacing w:after="0"/>
              <w:rPr>
                <w:sz w:val="4"/>
                <w:szCs w:val="4"/>
                <w:color w:val="auto"/>
              </w:rPr>
            </w:pPr>
          </w:p>
        </w:tc>
        <w:tc>
          <w:tcPr>
            <w:tcW w:w="700" w:type="dxa"/>
            <w:vAlign w:val="bottom"/>
            <w:tcBorders>
              <w:right w:val="single" w:sz="8" w:color="EAEAEA"/>
            </w:tcBorders>
            <w:vMerge w:val="continue"/>
            <w:shd w:val="clear" w:color="auto" w:fill="EAEAEA"/>
          </w:tcPr>
          <w:p>
            <w:pPr>
              <w:spacing w:after="0"/>
              <w:rPr>
                <w:sz w:val="4"/>
                <w:szCs w:val="4"/>
                <w:color w:val="auto"/>
              </w:rPr>
            </w:pPr>
          </w:p>
        </w:tc>
        <w:tc>
          <w:tcPr>
            <w:tcW w:w="1120" w:type="dxa"/>
            <w:vAlign w:val="bottom"/>
            <w:vMerge w:val="continue"/>
          </w:tcPr>
          <w:p>
            <w:pPr>
              <w:spacing w:after="0"/>
              <w:rPr>
                <w:sz w:val="4"/>
                <w:szCs w:val="4"/>
                <w:color w:val="auto"/>
              </w:rPr>
            </w:pPr>
          </w:p>
        </w:tc>
        <w:tc>
          <w:tcPr>
            <w:tcW w:w="120" w:type="dxa"/>
            <w:vAlign w:val="bottom"/>
            <w:shd w:val="clear" w:color="auto" w:fill="EAEAEA"/>
          </w:tcPr>
          <w:p>
            <w:pPr>
              <w:spacing w:after="0"/>
              <w:rPr>
                <w:sz w:val="4"/>
                <w:szCs w:val="4"/>
                <w:color w:val="auto"/>
              </w:rPr>
            </w:pPr>
          </w:p>
        </w:tc>
        <w:tc>
          <w:tcPr>
            <w:tcW w:w="540" w:type="dxa"/>
            <w:vAlign w:val="bottom"/>
            <w:vMerge w:val="continue"/>
            <w:shd w:val="clear" w:color="auto" w:fill="EAEAEA"/>
          </w:tcPr>
          <w:p>
            <w:pPr>
              <w:spacing w:after="0"/>
              <w:rPr>
                <w:sz w:val="4"/>
                <w:szCs w:val="4"/>
                <w:color w:val="auto"/>
              </w:rPr>
            </w:pPr>
          </w:p>
        </w:tc>
        <w:tc>
          <w:tcPr>
            <w:tcW w:w="80" w:type="dxa"/>
            <w:vAlign w:val="bottom"/>
            <w:shd w:val="clear" w:color="auto" w:fill="EAEAEA"/>
          </w:tcPr>
          <w:p>
            <w:pPr>
              <w:spacing w:after="0"/>
              <w:rPr>
                <w:sz w:val="4"/>
                <w:szCs w:val="4"/>
                <w:color w:val="auto"/>
              </w:rPr>
            </w:pPr>
          </w:p>
        </w:tc>
        <w:tc>
          <w:tcPr>
            <w:tcW w:w="980" w:type="dxa"/>
            <w:vAlign w:val="bottom"/>
            <w:vMerge w:val="continue"/>
          </w:tcPr>
          <w:p>
            <w:pPr>
              <w:spacing w:after="0"/>
              <w:rPr>
                <w:sz w:val="4"/>
                <w:szCs w:val="4"/>
                <w:color w:val="auto"/>
              </w:rPr>
            </w:pPr>
          </w:p>
        </w:tc>
        <w:tc>
          <w:tcPr>
            <w:tcW w:w="180" w:type="dxa"/>
            <w:vAlign w:val="bottom"/>
            <w:shd w:val="clear" w:color="auto" w:fill="EAEAEA"/>
          </w:tcPr>
          <w:p>
            <w:pPr>
              <w:spacing w:after="0"/>
              <w:rPr>
                <w:sz w:val="4"/>
                <w:szCs w:val="4"/>
                <w:color w:val="auto"/>
              </w:rPr>
            </w:pPr>
          </w:p>
        </w:tc>
        <w:tc>
          <w:tcPr>
            <w:tcW w:w="520" w:type="dxa"/>
            <w:vAlign w:val="bottom"/>
            <w:vMerge w:val="continue"/>
            <w:shd w:val="clear" w:color="auto" w:fill="EAEAEA"/>
          </w:tcPr>
          <w:p>
            <w:pPr>
              <w:spacing w:after="0"/>
              <w:rPr>
                <w:sz w:val="4"/>
                <w:szCs w:val="4"/>
                <w:color w:val="auto"/>
              </w:rPr>
            </w:pPr>
          </w:p>
        </w:tc>
        <w:tc>
          <w:tcPr>
            <w:tcW w:w="80" w:type="dxa"/>
            <w:vAlign w:val="bottom"/>
            <w:shd w:val="clear" w:color="auto" w:fill="EAEAEA"/>
          </w:tcPr>
          <w:p>
            <w:pPr>
              <w:spacing w:after="0"/>
              <w:rPr>
                <w:sz w:val="4"/>
                <w:szCs w:val="4"/>
                <w:color w:val="auto"/>
              </w:rPr>
            </w:pPr>
          </w:p>
        </w:tc>
        <w:tc>
          <w:tcPr>
            <w:tcW w:w="720" w:type="dxa"/>
            <w:vAlign w:val="bottom"/>
            <w:vMerge w:val="continue"/>
          </w:tcPr>
          <w:p>
            <w:pPr>
              <w:spacing w:after="0"/>
              <w:rPr>
                <w:sz w:val="4"/>
                <w:szCs w:val="4"/>
                <w:color w:val="auto"/>
              </w:rPr>
            </w:pPr>
          </w:p>
        </w:tc>
        <w:tc>
          <w:tcPr>
            <w:tcW w:w="140" w:type="dxa"/>
            <w:vAlign w:val="bottom"/>
            <w:shd w:val="clear" w:color="auto" w:fill="EAEAEA"/>
          </w:tcPr>
          <w:p>
            <w:pPr>
              <w:spacing w:after="0"/>
              <w:rPr>
                <w:sz w:val="4"/>
                <w:szCs w:val="4"/>
                <w:color w:val="auto"/>
              </w:rPr>
            </w:pPr>
          </w:p>
        </w:tc>
        <w:tc>
          <w:tcPr>
            <w:tcW w:w="520" w:type="dxa"/>
            <w:vAlign w:val="bottom"/>
            <w:vMerge w:val="continue"/>
            <w:shd w:val="clear" w:color="auto" w:fill="EAEAEA"/>
          </w:tcPr>
          <w:p>
            <w:pPr>
              <w:spacing w:after="0"/>
              <w:rPr>
                <w:sz w:val="4"/>
                <w:szCs w:val="4"/>
                <w:color w:val="auto"/>
              </w:rPr>
            </w:pPr>
          </w:p>
        </w:tc>
        <w:tc>
          <w:tcPr>
            <w:tcW w:w="80" w:type="dxa"/>
            <w:vAlign w:val="bottom"/>
            <w:shd w:val="clear" w:color="auto" w:fill="EAEAEA"/>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shd w:val="clear" w:color="auto" w:fill="EAEAEA"/>
          </w:tcPr>
          <w:p>
            <w:pPr>
              <w:spacing w:after="0"/>
              <w:rPr>
                <w:sz w:val="4"/>
                <w:szCs w:val="4"/>
                <w:color w:val="auto"/>
              </w:rPr>
            </w:pPr>
          </w:p>
        </w:tc>
        <w:tc>
          <w:tcPr>
            <w:tcW w:w="1000" w:type="dxa"/>
            <w:vAlign w:val="bottom"/>
            <w:shd w:val="clear" w:color="auto" w:fill="EAEAEA"/>
          </w:tcPr>
          <w:p>
            <w:pPr>
              <w:spacing w:after="0"/>
              <w:rPr>
                <w:sz w:val="4"/>
                <w:szCs w:val="4"/>
                <w:color w:val="auto"/>
              </w:rPr>
            </w:pPr>
          </w:p>
        </w:tc>
        <w:tc>
          <w:tcPr>
            <w:tcW w:w="80" w:type="dxa"/>
            <w:vAlign w:val="bottom"/>
            <w:shd w:val="clear" w:color="auto" w:fill="EAEAEA"/>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6/17/2019</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1,697**</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24.07</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2.38</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116.20</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394,383</w:t>
            </w: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6/17/2019</w:t>
            </w:r>
          </w:p>
        </w:tc>
        <w:tc>
          <w:tcPr>
            <w:tcW w:w="1120" w:type="dxa"/>
            <w:vAlign w:val="bottom"/>
          </w:tcPr>
          <w:p>
            <w:pPr>
              <w:jc w:val="right"/>
              <w:spacing w:after="0"/>
              <w:rPr>
                <w:sz w:val="20"/>
                <w:szCs w:val="20"/>
                <w:color w:val="auto"/>
              </w:rPr>
            </w:pPr>
            <w:r>
              <w:rPr>
                <w:rFonts w:ascii="Arial" w:cs="Arial" w:eastAsia="Arial" w:hAnsi="Arial"/>
                <w:sz w:val="16"/>
                <w:szCs w:val="16"/>
                <w:color w:val="auto"/>
              </w:rPr>
              <w:t>1,697***</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1.83</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2.06</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59.94</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337,160</w:t>
            </w: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6/17/2019</w:t>
            </w: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7,512</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108.08</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28.90</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1.83</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2.10</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22.69</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3/11/2020</w:t>
            </w:r>
          </w:p>
        </w:tc>
        <w:tc>
          <w:tcPr>
            <w:tcW w:w="1120" w:type="dxa"/>
            <w:vAlign w:val="bottom"/>
          </w:tcPr>
          <w:p>
            <w:pPr>
              <w:jc w:val="right"/>
              <w:ind w:right="103"/>
              <w:spacing w:after="0"/>
              <w:rPr>
                <w:sz w:val="20"/>
                <w:szCs w:val="20"/>
                <w:color w:val="auto"/>
              </w:rPr>
            </w:pPr>
            <w:r>
              <w:rPr>
                <w:rFonts w:ascii="Arial" w:cs="Arial" w:eastAsia="Arial" w:hAnsi="Arial"/>
                <w:sz w:val="16"/>
                <w:szCs w:val="16"/>
                <w:color w:val="auto"/>
              </w:rPr>
              <w:t>4,927*</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0.66</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2.63</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88.28</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3/11/2020</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4,927**</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27.99</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0.58</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2.59</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97.71</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962,834</w:t>
            </w: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3/11/2020</w:t>
            </w:r>
          </w:p>
        </w:tc>
        <w:tc>
          <w:tcPr>
            <w:tcW w:w="1120" w:type="dxa"/>
            <w:vAlign w:val="bottom"/>
          </w:tcPr>
          <w:p>
            <w:pPr>
              <w:jc w:val="right"/>
              <w:spacing w:after="0"/>
              <w:rPr>
                <w:sz w:val="20"/>
                <w:szCs w:val="20"/>
                <w:color w:val="auto"/>
              </w:rPr>
            </w:pPr>
            <w:r>
              <w:rPr>
                <w:rFonts w:ascii="Arial" w:cs="Arial" w:eastAsia="Arial" w:hAnsi="Arial"/>
                <w:sz w:val="16"/>
                <w:szCs w:val="16"/>
                <w:color w:val="auto"/>
              </w:rPr>
              <w:t>4,927***</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0.66</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2.63</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88.28</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869,911</w:t>
            </w: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3/11/2020</w:t>
            </w: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24,232</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94.41</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29.49</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0.66</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2.63</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18.46</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Borders>
              <w:bottom w:val="single" w:sz="8" w:color="0066BA"/>
            </w:tcBorders>
          </w:tcPr>
          <w:p>
            <w:pPr>
              <w:spacing w:after="0"/>
              <w:rPr>
                <w:sz w:val="6"/>
                <w:szCs w:val="6"/>
                <w:color w:val="auto"/>
              </w:rPr>
            </w:pPr>
          </w:p>
        </w:tc>
        <w:tc>
          <w:tcPr>
            <w:tcW w:w="120" w:type="dxa"/>
            <w:vAlign w:val="bottom"/>
            <w:tcBorders>
              <w:bottom w:val="single" w:sz="8" w:color="0066BA"/>
            </w:tcBorders>
            <w:shd w:val="clear" w:color="auto" w:fill="EAEAEA"/>
          </w:tcPr>
          <w:p>
            <w:pPr>
              <w:spacing w:after="0"/>
              <w:rPr>
                <w:sz w:val="6"/>
                <w:szCs w:val="6"/>
                <w:color w:val="auto"/>
              </w:rPr>
            </w:pPr>
          </w:p>
        </w:tc>
        <w:tc>
          <w:tcPr>
            <w:tcW w:w="700" w:type="dxa"/>
            <w:vAlign w:val="bottom"/>
            <w:tcBorders>
              <w:bottom w:val="single" w:sz="8" w:color="0066BA"/>
              <w:right w:val="single" w:sz="8" w:color="EAEAEA"/>
            </w:tcBorders>
            <w:shd w:val="clear" w:color="auto" w:fill="EAEAEA"/>
          </w:tcPr>
          <w:p>
            <w:pPr>
              <w:spacing w:after="0"/>
              <w:rPr>
                <w:sz w:val="6"/>
                <w:szCs w:val="6"/>
                <w:color w:val="auto"/>
              </w:rPr>
            </w:pPr>
          </w:p>
        </w:tc>
        <w:tc>
          <w:tcPr>
            <w:tcW w:w="1120" w:type="dxa"/>
            <w:vAlign w:val="bottom"/>
            <w:tcBorders>
              <w:bottom w:val="single" w:sz="8" w:color="0066BA"/>
            </w:tcBorders>
          </w:tcPr>
          <w:p>
            <w:pPr>
              <w:spacing w:after="0"/>
              <w:rPr>
                <w:sz w:val="6"/>
                <w:szCs w:val="6"/>
                <w:color w:val="auto"/>
              </w:rPr>
            </w:pPr>
          </w:p>
        </w:tc>
        <w:tc>
          <w:tcPr>
            <w:tcW w:w="120" w:type="dxa"/>
            <w:vAlign w:val="bottom"/>
            <w:tcBorders>
              <w:bottom w:val="single" w:sz="8" w:color="0066BA"/>
            </w:tcBorders>
            <w:shd w:val="clear" w:color="auto" w:fill="EAEAEA"/>
          </w:tcPr>
          <w:p>
            <w:pPr>
              <w:spacing w:after="0"/>
              <w:rPr>
                <w:sz w:val="6"/>
                <w:szCs w:val="6"/>
                <w:color w:val="auto"/>
              </w:rPr>
            </w:pPr>
          </w:p>
        </w:tc>
        <w:tc>
          <w:tcPr>
            <w:tcW w:w="540" w:type="dxa"/>
            <w:vAlign w:val="bottom"/>
            <w:tcBorders>
              <w:bottom w:val="single" w:sz="8" w:color="0066BA"/>
            </w:tcBorders>
            <w:shd w:val="clear" w:color="auto" w:fill="EAEAEA"/>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980" w:type="dxa"/>
            <w:vAlign w:val="bottom"/>
            <w:tcBorders>
              <w:bottom w:val="single" w:sz="8" w:color="0066BA"/>
            </w:tcBorders>
          </w:tcPr>
          <w:p>
            <w:pPr>
              <w:spacing w:after="0"/>
              <w:rPr>
                <w:sz w:val="6"/>
                <w:szCs w:val="6"/>
                <w:color w:val="auto"/>
              </w:rPr>
            </w:pPr>
          </w:p>
        </w:tc>
        <w:tc>
          <w:tcPr>
            <w:tcW w:w="180" w:type="dxa"/>
            <w:vAlign w:val="bottom"/>
            <w:tcBorders>
              <w:bottom w:val="single" w:sz="8" w:color="0066BA"/>
            </w:tcBorders>
            <w:shd w:val="clear" w:color="auto" w:fill="EAEAEA"/>
          </w:tcPr>
          <w:p>
            <w:pPr>
              <w:spacing w:after="0"/>
              <w:rPr>
                <w:sz w:val="6"/>
                <w:szCs w:val="6"/>
                <w:color w:val="auto"/>
              </w:rPr>
            </w:pPr>
          </w:p>
        </w:tc>
        <w:tc>
          <w:tcPr>
            <w:tcW w:w="520" w:type="dxa"/>
            <w:vAlign w:val="bottom"/>
            <w:tcBorders>
              <w:bottom w:val="single" w:sz="8" w:color="0066BA"/>
            </w:tcBorders>
            <w:shd w:val="clear" w:color="auto" w:fill="EAEAEA"/>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720" w:type="dxa"/>
            <w:vAlign w:val="bottom"/>
            <w:tcBorders>
              <w:bottom w:val="single" w:sz="8" w:color="0066BA"/>
            </w:tcBorders>
          </w:tcPr>
          <w:p>
            <w:pPr>
              <w:spacing w:after="0"/>
              <w:rPr>
                <w:sz w:val="6"/>
                <w:szCs w:val="6"/>
                <w:color w:val="auto"/>
              </w:rPr>
            </w:pPr>
          </w:p>
        </w:tc>
        <w:tc>
          <w:tcPr>
            <w:tcW w:w="140" w:type="dxa"/>
            <w:vAlign w:val="bottom"/>
            <w:tcBorders>
              <w:bottom w:val="single" w:sz="8" w:color="0066BA"/>
            </w:tcBorders>
            <w:shd w:val="clear" w:color="auto" w:fill="EAEAEA"/>
          </w:tcPr>
          <w:p>
            <w:pPr>
              <w:spacing w:after="0"/>
              <w:rPr>
                <w:sz w:val="6"/>
                <w:szCs w:val="6"/>
                <w:color w:val="auto"/>
              </w:rPr>
            </w:pPr>
          </w:p>
        </w:tc>
        <w:tc>
          <w:tcPr>
            <w:tcW w:w="520" w:type="dxa"/>
            <w:vAlign w:val="bottom"/>
            <w:tcBorders>
              <w:bottom w:val="single" w:sz="8" w:color="0066BA"/>
            </w:tcBorders>
            <w:shd w:val="clear" w:color="auto" w:fill="EAEAEA"/>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tcPr>
          <w:p>
            <w:pPr>
              <w:spacing w:after="0"/>
              <w:rPr>
                <w:sz w:val="6"/>
                <w:szCs w:val="6"/>
                <w:color w:val="auto"/>
              </w:rPr>
            </w:pPr>
          </w:p>
        </w:tc>
        <w:tc>
          <w:tcPr>
            <w:tcW w:w="120" w:type="dxa"/>
            <w:vAlign w:val="bottom"/>
            <w:tcBorders>
              <w:bottom w:val="single" w:sz="8" w:color="0066BA"/>
            </w:tcBorders>
            <w:shd w:val="clear" w:color="auto" w:fill="EAEAEA"/>
          </w:tcPr>
          <w:p>
            <w:pPr>
              <w:spacing w:after="0"/>
              <w:rPr>
                <w:sz w:val="6"/>
                <w:szCs w:val="6"/>
                <w:color w:val="auto"/>
              </w:rPr>
            </w:pPr>
          </w:p>
        </w:tc>
        <w:tc>
          <w:tcPr>
            <w:tcW w:w="1000" w:type="dxa"/>
            <w:vAlign w:val="bottom"/>
            <w:tcBorders>
              <w:bottom w:val="single" w:sz="8" w:color="0066BA"/>
            </w:tcBorders>
            <w:shd w:val="clear" w:color="auto" w:fill="EAEAEA"/>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320" w:top="447" w:right="639" w:bottom="1440" w:gutter="0" w:footer="0" w:header="0"/>
        </w:sectPr>
      </w:pPr>
    </w:p>
    <w:p>
      <w:pPr>
        <w:spacing w:after="0" w:line="322" w:lineRule="exact"/>
        <w:rPr>
          <w:sz w:val="20"/>
          <w:szCs w:val="20"/>
          <w:color w:val="auto"/>
        </w:rPr>
      </w:pPr>
    </w:p>
    <w:p>
      <w:pPr>
        <w:ind w:left="1076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0940"/>
          </w:cols>
          <w:pgMar w:left="320" w:top="447" w:right="639" w:bottom="1440" w:gutter="0" w:footer="0" w:header="0"/>
          <w:type w:val="continuous"/>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17"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200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Name</w:t>
            </w:r>
          </w:p>
        </w:tc>
        <w:tc>
          <w:tcPr>
            <w:tcW w:w="120" w:type="dxa"/>
            <w:vAlign w:val="bottom"/>
            <w:shd w:val="clear" w:color="auto" w:fill="0066BA"/>
          </w:tcPr>
          <w:p>
            <w:pPr>
              <w:spacing w:after="0"/>
              <w:rPr>
                <w:sz w:val="14"/>
                <w:szCs w:val="14"/>
                <w:color w:val="auto"/>
              </w:rPr>
            </w:pPr>
          </w:p>
        </w:tc>
        <w:tc>
          <w:tcPr>
            <w:tcW w:w="700" w:type="dxa"/>
            <w:vAlign w:val="bottom"/>
            <w:tcBorders>
              <w:right w:val="single" w:sz="8" w:color="0066BA"/>
            </w:tcBorders>
            <w:shd w:val="clear" w:color="auto" w:fill="0066BA"/>
          </w:tcPr>
          <w:p>
            <w:pPr>
              <w:jc w:val="right"/>
              <w:spacing w:after="0"/>
              <w:rPr>
                <w:sz w:val="20"/>
                <w:szCs w:val="20"/>
                <w:color w:val="auto"/>
              </w:rPr>
            </w:pPr>
            <w:r>
              <w:rPr>
                <w:rFonts w:ascii="Arial" w:cs="Arial" w:eastAsia="Arial" w:hAnsi="Arial"/>
                <w:sz w:val="14"/>
                <w:szCs w:val="14"/>
                <w:b w:val="1"/>
                <w:bCs w:val="1"/>
                <w:color w:val="FFFFFF"/>
              </w:rPr>
              <w:t>Grant</w:t>
            </w:r>
          </w:p>
        </w:tc>
        <w:tc>
          <w:tcPr>
            <w:tcW w:w="1120" w:type="dxa"/>
            <w:vAlign w:val="bottom"/>
            <w:shd w:val="clear" w:color="auto" w:fill="0066BA"/>
          </w:tcPr>
          <w:p>
            <w:pPr>
              <w:jc w:val="right"/>
              <w:ind w:right="183"/>
              <w:spacing w:after="0"/>
              <w:rPr>
                <w:sz w:val="20"/>
                <w:szCs w:val="20"/>
                <w:color w:val="auto"/>
              </w:rPr>
            </w:pPr>
            <w:r>
              <w:rPr>
                <w:rFonts w:ascii="Arial" w:cs="Arial" w:eastAsia="Arial" w:hAnsi="Arial"/>
                <w:sz w:val="14"/>
                <w:szCs w:val="14"/>
                <w:b w:val="1"/>
                <w:bCs w:val="1"/>
                <w:color w:val="FFFFFF"/>
              </w:rPr>
              <w:t>Options/</w:t>
            </w:r>
          </w:p>
        </w:tc>
        <w:tc>
          <w:tcPr>
            <w:tcW w:w="740" w:type="dxa"/>
            <w:vAlign w:val="bottom"/>
            <w:gridSpan w:val="3"/>
            <w:shd w:val="clear" w:color="auto" w:fill="0066BA"/>
          </w:tcPr>
          <w:p>
            <w:pPr>
              <w:jc w:val="right"/>
              <w:ind w:right="80"/>
              <w:spacing w:after="0"/>
              <w:rPr>
                <w:sz w:val="20"/>
                <w:szCs w:val="20"/>
                <w:color w:val="auto"/>
              </w:rPr>
            </w:pPr>
            <w:r>
              <w:rPr>
                <w:rFonts w:ascii="Arial" w:cs="Arial" w:eastAsia="Arial" w:hAnsi="Arial"/>
                <w:sz w:val="14"/>
                <w:szCs w:val="14"/>
                <w:b w:val="1"/>
                <w:bCs w:val="1"/>
                <w:color w:val="FFFFFF"/>
              </w:rPr>
              <w:t>Exercise</w:t>
            </w:r>
          </w:p>
        </w:tc>
        <w:tc>
          <w:tcPr>
            <w:tcW w:w="980" w:type="dxa"/>
            <w:vAlign w:val="bottom"/>
            <w:shd w:val="clear" w:color="auto" w:fill="0066BA"/>
          </w:tcPr>
          <w:p>
            <w:pPr>
              <w:jc w:val="right"/>
              <w:ind w:right="2"/>
              <w:spacing w:after="0"/>
              <w:rPr>
                <w:sz w:val="20"/>
                <w:szCs w:val="20"/>
                <w:color w:val="auto"/>
              </w:rPr>
            </w:pPr>
            <w:r>
              <w:rPr>
                <w:rFonts w:ascii="Arial" w:cs="Arial" w:eastAsia="Arial" w:hAnsi="Arial"/>
                <w:sz w:val="14"/>
                <w:szCs w:val="14"/>
                <w:b w:val="1"/>
                <w:bCs w:val="1"/>
                <w:color w:val="FFFFFF"/>
              </w:rPr>
              <w:t>Volatility (%)</w:t>
            </w:r>
          </w:p>
        </w:tc>
        <w:tc>
          <w:tcPr>
            <w:tcW w:w="780" w:type="dxa"/>
            <w:vAlign w:val="bottom"/>
            <w:gridSpan w:val="3"/>
            <w:shd w:val="clear" w:color="auto" w:fill="0066BA"/>
          </w:tcPr>
          <w:p>
            <w:pPr>
              <w:jc w:val="right"/>
              <w:ind w:right="60"/>
              <w:spacing w:after="0"/>
              <w:rPr>
                <w:sz w:val="20"/>
                <w:szCs w:val="20"/>
                <w:color w:val="auto"/>
              </w:rPr>
            </w:pPr>
            <w:r>
              <w:rPr>
                <w:rFonts w:ascii="Arial" w:cs="Arial" w:eastAsia="Arial" w:hAnsi="Arial"/>
                <w:sz w:val="14"/>
                <w:szCs w:val="14"/>
                <w:b w:val="1"/>
                <w:bCs w:val="1"/>
                <w:color w:val="FFFFFF"/>
              </w:rPr>
              <w:t>Expected</w:t>
            </w:r>
          </w:p>
        </w:tc>
        <w:tc>
          <w:tcPr>
            <w:tcW w:w="720" w:type="dxa"/>
            <w:vAlign w:val="bottom"/>
            <w:shd w:val="clear" w:color="auto" w:fill="0066BA"/>
          </w:tcPr>
          <w:p>
            <w:pPr>
              <w:jc w:val="right"/>
              <w:ind w:right="3"/>
              <w:spacing w:after="0"/>
              <w:rPr>
                <w:sz w:val="20"/>
                <w:szCs w:val="20"/>
                <w:color w:val="auto"/>
              </w:rPr>
            </w:pPr>
            <w:r>
              <w:rPr>
                <w:rFonts w:ascii="Arial" w:cs="Arial" w:eastAsia="Arial" w:hAnsi="Arial"/>
                <w:sz w:val="14"/>
                <w:szCs w:val="14"/>
                <w:b w:val="1"/>
                <w:bCs w:val="1"/>
                <w:color w:val="FFFFFF"/>
              </w:rPr>
              <w:t>Risk-</w:t>
            </w:r>
          </w:p>
        </w:tc>
        <w:tc>
          <w:tcPr>
            <w:tcW w:w="740" w:type="dxa"/>
            <w:vAlign w:val="bottom"/>
            <w:gridSpan w:val="3"/>
            <w:shd w:val="clear" w:color="auto" w:fill="0066BA"/>
          </w:tcPr>
          <w:p>
            <w:pPr>
              <w:ind w:left="80"/>
              <w:spacing w:after="0"/>
              <w:rPr>
                <w:sz w:val="20"/>
                <w:szCs w:val="20"/>
                <w:color w:val="auto"/>
              </w:rPr>
            </w:pPr>
            <w:r>
              <w:rPr>
                <w:rFonts w:ascii="Arial" w:cs="Arial" w:eastAsia="Arial" w:hAnsi="Arial"/>
                <w:sz w:val="14"/>
                <w:szCs w:val="14"/>
                <w:b w:val="1"/>
                <w:bCs w:val="1"/>
                <w:color w:val="FFFFFF"/>
              </w:rPr>
              <w:t>Dividend</w:t>
            </w:r>
          </w:p>
        </w:tc>
        <w:tc>
          <w:tcPr>
            <w:tcW w:w="880" w:type="dxa"/>
            <w:vAlign w:val="bottom"/>
            <w:shd w:val="clear" w:color="auto" w:fill="0066BA"/>
          </w:tcPr>
          <w:p>
            <w:pPr>
              <w:jc w:val="right"/>
              <w:ind w:right="3"/>
              <w:spacing w:after="0"/>
              <w:rPr>
                <w:sz w:val="20"/>
                <w:szCs w:val="20"/>
                <w:color w:val="auto"/>
              </w:rPr>
            </w:pPr>
            <w:r>
              <w:rPr>
                <w:rFonts w:ascii="Arial" w:cs="Arial" w:eastAsia="Arial" w:hAnsi="Arial"/>
                <w:sz w:val="14"/>
                <w:szCs w:val="14"/>
                <w:b w:val="1"/>
                <w:bCs w:val="1"/>
                <w:color w:val="FFFFFF"/>
              </w:rPr>
              <w:t>Grant Date</w:t>
            </w:r>
          </w:p>
        </w:tc>
        <w:tc>
          <w:tcPr>
            <w:tcW w:w="120" w:type="dxa"/>
            <w:vAlign w:val="bottom"/>
            <w:shd w:val="clear" w:color="auto" w:fill="0066BA"/>
          </w:tcPr>
          <w:p>
            <w:pPr>
              <w:spacing w:after="0"/>
              <w:rPr>
                <w:sz w:val="14"/>
                <w:szCs w:val="14"/>
                <w:color w:val="auto"/>
              </w:rPr>
            </w:pPr>
          </w:p>
        </w:tc>
        <w:tc>
          <w:tcPr>
            <w:tcW w:w="1080" w:type="dxa"/>
            <w:vAlign w:val="bottom"/>
            <w:gridSpan w:val="2"/>
            <w:shd w:val="clear" w:color="auto" w:fill="0066BA"/>
          </w:tcPr>
          <w:p>
            <w:pPr>
              <w:jc w:val="right"/>
              <w:ind w:right="80"/>
              <w:spacing w:after="0"/>
              <w:rPr>
                <w:sz w:val="20"/>
                <w:szCs w:val="20"/>
                <w:color w:val="auto"/>
              </w:rPr>
            </w:pPr>
            <w:r>
              <w:rPr>
                <w:rFonts w:ascii="Arial" w:cs="Arial" w:eastAsia="Arial" w:hAnsi="Arial"/>
                <w:sz w:val="14"/>
                <w:szCs w:val="14"/>
                <w:b w:val="1"/>
                <w:bCs w:val="1"/>
                <w:color w:val="FFFFFF"/>
              </w:rPr>
              <w:t>Grant Date</w:t>
            </w:r>
          </w:p>
        </w:tc>
        <w:tc>
          <w:tcPr>
            <w:tcW w:w="0" w:type="dxa"/>
            <w:vAlign w:val="bottom"/>
          </w:tcPr>
          <w:p>
            <w:pPr>
              <w:spacing w:after="0"/>
              <w:rPr>
                <w:sz w:val="1"/>
                <w:szCs w:val="1"/>
                <w:color w:val="auto"/>
              </w:rPr>
            </w:pPr>
          </w:p>
        </w:tc>
      </w:tr>
      <w:tr>
        <w:trPr>
          <w:trHeight w:val="156"/>
        </w:trPr>
        <w:tc>
          <w:tcPr>
            <w:tcW w:w="2000" w:type="dxa"/>
            <w:vAlign w:val="bottom"/>
            <w:shd w:val="clear" w:color="auto" w:fill="0066BA"/>
          </w:tcPr>
          <w:p>
            <w:pPr>
              <w:spacing w:after="0"/>
              <w:rPr>
                <w:sz w:val="13"/>
                <w:szCs w:val="13"/>
                <w:color w:val="auto"/>
              </w:rPr>
            </w:pPr>
          </w:p>
        </w:tc>
        <w:tc>
          <w:tcPr>
            <w:tcW w:w="120" w:type="dxa"/>
            <w:vAlign w:val="bottom"/>
            <w:shd w:val="clear" w:color="auto" w:fill="0066BA"/>
          </w:tcPr>
          <w:p>
            <w:pPr>
              <w:spacing w:after="0"/>
              <w:rPr>
                <w:sz w:val="13"/>
                <w:szCs w:val="13"/>
                <w:color w:val="auto"/>
              </w:rPr>
            </w:pPr>
          </w:p>
        </w:tc>
        <w:tc>
          <w:tcPr>
            <w:tcW w:w="700" w:type="dxa"/>
            <w:vAlign w:val="bottom"/>
            <w:tcBorders>
              <w:right w:val="single" w:sz="8" w:color="0066BA"/>
            </w:tcBorders>
            <w:shd w:val="clear" w:color="auto" w:fill="0066BA"/>
          </w:tcPr>
          <w:p>
            <w:pPr>
              <w:jc w:val="right"/>
              <w:spacing w:after="0" w:line="156" w:lineRule="exact"/>
              <w:rPr>
                <w:sz w:val="20"/>
                <w:szCs w:val="20"/>
                <w:color w:val="auto"/>
              </w:rPr>
            </w:pPr>
            <w:r>
              <w:rPr>
                <w:rFonts w:ascii="Arial" w:cs="Arial" w:eastAsia="Arial" w:hAnsi="Arial"/>
                <w:sz w:val="14"/>
                <w:szCs w:val="14"/>
                <w:b w:val="1"/>
                <w:bCs w:val="1"/>
                <w:color w:val="FFFFFF"/>
              </w:rPr>
              <w:t>Date</w:t>
            </w:r>
          </w:p>
        </w:tc>
        <w:tc>
          <w:tcPr>
            <w:tcW w:w="1120" w:type="dxa"/>
            <w:vAlign w:val="bottom"/>
            <w:shd w:val="clear" w:color="auto" w:fill="0066BA"/>
          </w:tcPr>
          <w:p>
            <w:pPr>
              <w:jc w:val="right"/>
              <w:ind w:right="183"/>
              <w:spacing w:after="0" w:line="156" w:lineRule="exact"/>
              <w:rPr>
                <w:sz w:val="20"/>
                <w:szCs w:val="20"/>
                <w:color w:val="auto"/>
              </w:rPr>
            </w:pPr>
            <w:r>
              <w:rPr>
                <w:rFonts w:ascii="Arial" w:cs="Arial" w:eastAsia="Arial" w:hAnsi="Arial"/>
                <w:sz w:val="14"/>
                <w:szCs w:val="14"/>
                <w:b w:val="1"/>
                <w:bCs w:val="1"/>
                <w:color w:val="FFFFFF"/>
              </w:rPr>
              <w:t>Restricted</w:t>
            </w:r>
          </w:p>
        </w:tc>
        <w:tc>
          <w:tcPr>
            <w:tcW w:w="740" w:type="dxa"/>
            <w:vAlign w:val="bottom"/>
            <w:gridSpan w:val="3"/>
            <w:shd w:val="clear" w:color="auto" w:fill="0066BA"/>
          </w:tcPr>
          <w:p>
            <w:pPr>
              <w:jc w:val="right"/>
              <w:ind w:right="80"/>
              <w:spacing w:after="0" w:line="156" w:lineRule="exact"/>
              <w:rPr>
                <w:sz w:val="20"/>
                <w:szCs w:val="20"/>
                <w:color w:val="auto"/>
              </w:rPr>
            </w:pPr>
            <w:r>
              <w:rPr>
                <w:rFonts w:ascii="Arial" w:cs="Arial" w:eastAsia="Arial" w:hAnsi="Arial"/>
                <w:sz w:val="14"/>
                <w:szCs w:val="14"/>
                <w:b w:val="1"/>
                <w:bCs w:val="1"/>
                <w:color w:val="FFFFFF"/>
              </w:rPr>
              <w:t>Price ($)</w:t>
            </w:r>
          </w:p>
        </w:tc>
        <w:tc>
          <w:tcPr>
            <w:tcW w:w="980" w:type="dxa"/>
            <w:vAlign w:val="bottom"/>
            <w:shd w:val="clear" w:color="auto" w:fill="0066BA"/>
          </w:tcPr>
          <w:p>
            <w:pPr>
              <w:spacing w:after="0"/>
              <w:rPr>
                <w:sz w:val="13"/>
                <w:szCs w:val="13"/>
                <w:color w:val="auto"/>
              </w:rPr>
            </w:pPr>
          </w:p>
        </w:tc>
        <w:tc>
          <w:tcPr>
            <w:tcW w:w="180" w:type="dxa"/>
            <w:vAlign w:val="bottom"/>
            <w:shd w:val="clear" w:color="auto" w:fill="0066BA"/>
          </w:tcPr>
          <w:p>
            <w:pPr>
              <w:spacing w:after="0"/>
              <w:rPr>
                <w:sz w:val="13"/>
                <w:szCs w:val="13"/>
                <w:color w:val="auto"/>
              </w:rPr>
            </w:pPr>
          </w:p>
        </w:tc>
        <w:tc>
          <w:tcPr>
            <w:tcW w:w="600" w:type="dxa"/>
            <w:vAlign w:val="bottom"/>
            <w:gridSpan w:val="2"/>
            <w:shd w:val="clear" w:color="auto" w:fill="0066BA"/>
          </w:tcPr>
          <w:p>
            <w:pPr>
              <w:jc w:val="right"/>
              <w:ind w:right="60"/>
              <w:spacing w:after="0" w:line="156" w:lineRule="exact"/>
              <w:rPr>
                <w:sz w:val="20"/>
                <w:szCs w:val="20"/>
                <w:color w:val="auto"/>
              </w:rPr>
            </w:pPr>
            <w:r>
              <w:rPr>
                <w:rFonts w:ascii="Arial" w:cs="Arial" w:eastAsia="Arial" w:hAnsi="Arial"/>
                <w:sz w:val="14"/>
                <w:szCs w:val="14"/>
                <w:b w:val="1"/>
                <w:bCs w:val="1"/>
                <w:color w:val="FFFFFF"/>
              </w:rPr>
              <w:t>Life</w:t>
            </w:r>
          </w:p>
        </w:tc>
        <w:tc>
          <w:tcPr>
            <w:tcW w:w="720" w:type="dxa"/>
            <w:vAlign w:val="bottom"/>
            <w:shd w:val="clear" w:color="auto" w:fill="0066BA"/>
          </w:tcPr>
          <w:p>
            <w:pPr>
              <w:jc w:val="right"/>
              <w:ind w:right="3"/>
              <w:spacing w:after="0" w:line="156" w:lineRule="exact"/>
              <w:rPr>
                <w:sz w:val="20"/>
                <w:szCs w:val="20"/>
                <w:color w:val="auto"/>
              </w:rPr>
            </w:pPr>
            <w:r>
              <w:rPr>
                <w:rFonts w:ascii="Arial" w:cs="Arial" w:eastAsia="Arial" w:hAnsi="Arial"/>
                <w:sz w:val="14"/>
                <w:szCs w:val="14"/>
                <w:b w:val="1"/>
                <w:bCs w:val="1"/>
                <w:color w:val="FFFFFF"/>
              </w:rPr>
              <w:t>Free</w:t>
            </w:r>
          </w:p>
        </w:tc>
        <w:tc>
          <w:tcPr>
            <w:tcW w:w="740" w:type="dxa"/>
            <w:vAlign w:val="bottom"/>
            <w:gridSpan w:val="3"/>
            <w:shd w:val="clear" w:color="auto" w:fill="0066BA"/>
          </w:tcPr>
          <w:p>
            <w:pPr>
              <w:ind w:left="80"/>
              <w:spacing w:after="0" w:line="156" w:lineRule="exact"/>
              <w:rPr>
                <w:sz w:val="20"/>
                <w:szCs w:val="20"/>
                <w:color w:val="auto"/>
              </w:rPr>
            </w:pPr>
            <w:r>
              <w:rPr>
                <w:rFonts w:ascii="Arial" w:cs="Arial" w:eastAsia="Arial" w:hAnsi="Arial"/>
                <w:sz w:val="14"/>
                <w:szCs w:val="14"/>
                <w:b w:val="1"/>
                <w:bCs w:val="1"/>
                <w:color w:val="FFFFFF"/>
              </w:rPr>
              <w:t>Yield (%)</w:t>
            </w:r>
          </w:p>
        </w:tc>
        <w:tc>
          <w:tcPr>
            <w:tcW w:w="880" w:type="dxa"/>
            <w:vAlign w:val="bottom"/>
            <w:shd w:val="clear" w:color="auto" w:fill="0066BA"/>
          </w:tcPr>
          <w:p>
            <w:pPr>
              <w:jc w:val="right"/>
              <w:ind w:right="3"/>
              <w:spacing w:after="0" w:line="156" w:lineRule="exact"/>
              <w:rPr>
                <w:sz w:val="20"/>
                <w:szCs w:val="20"/>
                <w:color w:val="auto"/>
              </w:rPr>
            </w:pPr>
            <w:r>
              <w:rPr>
                <w:rFonts w:ascii="Arial" w:cs="Arial" w:eastAsia="Arial" w:hAnsi="Arial"/>
                <w:sz w:val="14"/>
                <w:szCs w:val="14"/>
                <w:b w:val="1"/>
                <w:bCs w:val="1"/>
                <w:color w:val="FFFFFF"/>
              </w:rPr>
              <w:t>Fair Value</w:t>
            </w:r>
          </w:p>
        </w:tc>
        <w:tc>
          <w:tcPr>
            <w:tcW w:w="120" w:type="dxa"/>
            <w:vAlign w:val="bottom"/>
            <w:shd w:val="clear" w:color="auto" w:fill="0066BA"/>
          </w:tcPr>
          <w:p>
            <w:pPr>
              <w:spacing w:after="0"/>
              <w:rPr>
                <w:sz w:val="13"/>
                <w:szCs w:val="13"/>
                <w:color w:val="auto"/>
              </w:rPr>
            </w:pPr>
          </w:p>
        </w:tc>
        <w:tc>
          <w:tcPr>
            <w:tcW w:w="1080" w:type="dxa"/>
            <w:vAlign w:val="bottom"/>
            <w:gridSpan w:val="2"/>
            <w:shd w:val="clear" w:color="auto" w:fill="0066BA"/>
          </w:tcPr>
          <w:p>
            <w:pPr>
              <w:jc w:val="right"/>
              <w:ind w:right="80"/>
              <w:spacing w:after="0" w:line="156" w:lineRule="exact"/>
              <w:rPr>
                <w:sz w:val="20"/>
                <w:szCs w:val="20"/>
                <w:color w:val="auto"/>
              </w:rPr>
            </w:pPr>
            <w:r>
              <w:rPr>
                <w:rFonts w:ascii="Arial" w:cs="Arial" w:eastAsia="Arial" w:hAnsi="Arial"/>
                <w:sz w:val="14"/>
                <w:szCs w:val="14"/>
                <w:b w:val="1"/>
                <w:bCs w:val="1"/>
                <w:color w:val="FFFFFF"/>
              </w:rPr>
              <w:t>Fair Value at</w:t>
            </w:r>
          </w:p>
        </w:tc>
        <w:tc>
          <w:tcPr>
            <w:tcW w:w="0" w:type="dxa"/>
            <w:vAlign w:val="bottom"/>
          </w:tcPr>
          <w:p>
            <w:pPr>
              <w:spacing w:after="0"/>
              <w:rPr>
                <w:sz w:val="1"/>
                <w:szCs w:val="1"/>
                <w:color w:val="auto"/>
              </w:rPr>
            </w:pPr>
          </w:p>
        </w:tc>
      </w:tr>
      <w:tr>
        <w:trPr>
          <w:trHeight w:val="156"/>
        </w:trPr>
        <w:tc>
          <w:tcPr>
            <w:tcW w:w="2000" w:type="dxa"/>
            <w:vAlign w:val="bottom"/>
            <w:shd w:val="clear" w:color="auto" w:fill="0066BA"/>
          </w:tcPr>
          <w:p>
            <w:pPr>
              <w:spacing w:after="0"/>
              <w:rPr>
                <w:sz w:val="13"/>
                <w:szCs w:val="13"/>
                <w:color w:val="auto"/>
              </w:rPr>
            </w:pPr>
          </w:p>
        </w:tc>
        <w:tc>
          <w:tcPr>
            <w:tcW w:w="120" w:type="dxa"/>
            <w:vAlign w:val="bottom"/>
            <w:shd w:val="clear" w:color="auto" w:fill="0066BA"/>
          </w:tcPr>
          <w:p>
            <w:pPr>
              <w:spacing w:after="0"/>
              <w:rPr>
                <w:sz w:val="13"/>
                <w:szCs w:val="13"/>
                <w:color w:val="auto"/>
              </w:rPr>
            </w:pPr>
          </w:p>
        </w:tc>
        <w:tc>
          <w:tcPr>
            <w:tcW w:w="700" w:type="dxa"/>
            <w:vAlign w:val="bottom"/>
            <w:tcBorders>
              <w:right w:val="single" w:sz="8" w:color="0066BA"/>
            </w:tcBorders>
            <w:shd w:val="clear" w:color="auto" w:fill="0066BA"/>
          </w:tcPr>
          <w:p>
            <w:pPr>
              <w:spacing w:after="0"/>
              <w:rPr>
                <w:sz w:val="13"/>
                <w:szCs w:val="13"/>
                <w:color w:val="auto"/>
              </w:rPr>
            </w:pPr>
          </w:p>
        </w:tc>
        <w:tc>
          <w:tcPr>
            <w:tcW w:w="1120" w:type="dxa"/>
            <w:vAlign w:val="bottom"/>
            <w:shd w:val="clear" w:color="auto" w:fill="0066BA"/>
          </w:tcPr>
          <w:p>
            <w:pPr>
              <w:jc w:val="right"/>
              <w:ind w:right="183"/>
              <w:spacing w:after="0" w:line="156" w:lineRule="exact"/>
              <w:rPr>
                <w:sz w:val="20"/>
                <w:szCs w:val="20"/>
                <w:color w:val="auto"/>
              </w:rPr>
            </w:pPr>
            <w:r>
              <w:rPr>
                <w:rFonts w:ascii="Arial" w:cs="Arial" w:eastAsia="Arial" w:hAnsi="Arial"/>
                <w:sz w:val="14"/>
                <w:szCs w:val="14"/>
                <w:b w:val="1"/>
                <w:bCs w:val="1"/>
                <w:color w:val="FFFFFF"/>
              </w:rPr>
              <w:t>Stock Units</w:t>
            </w:r>
          </w:p>
        </w:tc>
        <w:tc>
          <w:tcPr>
            <w:tcW w:w="120" w:type="dxa"/>
            <w:vAlign w:val="bottom"/>
            <w:shd w:val="clear" w:color="auto" w:fill="0066BA"/>
          </w:tcPr>
          <w:p>
            <w:pPr>
              <w:spacing w:after="0"/>
              <w:rPr>
                <w:sz w:val="13"/>
                <w:szCs w:val="13"/>
                <w:color w:val="auto"/>
              </w:rPr>
            </w:pPr>
          </w:p>
        </w:tc>
        <w:tc>
          <w:tcPr>
            <w:tcW w:w="54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980" w:type="dxa"/>
            <w:vAlign w:val="bottom"/>
            <w:shd w:val="clear" w:color="auto" w:fill="0066BA"/>
          </w:tcPr>
          <w:p>
            <w:pPr>
              <w:spacing w:after="0"/>
              <w:rPr>
                <w:sz w:val="13"/>
                <w:szCs w:val="13"/>
                <w:color w:val="auto"/>
              </w:rPr>
            </w:pPr>
          </w:p>
        </w:tc>
        <w:tc>
          <w:tcPr>
            <w:tcW w:w="180" w:type="dxa"/>
            <w:vAlign w:val="bottom"/>
            <w:shd w:val="clear" w:color="auto" w:fill="0066BA"/>
          </w:tcPr>
          <w:p>
            <w:pPr>
              <w:spacing w:after="0"/>
              <w:rPr>
                <w:sz w:val="13"/>
                <w:szCs w:val="13"/>
                <w:color w:val="auto"/>
              </w:rPr>
            </w:pPr>
          </w:p>
        </w:tc>
        <w:tc>
          <w:tcPr>
            <w:tcW w:w="600" w:type="dxa"/>
            <w:vAlign w:val="bottom"/>
            <w:gridSpan w:val="2"/>
            <w:shd w:val="clear" w:color="auto" w:fill="0066BA"/>
          </w:tcPr>
          <w:p>
            <w:pPr>
              <w:jc w:val="right"/>
              <w:ind w:right="60"/>
              <w:spacing w:after="0" w:line="156" w:lineRule="exact"/>
              <w:rPr>
                <w:sz w:val="20"/>
                <w:szCs w:val="20"/>
                <w:color w:val="auto"/>
              </w:rPr>
            </w:pPr>
            <w:r>
              <w:rPr>
                <w:rFonts w:ascii="Arial" w:cs="Arial" w:eastAsia="Arial" w:hAnsi="Arial"/>
                <w:sz w:val="14"/>
                <w:szCs w:val="14"/>
                <w:b w:val="1"/>
                <w:bCs w:val="1"/>
                <w:color w:val="FFFFFF"/>
              </w:rPr>
              <w:t>(Years)</w:t>
            </w:r>
          </w:p>
        </w:tc>
        <w:tc>
          <w:tcPr>
            <w:tcW w:w="720" w:type="dxa"/>
            <w:vAlign w:val="bottom"/>
            <w:shd w:val="clear" w:color="auto" w:fill="0066BA"/>
          </w:tcPr>
          <w:p>
            <w:pPr>
              <w:jc w:val="right"/>
              <w:ind w:right="3"/>
              <w:spacing w:after="0" w:line="156" w:lineRule="exact"/>
              <w:rPr>
                <w:sz w:val="20"/>
                <w:szCs w:val="20"/>
                <w:color w:val="auto"/>
              </w:rPr>
            </w:pPr>
            <w:r>
              <w:rPr>
                <w:rFonts w:ascii="Arial" w:cs="Arial" w:eastAsia="Arial" w:hAnsi="Arial"/>
                <w:sz w:val="14"/>
                <w:szCs w:val="14"/>
                <w:b w:val="1"/>
                <w:bCs w:val="1"/>
                <w:color w:val="FFFFFF"/>
              </w:rPr>
              <w:t>Interest</w:t>
            </w:r>
          </w:p>
        </w:tc>
        <w:tc>
          <w:tcPr>
            <w:tcW w:w="140" w:type="dxa"/>
            <w:vAlign w:val="bottom"/>
            <w:shd w:val="clear" w:color="auto" w:fill="0066BA"/>
          </w:tcPr>
          <w:p>
            <w:pPr>
              <w:spacing w:after="0"/>
              <w:rPr>
                <w:sz w:val="13"/>
                <w:szCs w:val="13"/>
                <w:color w:val="auto"/>
              </w:rPr>
            </w:pPr>
          </w:p>
        </w:tc>
        <w:tc>
          <w:tcPr>
            <w:tcW w:w="52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880" w:type="dxa"/>
            <w:vAlign w:val="bottom"/>
            <w:shd w:val="clear" w:color="auto" w:fill="0066BA"/>
          </w:tcPr>
          <w:p>
            <w:pPr>
              <w:jc w:val="right"/>
              <w:ind w:right="3"/>
              <w:spacing w:after="0" w:line="156" w:lineRule="exact"/>
              <w:rPr>
                <w:sz w:val="20"/>
                <w:szCs w:val="20"/>
                <w:color w:val="auto"/>
              </w:rPr>
            </w:pPr>
            <w:r>
              <w:rPr>
                <w:rFonts w:ascii="Arial" w:cs="Arial" w:eastAsia="Arial" w:hAnsi="Arial"/>
                <w:sz w:val="14"/>
                <w:szCs w:val="14"/>
                <w:b w:val="1"/>
                <w:bCs w:val="1"/>
                <w:color w:val="FFFFFF"/>
              </w:rPr>
              <w:t>($) Per</w:t>
            </w:r>
          </w:p>
        </w:tc>
        <w:tc>
          <w:tcPr>
            <w:tcW w:w="120" w:type="dxa"/>
            <w:vAlign w:val="bottom"/>
            <w:shd w:val="clear" w:color="auto" w:fill="0066BA"/>
          </w:tcPr>
          <w:p>
            <w:pPr>
              <w:spacing w:after="0"/>
              <w:rPr>
                <w:sz w:val="13"/>
                <w:szCs w:val="13"/>
                <w:color w:val="auto"/>
              </w:rPr>
            </w:pPr>
          </w:p>
        </w:tc>
        <w:tc>
          <w:tcPr>
            <w:tcW w:w="1080" w:type="dxa"/>
            <w:vAlign w:val="bottom"/>
            <w:gridSpan w:val="2"/>
            <w:shd w:val="clear" w:color="auto" w:fill="0066BA"/>
          </w:tcPr>
          <w:p>
            <w:pPr>
              <w:jc w:val="right"/>
              <w:ind w:right="80"/>
              <w:spacing w:after="0" w:line="156" w:lineRule="exact"/>
              <w:rPr>
                <w:sz w:val="20"/>
                <w:szCs w:val="20"/>
                <w:color w:val="auto"/>
              </w:rPr>
            </w:pPr>
            <w:r>
              <w:rPr>
                <w:rFonts w:ascii="Arial" w:cs="Arial" w:eastAsia="Arial" w:hAnsi="Arial"/>
                <w:sz w:val="14"/>
                <w:szCs w:val="14"/>
                <w:b w:val="1"/>
                <w:bCs w:val="1"/>
                <w:color w:val="FFFFFF"/>
              </w:rPr>
              <w:t>Maximum</w:t>
            </w:r>
          </w:p>
        </w:tc>
        <w:tc>
          <w:tcPr>
            <w:tcW w:w="0" w:type="dxa"/>
            <w:vAlign w:val="bottom"/>
          </w:tcPr>
          <w:p>
            <w:pPr>
              <w:spacing w:after="0"/>
              <w:rPr>
                <w:sz w:val="1"/>
                <w:szCs w:val="1"/>
                <w:color w:val="auto"/>
              </w:rPr>
            </w:pPr>
          </w:p>
        </w:tc>
      </w:tr>
      <w:tr>
        <w:trPr>
          <w:trHeight w:val="156"/>
        </w:trPr>
        <w:tc>
          <w:tcPr>
            <w:tcW w:w="2000" w:type="dxa"/>
            <w:vAlign w:val="bottom"/>
            <w:shd w:val="clear" w:color="auto" w:fill="0066BA"/>
          </w:tcPr>
          <w:p>
            <w:pPr>
              <w:spacing w:after="0"/>
              <w:rPr>
                <w:sz w:val="13"/>
                <w:szCs w:val="13"/>
                <w:color w:val="auto"/>
              </w:rPr>
            </w:pPr>
          </w:p>
        </w:tc>
        <w:tc>
          <w:tcPr>
            <w:tcW w:w="120" w:type="dxa"/>
            <w:vAlign w:val="bottom"/>
            <w:shd w:val="clear" w:color="auto" w:fill="0066BA"/>
          </w:tcPr>
          <w:p>
            <w:pPr>
              <w:spacing w:after="0"/>
              <w:rPr>
                <w:sz w:val="13"/>
                <w:szCs w:val="13"/>
                <w:color w:val="auto"/>
              </w:rPr>
            </w:pPr>
          </w:p>
        </w:tc>
        <w:tc>
          <w:tcPr>
            <w:tcW w:w="700" w:type="dxa"/>
            <w:vAlign w:val="bottom"/>
            <w:tcBorders>
              <w:right w:val="single" w:sz="8" w:color="0066BA"/>
            </w:tcBorders>
            <w:shd w:val="clear" w:color="auto" w:fill="0066BA"/>
          </w:tcPr>
          <w:p>
            <w:pPr>
              <w:spacing w:after="0"/>
              <w:rPr>
                <w:sz w:val="13"/>
                <w:szCs w:val="13"/>
                <w:color w:val="auto"/>
              </w:rPr>
            </w:pPr>
          </w:p>
        </w:tc>
        <w:tc>
          <w:tcPr>
            <w:tcW w:w="1120" w:type="dxa"/>
            <w:vAlign w:val="bottom"/>
            <w:shd w:val="clear" w:color="auto" w:fill="0066BA"/>
          </w:tcPr>
          <w:p>
            <w:pPr>
              <w:jc w:val="right"/>
              <w:ind w:right="183"/>
              <w:spacing w:after="0" w:line="156" w:lineRule="exact"/>
              <w:rPr>
                <w:sz w:val="20"/>
                <w:szCs w:val="20"/>
                <w:color w:val="auto"/>
              </w:rPr>
            </w:pPr>
            <w:r>
              <w:rPr>
                <w:rFonts w:ascii="Arial" w:cs="Arial" w:eastAsia="Arial" w:hAnsi="Arial"/>
                <w:sz w:val="14"/>
                <w:szCs w:val="14"/>
                <w:b w:val="1"/>
                <w:bCs w:val="1"/>
                <w:color w:val="FFFFFF"/>
              </w:rPr>
              <w:t>Granted (#)</w:t>
            </w:r>
          </w:p>
        </w:tc>
        <w:tc>
          <w:tcPr>
            <w:tcW w:w="120" w:type="dxa"/>
            <w:vAlign w:val="bottom"/>
            <w:shd w:val="clear" w:color="auto" w:fill="0066BA"/>
          </w:tcPr>
          <w:p>
            <w:pPr>
              <w:spacing w:after="0"/>
              <w:rPr>
                <w:sz w:val="13"/>
                <w:szCs w:val="13"/>
                <w:color w:val="auto"/>
              </w:rPr>
            </w:pPr>
          </w:p>
        </w:tc>
        <w:tc>
          <w:tcPr>
            <w:tcW w:w="54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980" w:type="dxa"/>
            <w:vAlign w:val="bottom"/>
            <w:shd w:val="clear" w:color="auto" w:fill="0066BA"/>
          </w:tcPr>
          <w:p>
            <w:pPr>
              <w:spacing w:after="0"/>
              <w:rPr>
                <w:sz w:val="13"/>
                <w:szCs w:val="13"/>
                <w:color w:val="auto"/>
              </w:rPr>
            </w:pPr>
          </w:p>
        </w:tc>
        <w:tc>
          <w:tcPr>
            <w:tcW w:w="180" w:type="dxa"/>
            <w:vAlign w:val="bottom"/>
            <w:shd w:val="clear" w:color="auto" w:fill="0066BA"/>
          </w:tcPr>
          <w:p>
            <w:pPr>
              <w:spacing w:after="0"/>
              <w:rPr>
                <w:sz w:val="13"/>
                <w:szCs w:val="13"/>
                <w:color w:val="auto"/>
              </w:rPr>
            </w:pPr>
          </w:p>
        </w:tc>
        <w:tc>
          <w:tcPr>
            <w:tcW w:w="52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720" w:type="dxa"/>
            <w:vAlign w:val="bottom"/>
            <w:shd w:val="clear" w:color="auto" w:fill="0066BA"/>
          </w:tcPr>
          <w:p>
            <w:pPr>
              <w:jc w:val="right"/>
              <w:ind w:right="3"/>
              <w:spacing w:after="0" w:line="156" w:lineRule="exact"/>
              <w:rPr>
                <w:sz w:val="20"/>
                <w:szCs w:val="20"/>
                <w:color w:val="auto"/>
              </w:rPr>
            </w:pPr>
            <w:r>
              <w:rPr>
                <w:rFonts w:ascii="Arial" w:cs="Arial" w:eastAsia="Arial" w:hAnsi="Arial"/>
                <w:sz w:val="14"/>
                <w:szCs w:val="14"/>
                <w:b w:val="1"/>
                <w:bCs w:val="1"/>
                <w:color w:val="FFFFFF"/>
              </w:rPr>
              <w:t>Rate (%)</w:t>
            </w:r>
          </w:p>
        </w:tc>
        <w:tc>
          <w:tcPr>
            <w:tcW w:w="140" w:type="dxa"/>
            <w:vAlign w:val="bottom"/>
            <w:shd w:val="clear" w:color="auto" w:fill="0066BA"/>
          </w:tcPr>
          <w:p>
            <w:pPr>
              <w:spacing w:after="0"/>
              <w:rPr>
                <w:sz w:val="13"/>
                <w:szCs w:val="13"/>
                <w:color w:val="auto"/>
              </w:rPr>
            </w:pPr>
          </w:p>
        </w:tc>
        <w:tc>
          <w:tcPr>
            <w:tcW w:w="52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880" w:type="dxa"/>
            <w:vAlign w:val="bottom"/>
            <w:shd w:val="clear" w:color="auto" w:fill="0066BA"/>
          </w:tcPr>
          <w:p>
            <w:pPr>
              <w:jc w:val="right"/>
              <w:ind w:right="3"/>
              <w:spacing w:after="0" w:line="156" w:lineRule="exact"/>
              <w:rPr>
                <w:sz w:val="20"/>
                <w:szCs w:val="20"/>
                <w:color w:val="auto"/>
              </w:rPr>
            </w:pPr>
            <w:r>
              <w:rPr>
                <w:rFonts w:ascii="Arial" w:cs="Arial" w:eastAsia="Arial" w:hAnsi="Arial"/>
                <w:sz w:val="14"/>
                <w:szCs w:val="14"/>
                <w:b w:val="1"/>
                <w:bCs w:val="1"/>
                <w:color w:val="FFFFFF"/>
              </w:rPr>
              <w:t>Share</w:t>
            </w:r>
          </w:p>
        </w:tc>
        <w:tc>
          <w:tcPr>
            <w:tcW w:w="120" w:type="dxa"/>
            <w:vAlign w:val="bottom"/>
            <w:shd w:val="clear" w:color="auto" w:fill="0066BA"/>
          </w:tcPr>
          <w:p>
            <w:pPr>
              <w:spacing w:after="0"/>
              <w:rPr>
                <w:sz w:val="13"/>
                <w:szCs w:val="13"/>
                <w:color w:val="auto"/>
              </w:rPr>
            </w:pPr>
          </w:p>
        </w:tc>
        <w:tc>
          <w:tcPr>
            <w:tcW w:w="1080" w:type="dxa"/>
            <w:vAlign w:val="bottom"/>
            <w:gridSpan w:val="2"/>
            <w:shd w:val="clear" w:color="auto" w:fill="0066BA"/>
          </w:tcPr>
          <w:p>
            <w:pPr>
              <w:jc w:val="right"/>
              <w:ind w:right="80"/>
              <w:spacing w:after="0" w:line="156" w:lineRule="exact"/>
              <w:rPr>
                <w:sz w:val="20"/>
                <w:szCs w:val="20"/>
                <w:color w:val="auto"/>
              </w:rPr>
            </w:pPr>
            <w:r>
              <w:rPr>
                <w:rFonts w:ascii="Arial" w:cs="Arial" w:eastAsia="Arial" w:hAnsi="Arial"/>
                <w:sz w:val="14"/>
                <w:szCs w:val="14"/>
                <w:b w:val="1"/>
                <w:bCs w:val="1"/>
                <w:color w:val="FFFFFF"/>
              </w:rPr>
              <w:t>Achievement</w:t>
            </w:r>
          </w:p>
        </w:tc>
        <w:tc>
          <w:tcPr>
            <w:tcW w:w="0" w:type="dxa"/>
            <w:vAlign w:val="bottom"/>
          </w:tcPr>
          <w:p>
            <w:pPr>
              <w:spacing w:after="0"/>
              <w:rPr>
                <w:sz w:val="1"/>
                <w:szCs w:val="1"/>
                <w:color w:val="auto"/>
              </w:rPr>
            </w:pPr>
          </w:p>
        </w:tc>
      </w:tr>
      <w:tr>
        <w:trPr>
          <w:trHeight w:val="156"/>
        </w:trPr>
        <w:tc>
          <w:tcPr>
            <w:tcW w:w="2000" w:type="dxa"/>
            <w:vAlign w:val="bottom"/>
            <w:shd w:val="clear" w:color="auto" w:fill="0066BA"/>
          </w:tcPr>
          <w:p>
            <w:pPr>
              <w:spacing w:after="0"/>
              <w:rPr>
                <w:sz w:val="13"/>
                <w:szCs w:val="13"/>
                <w:color w:val="auto"/>
              </w:rPr>
            </w:pPr>
          </w:p>
        </w:tc>
        <w:tc>
          <w:tcPr>
            <w:tcW w:w="120" w:type="dxa"/>
            <w:vAlign w:val="bottom"/>
            <w:shd w:val="clear" w:color="auto" w:fill="0066BA"/>
          </w:tcPr>
          <w:p>
            <w:pPr>
              <w:spacing w:after="0"/>
              <w:rPr>
                <w:sz w:val="13"/>
                <w:szCs w:val="13"/>
                <w:color w:val="auto"/>
              </w:rPr>
            </w:pPr>
          </w:p>
        </w:tc>
        <w:tc>
          <w:tcPr>
            <w:tcW w:w="700" w:type="dxa"/>
            <w:vAlign w:val="bottom"/>
            <w:tcBorders>
              <w:right w:val="single" w:sz="8" w:color="0066BA"/>
            </w:tcBorders>
            <w:shd w:val="clear" w:color="auto" w:fill="0066BA"/>
          </w:tcPr>
          <w:p>
            <w:pPr>
              <w:spacing w:after="0"/>
              <w:rPr>
                <w:sz w:val="13"/>
                <w:szCs w:val="13"/>
                <w:color w:val="auto"/>
              </w:rPr>
            </w:pPr>
          </w:p>
        </w:tc>
        <w:tc>
          <w:tcPr>
            <w:tcW w:w="1120" w:type="dxa"/>
            <w:vAlign w:val="bottom"/>
            <w:shd w:val="clear" w:color="auto" w:fill="0066BA"/>
          </w:tcPr>
          <w:p>
            <w:pPr>
              <w:spacing w:after="0"/>
              <w:rPr>
                <w:sz w:val="13"/>
                <w:szCs w:val="13"/>
                <w:color w:val="auto"/>
              </w:rPr>
            </w:pPr>
          </w:p>
        </w:tc>
        <w:tc>
          <w:tcPr>
            <w:tcW w:w="120" w:type="dxa"/>
            <w:vAlign w:val="bottom"/>
            <w:shd w:val="clear" w:color="auto" w:fill="0066BA"/>
          </w:tcPr>
          <w:p>
            <w:pPr>
              <w:spacing w:after="0"/>
              <w:rPr>
                <w:sz w:val="13"/>
                <w:szCs w:val="13"/>
                <w:color w:val="auto"/>
              </w:rPr>
            </w:pPr>
          </w:p>
        </w:tc>
        <w:tc>
          <w:tcPr>
            <w:tcW w:w="54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980" w:type="dxa"/>
            <w:vAlign w:val="bottom"/>
            <w:shd w:val="clear" w:color="auto" w:fill="0066BA"/>
          </w:tcPr>
          <w:p>
            <w:pPr>
              <w:spacing w:after="0"/>
              <w:rPr>
                <w:sz w:val="13"/>
                <w:szCs w:val="13"/>
                <w:color w:val="auto"/>
              </w:rPr>
            </w:pPr>
          </w:p>
        </w:tc>
        <w:tc>
          <w:tcPr>
            <w:tcW w:w="180" w:type="dxa"/>
            <w:vAlign w:val="bottom"/>
            <w:shd w:val="clear" w:color="auto" w:fill="0066BA"/>
          </w:tcPr>
          <w:p>
            <w:pPr>
              <w:spacing w:after="0"/>
              <w:rPr>
                <w:sz w:val="13"/>
                <w:szCs w:val="13"/>
                <w:color w:val="auto"/>
              </w:rPr>
            </w:pPr>
          </w:p>
        </w:tc>
        <w:tc>
          <w:tcPr>
            <w:tcW w:w="52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720" w:type="dxa"/>
            <w:vAlign w:val="bottom"/>
            <w:shd w:val="clear" w:color="auto" w:fill="0066BA"/>
          </w:tcPr>
          <w:p>
            <w:pPr>
              <w:spacing w:after="0"/>
              <w:rPr>
                <w:sz w:val="13"/>
                <w:szCs w:val="13"/>
                <w:color w:val="auto"/>
              </w:rPr>
            </w:pPr>
          </w:p>
        </w:tc>
        <w:tc>
          <w:tcPr>
            <w:tcW w:w="140" w:type="dxa"/>
            <w:vAlign w:val="bottom"/>
            <w:shd w:val="clear" w:color="auto" w:fill="0066BA"/>
          </w:tcPr>
          <w:p>
            <w:pPr>
              <w:spacing w:after="0"/>
              <w:rPr>
                <w:sz w:val="13"/>
                <w:szCs w:val="13"/>
                <w:color w:val="auto"/>
              </w:rPr>
            </w:pPr>
          </w:p>
        </w:tc>
        <w:tc>
          <w:tcPr>
            <w:tcW w:w="52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880" w:type="dxa"/>
            <w:vAlign w:val="bottom"/>
            <w:shd w:val="clear" w:color="auto" w:fill="0066BA"/>
          </w:tcPr>
          <w:p>
            <w:pPr>
              <w:spacing w:after="0"/>
              <w:rPr>
                <w:sz w:val="13"/>
                <w:szCs w:val="13"/>
                <w:color w:val="auto"/>
              </w:rPr>
            </w:pPr>
          </w:p>
        </w:tc>
        <w:tc>
          <w:tcPr>
            <w:tcW w:w="120" w:type="dxa"/>
            <w:vAlign w:val="bottom"/>
            <w:shd w:val="clear" w:color="auto" w:fill="0066BA"/>
          </w:tcPr>
          <w:p>
            <w:pPr>
              <w:spacing w:after="0"/>
              <w:rPr>
                <w:sz w:val="13"/>
                <w:szCs w:val="13"/>
                <w:color w:val="auto"/>
              </w:rPr>
            </w:pPr>
          </w:p>
        </w:tc>
        <w:tc>
          <w:tcPr>
            <w:tcW w:w="1080" w:type="dxa"/>
            <w:vAlign w:val="bottom"/>
            <w:gridSpan w:val="2"/>
            <w:shd w:val="clear" w:color="auto" w:fill="0066BA"/>
          </w:tcPr>
          <w:p>
            <w:pPr>
              <w:jc w:val="right"/>
              <w:ind w:right="80"/>
              <w:spacing w:after="0" w:line="156" w:lineRule="exact"/>
              <w:rPr>
                <w:sz w:val="20"/>
                <w:szCs w:val="20"/>
                <w:color w:val="auto"/>
              </w:rPr>
            </w:pPr>
            <w:r>
              <w:rPr>
                <w:rFonts w:ascii="Arial" w:cs="Arial" w:eastAsia="Arial" w:hAnsi="Arial"/>
                <w:sz w:val="14"/>
                <w:szCs w:val="14"/>
                <w:b w:val="1"/>
                <w:bCs w:val="1"/>
                <w:color w:val="FFFFFF"/>
              </w:rPr>
              <w:t>Level for</w:t>
            </w:r>
          </w:p>
        </w:tc>
        <w:tc>
          <w:tcPr>
            <w:tcW w:w="0" w:type="dxa"/>
            <w:vAlign w:val="bottom"/>
          </w:tcPr>
          <w:p>
            <w:pPr>
              <w:spacing w:after="0"/>
              <w:rPr>
                <w:sz w:val="1"/>
                <w:szCs w:val="1"/>
                <w:color w:val="auto"/>
              </w:rPr>
            </w:pPr>
          </w:p>
        </w:tc>
      </w:tr>
      <w:tr>
        <w:trPr>
          <w:trHeight w:val="156"/>
        </w:trPr>
        <w:tc>
          <w:tcPr>
            <w:tcW w:w="2000" w:type="dxa"/>
            <w:vAlign w:val="bottom"/>
            <w:shd w:val="clear" w:color="auto" w:fill="0066BA"/>
          </w:tcPr>
          <w:p>
            <w:pPr>
              <w:spacing w:after="0"/>
              <w:rPr>
                <w:sz w:val="13"/>
                <w:szCs w:val="13"/>
                <w:color w:val="auto"/>
              </w:rPr>
            </w:pPr>
          </w:p>
        </w:tc>
        <w:tc>
          <w:tcPr>
            <w:tcW w:w="120" w:type="dxa"/>
            <w:vAlign w:val="bottom"/>
            <w:shd w:val="clear" w:color="auto" w:fill="0066BA"/>
          </w:tcPr>
          <w:p>
            <w:pPr>
              <w:spacing w:after="0"/>
              <w:rPr>
                <w:sz w:val="13"/>
                <w:szCs w:val="13"/>
                <w:color w:val="auto"/>
              </w:rPr>
            </w:pPr>
          </w:p>
        </w:tc>
        <w:tc>
          <w:tcPr>
            <w:tcW w:w="700" w:type="dxa"/>
            <w:vAlign w:val="bottom"/>
            <w:tcBorders>
              <w:right w:val="single" w:sz="8" w:color="0066BA"/>
            </w:tcBorders>
            <w:shd w:val="clear" w:color="auto" w:fill="0066BA"/>
          </w:tcPr>
          <w:p>
            <w:pPr>
              <w:spacing w:after="0"/>
              <w:rPr>
                <w:sz w:val="13"/>
                <w:szCs w:val="13"/>
                <w:color w:val="auto"/>
              </w:rPr>
            </w:pPr>
          </w:p>
        </w:tc>
        <w:tc>
          <w:tcPr>
            <w:tcW w:w="1120" w:type="dxa"/>
            <w:vAlign w:val="bottom"/>
            <w:shd w:val="clear" w:color="auto" w:fill="0066BA"/>
          </w:tcPr>
          <w:p>
            <w:pPr>
              <w:spacing w:after="0"/>
              <w:rPr>
                <w:sz w:val="13"/>
                <w:szCs w:val="13"/>
                <w:color w:val="auto"/>
              </w:rPr>
            </w:pPr>
          </w:p>
        </w:tc>
        <w:tc>
          <w:tcPr>
            <w:tcW w:w="120" w:type="dxa"/>
            <w:vAlign w:val="bottom"/>
            <w:shd w:val="clear" w:color="auto" w:fill="0066BA"/>
          </w:tcPr>
          <w:p>
            <w:pPr>
              <w:spacing w:after="0"/>
              <w:rPr>
                <w:sz w:val="13"/>
                <w:szCs w:val="13"/>
                <w:color w:val="auto"/>
              </w:rPr>
            </w:pPr>
          </w:p>
        </w:tc>
        <w:tc>
          <w:tcPr>
            <w:tcW w:w="54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980" w:type="dxa"/>
            <w:vAlign w:val="bottom"/>
            <w:shd w:val="clear" w:color="auto" w:fill="0066BA"/>
          </w:tcPr>
          <w:p>
            <w:pPr>
              <w:spacing w:after="0"/>
              <w:rPr>
                <w:sz w:val="13"/>
                <w:szCs w:val="13"/>
                <w:color w:val="auto"/>
              </w:rPr>
            </w:pPr>
          </w:p>
        </w:tc>
        <w:tc>
          <w:tcPr>
            <w:tcW w:w="180" w:type="dxa"/>
            <w:vAlign w:val="bottom"/>
            <w:shd w:val="clear" w:color="auto" w:fill="0066BA"/>
          </w:tcPr>
          <w:p>
            <w:pPr>
              <w:spacing w:after="0"/>
              <w:rPr>
                <w:sz w:val="13"/>
                <w:szCs w:val="13"/>
                <w:color w:val="auto"/>
              </w:rPr>
            </w:pPr>
          </w:p>
        </w:tc>
        <w:tc>
          <w:tcPr>
            <w:tcW w:w="52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720" w:type="dxa"/>
            <w:vAlign w:val="bottom"/>
            <w:shd w:val="clear" w:color="auto" w:fill="0066BA"/>
          </w:tcPr>
          <w:p>
            <w:pPr>
              <w:spacing w:after="0"/>
              <w:rPr>
                <w:sz w:val="13"/>
                <w:szCs w:val="13"/>
                <w:color w:val="auto"/>
              </w:rPr>
            </w:pPr>
          </w:p>
        </w:tc>
        <w:tc>
          <w:tcPr>
            <w:tcW w:w="140" w:type="dxa"/>
            <w:vAlign w:val="bottom"/>
            <w:shd w:val="clear" w:color="auto" w:fill="0066BA"/>
          </w:tcPr>
          <w:p>
            <w:pPr>
              <w:spacing w:after="0"/>
              <w:rPr>
                <w:sz w:val="13"/>
                <w:szCs w:val="13"/>
                <w:color w:val="auto"/>
              </w:rPr>
            </w:pPr>
          </w:p>
        </w:tc>
        <w:tc>
          <w:tcPr>
            <w:tcW w:w="52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880" w:type="dxa"/>
            <w:vAlign w:val="bottom"/>
            <w:shd w:val="clear" w:color="auto" w:fill="0066BA"/>
          </w:tcPr>
          <w:p>
            <w:pPr>
              <w:spacing w:after="0"/>
              <w:rPr>
                <w:sz w:val="13"/>
                <w:szCs w:val="13"/>
                <w:color w:val="auto"/>
              </w:rPr>
            </w:pPr>
          </w:p>
        </w:tc>
        <w:tc>
          <w:tcPr>
            <w:tcW w:w="120" w:type="dxa"/>
            <w:vAlign w:val="bottom"/>
            <w:shd w:val="clear" w:color="auto" w:fill="0066BA"/>
          </w:tcPr>
          <w:p>
            <w:pPr>
              <w:spacing w:after="0"/>
              <w:rPr>
                <w:sz w:val="13"/>
                <w:szCs w:val="13"/>
                <w:color w:val="auto"/>
              </w:rPr>
            </w:pPr>
          </w:p>
        </w:tc>
        <w:tc>
          <w:tcPr>
            <w:tcW w:w="1080" w:type="dxa"/>
            <w:vAlign w:val="bottom"/>
            <w:gridSpan w:val="2"/>
            <w:shd w:val="clear" w:color="auto" w:fill="0066BA"/>
          </w:tcPr>
          <w:p>
            <w:pPr>
              <w:jc w:val="right"/>
              <w:ind w:right="80"/>
              <w:spacing w:after="0" w:line="156" w:lineRule="exact"/>
              <w:rPr>
                <w:sz w:val="20"/>
                <w:szCs w:val="20"/>
                <w:color w:val="auto"/>
              </w:rPr>
            </w:pPr>
            <w:r>
              <w:rPr>
                <w:rFonts w:ascii="Arial" w:cs="Arial" w:eastAsia="Arial" w:hAnsi="Arial"/>
                <w:sz w:val="14"/>
                <w:szCs w:val="14"/>
                <w:b w:val="1"/>
                <w:bCs w:val="1"/>
                <w:color w:val="FFFFFF"/>
              </w:rPr>
              <w:t>Performance</w:t>
            </w:r>
          </w:p>
        </w:tc>
        <w:tc>
          <w:tcPr>
            <w:tcW w:w="0" w:type="dxa"/>
            <w:vAlign w:val="bottom"/>
          </w:tcPr>
          <w:p>
            <w:pPr>
              <w:spacing w:after="0"/>
              <w:rPr>
                <w:sz w:val="1"/>
                <w:szCs w:val="1"/>
                <w:color w:val="auto"/>
              </w:rPr>
            </w:pPr>
          </w:p>
        </w:tc>
      </w:tr>
      <w:tr>
        <w:trPr>
          <w:trHeight w:val="182"/>
        </w:trPr>
        <w:tc>
          <w:tcPr>
            <w:tcW w:w="2000" w:type="dxa"/>
            <w:vAlign w:val="bottom"/>
            <w:shd w:val="clear" w:color="auto" w:fill="0066BA"/>
          </w:tcPr>
          <w:p>
            <w:pPr>
              <w:spacing w:after="0"/>
              <w:rPr>
                <w:sz w:val="15"/>
                <w:szCs w:val="15"/>
                <w:color w:val="auto"/>
              </w:rPr>
            </w:pPr>
          </w:p>
        </w:tc>
        <w:tc>
          <w:tcPr>
            <w:tcW w:w="120" w:type="dxa"/>
            <w:vAlign w:val="bottom"/>
            <w:shd w:val="clear" w:color="auto" w:fill="0066BA"/>
          </w:tcPr>
          <w:p>
            <w:pPr>
              <w:spacing w:after="0"/>
              <w:rPr>
                <w:sz w:val="15"/>
                <w:szCs w:val="15"/>
                <w:color w:val="auto"/>
              </w:rPr>
            </w:pPr>
          </w:p>
        </w:tc>
        <w:tc>
          <w:tcPr>
            <w:tcW w:w="700" w:type="dxa"/>
            <w:vAlign w:val="bottom"/>
            <w:tcBorders>
              <w:right w:val="single" w:sz="8" w:color="0066BA"/>
            </w:tcBorders>
            <w:shd w:val="clear" w:color="auto" w:fill="0066BA"/>
          </w:tcPr>
          <w:p>
            <w:pPr>
              <w:spacing w:after="0"/>
              <w:rPr>
                <w:sz w:val="15"/>
                <w:szCs w:val="15"/>
                <w:color w:val="auto"/>
              </w:rPr>
            </w:pPr>
          </w:p>
        </w:tc>
        <w:tc>
          <w:tcPr>
            <w:tcW w:w="1120" w:type="dxa"/>
            <w:vAlign w:val="bottom"/>
            <w:shd w:val="clear" w:color="auto" w:fill="0066BA"/>
          </w:tcPr>
          <w:p>
            <w:pPr>
              <w:spacing w:after="0"/>
              <w:rPr>
                <w:sz w:val="15"/>
                <w:szCs w:val="15"/>
                <w:color w:val="auto"/>
              </w:rPr>
            </w:pPr>
          </w:p>
        </w:tc>
        <w:tc>
          <w:tcPr>
            <w:tcW w:w="120" w:type="dxa"/>
            <w:vAlign w:val="bottom"/>
            <w:shd w:val="clear" w:color="auto" w:fill="0066BA"/>
          </w:tcPr>
          <w:p>
            <w:pPr>
              <w:spacing w:after="0"/>
              <w:rPr>
                <w:sz w:val="15"/>
                <w:szCs w:val="15"/>
                <w:color w:val="auto"/>
              </w:rPr>
            </w:pPr>
          </w:p>
        </w:tc>
        <w:tc>
          <w:tcPr>
            <w:tcW w:w="540" w:type="dxa"/>
            <w:vAlign w:val="bottom"/>
            <w:shd w:val="clear" w:color="auto" w:fill="0066BA"/>
          </w:tcPr>
          <w:p>
            <w:pPr>
              <w:spacing w:after="0"/>
              <w:rPr>
                <w:sz w:val="15"/>
                <w:szCs w:val="15"/>
                <w:color w:val="auto"/>
              </w:rPr>
            </w:pPr>
          </w:p>
        </w:tc>
        <w:tc>
          <w:tcPr>
            <w:tcW w:w="80" w:type="dxa"/>
            <w:vAlign w:val="bottom"/>
            <w:shd w:val="clear" w:color="auto" w:fill="0066BA"/>
          </w:tcPr>
          <w:p>
            <w:pPr>
              <w:spacing w:after="0"/>
              <w:rPr>
                <w:sz w:val="15"/>
                <w:szCs w:val="15"/>
                <w:color w:val="auto"/>
              </w:rPr>
            </w:pPr>
          </w:p>
        </w:tc>
        <w:tc>
          <w:tcPr>
            <w:tcW w:w="980" w:type="dxa"/>
            <w:vAlign w:val="bottom"/>
            <w:shd w:val="clear" w:color="auto" w:fill="0066BA"/>
          </w:tcPr>
          <w:p>
            <w:pPr>
              <w:spacing w:after="0"/>
              <w:rPr>
                <w:sz w:val="15"/>
                <w:szCs w:val="15"/>
                <w:color w:val="auto"/>
              </w:rPr>
            </w:pPr>
          </w:p>
        </w:tc>
        <w:tc>
          <w:tcPr>
            <w:tcW w:w="180" w:type="dxa"/>
            <w:vAlign w:val="bottom"/>
            <w:shd w:val="clear" w:color="auto" w:fill="0066BA"/>
          </w:tcPr>
          <w:p>
            <w:pPr>
              <w:spacing w:after="0"/>
              <w:rPr>
                <w:sz w:val="15"/>
                <w:szCs w:val="15"/>
                <w:color w:val="auto"/>
              </w:rPr>
            </w:pPr>
          </w:p>
        </w:tc>
        <w:tc>
          <w:tcPr>
            <w:tcW w:w="520" w:type="dxa"/>
            <w:vAlign w:val="bottom"/>
            <w:shd w:val="clear" w:color="auto" w:fill="0066BA"/>
          </w:tcPr>
          <w:p>
            <w:pPr>
              <w:spacing w:after="0"/>
              <w:rPr>
                <w:sz w:val="15"/>
                <w:szCs w:val="15"/>
                <w:color w:val="auto"/>
              </w:rPr>
            </w:pPr>
          </w:p>
        </w:tc>
        <w:tc>
          <w:tcPr>
            <w:tcW w:w="80" w:type="dxa"/>
            <w:vAlign w:val="bottom"/>
            <w:shd w:val="clear" w:color="auto" w:fill="0066BA"/>
          </w:tcPr>
          <w:p>
            <w:pPr>
              <w:spacing w:after="0"/>
              <w:rPr>
                <w:sz w:val="15"/>
                <w:szCs w:val="15"/>
                <w:color w:val="auto"/>
              </w:rPr>
            </w:pPr>
          </w:p>
        </w:tc>
        <w:tc>
          <w:tcPr>
            <w:tcW w:w="720" w:type="dxa"/>
            <w:vAlign w:val="bottom"/>
            <w:shd w:val="clear" w:color="auto" w:fill="0066BA"/>
          </w:tcPr>
          <w:p>
            <w:pPr>
              <w:spacing w:after="0"/>
              <w:rPr>
                <w:sz w:val="15"/>
                <w:szCs w:val="15"/>
                <w:color w:val="auto"/>
              </w:rPr>
            </w:pPr>
          </w:p>
        </w:tc>
        <w:tc>
          <w:tcPr>
            <w:tcW w:w="140" w:type="dxa"/>
            <w:vAlign w:val="bottom"/>
            <w:shd w:val="clear" w:color="auto" w:fill="0066BA"/>
          </w:tcPr>
          <w:p>
            <w:pPr>
              <w:spacing w:after="0"/>
              <w:rPr>
                <w:sz w:val="15"/>
                <w:szCs w:val="15"/>
                <w:color w:val="auto"/>
              </w:rPr>
            </w:pPr>
          </w:p>
        </w:tc>
        <w:tc>
          <w:tcPr>
            <w:tcW w:w="520" w:type="dxa"/>
            <w:vAlign w:val="bottom"/>
            <w:shd w:val="clear" w:color="auto" w:fill="0066BA"/>
          </w:tcPr>
          <w:p>
            <w:pPr>
              <w:spacing w:after="0"/>
              <w:rPr>
                <w:sz w:val="15"/>
                <w:szCs w:val="15"/>
                <w:color w:val="auto"/>
              </w:rPr>
            </w:pPr>
          </w:p>
        </w:tc>
        <w:tc>
          <w:tcPr>
            <w:tcW w:w="80" w:type="dxa"/>
            <w:vAlign w:val="bottom"/>
            <w:shd w:val="clear" w:color="auto" w:fill="0066BA"/>
          </w:tcPr>
          <w:p>
            <w:pPr>
              <w:spacing w:after="0"/>
              <w:rPr>
                <w:sz w:val="15"/>
                <w:szCs w:val="15"/>
                <w:color w:val="auto"/>
              </w:rPr>
            </w:pPr>
          </w:p>
        </w:tc>
        <w:tc>
          <w:tcPr>
            <w:tcW w:w="880" w:type="dxa"/>
            <w:vAlign w:val="bottom"/>
            <w:shd w:val="clear" w:color="auto" w:fill="0066BA"/>
          </w:tcPr>
          <w:p>
            <w:pPr>
              <w:spacing w:after="0"/>
              <w:rPr>
                <w:sz w:val="15"/>
                <w:szCs w:val="15"/>
                <w:color w:val="auto"/>
              </w:rPr>
            </w:pPr>
          </w:p>
        </w:tc>
        <w:tc>
          <w:tcPr>
            <w:tcW w:w="1200" w:type="dxa"/>
            <w:vAlign w:val="bottom"/>
            <w:gridSpan w:val="3"/>
            <w:shd w:val="clear" w:color="auto" w:fill="0066BA"/>
          </w:tcPr>
          <w:p>
            <w:pPr>
              <w:jc w:val="right"/>
              <w:ind w:right="80"/>
              <w:spacing w:after="0"/>
              <w:rPr>
                <w:sz w:val="20"/>
                <w:szCs w:val="20"/>
                <w:color w:val="auto"/>
              </w:rPr>
            </w:pPr>
            <w:r>
              <w:rPr>
                <w:rFonts w:ascii="Arial" w:cs="Arial" w:eastAsia="Arial" w:hAnsi="Arial"/>
                <w:sz w:val="14"/>
                <w:szCs w:val="14"/>
                <w:b w:val="1"/>
                <w:bCs w:val="1"/>
                <w:color w:val="FFFFFF"/>
              </w:rPr>
              <w:t>Based RSUs ($)</w:t>
            </w:r>
          </w:p>
        </w:tc>
        <w:tc>
          <w:tcPr>
            <w:tcW w:w="0" w:type="dxa"/>
            <w:vAlign w:val="bottom"/>
          </w:tcPr>
          <w:p>
            <w:pPr>
              <w:spacing w:after="0"/>
              <w:rPr>
                <w:sz w:val="1"/>
                <w:szCs w:val="1"/>
                <w:color w:val="auto"/>
              </w:rPr>
            </w:pPr>
          </w:p>
        </w:tc>
      </w:tr>
      <w:tr>
        <w:trPr>
          <w:trHeight w:val="90"/>
        </w:trPr>
        <w:tc>
          <w:tcPr>
            <w:tcW w:w="2000" w:type="dxa"/>
            <w:vAlign w:val="bottom"/>
            <w:shd w:val="clear" w:color="auto" w:fill="0066BA"/>
          </w:tcPr>
          <w:p>
            <w:pPr>
              <w:spacing w:after="0"/>
              <w:rPr>
                <w:sz w:val="7"/>
                <w:szCs w:val="7"/>
                <w:color w:val="auto"/>
              </w:rPr>
            </w:pPr>
          </w:p>
        </w:tc>
        <w:tc>
          <w:tcPr>
            <w:tcW w:w="120" w:type="dxa"/>
            <w:vAlign w:val="bottom"/>
            <w:shd w:val="clear" w:color="auto" w:fill="0066BA"/>
          </w:tcPr>
          <w:p>
            <w:pPr>
              <w:spacing w:after="0"/>
              <w:rPr>
                <w:sz w:val="7"/>
                <w:szCs w:val="7"/>
                <w:color w:val="auto"/>
              </w:rPr>
            </w:pPr>
          </w:p>
        </w:tc>
        <w:tc>
          <w:tcPr>
            <w:tcW w:w="700" w:type="dxa"/>
            <w:vAlign w:val="bottom"/>
            <w:tcBorders>
              <w:right w:val="single" w:sz="8" w:color="0066BA"/>
            </w:tcBorders>
            <w:shd w:val="clear" w:color="auto" w:fill="0066BA"/>
          </w:tcPr>
          <w:p>
            <w:pPr>
              <w:spacing w:after="0"/>
              <w:rPr>
                <w:sz w:val="7"/>
                <w:szCs w:val="7"/>
                <w:color w:val="auto"/>
              </w:rPr>
            </w:pPr>
          </w:p>
        </w:tc>
        <w:tc>
          <w:tcPr>
            <w:tcW w:w="1120" w:type="dxa"/>
            <w:vAlign w:val="bottom"/>
            <w:shd w:val="clear" w:color="auto" w:fill="0066BA"/>
          </w:tcPr>
          <w:p>
            <w:pPr>
              <w:spacing w:after="0"/>
              <w:rPr>
                <w:sz w:val="7"/>
                <w:szCs w:val="7"/>
                <w:color w:val="auto"/>
              </w:rPr>
            </w:pPr>
          </w:p>
        </w:tc>
        <w:tc>
          <w:tcPr>
            <w:tcW w:w="120" w:type="dxa"/>
            <w:vAlign w:val="bottom"/>
            <w:shd w:val="clear" w:color="auto" w:fill="0066BA"/>
          </w:tcPr>
          <w:p>
            <w:pPr>
              <w:spacing w:after="0"/>
              <w:rPr>
                <w:sz w:val="7"/>
                <w:szCs w:val="7"/>
                <w:color w:val="auto"/>
              </w:rPr>
            </w:pPr>
          </w:p>
        </w:tc>
        <w:tc>
          <w:tcPr>
            <w:tcW w:w="540" w:type="dxa"/>
            <w:vAlign w:val="bottom"/>
            <w:shd w:val="clear" w:color="auto" w:fill="0066BA"/>
          </w:tcPr>
          <w:p>
            <w:pPr>
              <w:spacing w:after="0"/>
              <w:rPr>
                <w:sz w:val="7"/>
                <w:szCs w:val="7"/>
                <w:color w:val="auto"/>
              </w:rPr>
            </w:pPr>
          </w:p>
        </w:tc>
        <w:tc>
          <w:tcPr>
            <w:tcW w:w="80" w:type="dxa"/>
            <w:vAlign w:val="bottom"/>
            <w:shd w:val="clear" w:color="auto" w:fill="0066BA"/>
          </w:tcPr>
          <w:p>
            <w:pPr>
              <w:spacing w:after="0"/>
              <w:rPr>
                <w:sz w:val="7"/>
                <w:szCs w:val="7"/>
                <w:color w:val="auto"/>
              </w:rPr>
            </w:pPr>
          </w:p>
        </w:tc>
        <w:tc>
          <w:tcPr>
            <w:tcW w:w="980" w:type="dxa"/>
            <w:vAlign w:val="bottom"/>
            <w:shd w:val="clear" w:color="auto" w:fill="0066BA"/>
          </w:tcPr>
          <w:p>
            <w:pPr>
              <w:spacing w:after="0"/>
              <w:rPr>
                <w:sz w:val="7"/>
                <w:szCs w:val="7"/>
                <w:color w:val="auto"/>
              </w:rPr>
            </w:pPr>
          </w:p>
        </w:tc>
        <w:tc>
          <w:tcPr>
            <w:tcW w:w="180" w:type="dxa"/>
            <w:vAlign w:val="bottom"/>
            <w:shd w:val="clear" w:color="auto" w:fill="0066BA"/>
          </w:tcPr>
          <w:p>
            <w:pPr>
              <w:spacing w:after="0"/>
              <w:rPr>
                <w:sz w:val="7"/>
                <w:szCs w:val="7"/>
                <w:color w:val="auto"/>
              </w:rPr>
            </w:pPr>
          </w:p>
        </w:tc>
        <w:tc>
          <w:tcPr>
            <w:tcW w:w="520" w:type="dxa"/>
            <w:vAlign w:val="bottom"/>
            <w:shd w:val="clear" w:color="auto" w:fill="0066BA"/>
          </w:tcPr>
          <w:p>
            <w:pPr>
              <w:spacing w:after="0"/>
              <w:rPr>
                <w:sz w:val="7"/>
                <w:szCs w:val="7"/>
                <w:color w:val="auto"/>
              </w:rPr>
            </w:pPr>
          </w:p>
        </w:tc>
        <w:tc>
          <w:tcPr>
            <w:tcW w:w="80" w:type="dxa"/>
            <w:vAlign w:val="bottom"/>
            <w:shd w:val="clear" w:color="auto" w:fill="0066BA"/>
          </w:tcPr>
          <w:p>
            <w:pPr>
              <w:spacing w:after="0"/>
              <w:rPr>
                <w:sz w:val="7"/>
                <w:szCs w:val="7"/>
                <w:color w:val="auto"/>
              </w:rPr>
            </w:pPr>
          </w:p>
        </w:tc>
        <w:tc>
          <w:tcPr>
            <w:tcW w:w="720" w:type="dxa"/>
            <w:vAlign w:val="bottom"/>
            <w:shd w:val="clear" w:color="auto" w:fill="0066BA"/>
          </w:tcPr>
          <w:p>
            <w:pPr>
              <w:spacing w:after="0"/>
              <w:rPr>
                <w:sz w:val="7"/>
                <w:szCs w:val="7"/>
                <w:color w:val="auto"/>
              </w:rPr>
            </w:pPr>
          </w:p>
        </w:tc>
        <w:tc>
          <w:tcPr>
            <w:tcW w:w="140" w:type="dxa"/>
            <w:vAlign w:val="bottom"/>
            <w:shd w:val="clear" w:color="auto" w:fill="0066BA"/>
          </w:tcPr>
          <w:p>
            <w:pPr>
              <w:spacing w:after="0"/>
              <w:rPr>
                <w:sz w:val="7"/>
                <w:szCs w:val="7"/>
                <w:color w:val="auto"/>
              </w:rPr>
            </w:pPr>
          </w:p>
        </w:tc>
        <w:tc>
          <w:tcPr>
            <w:tcW w:w="520" w:type="dxa"/>
            <w:vAlign w:val="bottom"/>
            <w:shd w:val="clear" w:color="auto" w:fill="0066BA"/>
          </w:tcPr>
          <w:p>
            <w:pPr>
              <w:spacing w:after="0"/>
              <w:rPr>
                <w:sz w:val="7"/>
                <w:szCs w:val="7"/>
                <w:color w:val="auto"/>
              </w:rPr>
            </w:pPr>
          </w:p>
        </w:tc>
        <w:tc>
          <w:tcPr>
            <w:tcW w:w="80" w:type="dxa"/>
            <w:vAlign w:val="bottom"/>
            <w:shd w:val="clear" w:color="auto" w:fill="0066BA"/>
          </w:tcPr>
          <w:p>
            <w:pPr>
              <w:spacing w:after="0"/>
              <w:rPr>
                <w:sz w:val="7"/>
                <w:szCs w:val="7"/>
                <w:color w:val="auto"/>
              </w:rPr>
            </w:pPr>
          </w:p>
        </w:tc>
        <w:tc>
          <w:tcPr>
            <w:tcW w:w="880" w:type="dxa"/>
            <w:vAlign w:val="bottom"/>
            <w:shd w:val="clear" w:color="auto" w:fill="0066BA"/>
          </w:tcPr>
          <w:p>
            <w:pPr>
              <w:spacing w:after="0"/>
              <w:rPr>
                <w:sz w:val="7"/>
                <w:szCs w:val="7"/>
                <w:color w:val="auto"/>
              </w:rPr>
            </w:pPr>
          </w:p>
        </w:tc>
        <w:tc>
          <w:tcPr>
            <w:tcW w:w="120" w:type="dxa"/>
            <w:vAlign w:val="bottom"/>
            <w:shd w:val="clear" w:color="auto" w:fill="0066BA"/>
          </w:tcPr>
          <w:p>
            <w:pPr>
              <w:spacing w:after="0"/>
              <w:rPr>
                <w:sz w:val="7"/>
                <w:szCs w:val="7"/>
                <w:color w:val="auto"/>
              </w:rPr>
            </w:pPr>
          </w:p>
        </w:tc>
        <w:tc>
          <w:tcPr>
            <w:tcW w:w="1000" w:type="dxa"/>
            <w:vAlign w:val="bottom"/>
            <w:shd w:val="clear" w:color="auto" w:fill="0066BA"/>
          </w:tcPr>
          <w:p>
            <w:pPr>
              <w:spacing w:after="0"/>
              <w:rPr>
                <w:sz w:val="7"/>
                <w:szCs w:val="7"/>
                <w:color w:val="auto"/>
              </w:rPr>
            </w:pPr>
          </w:p>
        </w:tc>
        <w:tc>
          <w:tcPr>
            <w:tcW w:w="80" w:type="dxa"/>
            <w:vAlign w:val="bottom"/>
            <w:shd w:val="clear" w:color="auto" w:fill="0066BA"/>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00" w:type="dxa"/>
            <w:vAlign w:val="bottom"/>
          </w:tcPr>
          <w:p>
            <w:pPr>
              <w:spacing w:after="0"/>
              <w:rPr>
                <w:sz w:val="22"/>
                <w:szCs w:val="22"/>
                <w:color w:val="auto"/>
              </w:rPr>
            </w:pPr>
          </w:p>
        </w:tc>
        <w:tc>
          <w:tcPr>
            <w:tcW w:w="820" w:type="dxa"/>
            <w:vAlign w:val="bottom"/>
            <w:tcBorders>
              <w:right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3/29/2018</w:t>
            </w:r>
          </w:p>
        </w:tc>
        <w:tc>
          <w:tcPr>
            <w:tcW w:w="1120" w:type="dxa"/>
            <w:vAlign w:val="bottom"/>
          </w:tcPr>
          <w:p>
            <w:pPr>
              <w:jc w:val="right"/>
              <w:ind w:right="103"/>
              <w:spacing w:after="0"/>
              <w:rPr>
                <w:sz w:val="20"/>
                <w:szCs w:val="20"/>
                <w:color w:val="auto"/>
              </w:rPr>
            </w:pPr>
            <w:r>
              <w:rPr>
                <w:rFonts w:ascii="Arial" w:cs="Arial" w:eastAsia="Arial" w:hAnsi="Arial"/>
                <w:sz w:val="16"/>
                <w:szCs w:val="16"/>
                <w:color w:val="auto"/>
              </w:rPr>
              <w:t>4,897*</w:t>
            </w:r>
          </w:p>
        </w:tc>
        <w:tc>
          <w:tcPr>
            <w:tcW w:w="120" w:type="dxa"/>
            <w:vAlign w:val="bottom"/>
            <w:shd w:val="clear" w:color="auto" w:fill="EAEAEA"/>
          </w:tcPr>
          <w:p>
            <w:pPr>
              <w:spacing w:after="0"/>
              <w:rPr>
                <w:sz w:val="22"/>
                <w:szCs w:val="22"/>
                <w:color w:val="auto"/>
              </w:rPr>
            </w:pPr>
          </w:p>
        </w:tc>
        <w:tc>
          <w:tcPr>
            <w:tcW w:w="620" w:type="dxa"/>
            <w:vAlign w:val="bottom"/>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22"/>
                <w:szCs w:val="22"/>
                <w:color w:val="auto"/>
              </w:rPr>
            </w:pPr>
          </w:p>
        </w:tc>
        <w:tc>
          <w:tcPr>
            <w:tcW w:w="600" w:type="dxa"/>
            <w:vAlign w:val="bottom"/>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2.54</w:t>
            </w:r>
          </w:p>
        </w:tc>
        <w:tc>
          <w:tcPr>
            <w:tcW w:w="740" w:type="dxa"/>
            <w:vAlign w:val="bottom"/>
            <w:gridSpan w:val="3"/>
            <w:shd w:val="clear" w:color="auto" w:fill="EAEAEA"/>
          </w:tcPr>
          <w:p>
            <w:pPr>
              <w:ind w:left="400"/>
              <w:spacing w:after="0"/>
              <w:rPr>
                <w:sz w:val="20"/>
                <w:szCs w:val="20"/>
                <w:color w:val="auto"/>
              </w:rPr>
            </w:pPr>
            <w:r>
              <w:rPr>
                <w:rFonts w:ascii="Arial" w:cs="Arial" w:eastAsia="Arial" w:hAnsi="Arial"/>
                <w:sz w:val="16"/>
                <w:szCs w:val="16"/>
                <w:color w:val="auto"/>
              </w:rPr>
              <w:t>2.11</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86.51</w:t>
            </w:r>
          </w:p>
        </w:tc>
        <w:tc>
          <w:tcPr>
            <w:tcW w:w="120" w:type="dxa"/>
            <w:vAlign w:val="bottom"/>
            <w:shd w:val="clear" w:color="auto" w:fill="EAEAEA"/>
          </w:tcPr>
          <w:p>
            <w:pPr>
              <w:spacing w:after="0"/>
              <w:rPr>
                <w:sz w:val="22"/>
                <w:szCs w:val="22"/>
                <w:color w:val="auto"/>
              </w:rPr>
            </w:pPr>
          </w:p>
        </w:tc>
        <w:tc>
          <w:tcPr>
            <w:tcW w:w="1000" w:type="dxa"/>
            <w:vAlign w:val="bottom"/>
            <w:shd w:val="clear" w:color="auto" w:fill="EAEAEA"/>
          </w:tcPr>
          <w:p>
            <w:pPr>
              <w:spacing w:after="0"/>
              <w:rPr>
                <w:sz w:val="22"/>
                <w:szCs w:val="22"/>
                <w:color w:val="auto"/>
              </w:rPr>
            </w:pPr>
          </w:p>
        </w:tc>
        <w:tc>
          <w:tcPr>
            <w:tcW w:w="80" w:type="dxa"/>
            <w:vAlign w:val="bottom"/>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3/29/2018</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4,897**</w:t>
            </w:r>
          </w:p>
        </w:tc>
        <w:tc>
          <w:tcPr>
            <w:tcW w:w="120" w:type="dxa"/>
            <w:vAlign w:val="bottom"/>
            <w:shd w:val="clear" w:color="auto" w:fill="EAEAEA"/>
          </w:tcPr>
          <w:p>
            <w:pPr>
              <w:spacing w:after="0"/>
              <w:rPr>
                <w:sz w:val="16"/>
                <w:szCs w:val="16"/>
                <w:color w:val="auto"/>
              </w:rPr>
            </w:pPr>
          </w:p>
        </w:tc>
        <w:tc>
          <w:tcPr>
            <w:tcW w:w="620" w:type="dxa"/>
            <w:vAlign w:val="bottom"/>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25.63</w:t>
            </w:r>
          </w:p>
        </w:tc>
        <w:tc>
          <w:tcPr>
            <w:tcW w:w="180" w:type="dxa"/>
            <w:vAlign w:val="bottom"/>
            <w:shd w:val="clear" w:color="auto" w:fill="EAEAEA"/>
          </w:tcPr>
          <w:p>
            <w:pPr>
              <w:spacing w:after="0"/>
              <w:rPr>
                <w:sz w:val="16"/>
                <w:szCs w:val="16"/>
                <w:color w:val="auto"/>
              </w:rPr>
            </w:pPr>
          </w:p>
        </w:tc>
        <w:tc>
          <w:tcPr>
            <w:tcW w:w="600" w:type="dxa"/>
            <w:vAlign w:val="bottom"/>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2.37</w:t>
            </w:r>
          </w:p>
        </w:tc>
        <w:tc>
          <w:tcPr>
            <w:tcW w:w="140" w:type="dxa"/>
            <w:vAlign w:val="bottom"/>
            <w:shd w:val="clear" w:color="auto" w:fill="EAEAEA"/>
          </w:tcPr>
          <w:p>
            <w:pPr>
              <w:spacing w:after="0"/>
              <w:rPr>
                <w:sz w:val="16"/>
                <w:szCs w:val="16"/>
                <w:color w:val="auto"/>
              </w:rPr>
            </w:pPr>
          </w:p>
        </w:tc>
        <w:tc>
          <w:tcPr>
            <w:tcW w:w="600" w:type="dxa"/>
            <w:vAlign w:val="bottom"/>
            <w:gridSpan w:val="2"/>
            <w:shd w:val="clear" w:color="auto" w:fill="EAEAEA"/>
          </w:tcPr>
          <w:p>
            <w:pPr>
              <w:ind w:left="260"/>
              <w:spacing w:after="0"/>
              <w:rPr>
                <w:sz w:val="20"/>
                <w:szCs w:val="20"/>
                <w:color w:val="auto"/>
              </w:rPr>
            </w:pPr>
            <w:r>
              <w:rPr>
                <w:rFonts w:ascii="Arial" w:cs="Arial" w:eastAsia="Arial" w:hAnsi="Arial"/>
                <w:sz w:val="16"/>
                <w:szCs w:val="16"/>
                <w:color w:val="auto"/>
              </w:rPr>
              <w:t>2.08</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101.23</w:t>
            </w:r>
          </w:p>
        </w:tc>
        <w:tc>
          <w:tcPr>
            <w:tcW w:w="120" w:type="dxa"/>
            <w:vAlign w:val="bottom"/>
            <w:shd w:val="clear" w:color="auto" w:fill="EAEAEA"/>
          </w:tcPr>
          <w:p>
            <w:pPr>
              <w:spacing w:after="0"/>
              <w:rPr>
                <w:sz w:val="16"/>
                <w:szCs w:val="16"/>
                <w:color w:val="auto"/>
              </w:rPr>
            </w:pPr>
          </w:p>
        </w:tc>
        <w:tc>
          <w:tcPr>
            <w:tcW w:w="1080" w:type="dxa"/>
            <w:vAlign w:val="bottom"/>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991,447</w:t>
            </w: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3/29/2018</w:t>
            </w: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20,552</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91.13</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27.77</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2.64</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2.11</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20.83</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9/17/2018</w:t>
            </w:r>
          </w:p>
        </w:tc>
        <w:tc>
          <w:tcPr>
            <w:tcW w:w="1120" w:type="dxa"/>
            <w:vAlign w:val="bottom"/>
          </w:tcPr>
          <w:p>
            <w:pPr>
              <w:jc w:val="right"/>
              <w:ind w:right="103"/>
              <w:spacing w:after="0"/>
              <w:rPr>
                <w:sz w:val="20"/>
                <w:szCs w:val="20"/>
                <w:color w:val="auto"/>
              </w:rPr>
            </w:pPr>
            <w:r>
              <w:rPr>
                <w:rFonts w:ascii="Arial" w:cs="Arial" w:eastAsia="Arial" w:hAnsi="Arial"/>
                <w:sz w:val="16"/>
                <w:szCs w:val="16"/>
                <w:color w:val="auto"/>
              </w:rPr>
              <w:t>3,334*</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2.87</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2.10</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86.72</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3/13/2019</w:t>
            </w:r>
          </w:p>
        </w:tc>
        <w:tc>
          <w:tcPr>
            <w:tcW w:w="1120" w:type="dxa"/>
            <w:vAlign w:val="bottom"/>
          </w:tcPr>
          <w:p>
            <w:pPr>
              <w:jc w:val="right"/>
              <w:ind w:right="103"/>
              <w:spacing w:after="0"/>
              <w:rPr>
                <w:sz w:val="20"/>
                <w:szCs w:val="20"/>
                <w:color w:val="auto"/>
              </w:rPr>
            </w:pPr>
            <w:r>
              <w:rPr>
                <w:rFonts w:ascii="Arial" w:cs="Arial" w:eastAsia="Arial" w:hAnsi="Arial"/>
                <w:sz w:val="16"/>
                <w:szCs w:val="16"/>
                <w:color w:val="auto"/>
              </w:rPr>
              <w:t>3,992*</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2.42</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102.89</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2000" w:type="dxa"/>
            <w:vAlign w:val="bottom"/>
          </w:tcPr>
          <w:p>
            <w:pPr>
              <w:ind w:left="60"/>
              <w:spacing w:after="0"/>
              <w:rPr>
                <w:sz w:val="20"/>
                <w:szCs w:val="20"/>
                <w:color w:val="auto"/>
              </w:rPr>
            </w:pPr>
            <w:r>
              <w:rPr>
                <w:rFonts w:ascii="Arial" w:cs="Arial" w:eastAsia="Arial" w:hAnsi="Arial"/>
                <w:sz w:val="16"/>
                <w:szCs w:val="16"/>
                <w:b w:val="1"/>
                <w:bCs w:val="1"/>
                <w:color w:val="0066BA"/>
              </w:rPr>
              <w:t>John</w:t>
            </w:r>
          </w:p>
        </w:tc>
        <w:tc>
          <w:tcPr>
            <w:tcW w:w="120" w:type="dxa"/>
            <w:vAlign w:val="bottom"/>
            <w:tcBorders>
              <w:bottom w:val="single" w:sz="8" w:color="EAEAEA"/>
            </w:tcBorders>
            <w:shd w:val="clear" w:color="auto" w:fill="EAEAEA"/>
          </w:tcPr>
          <w:p>
            <w:pPr>
              <w:spacing w:after="0"/>
              <w:rPr>
                <w:sz w:val="23"/>
                <w:szCs w:val="23"/>
                <w:color w:val="auto"/>
              </w:rPr>
            </w:pPr>
          </w:p>
        </w:tc>
        <w:tc>
          <w:tcPr>
            <w:tcW w:w="700" w:type="dxa"/>
            <w:vAlign w:val="bottom"/>
            <w:tcBorders>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3/13/2019</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3,992**</w:t>
            </w:r>
          </w:p>
        </w:tc>
        <w:tc>
          <w:tcPr>
            <w:tcW w:w="120" w:type="dxa"/>
            <w:vAlign w:val="bottom"/>
            <w:tcBorders>
              <w:bottom w:val="single" w:sz="8" w:color="EAEAEA"/>
            </w:tcBorders>
            <w:shd w:val="clear" w:color="auto" w:fill="EAEAEA"/>
          </w:tcPr>
          <w:p>
            <w:pPr>
              <w:spacing w:after="0"/>
              <w:rPr>
                <w:sz w:val="23"/>
                <w:szCs w:val="23"/>
                <w:color w:val="auto"/>
              </w:rPr>
            </w:pPr>
          </w:p>
        </w:tc>
        <w:tc>
          <w:tcPr>
            <w:tcW w:w="5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23"/>
                <w:szCs w:val="23"/>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24.07</w:t>
            </w:r>
          </w:p>
        </w:tc>
        <w:tc>
          <w:tcPr>
            <w:tcW w:w="180" w:type="dxa"/>
            <w:vAlign w:val="bottom"/>
            <w:tcBorders>
              <w:bottom w:val="single" w:sz="8" w:color="EAEAEA"/>
            </w:tcBorders>
            <w:shd w:val="clear" w:color="auto" w:fill="EAEAEA"/>
          </w:tcPr>
          <w:p>
            <w:pPr>
              <w:spacing w:after="0"/>
              <w:rPr>
                <w:sz w:val="23"/>
                <w:szCs w:val="23"/>
                <w:color w:val="auto"/>
              </w:rPr>
            </w:pPr>
          </w:p>
        </w:tc>
        <w:tc>
          <w:tcPr>
            <w:tcW w:w="5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23"/>
                <w:szCs w:val="23"/>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2.38</w:t>
            </w:r>
          </w:p>
        </w:tc>
        <w:tc>
          <w:tcPr>
            <w:tcW w:w="140" w:type="dxa"/>
            <w:vAlign w:val="bottom"/>
            <w:tcBorders>
              <w:bottom w:val="single" w:sz="8" w:color="EAEAEA"/>
            </w:tcBorders>
            <w:shd w:val="clear" w:color="auto" w:fill="EAEAEA"/>
          </w:tcPr>
          <w:p>
            <w:pPr>
              <w:spacing w:after="0"/>
              <w:rPr>
                <w:sz w:val="23"/>
                <w:szCs w:val="23"/>
                <w:color w:val="auto"/>
              </w:rPr>
            </w:pPr>
          </w:p>
        </w:tc>
        <w:tc>
          <w:tcPr>
            <w:tcW w:w="520" w:type="dxa"/>
            <w:vAlign w:val="bottom"/>
            <w:tcBorders>
              <w:bottom w:val="single" w:sz="8" w:color="EAEAEA"/>
            </w:tcBorders>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tcBorders>
              <w:bottom w:val="single" w:sz="8" w:color="EAEAEA"/>
            </w:tcBorders>
            <w:shd w:val="clear" w:color="auto" w:fill="EAEAEA"/>
          </w:tcPr>
          <w:p>
            <w:pPr>
              <w:spacing w:after="0"/>
              <w:rPr>
                <w:sz w:val="23"/>
                <w:szCs w:val="23"/>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114.36</w:t>
            </w:r>
          </w:p>
        </w:tc>
        <w:tc>
          <w:tcPr>
            <w:tcW w:w="120" w:type="dxa"/>
            <w:vAlign w:val="bottom"/>
            <w:tcBorders>
              <w:bottom w:val="single" w:sz="8" w:color="EAEAEA"/>
            </w:tcBorders>
            <w:shd w:val="clear" w:color="auto" w:fill="EAEAEA"/>
          </w:tcPr>
          <w:p>
            <w:pPr>
              <w:spacing w:after="0"/>
              <w:rPr>
                <w:sz w:val="23"/>
                <w:szCs w:val="23"/>
                <w:color w:val="auto"/>
              </w:rPr>
            </w:pPr>
          </w:p>
        </w:tc>
        <w:tc>
          <w:tcPr>
            <w:tcW w:w="10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913,050</w:t>
            </w:r>
          </w:p>
        </w:tc>
        <w:tc>
          <w:tcPr>
            <w:tcW w:w="80" w:type="dxa"/>
            <w:vAlign w:val="bottom"/>
            <w:tcBorders>
              <w:bottom w:val="single" w:sz="8" w:color="EAEAEA"/>
            </w:tcBorders>
            <w:shd w:val="clear" w:color="auto" w:fill="EAEAEA"/>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00" w:type="dxa"/>
            <w:vAlign w:val="bottom"/>
          </w:tcPr>
          <w:p>
            <w:pPr>
              <w:ind w:left="60"/>
              <w:spacing w:after="0" w:line="143" w:lineRule="exact"/>
              <w:rPr>
                <w:sz w:val="20"/>
                <w:szCs w:val="20"/>
                <w:color w:val="auto"/>
              </w:rPr>
            </w:pPr>
            <w:r>
              <w:rPr>
                <w:rFonts w:ascii="Arial" w:cs="Arial" w:eastAsia="Arial" w:hAnsi="Arial"/>
                <w:sz w:val="16"/>
                <w:szCs w:val="16"/>
                <w:b w:val="1"/>
                <w:bCs w:val="1"/>
                <w:color w:val="0066BA"/>
              </w:rPr>
              <w:t>Hassett</w:t>
            </w:r>
          </w:p>
        </w:tc>
        <w:tc>
          <w:tcPr>
            <w:tcW w:w="120" w:type="dxa"/>
            <w:vAlign w:val="bottom"/>
            <w:tcBorders>
              <w:top w:val="single" w:sz="8" w:color="auto"/>
            </w:tcBorders>
            <w:shd w:val="clear" w:color="auto" w:fill="EAEAEA"/>
          </w:tcPr>
          <w:p>
            <w:pPr>
              <w:spacing w:after="0"/>
              <w:rPr>
                <w:sz w:val="12"/>
                <w:szCs w:val="12"/>
                <w:color w:val="auto"/>
              </w:rPr>
            </w:pPr>
          </w:p>
        </w:tc>
        <w:tc>
          <w:tcPr>
            <w:tcW w:w="700" w:type="dxa"/>
            <w:vAlign w:val="bottom"/>
            <w:tcBorders>
              <w:top w:val="single" w:sz="8" w:color="auto"/>
              <w:right w:val="single" w:sz="8" w:color="EAEAEA"/>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87"/>
              </w:rPr>
              <w:t>3/13/2019</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3,992***</w:t>
            </w:r>
          </w:p>
        </w:tc>
        <w:tc>
          <w:tcPr>
            <w:tcW w:w="120" w:type="dxa"/>
            <w:vAlign w:val="bottom"/>
            <w:tcBorders>
              <w:top w:val="single" w:sz="8" w:color="auto"/>
            </w:tcBorders>
            <w:shd w:val="clear" w:color="auto" w:fill="EAEAEA"/>
          </w:tcPr>
          <w:p>
            <w:pPr>
              <w:spacing w:after="0"/>
              <w:rPr>
                <w:sz w:val="12"/>
                <w:szCs w:val="12"/>
                <w:color w:val="auto"/>
              </w:rPr>
            </w:pPr>
          </w:p>
        </w:tc>
        <w:tc>
          <w:tcPr>
            <w:tcW w:w="54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12"/>
                <w:szCs w:val="12"/>
                <w:color w:val="auto"/>
              </w:rPr>
            </w:pPr>
          </w:p>
        </w:tc>
        <w:tc>
          <w:tcPr>
            <w:tcW w:w="98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shd w:val="clear" w:color="auto" w:fill="EAEAEA"/>
          </w:tcPr>
          <w:p>
            <w:pPr>
              <w:spacing w:after="0"/>
              <w:rPr>
                <w:sz w:val="12"/>
                <w:szCs w:val="12"/>
                <w:color w:val="auto"/>
              </w:rPr>
            </w:pPr>
          </w:p>
        </w:tc>
        <w:tc>
          <w:tcPr>
            <w:tcW w:w="520" w:type="dxa"/>
            <w:vAlign w:val="bottom"/>
            <w:tcBorders>
              <w:top w:val="single" w:sz="8" w:color="auto"/>
            </w:tcBorders>
            <w:shd w:val="clear" w:color="auto" w:fill="EAEAEA"/>
          </w:tcPr>
          <w:p>
            <w:pPr>
              <w:spacing w:after="0"/>
              <w:rPr>
                <w:sz w:val="12"/>
                <w:szCs w:val="12"/>
                <w:color w:val="auto"/>
              </w:rPr>
            </w:pPr>
          </w:p>
        </w:tc>
        <w:tc>
          <w:tcPr>
            <w:tcW w:w="80" w:type="dxa"/>
            <w:vAlign w:val="bottom"/>
            <w:tcBorders>
              <w:top w:val="single" w:sz="8" w:color="auto"/>
            </w:tcBorders>
            <w:shd w:val="clear" w:color="auto" w:fill="EAEAEA"/>
          </w:tcPr>
          <w:p>
            <w:pPr>
              <w:spacing w:after="0"/>
              <w:rPr>
                <w:sz w:val="12"/>
                <w:szCs w:val="12"/>
                <w:color w:val="auto"/>
              </w:rPr>
            </w:pPr>
          </w:p>
        </w:tc>
        <w:tc>
          <w:tcPr>
            <w:tcW w:w="7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color w:val="auto"/>
              </w:rPr>
              <w:t>2.42</w:t>
            </w:r>
          </w:p>
        </w:tc>
        <w:tc>
          <w:tcPr>
            <w:tcW w:w="140" w:type="dxa"/>
            <w:vAlign w:val="bottom"/>
            <w:tcBorders>
              <w:top w:val="single" w:sz="8" w:color="auto"/>
            </w:tcBorders>
            <w:shd w:val="clear" w:color="auto" w:fill="EAEAEA"/>
          </w:tcPr>
          <w:p>
            <w:pPr>
              <w:spacing w:after="0"/>
              <w:rPr>
                <w:sz w:val="12"/>
                <w:szCs w:val="12"/>
                <w:color w:val="auto"/>
              </w:rPr>
            </w:pPr>
          </w:p>
        </w:tc>
        <w:tc>
          <w:tcPr>
            <w:tcW w:w="520" w:type="dxa"/>
            <w:vAlign w:val="bottom"/>
            <w:tcBorders>
              <w:top w:val="single" w:sz="8" w:color="auto"/>
            </w:tcBorders>
            <w:vMerge w:val="restart"/>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tcBorders>
              <w:top w:val="single" w:sz="8" w:color="auto"/>
            </w:tcBorders>
            <w:shd w:val="clear" w:color="auto" w:fill="EAEAEA"/>
          </w:tcPr>
          <w:p>
            <w:pPr>
              <w:spacing w:after="0"/>
              <w:rPr>
                <w:sz w:val="12"/>
                <w:szCs w:val="12"/>
                <w:color w:val="auto"/>
              </w:rPr>
            </w:pPr>
          </w:p>
        </w:tc>
        <w:tc>
          <w:tcPr>
            <w:tcW w:w="8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color w:val="auto"/>
              </w:rPr>
              <w:t>92.00</w:t>
            </w:r>
          </w:p>
        </w:tc>
        <w:tc>
          <w:tcPr>
            <w:tcW w:w="120" w:type="dxa"/>
            <w:vAlign w:val="bottom"/>
            <w:tcBorders>
              <w:top w:val="single" w:sz="8" w:color="auto"/>
            </w:tcBorders>
            <w:shd w:val="clear" w:color="auto" w:fill="EAEAEA"/>
          </w:tcPr>
          <w:p>
            <w:pPr>
              <w:spacing w:after="0"/>
              <w:rPr>
                <w:sz w:val="12"/>
                <w:szCs w:val="12"/>
                <w:color w:val="auto"/>
              </w:rPr>
            </w:pPr>
          </w:p>
        </w:tc>
        <w:tc>
          <w:tcPr>
            <w:tcW w:w="100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813,170</w:t>
            </w:r>
          </w:p>
        </w:tc>
        <w:tc>
          <w:tcPr>
            <w:tcW w:w="80" w:type="dxa"/>
            <w:vAlign w:val="bottom"/>
            <w:tcBorders>
              <w:top w:val="single" w:sz="8" w:color="auto"/>
            </w:tcBorders>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00" w:type="dxa"/>
            <w:vAlign w:val="bottom"/>
          </w:tcPr>
          <w:p>
            <w:pPr>
              <w:spacing w:after="0"/>
              <w:rPr>
                <w:sz w:val="4"/>
                <w:szCs w:val="4"/>
                <w:color w:val="auto"/>
              </w:rPr>
            </w:pPr>
          </w:p>
        </w:tc>
        <w:tc>
          <w:tcPr>
            <w:tcW w:w="120" w:type="dxa"/>
            <w:vAlign w:val="bottom"/>
            <w:shd w:val="clear" w:color="auto" w:fill="EAEAEA"/>
          </w:tcPr>
          <w:p>
            <w:pPr>
              <w:spacing w:after="0"/>
              <w:rPr>
                <w:sz w:val="4"/>
                <w:szCs w:val="4"/>
                <w:color w:val="auto"/>
              </w:rPr>
            </w:pPr>
          </w:p>
        </w:tc>
        <w:tc>
          <w:tcPr>
            <w:tcW w:w="700" w:type="dxa"/>
            <w:vAlign w:val="bottom"/>
            <w:tcBorders>
              <w:right w:val="single" w:sz="8" w:color="EAEAEA"/>
            </w:tcBorders>
            <w:vMerge w:val="continue"/>
            <w:shd w:val="clear" w:color="auto" w:fill="EAEAEA"/>
          </w:tcPr>
          <w:p>
            <w:pPr>
              <w:spacing w:after="0"/>
              <w:rPr>
                <w:sz w:val="4"/>
                <w:szCs w:val="4"/>
                <w:color w:val="auto"/>
              </w:rPr>
            </w:pPr>
          </w:p>
        </w:tc>
        <w:tc>
          <w:tcPr>
            <w:tcW w:w="1120" w:type="dxa"/>
            <w:vAlign w:val="bottom"/>
            <w:vMerge w:val="continue"/>
          </w:tcPr>
          <w:p>
            <w:pPr>
              <w:spacing w:after="0"/>
              <w:rPr>
                <w:sz w:val="4"/>
                <w:szCs w:val="4"/>
                <w:color w:val="auto"/>
              </w:rPr>
            </w:pPr>
          </w:p>
        </w:tc>
        <w:tc>
          <w:tcPr>
            <w:tcW w:w="120" w:type="dxa"/>
            <w:vAlign w:val="bottom"/>
            <w:shd w:val="clear" w:color="auto" w:fill="EAEAEA"/>
          </w:tcPr>
          <w:p>
            <w:pPr>
              <w:spacing w:after="0"/>
              <w:rPr>
                <w:sz w:val="4"/>
                <w:szCs w:val="4"/>
                <w:color w:val="auto"/>
              </w:rPr>
            </w:pPr>
          </w:p>
        </w:tc>
        <w:tc>
          <w:tcPr>
            <w:tcW w:w="540" w:type="dxa"/>
            <w:vAlign w:val="bottom"/>
            <w:vMerge w:val="continue"/>
            <w:shd w:val="clear" w:color="auto" w:fill="EAEAEA"/>
          </w:tcPr>
          <w:p>
            <w:pPr>
              <w:spacing w:after="0"/>
              <w:rPr>
                <w:sz w:val="4"/>
                <w:szCs w:val="4"/>
                <w:color w:val="auto"/>
              </w:rPr>
            </w:pPr>
          </w:p>
        </w:tc>
        <w:tc>
          <w:tcPr>
            <w:tcW w:w="80" w:type="dxa"/>
            <w:vAlign w:val="bottom"/>
            <w:shd w:val="clear" w:color="auto" w:fill="EAEAEA"/>
          </w:tcPr>
          <w:p>
            <w:pPr>
              <w:spacing w:after="0"/>
              <w:rPr>
                <w:sz w:val="4"/>
                <w:szCs w:val="4"/>
                <w:color w:val="auto"/>
              </w:rPr>
            </w:pPr>
          </w:p>
        </w:tc>
        <w:tc>
          <w:tcPr>
            <w:tcW w:w="980" w:type="dxa"/>
            <w:vAlign w:val="bottom"/>
            <w:vMerge w:val="continue"/>
          </w:tcPr>
          <w:p>
            <w:pPr>
              <w:spacing w:after="0"/>
              <w:rPr>
                <w:sz w:val="4"/>
                <w:szCs w:val="4"/>
                <w:color w:val="auto"/>
              </w:rPr>
            </w:pPr>
          </w:p>
        </w:tc>
        <w:tc>
          <w:tcPr>
            <w:tcW w:w="180" w:type="dxa"/>
            <w:vAlign w:val="bottom"/>
            <w:shd w:val="clear" w:color="auto" w:fill="EAEAEA"/>
          </w:tcPr>
          <w:p>
            <w:pPr>
              <w:spacing w:after="0"/>
              <w:rPr>
                <w:sz w:val="4"/>
                <w:szCs w:val="4"/>
                <w:color w:val="auto"/>
              </w:rPr>
            </w:pPr>
          </w:p>
        </w:tc>
        <w:tc>
          <w:tcPr>
            <w:tcW w:w="520" w:type="dxa"/>
            <w:vAlign w:val="bottom"/>
            <w:shd w:val="clear" w:color="auto" w:fill="EAEAEA"/>
          </w:tcPr>
          <w:p>
            <w:pPr>
              <w:spacing w:after="0"/>
              <w:rPr>
                <w:sz w:val="4"/>
                <w:szCs w:val="4"/>
                <w:color w:val="auto"/>
              </w:rPr>
            </w:pPr>
          </w:p>
        </w:tc>
        <w:tc>
          <w:tcPr>
            <w:tcW w:w="80" w:type="dxa"/>
            <w:vAlign w:val="bottom"/>
            <w:shd w:val="clear" w:color="auto" w:fill="EAEAEA"/>
          </w:tcPr>
          <w:p>
            <w:pPr>
              <w:spacing w:after="0"/>
              <w:rPr>
                <w:sz w:val="4"/>
                <w:szCs w:val="4"/>
                <w:color w:val="auto"/>
              </w:rPr>
            </w:pPr>
          </w:p>
        </w:tc>
        <w:tc>
          <w:tcPr>
            <w:tcW w:w="720" w:type="dxa"/>
            <w:vAlign w:val="bottom"/>
            <w:vMerge w:val="continue"/>
          </w:tcPr>
          <w:p>
            <w:pPr>
              <w:spacing w:after="0"/>
              <w:rPr>
                <w:sz w:val="4"/>
                <w:szCs w:val="4"/>
                <w:color w:val="auto"/>
              </w:rPr>
            </w:pPr>
          </w:p>
        </w:tc>
        <w:tc>
          <w:tcPr>
            <w:tcW w:w="140" w:type="dxa"/>
            <w:vAlign w:val="bottom"/>
            <w:shd w:val="clear" w:color="auto" w:fill="EAEAEA"/>
          </w:tcPr>
          <w:p>
            <w:pPr>
              <w:spacing w:after="0"/>
              <w:rPr>
                <w:sz w:val="4"/>
                <w:szCs w:val="4"/>
                <w:color w:val="auto"/>
              </w:rPr>
            </w:pPr>
          </w:p>
        </w:tc>
        <w:tc>
          <w:tcPr>
            <w:tcW w:w="520" w:type="dxa"/>
            <w:vAlign w:val="bottom"/>
            <w:vMerge w:val="continue"/>
            <w:shd w:val="clear" w:color="auto" w:fill="EAEAEA"/>
          </w:tcPr>
          <w:p>
            <w:pPr>
              <w:spacing w:after="0"/>
              <w:rPr>
                <w:sz w:val="4"/>
                <w:szCs w:val="4"/>
                <w:color w:val="auto"/>
              </w:rPr>
            </w:pPr>
          </w:p>
        </w:tc>
        <w:tc>
          <w:tcPr>
            <w:tcW w:w="80" w:type="dxa"/>
            <w:vAlign w:val="bottom"/>
            <w:shd w:val="clear" w:color="auto" w:fill="EAEAEA"/>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shd w:val="clear" w:color="auto" w:fill="EAEAEA"/>
          </w:tcPr>
          <w:p>
            <w:pPr>
              <w:spacing w:after="0"/>
              <w:rPr>
                <w:sz w:val="4"/>
                <w:szCs w:val="4"/>
                <w:color w:val="auto"/>
              </w:rPr>
            </w:pPr>
          </w:p>
        </w:tc>
        <w:tc>
          <w:tcPr>
            <w:tcW w:w="1000" w:type="dxa"/>
            <w:vAlign w:val="bottom"/>
            <w:vMerge w:val="continue"/>
            <w:shd w:val="clear" w:color="auto" w:fill="EAEAEA"/>
          </w:tcPr>
          <w:p>
            <w:pPr>
              <w:spacing w:after="0"/>
              <w:rPr>
                <w:sz w:val="4"/>
                <w:szCs w:val="4"/>
                <w:color w:val="auto"/>
              </w:rPr>
            </w:pPr>
          </w:p>
        </w:tc>
        <w:tc>
          <w:tcPr>
            <w:tcW w:w="80" w:type="dxa"/>
            <w:vAlign w:val="bottom"/>
            <w:shd w:val="clear" w:color="auto" w:fill="EAEAEA"/>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3/13/2019</w:t>
            </w: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17,676</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108.08</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26.32</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2.42</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23.43</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3/11/2020</w:t>
            </w:r>
          </w:p>
        </w:tc>
        <w:tc>
          <w:tcPr>
            <w:tcW w:w="1120" w:type="dxa"/>
            <w:vAlign w:val="bottom"/>
          </w:tcPr>
          <w:p>
            <w:pPr>
              <w:jc w:val="right"/>
              <w:ind w:right="103"/>
              <w:spacing w:after="0"/>
              <w:rPr>
                <w:sz w:val="20"/>
                <w:szCs w:val="20"/>
                <w:color w:val="auto"/>
              </w:rPr>
            </w:pPr>
            <w:r>
              <w:rPr>
                <w:rFonts w:ascii="Arial" w:cs="Arial" w:eastAsia="Arial" w:hAnsi="Arial"/>
                <w:sz w:val="16"/>
                <w:szCs w:val="16"/>
                <w:color w:val="auto"/>
              </w:rPr>
              <w:t>4,927*</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0.66</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2.63</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88.28</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3/11/2020</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4,927**</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27.99</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0.58</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2.59</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97.71</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962,834</w:t>
            </w: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3/11/2020</w:t>
            </w:r>
          </w:p>
        </w:tc>
        <w:tc>
          <w:tcPr>
            <w:tcW w:w="1120" w:type="dxa"/>
            <w:vAlign w:val="bottom"/>
          </w:tcPr>
          <w:p>
            <w:pPr>
              <w:jc w:val="right"/>
              <w:spacing w:after="0"/>
              <w:rPr>
                <w:sz w:val="20"/>
                <w:szCs w:val="20"/>
                <w:color w:val="auto"/>
              </w:rPr>
            </w:pPr>
            <w:r>
              <w:rPr>
                <w:rFonts w:ascii="Arial" w:cs="Arial" w:eastAsia="Arial" w:hAnsi="Arial"/>
                <w:sz w:val="16"/>
                <w:szCs w:val="16"/>
                <w:color w:val="auto"/>
              </w:rPr>
              <w:t>4,927***</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0.66</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2.63</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88.28</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869,911</w:t>
            </w: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3/11/2020</w:t>
            </w: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24,232</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94.41</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29.49</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0.66</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2.63</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18.46</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Borders>
              <w:bottom w:val="single" w:sz="8" w:color="0066BA"/>
            </w:tcBorders>
          </w:tcPr>
          <w:p>
            <w:pPr>
              <w:spacing w:after="0"/>
              <w:rPr>
                <w:sz w:val="6"/>
                <w:szCs w:val="6"/>
                <w:color w:val="auto"/>
              </w:rPr>
            </w:pPr>
          </w:p>
        </w:tc>
        <w:tc>
          <w:tcPr>
            <w:tcW w:w="120" w:type="dxa"/>
            <w:vAlign w:val="bottom"/>
            <w:tcBorders>
              <w:bottom w:val="single" w:sz="8" w:color="0066BA"/>
            </w:tcBorders>
            <w:shd w:val="clear" w:color="auto" w:fill="EAEAEA"/>
          </w:tcPr>
          <w:p>
            <w:pPr>
              <w:spacing w:after="0"/>
              <w:rPr>
                <w:sz w:val="6"/>
                <w:szCs w:val="6"/>
                <w:color w:val="auto"/>
              </w:rPr>
            </w:pPr>
          </w:p>
        </w:tc>
        <w:tc>
          <w:tcPr>
            <w:tcW w:w="700" w:type="dxa"/>
            <w:vAlign w:val="bottom"/>
            <w:tcBorders>
              <w:bottom w:val="single" w:sz="8" w:color="0066BA"/>
              <w:right w:val="single" w:sz="8" w:color="EAEAEA"/>
            </w:tcBorders>
            <w:shd w:val="clear" w:color="auto" w:fill="EAEAEA"/>
          </w:tcPr>
          <w:p>
            <w:pPr>
              <w:spacing w:after="0"/>
              <w:rPr>
                <w:sz w:val="6"/>
                <w:szCs w:val="6"/>
                <w:color w:val="auto"/>
              </w:rPr>
            </w:pPr>
          </w:p>
        </w:tc>
        <w:tc>
          <w:tcPr>
            <w:tcW w:w="1120" w:type="dxa"/>
            <w:vAlign w:val="bottom"/>
            <w:tcBorders>
              <w:bottom w:val="single" w:sz="8" w:color="0066BA"/>
            </w:tcBorders>
          </w:tcPr>
          <w:p>
            <w:pPr>
              <w:spacing w:after="0"/>
              <w:rPr>
                <w:sz w:val="6"/>
                <w:szCs w:val="6"/>
                <w:color w:val="auto"/>
              </w:rPr>
            </w:pPr>
          </w:p>
        </w:tc>
        <w:tc>
          <w:tcPr>
            <w:tcW w:w="120" w:type="dxa"/>
            <w:vAlign w:val="bottom"/>
            <w:tcBorders>
              <w:bottom w:val="single" w:sz="8" w:color="0066BA"/>
            </w:tcBorders>
            <w:shd w:val="clear" w:color="auto" w:fill="EAEAEA"/>
          </w:tcPr>
          <w:p>
            <w:pPr>
              <w:spacing w:after="0"/>
              <w:rPr>
                <w:sz w:val="6"/>
                <w:szCs w:val="6"/>
                <w:color w:val="auto"/>
              </w:rPr>
            </w:pPr>
          </w:p>
        </w:tc>
        <w:tc>
          <w:tcPr>
            <w:tcW w:w="540" w:type="dxa"/>
            <w:vAlign w:val="bottom"/>
            <w:tcBorders>
              <w:bottom w:val="single" w:sz="8" w:color="0066BA"/>
            </w:tcBorders>
            <w:shd w:val="clear" w:color="auto" w:fill="EAEAEA"/>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980" w:type="dxa"/>
            <w:vAlign w:val="bottom"/>
            <w:tcBorders>
              <w:bottom w:val="single" w:sz="8" w:color="0066BA"/>
            </w:tcBorders>
          </w:tcPr>
          <w:p>
            <w:pPr>
              <w:spacing w:after="0"/>
              <w:rPr>
                <w:sz w:val="6"/>
                <w:szCs w:val="6"/>
                <w:color w:val="auto"/>
              </w:rPr>
            </w:pPr>
          </w:p>
        </w:tc>
        <w:tc>
          <w:tcPr>
            <w:tcW w:w="180" w:type="dxa"/>
            <w:vAlign w:val="bottom"/>
            <w:tcBorders>
              <w:bottom w:val="single" w:sz="8" w:color="0066BA"/>
            </w:tcBorders>
            <w:shd w:val="clear" w:color="auto" w:fill="EAEAEA"/>
          </w:tcPr>
          <w:p>
            <w:pPr>
              <w:spacing w:after="0"/>
              <w:rPr>
                <w:sz w:val="6"/>
                <w:szCs w:val="6"/>
                <w:color w:val="auto"/>
              </w:rPr>
            </w:pPr>
          </w:p>
        </w:tc>
        <w:tc>
          <w:tcPr>
            <w:tcW w:w="520" w:type="dxa"/>
            <w:vAlign w:val="bottom"/>
            <w:tcBorders>
              <w:bottom w:val="single" w:sz="8" w:color="0066BA"/>
            </w:tcBorders>
            <w:shd w:val="clear" w:color="auto" w:fill="EAEAEA"/>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720" w:type="dxa"/>
            <w:vAlign w:val="bottom"/>
            <w:tcBorders>
              <w:bottom w:val="single" w:sz="8" w:color="0066BA"/>
            </w:tcBorders>
          </w:tcPr>
          <w:p>
            <w:pPr>
              <w:spacing w:after="0"/>
              <w:rPr>
                <w:sz w:val="6"/>
                <w:szCs w:val="6"/>
                <w:color w:val="auto"/>
              </w:rPr>
            </w:pPr>
          </w:p>
        </w:tc>
        <w:tc>
          <w:tcPr>
            <w:tcW w:w="140" w:type="dxa"/>
            <w:vAlign w:val="bottom"/>
            <w:tcBorders>
              <w:bottom w:val="single" w:sz="8" w:color="0066BA"/>
            </w:tcBorders>
            <w:shd w:val="clear" w:color="auto" w:fill="EAEAEA"/>
          </w:tcPr>
          <w:p>
            <w:pPr>
              <w:spacing w:after="0"/>
              <w:rPr>
                <w:sz w:val="6"/>
                <w:szCs w:val="6"/>
                <w:color w:val="auto"/>
              </w:rPr>
            </w:pPr>
          </w:p>
        </w:tc>
        <w:tc>
          <w:tcPr>
            <w:tcW w:w="520" w:type="dxa"/>
            <w:vAlign w:val="bottom"/>
            <w:tcBorders>
              <w:bottom w:val="single" w:sz="8" w:color="0066BA"/>
            </w:tcBorders>
            <w:shd w:val="clear" w:color="auto" w:fill="EAEAEA"/>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tcPr>
          <w:p>
            <w:pPr>
              <w:spacing w:after="0"/>
              <w:rPr>
                <w:sz w:val="6"/>
                <w:szCs w:val="6"/>
                <w:color w:val="auto"/>
              </w:rPr>
            </w:pPr>
          </w:p>
        </w:tc>
        <w:tc>
          <w:tcPr>
            <w:tcW w:w="120" w:type="dxa"/>
            <w:vAlign w:val="bottom"/>
            <w:tcBorders>
              <w:bottom w:val="single" w:sz="8" w:color="0066BA"/>
            </w:tcBorders>
            <w:shd w:val="clear" w:color="auto" w:fill="EAEAEA"/>
          </w:tcPr>
          <w:p>
            <w:pPr>
              <w:spacing w:after="0"/>
              <w:rPr>
                <w:sz w:val="6"/>
                <w:szCs w:val="6"/>
                <w:color w:val="auto"/>
              </w:rPr>
            </w:pPr>
          </w:p>
        </w:tc>
        <w:tc>
          <w:tcPr>
            <w:tcW w:w="1000" w:type="dxa"/>
            <w:vAlign w:val="bottom"/>
            <w:tcBorders>
              <w:bottom w:val="single" w:sz="8" w:color="0066BA"/>
            </w:tcBorders>
            <w:shd w:val="clear" w:color="auto" w:fill="EAEAEA"/>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820" w:type="dxa"/>
            <w:vAlign w:val="bottom"/>
            <w:tcBorders>
              <w:right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3/29/2018</w:t>
            </w:r>
          </w:p>
        </w:tc>
        <w:tc>
          <w:tcPr>
            <w:tcW w:w="1120" w:type="dxa"/>
            <w:vAlign w:val="bottom"/>
          </w:tcPr>
          <w:p>
            <w:pPr>
              <w:jc w:val="right"/>
              <w:ind w:right="103"/>
              <w:spacing w:after="0"/>
              <w:rPr>
                <w:sz w:val="20"/>
                <w:szCs w:val="20"/>
                <w:color w:val="auto"/>
              </w:rPr>
            </w:pPr>
            <w:r>
              <w:rPr>
                <w:rFonts w:ascii="Arial" w:cs="Arial" w:eastAsia="Arial" w:hAnsi="Arial"/>
                <w:sz w:val="16"/>
                <w:szCs w:val="16"/>
                <w:color w:val="auto"/>
              </w:rPr>
              <w:t>5,650*</w:t>
            </w:r>
          </w:p>
        </w:tc>
        <w:tc>
          <w:tcPr>
            <w:tcW w:w="120" w:type="dxa"/>
            <w:vAlign w:val="bottom"/>
            <w:shd w:val="clear" w:color="auto" w:fill="EAEAEA"/>
          </w:tcPr>
          <w:p>
            <w:pPr>
              <w:spacing w:after="0"/>
              <w:rPr>
                <w:sz w:val="20"/>
                <w:szCs w:val="20"/>
                <w:color w:val="auto"/>
              </w:rPr>
            </w:pPr>
          </w:p>
        </w:tc>
        <w:tc>
          <w:tcPr>
            <w:tcW w:w="620" w:type="dxa"/>
            <w:vAlign w:val="bottom"/>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20"/>
                <w:szCs w:val="20"/>
                <w:color w:val="auto"/>
              </w:rPr>
            </w:pPr>
          </w:p>
        </w:tc>
        <w:tc>
          <w:tcPr>
            <w:tcW w:w="600" w:type="dxa"/>
            <w:vAlign w:val="bottom"/>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2.54</w:t>
            </w:r>
          </w:p>
        </w:tc>
        <w:tc>
          <w:tcPr>
            <w:tcW w:w="740" w:type="dxa"/>
            <w:vAlign w:val="bottom"/>
            <w:gridSpan w:val="3"/>
            <w:shd w:val="clear" w:color="auto" w:fill="EAEAEA"/>
          </w:tcPr>
          <w:p>
            <w:pPr>
              <w:ind w:left="400"/>
              <w:spacing w:after="0"/>
              <w:rPr>
                <w:sz w:val="20"/>
                <w:szCs w:val="20"/>
                <w:color w:val="auto"/>
              </w:rPr>
            </w:pPr>
            <w:r>
              <w:rPr>
                <w:rFonts w:ascii="Arial" w:cs="Arial" w:eastAsia="Arial" w:hAnsi="Arial"/>
                <w:sz w:val="16"/>
                <w:szCs w:val="16"/>
                <w:color w:val="auto"/>
              </w:rPr>
              <w:t>2.11</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86.51</w:t>
            </w:r>
          </w:p>
        </w:tc>
        <w:tc>
          <w:tcPr>
            <w:tcW w:w="120" w:type="dxa"/>
            <w:vAlign w:val="bottom"/>
            <w:shd w:val="clear" w:color="auto" w:fill="EAEAEA"/>
          </w:tcPr>
          <w:p>
            <w:pPr>
              <w:spacing w:after="0"/>
              <w:rPr>
                <w:sz w:val="20"/>
                <w:szCs w:val="20"/>
                <w:color w:val="auto"/>
              </w:rPr>
            </w:pPr>
          </w:p>
        </w:tc>
        <w:tc>
          <w:tcPr>
            <w:tcW w:w="100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820" w:type="dxa"/>
            <w:vAlign w:val="bottom"/>
            <w:tcBorders>
              <w:bottom w:val="single" w:sz="8" w:color="auto"/>
              <w:right w:val="single" w:sz="8" w:color="EAEAEA"/>
            </w:tcBorders>
            <w:gridSpan w:val="2"/>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620" w:type="dxa"/>
            <w:vAlign w:val="bottom"/>
            <w:tcBorders>
              <w:bottom w:val="single" w:sz="8" w:color="auto"/>
            </w:tcBorders>
            <w:gridSpan w:val="2"/>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600" w:type="dxa"/>
            <w:vAlign w:val="bottom"/>
            <w:tcBorders>
              <w:bottom w:val="single" w:sz="8" w:color="auto"/>
            </w:tcBorders>
            <w:gridSpan w:val="2"/>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gridSpan w:val="3"/>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gridSpan w:val="3"/>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3/29/2018</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5,650**</w:t>
            </w:r>
          </w:p>
        </w:tc>
        <w:tc>
          <w:tcPr>
            <w:tcW w:w="120" w:type="dxa"/>
            <w:vAlign w:val="bottom"/>
            <w:shd w:val="clear" w:color="auto" w:fill="EAEAEA"/>
          </w:tcPr>
          <w:p>
            <w:pPr>
              <w:spacing w:after="0"/>
              <w:rPr>
                <w:sz w:val="16"/>
                <w:szCs w:val="16"/>
                <w:color w:val="auto"/>
              </w:rPr>
            </w:pPr>
          </w:p>
        </w:tc>
        <w:tc>
          <w:tcPr>
            <w:tcW w:w="620" w:type="dxa"/>
            <w:vAlign w:val="bottom"/>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25.63</w:t>
            </w:r>
          </w:p>
        </w:tc>
        <w:tc>
          <w:tcPr>
            <w:tcW w:w="180" w:type="dxa"/>
            <w:vAlign w:val="bottom"/>
            <w:shd w:val="clear" w:color="auto" w:fill="EAEAEA"/>
          </w:tcPr>
          <w:p>
            <w:pPr>
              <w:spacing w:after="0"/>
              <w:rPr>
                <w:sz w:val="16"/>
                <w:szCs w:val="16"/>
                <w:color w:val="auto"/>
              </w:rPr>
            </w:pPr>
          </w:p>
        </w:tc>
        <w:tc>
          <w:tcPr>
            <w:tcW w:w="600" w:type="dxa"/>
            <w:vAlign w:val="bottom"/>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2.37</w:t>
            </w:r>
          </w:p>
        </w:tc>
        <w:tc>
          <w:tcPr>
            <w:tcW w:w="140" w:type="dxa"/>
            <w:vAlign w:val="bottom"/>
            <w:shd w:val="clear" w:color="auto" w:fill="EAEAEA"/>
          </w:tcPr>
          <w:p>
            <w:pPr>
              <w:spacing w:after="0"/>
              <w:rPr>
                <w:sz w:val="16"/>
                <w:szCs w:val="16"/>
                <w:color w:val="auto"/>
              </w:rPr>
            </w:pPr>
          </w:p>
        </w:tc>
        <w:tc>
          <w:tcPr>
            <w:tcW w:w="600" w:type="dxa"/>
            <w:vAlign w:val="bottom"/>
            <w:gridSpan w:val="2"/>
            <w:shd w:val="clear" w:color="auto" w:fill="EAEAEA"/>
          </w:tcPr>
          <w:p>
            <w:pPr>
              <w:ind w:left="260"/>
              <w:spacing w:after="0"/>
              <w:rPr>
                <w:sz w:val="20"/>
                <w:szCs w:val="20"/>
                <w:color w:val="auto"/>
              </w:rPr>
            </w:pPr>
            <w:r>
              <w:rPr>
                <w:rFonts w:ascii="Arial" w:cs="Arial" w:eastAsia="Arial" w:hAnsi="Arial"/>
                <w:sz w:val="16"/>
                <w:szCs w:val="16"/>
                <w:color w:val="auto"/>
              </w:rPr>
              <w:t>2.08</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101.23</w:t>
            </w:r>
          </w:p>
        </w:tc>
        <w:tc>
          <w:tcPr>
            <w:tcW w:w="120" w:type="dxa"/>
            <w:vAlign w:val="bottom"/>
            <w:shd w:val="clear" w:color="auto" w:fill="EAEAEA"/>
          </w:tcPr>
          <w:p>
            <w:pPr>
              <w:spacing w:after="0"/>
              <w:rPr>
                <w:sz w:val="16"/>
                <w:szCs w:val="16"/>
                <w:color w:val="auto"/>
              </w:rPr>
            </w:pPr>
          </w:p>
        </w:tc>
        <w:tc>
          <w:tcPr>
            <w:tcW w:w="1080" w:type="dxa"/>
            <w:vAlign w:val="bottom"/>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1,143,899</w:t>
            </w: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620" w:type="dxa"/>
            <w:vAlign w:val="bottom"/>
            <w:tcBorders>
              <w:bottom w:val="single" w:sz="8" w:color="auto"/>
            </w:tcBorders>
            <w:gridSpan w:val="2"/>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600" w:type="dxa"/>
            <w:vAlign w:val="bottom"/>
            <w:tcBorders>
              <w:bottom w:val="single" w:sz="8" w:color="auto"/>
            </w:tcBorders>
            <w:gridSpan w:val="2"/>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600" w:type="dxa"/>
            <w:vAlign w:val="bottom"/>
            <w:tcBorders>
              <w:bottom w:val="single" w:sz="8" w:color="auto"/>
            </w:tcBorders>
            <w:gridSpan w:val="2"/>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3/29/2018</w:t>
            </w: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23,713</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91.13</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27.77</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2.64</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2.11</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20.83</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6/15/2018</w:t>
            </w:r>
          </w:p>
        </w:tc>
        <w:tc>
          <w:tcPr>
            <w:tcW w:w="1120" w:type="dxa"/>
            <w:vAlign w:val="bottom"/>
          </w:tcPr>
          <w:p>
            <w:pPr>
              <w:jc w:val="right"/>
              <w:ind w:right="103"/>
              <w:spacing w:after="0"/>
              <w:rPr>
                <w:sz w:val="20"/>
                <w:szCs w:val="20"/>
                <w:color w:val="auto"/>
              </w:rPr>
            </w:pPr>
            <w:r>
              <w:rPr>
                <w:rFonts w:ascii="Arial" w:cs="Arial" w:eastAsia="Arial" w:hAnsi="Arial"/>
                <w:sz w:val="16"/>
                <w:szCs w:val="16"/>
                <w:color w:val="auto"/>
              </w:rPr>
              <w:t>4,028*</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2.75</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1.89</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96.90</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3/13/2019</w:t>
            </w:r>
          </w:p>
        </w:tc>
        <w:tc>
          <w:tcPr>
            <w:tcW w:w="1120" w:type="dxa"/>
            <w:vAlign w:val="bottom"/>
          </w:tcPr>
          <w:p>
            <w:pPr>
              <w:jc w:val="right"/>
              <w:ind w:right="103"/>
              <w:spacing w:after="0"/>
              <w:rPr>
                <w:sz w:val="20"/>
                <w:szCs w:val="20"/>
                <w:color w:val="auto"/>
              </w:rPr>
            </w:pPr>
            <w:r>
              <w:rPr>
                <w:rFonts w:ascii="Arial" w:cs="Arial" w:eastAsia="Arial" w:hAnsi="Arial"/>
                <w:sz w:val="16"/>
                <w:szCs w:val="16"/>
                <w:color w:val="auto"/>
              </w:rPr>
              <w:t>3,992*</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2.42</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102.89</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Steve</w:t>
            </w: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3/13/2019</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3,992**</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24.07</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2.38</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114.36</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913,050</w:t>
            </w: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vMerge w:val="continue"/>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00" w:type="dxa"/>
            <w:vAlign w:val="bottom"/>
            <w:vMerge w:val="continue"/>
          </w:tcPr>
          <w:p>
            <w:pPr>
              <w:spacing w:after="0"/>
              <w:rPr>
                <w:sz w:val="7"/>
                <w:szCs w:val="7"/>
                <w:color w:val="auto"/>
              </w:rPr>
            </w:pPr>
          </w:p>
        </w:tc>
        <w:tc>
          <w:tcPr>
            <w:tcW w:w="120" w:type="dxa"/>
            <w:vAlign w:val="bottom"/>
            <w:shd w:val="clear" w:color="auto" w:fill="EAEAEA"/>
          </w:tcPr>
          <w:p>
            <w:pPr>
              <w:spacing w:after="0"/>
              <w:rPr>
                <w:sz w:val="7"/>
                <w:szCs w:val="7"/>
                <w:color w:val="auto"/>
              </w:rPr>
            </w:pPr>
          </w:p>
        </w:tc>
        <w:tc>
          <w:tcPr>
            <w:tcW w:w="700" w:type="dxa"/>
            <w:vAlign w:val="bottom"/>
            <w:tcBorders>
              <w:right w:val="single" w:sz="8" w:color="EAEAEA"/>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87"/>
              </w:rPr>
              <w:t>3/13/2019</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3,992***</w:t>
            </w:r>
          </w:p>
        </w:tc>
        <w:tc>
          <w:tcPr>
            <w:tcW w:w="120" w:type="dxa"/>
            <w:vAlign w:val="bottom"/>
            <w:shd w:val="clear" w:color="auto" w:fill="EAEAEA"/>
          </w:tcPr>
          <w:p>
            <w:pPr>
              <w:spacing w:after="0"/>
              <w:rPr>
                <w:sz w:val="7"/>
                <w:szCs w:val="7"/>
                <w:color w:val="auto"/>
              </w:rPr>
            </w:pPr>
          </w:p>
        </w:tc>
        <w:tc>
          <w:tcPr>
            <w:tcW w:w="54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7"/>
                <w:szCs w:val="7"/>
                <w:color w:val="auto"/>
              </w:rPr>
            </w:pPr>
          </w:p>
        </w:tc>
        <w:tc>
          <w:tcPr>
            <w:tcW w:w="98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7"/>
                <w:szCs w:val="7"/>
                <w:color w:val="auto"/>
              </w:rPr>
            </w:pPr>
          </w:p>
        </w:tc>
        <w:tc>
          <w:tcPr>
            <w:tcW w:w="52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7"/>
                <w:szCs w:val="7"/>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6"/>
                <w:szCs w:val="16"/>
                <w:color w:val="auto"/>
              </w:rPr>
              <w:t>2.42</w:t>
            </w:r>
          </w:p>
        </w:tc>
        <w:tc>
          <w:tcPr>
            <w:tcW w:w="140" w:type="dxa"/>
            <w:vAlign w:val="bottom"/>
            <w:shd w:val="clear" w:color="auto" w:fill="EAEAEA"/>
          </w:tcPr>
          <w:p>
            <w:pPr>
              <w:spacing w:after="0"/>
              <w:rPr>
                <w:sz w:val="7"/>
                <w:szCs w:val="7"/>
                <w:color w:val="auto"/>
              </w:rPr>
            </w:pPr>
          </w:p>
        </w:tc>
        <w:tc>
          <w:tcPr>
            <w:tcW w:w="520" w:type="dxa"/>
            <w:vAlign w:val="bottom"/>
            <w:vMerge w:val="restart"/>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shd w:val="clear" w:color="auto" w:fill="EAEAEA"/>
          </w:tcPr>
          <w:p>
            <w:pPr>
              <w:spacing w:after="0"/>
              <w:rPr>
                <w:sz w:val="7"/>
                <w:szCs w:val="7"/>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6"/>
                <w:szCs w:val="16"/>
                <w:color w:val="auto"/>
              </w:rPr>
              <w:t>92.00</w:t>
            </w:r>
          </w:p>
        </w:tc>
        <w:tc>
          <w:tcPr>
            <w:tcW w:w="120" w:type="dxa"/>
            <w:vAlign w:val="bottom"/>
            <w:shd w:val="clear" w:color="auto" w:fill="EAEAEA"/>
          </w:tcPr>
          <w:p>
            <w:pPr>
              <w:spacing w:after="0"/>
              <w:rPr>
                <w:sz w:val="7"/>
                <w:szCs w:val="7"/>
                <w:color w:val="auto"/>
              </w:rPr>
            </w:pPr>
          </w:p>
        </w:tc>
        <w:tc>
          <w:tcPr>
            <w:tcW w:w="10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813,170</w:t>
            </w:r>
          </w:p>
        </w:tc>
        <w:tc>
          <w:tcPr>
            <w:tcW w:w="80" w:type="dxa"/>
            <w:vAlign w:val="bottom"/>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0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Pietkiewicz</w:t>
            </w:r>
          </w:p>
        </w:tc>
        <w:tc>
          <w:tcPr>
            <w:tcW w:w="120" w:type="dxa"/>
            <w:vAlign w:val="bottom"/>
            <w:shd w:val="clear" w:color="auto" w:fill="EAEAEA"/>
          </w:tcPr>
          <w:p>
            <w:pPr>
              <w:spacing w:after="0"/>
              <w:rPr>
                <w:sz w:val="9"/>
                <w:szCs w:val="9"/>
                <w:color w:val="auto"/>
              </w:rPr>
            </w:pPr>
          </w:p>
        </w:tc>
        <w:tc>
          <w:tcPr>
            <w:tcW w:w="700" w:type="dxa"/>
            <w:vAlign w:val="bottom"/>
            <w:tcBorders>
              <w:right w:val="single" w:sz="8" w:color="EAEAEA"/>
            </w:tcBorders>
            <w:vMerge w:val="continue"/>
            <w:shd w:val="clear" w:color="auto" w:fill="EAEAEA"/>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shd w:val="clear" w:color="auto" w:fill="EAEAEA"/>
          </w:tcPr>
          <w:p>
            <w:pPr>
              <w:spacing w:after="0"/>
              <w:rPr>
                <w:sz w:val="9"/>
                <w:szCs w:val="9"/>
                <w:color w:val="auto"/>
              </w:rPr>
            </w:pPr>
          </w:p>
        </w:tc>
        <w:tc>
          <w:tcPr>
            <w:tcW w:w="540" w:type="dxa"/>
            <w:vAlign w:val="bottom"/>
            <w:vMerge w:val="continue"/>
            <w:shd w:val="clear" w:color="auto" w:fill="EAEAEA"/>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980" w:type="dxa"/>
            <w:vAlign w:val="bottom"/>
            <w:vMerge w:val="continue"/>
          </w:tcPr>
          <w:p>
            <w:pPr>
              <w:spacing w:after="0"/>
              <w:rPr>
                <w:sz w:val="9"/>
                <w:szCs w:val="9"/>
                <w:color w:val="auto"/>
              </w:rPr>
            </w:pPr>
          </w:p>
        </w:tc>
        <w:tc>
          <w:tcPr>
            <w:tcW w:w="180" w:type="dxa"/>
            <w:vAlign w:val="bottom"/>
            <w:shd w:val="clear" w:color="auto" w:fill="EAEAEA"/>
          </w:tcPr>
          <w:p>
            <w:pPr>
              <w:spacing w:after="0"/>
              <w:rPr>
                <w:sz w:val="9"/>
                <w:szCs w:val="9"/>
                <w:color w:val="auto"/>
              </w:rPr>
            </w:pPr>
          </w:p>
        </w:tc>
        <w:tc>
          <w:tcPr>
            <w:tcW w:w="520" w:type="dxa"/>
            <w:vAlign w:val="bottom"/>
            <w:vMerge w:val="continue"/>
            <w:shd w:val="clear" w:color="auto" w:fill="EAEAEA"/>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720" w:type="dxa"/>
            <w:vAlign w:val="bottom"/>
            <w:vMerge w:val="continue"/>
          </w:tcPr>
          <w:p>
            <w:pPr>
              <w:spacing w:after="0"/>
              <w:rPr>
                <w:sz w:val="9"/>
                <w:szCs w:val="9"/>
                <w:color w:val="auto"/>
              </w:rPr>
            </w:pPr>
          </w:p>
        </w:tc>
        <w:tc>
          <w:tcPr>
            <w:tcW w:w="140" w:type="dxa"/>
            <w:vAlign w:val="bottom"/>
            <w:shd w:val="clear" w:color="auto" w:fill="EAEAEA"/>
          </w:tcPr>
          <w:p>
            <w:pPr>
              <w:spacing w:after="0"/>
              <w:rPr>
                <w:sz w:val="9"/>
                <w:szCs w:val="9"/>
                <w:color w:val="auto"/>
              </w:rPr>
            </w:pPr>
          </w:p>
        </w:tc>
        <w:tc>
          <w:tcPr>
            <w:tcW w:w="520" w:type="dxa"/>
            <w:vAlign w:val="bottom"/>
            <w:vMerge w:val="continue"/>
            <w:shd w:val="clear" w:color="auto" w:fill="EAEAEA"/>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shd w:val="clear" w:color="auto" w:fill="EAEAEA"/>
          </w:tcPr>
          <w:p>
            <w:pPr>
              <w:spacing w:after="0"/>
              <w:rPr>
                <w:sz w:val="9"/>
                <w:szCs w:val="9"/>
                <w:color w:val="auto"/>
              </w:rPr>
            </w:pPr>
          </w:p>
        </w:tc>
        <w:tc>
          <w:tcPr>
            <w:tcW w:w="1000" w:type="dxa"/>
            <w:vAlign w:val="bottom"/>
            <w:vMerge w:val="continue"/>
            <w:shd w:val="clear" w:color="auto" w:fill="EAEAEA"/>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00" w:type="dxa"/>
            <w:vAlign w:val="bottom"/>
            <w:vMerge w:val="continue"/>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3/13/2019</w:t>
            </w: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17,676</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108.08</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26.32</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2.42</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2.00</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23.43</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6/17/2019</w:t>
            </w:r>
          </w:p>
        </w:tc>
        <w:tc>
          <w:tcPr>
            <w:tcW w:w="1120" w:type="dxa"/>
            <w:vAlign w:val="bottom"/>
          </w:tcPr>
          <w:p>
            <w:pPr>
              <w:jc w:val="right"/>
              <w:ind w:right="103"/>
              <w:spacing w:after="0"/>
              <w:rPr>
                <w:sz w:val="20"/>
                <w:szCs w:val="20"/>
                <w:color w:val="auto"/>
              </w:rPr>
            </w:pPr>
            <w:r>
              <w:rPr>
                <w:rFonts w:ascii="Arial" w:cs="Arial" w:eastAsia="Arial" w:hAnsi="Arial"/>
                <w:sz w:val="16"/>
                <w:szCs w:val="16"/>
                <w:color w:val="auto"/>
              </w:rPr>
              <w:t>3,849*</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1.83</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2.06</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99.85</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3/11/2020</w:t>
            </w:r>
          </w:p>
        </w:tc>
        <w:tc>
          <w:tcPr>
            <w:tcW w:w="1120" w:type="dxa"/>
            <w:vAlign w:val="bottom"/>
          </w:tcPr>
          <w:p>
            <w:pPr>
              <w:jc w:val="right"/>
              <w:ind w:right="103"/>
              <w:spacing w:after="0"/>
              <w:rPr>
                <w:sz w:val="20"/>
                <w:szCs w:val="20"/>
                <w:color w:val="auto"/>
              </w:rPr>
            </w:pPr>
            <w:r>
              <w:rPr>
                <w:rFonts w:ascii="Arial" w:cs="Arial" w:eastAsia="Arial" w:hAnsi="Arial"/>
                <w:sz w:val="16"/>
                <w:szCs w:val="16"/>
                <w:color w:val="auto"/>
              </w:rPr>
              <w:t>4,927*</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0.66</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2.63</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88.28</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3/11/2020</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4,927**</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27.99</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0.58</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2.59</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97.71</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962,834</w:t>
            </w: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3/11/2020</w:t>
            </w:r>
          </w:p>
        </w:tc>
        <w:tc>
          <w:tcPr>
            <w:tcW w:w="1120" w:type="dxa"/>
            <w:vAlign w:val="bottom"/>
          </w:tcPr>
          <w:p>
            <w:pPr>
              <w:jc w:val="right"/>
              <w:spacing w:after="0"/>
              <w:rPr>
                <w:sz w:val="20"/>
                <w:szCs w:val="20"/>
                <w:color w:val="auto"/>
              </w:rPr>
            </w:pPr>
            <w:r>
              <w:rPr>
                <w:rFonts w:ascii="Arial" w:cs="Arial" w:eastAsia="Arial" w:hAnsi="Arial"/>
                <w:sz w:val="16"/>
                <w:szCs w:val="16"/>
                <w:color w:val="auto"/>
              </w:rPr>
              <w:t>4,927***</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0.66</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2.63</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88.28</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869,911</w:t>
            </w: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54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52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EAEA"/>
          </w:tcPr>
          <w:p>
            <w:pPr>
              <w:spacing w:after="0"/>
              <w:rPr>
                <w:sz w:val="6"/>
                <w:szCs w:val="6"/>
                <w:color w:val="auto"/>
              </w:rPr>
            </w:pPr>
          </w:p>
        </w:tc>
        <w:tc>
          <w:tcPr>
            <w:tcW w:w="1000" w:type="dxa"/>
            <w:vAlign w:val="bottom"/>
            <w:tcBorders>
              <w:bottom w:val="single" w:sz="8" w:color="auto"/>
            </w:tcBorders>
            <w:shd w:val="clear" w:color="auto" w:fill="EAEAEA"/>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00" w:type="dxa"/>
            <w:vAlign w:val="bottom"/>
            <w:tcBorders>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3/11/2020</w:t>
            </w: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24,232</w:t>
            </w:r>
          </w:p>
        </w:tc>
        <w:tc>
          <w:tcPr>
            <w:tcW w:w="120" w:type="dxa"/>
            <w:vAlign w:val="bottom"/>
            <w:shd w:val="clear" w:color="auto" w:fill="EAEAEA"/>
          </w:tcPr>
          <w:p>
            <w:pPr>
              <w:spacing w:after="0"/>
              <w:rPr>
                <w:sz w:val="16"/>
                <w:szCs w:val="16"/>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94.41</w:t>
            </w:r>
          </w:p>
        </w:tc>
        <w:tc>
          <w:tcPr>
            <w:tcW w:w="80" w:type="dxa"/>
            <w:vAlign w:val="bottom"/>
            <w:shd w:val="clear" w:color="auto" w:fill="EAEAEA"/>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29.49</w:t>
            </w:r>
          </w:p>
        </w:tc>
        <w:tc>
          <w:tcPr>
            <w:tcW w:w="180" w:type="dxa"/>
            <w:vAlign w:val="bottom"/>
            <w:shd w:val="clear" w:color="auto" w:fill="EAEAEA"/>
          </w:tcPr>
          <w:p>
            <w:pPr>
              <w:spacing w:after="0"/>
              <w:rPr>
                <w:sz w:val="16"/>
                <w:szCs w:val="16"/>
                <w:color w:val="auto"/>
              </w:rPr>
            </w:pPr>
          </w:p>
        </w:tc>
        <w:tc>
          <w:tcPr>
            <w:tcW w:w="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EAEAEA"/>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0.66</w:t>
            </w:r>
          </w:p>
        </w:tc>
        <w:tc>
          <w:tcPr>
            <w:tcW w:w="140" w:type="dxa"/>
            <w:vAlign w:val="bottom"/>
            <w:shd w:val="clear" w:color="auto" w:fill="EAEAEA"/>
          </w:tcPr>
          <w:p>
            <w:pPr>
              <w:spacing w:after="0"/>
              <w:rPr>
                <w:sz w:val="16"/>
                <w:szCs w:val="16"/>
                <w:color w:val="auto"/>
              </w:rPr>
            </w:pPr>
          </w:p>
        </w:tc>
        <w:tc>
          <w:tcPr>
            <w:tcW w:w="520" w:type="dxa"/>
            <w:vAlign w:val="bottom"/>
            <w:shd w:val="clear" w:color="auto" w:fill="EAEAEA"/>
          </w:tcPr>
          <w:p>
            <w:pPr>
              <w:ind w:left="260"/>
              <w:spacing w:after="0"/>
              <w:rPr>
                <w:sz w:val="20"/>
                <w:szCs w:val="20"/>
                <w:color w:val="auto"/>
              </w:rPr>
            </w:pPr>
            <w:r>
              <w:rPr>
                <w:rFonts w:ascii="Arial" w:cs="Arial" w:eastAsia="Arial" w:hAnsi="Arial"/>
                <w:sz w:val="16"/>
                <w:szCs w:val="16"/>
                <w:color w:val="auto"/>
                <w:w w:val="76"/>
              </w:rPr>
              <w:t>2.63</w:t>
            </w:r>
          </w:p>
        </w:tc>
        <w:tc>
          <w:tcPr>
            <w:tcW w:w="80" w:type="dxa"/>
            <w:vAlign w:val="bottom"/>
            <w:shd w:val="clear" w:color="auto" w:fill="EAEAEA"/>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18.46</w:t>
            </w:r>
          </w:p>
        </w:tc>
        <w:tc>
          <w:tcPr>
            <w:tcW w:w="12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00" w:type="dxa"/>
            <w:vAlign w:val="bottom"/>
            <w:tcBorders>
              <w:bottom w:val="single" w:sz="8" w:color="0066BA"/>
            </w:tcBorders>
          </w:tcPr>
          <w:p>
            <w:pPr>
              <w:spacing w:after="0"/>
              <w:rPr>
                <w:sz w:val="6"/>
                <w:szCs w:val="6"/>
                <w:color w:val="auto"/>
              </w:rPr>
            </w:pPr>
          </w:p>
        </w:tc>
        <w:tc>
          <w:tcPr>
            <w:tcW w:w="120" w:type="dxa"/>
            <w:vAlign w:val="bottom"/>
            <w:tcBorders>
              <w:bottom w:val="single" w:sz="8" w:color="0066BA"/>
            </w:tcBorders>
            <w:shd w:val="clear" w:color="auto" w:fill="EAEAEA"/>
          </w:tcPr>
          <w:p>
            <w:pPr>
              <w:spacing w:after="0"/>
              <w:rPr>
                <w:sz w:val="6"/>
                <w:szCs w:val="6"/>
                <w:color w:val="auto"/>
              </w:rPr>
            </w:pPr>
          </w:p>
        </w:tc>
        <w:tc>
          <w:tcPr>
            <w:tcW w:w="700" w:type="dxa"/>
            <w:vAlign w:val="bottom"/>
            <w:tcBorders>
              <w:bottom w:val="single" w:sz="8" w:color="0066BA"/>
              <w:right w:val="single" w:sz="8" w:color="EAEAEA"/>
            </w:tcBorders>
            <w:shd w:val="clear" w:color="auto" w:fill="EAEAEA"/>
          </w:tcPr>
          <w:p>
            <w:pPr>
              <w:spacing w:after="0"/>
              <w:rPr>
                <w:sz w:val="6"/>
                <w:szCs w:val="6"/>
                <w:color w:val="auto"/>
              </w:rPr>
            </w:pPr>
          </w:p>
        </w:tc>
        <w:tc>
          <w:tcPr>
            <w:tcW w:w="1120" w:type="dxa"/>
            <w:vAlign w:val="bottom"/>
            <w:tcBorders>
              <w:bottom w:val="single" w:sz="8" w:color="0066BA"/>
            </w:tcBorders>
          </w:tcPr>
          <w:p>
            <w:pPr>
              <w:spacing w:after="0"/>
              <w:rPr>
                <w:sz w:val="6"/>
                <w:szCs w:val="6"/>
                <w:color w:val="auto"/>
              </w:rPr>
            </w:pPr>
          </w:p>
        </w:tc>
        <w:tc>
          <w:tcPr>
            <w:tcW w:w="120" w:type="dxa"/>
            <w:vAlign w:val="bottom"/>
            <w:tcBorders>
              <w:bottom w:val="single" w:sz="8" w:color="0066BA"/>
            </w:tcBorders>
            <w:shd w:val="clear" w:color="auto" w:fill="EAEAEA"/>
          </w:tcPr>
          <w:p>
            <w:pPr>
              <w:spacing w:after="0"/>
              <w:rPr>
                <w:sz w:val="6"/>
                <w:szCs w:val="6"/>
                <w:color w:val="auto"/>
              </w:rPr>
            </w:pPr>
          </w:p>
        </w:tc>
        <w:tc>
          <w:tcPr>
            <w:tcW w:w="540" w:type="dxa"/>
            <w:vAlign w:val="bottom"/>
            <w:tcBorders>
              <w:bottom w:val="single" w:sz="8" w:color="0066BA"/>
            </w:tcBorders>
            <w:shd w:val="clear" w:color="auto" w:fill="EAEAEA"/>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980" w:type="dxa"/>
            <w:vAlign w:val="bottom"/>
            <w:tcBorders>
              <w:bottom w:val="single" w:sz="8" w:color="0066BA"/>
            </w:tcBorders>
          </w:tcPr>
          <w:p>
            <w:pPr>
              <w:spacing w:after="0"/>
              <w:rPr>
                <w:sz w:val="6"/>
                <w:szCs w:val="6"/>
                <w:color w:val="auto"/>
              </w:rPr>
            </w:pPr>
          </w:p>
        </w:tc>
        <w:tc>
          <w:tcPr>
            <w:tcW w:w="180" w:type="dxa"/>
            <w:vAlign w:val="bottom"/>
            <w:tcBorders>
              <w:bottom w:val="single" w:sz="8" w:color="0066BA"/>
            </w:tcBorders>
            <w:shd w:val="clear" w:color="auto" w:fill="EAEAEA"/>
          </w:tcPr>
          <w:p>
            <w:pPr>
              <w:spacing w:after="0"/>
              <w:rPr>
                <w:sz w:val="6"/>
                <w:szCs w:val="6"/>
                <w:color w:val="auto"/>
              </w:rPr>
            </w:pPr>
          </w:p>
        </w:tc>
        <w:tc>
          <w:tcPr>
            <w:tcW w:w="520" w:type="dxa"/>
            <w:vAlign w:val="bottom"/>
            <w:tcBorders>
              <w:bottom w:val="single" w:sz="8" w:color="0066BA"/>
            </w:tcBorders>
            <w:shd w:val="clear" w:color="auto" w:fill="EAEAEA"/>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720" w:type="dxa"/>
            <w:vAlign w:val="bottom"/>
            <w:tcBorders>
              <w:bottom w:val="single" w:sz="8" w:color="0066BA"/>
            </w:tcBorders>
          </w:tcPr>
          <w:p>
            <w:pPr>
              <w:spacing w:after="0"/>
              <w:rPr>
                <w:sz w:val="6"/>
                <w:szCs w:val="6"/>
                <w:color w:val="auto"/>
              </w:rPr>
            </w:pPr>
          </w:p>
        </w:tc>
        <w:tc>
          <w:tcPr>
            <w:tcW w:w="140" w:type="dxa"/>
            <w:vAlign w:val="bottom"/>
            <w:tcBorders>
              <w:bottom w:val="single" w:sz="8" w:color="0066BA"/>
            </w:tcBorders>
            <w:shd w:val="clear" w:color="auto" w:fill="EAEAEA"/>
          </w:tcPr>
          <w:p>
            <w:pPr>
              <w:spacing w:after="0"/>
              <w:rPr>
                <w:sz w:val="6"/>
                <w:szCs w:val="6"/>
                <w:color w:val="auto"/>
              </w:rPr>
            </w:pPr>
          </w:p>
        </w:tc>
        <w:tc>
          <w:tcPr>
            <w:tcW w:w="520" w:type="dxa"/>
            <w:vAlign w:val="bottom"/>
            <w:tcBorders>
              <w:bottom w:val="single" w:sz="8" w:color="0066BA"/>
            </w:tcBorders>
            <w:shd w:val="clear" w:color="auto" w:fill="EAEAEA"/>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tcPr>
          <w:p>
            <w:pPr>
              <w:spacing w:after="0"/>
              <w:rPr>
                <w:sz w:val="6"/>
                <w:szCs w:val="6"/>
                <w:color w:val="auto"/>
              </w:rPr>
            </w:pPr>
          </w:p>
        </w:tc>
        <w:tc>
          <w:tcPr>
            <w:tcW w:w="120" w:type="dxa"/>
            <w:vAlign w:val="bottom"/>
            <w:tcBorders>
              <w:bottom w:val="single" w:sz="8" w:color="0066BA"/>
            </w:tcBorders>
            <w:shd w:val="clear" w:color="auto" w:fill="EAEAEA"/>
          </w:tcPr>
          <w:p>
            <w:pPr>
              <w:spacing w:after="0"/>
              <w:rPr>
                <w:sz w:val="6"/>
                <w:szCs w:val="6"/>
                <w:color w:val="auto"/>
              </w:rPr>
            </w:pPr>
          </w:p>
        </w:tc>
        <w:tc>
          <w:tcPr>
            <w:tcW w:w="1000" w:type="dxa"/>
            <w:vAlign w:val="bottom"/>
            <w:tcBorders>
              <w:bottom w:val="single" w:sz="8" w:color="0066BA"/>
            </w:tcBorders>
            <w:shd w:val="clear" w:color="auto" w:fill="EAEAEA"/>
          </w:tcPr>
          <w:p>
            <w:pPr>
              <w:spacing w:after="0"/>
              <w:rPr>
                <w:sz w:val="6"/>
                <w:szCs w:val="6"/>
                <w:color w:val="auto"/>
              </w:rPr>
            </w:pPr>
          </w:p>
        </w:tc>
        <w:tc>
          <w:tcPr>
            <w:tcW w:w="80" w:type="dxa"/>
            <w:vAlign w:val="bottom"/>
            <w:tcBorders>
              <w:bottom w:val="single" w:sz="8" w:color="0066BA"/>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bl>
    <w:p>
      <w:pPr>
        <w:ind w:left="780"/>
        <w:spacing w:after="0" w:line="255" w:lineRule="auto"/>
        <w:rPr>
          <w:sz w:val="20"/>
          <w:szCs w:val="20"/>
          <w:color w:val="auto"/>
        </w:rPr>
      </w:pPr>
      <w:r>
        <w:rPr>
          <w:rFonts w:ascii="Arial" w:cs="Arial" w:eastAsia="Arial" w:hAnsi="Arial"/>
          <w:sz w:val="17"/>
          <w:szCs w:val="17"/>
          <w:color w:val="auto"/>
        </w:rPr>
        <w:t>Entries above with single asterisks (*) are time-based RSUs, entries with double asterisks (**) are relative TSR PRSUs, entries with triple asterisks (***) are financial metric PRSUs and entries without asterisks are stock options. The grant date fair value of time-based RSUs represents the value of our common stock on the date of grant, reduced by the present value of dividends expected to be paid on our common stock prior to vesting. The grant date fair value of the relative TSR PRSUs was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of the financial metric PRSUs represents the value at the grant date based upon the probable outcome of the performance conditions at the date of grant. The grant date fair value of stock options is computed using a Black-Scholes valuation methodology. For a more detailed description of the assumptions used for purposes of determining grant date fair value, see Note 3 to the Consolidated Financial Statements and “Management’s Discussion and Analysis of Financial Condition and Results of Operations—Critical Accounting Policies and Estimates—Stock-Based Compensation,” included in our Annual Report on Form 10-K for the year ended October 31, 2020.</w:t>
      </w:r>
    </w:p>
    <w:p>
      <w:pPr>
        <w:spacing w:after="0" w:line="6" w:lineRule="exact"/>
        <w:rPr>
          <w:sz w:val="20"/>
          <w:szCs w:val="20"/>
          <w:color w:val="auto"/>
        </w:rPr>
      </w:pPr>
    </w:p>
    <w:p>
      <w:pPr>
        <w:ind w:left="780" w:right="560" w:hanging="305"/>
        <w:spacing w:after="0" w:line="271" w:lineRule="auto"/>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Reflects the amounts earned under our executive performance incentive plan in fiscal 2020, 2019 and 2018, paid on a semi-annual basis following the end of the second and fourth quarters of each fiscal year.</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0760"/>
          </w:cols>
          <w:pgMar w:left="320" w:top="447" w:right="81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(3) The amounts shown in the “All Other Compensation” column are comprised of the following:</w:t>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158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Name</w:t>
            </w:r>
          </w:p>
        </w:tc>
        <w:tc>
          <w:tcPr>
            <w:tcW w:w="100" w:type="dxa"/>
            <w:vAlign w:val="bottom"/>
            <w:shd w:val="clear" w:color="auto" w:fill="0066BA"/>
          </w:tcPr>
          <w:p>
            <w:pPr>
              <w:spacing w:after="0"/>
              <w:rPr>
                <w:sz w:val="14"/>
                <w:szCs w:val="14"/>
                <w:color w:val="auto"/>
              </w:rPr>
            </w:pPr>
          </w:p>
        </w:tc>
        <w:tc>
          <w:tcPr>
            <w:tcW w:w="460" w:type="dxa"/>
            <w:vAlign w:val="bottom"/>
            <w:gridSpan w:val="3"/>
            <w:shd w:val="clear" w:color="auto" w:fill="0066BA"/>
          </w:tcPr>
          <w:p>
            <w:pPr>
              <w:jc w:val="right"/>
              <w:ind w:right="60"/>
              <w:spacing w:after="0"/>
              <w:rPr>
                <w:sz w:val="20"/>
                <w:szCs w:val="20"/>
                <w:color w:val="auto"/>
              </w:rPr>
            </w:pPr>
            <w:r>
              <w:rPr>
                <w:rFonts w:ascii="Arial" w:cs="Arial" w:eastAsia="Arial" w:hAnsi="Arial"/>
                <w:sz w:val="14"/>
                <w:szCs w:val="14"/>
                <w:b w:val="1"/>
                <w:bCs w:val="1"/>
                <w:color w:val="FFFFFF"/>
                <w:w w:val="95"/>
              </w:rPr>
              <w:t>Fiscal</w:t>
            </w:r>
          </w:p>
        </w:tc>
        <w:tc>
          <w:tcPr>
            <w:tcW w:w="980" w:type="dxa"/>
            <w:vAlign w:val="bottom"/>
            <w:gridSpan w:val="2"/>
            <w:shd w:val="clear" w:color="auto" w:fill="0066BA"/>
          </w:tcPr>
          <w:p>
            <w:pPr>
              <w:jc w:val="right"/>
              <w:ind w:right="80"/>
              <w:spacing w:after="0"/>
              <w:rPr>
                <w:sz w:val="20"/>
                <w:szCs w:val="20"/>
                <w:color w:val="auto"/>
              </w:rPr>
            </w:pPr>
            <w:r>
              <w:rPr>
                <w:rFonts w:ascii="Arial" w:cs="Arial" w:eastAsia="Arial" w:hAnsi="Arial"/>
                <w:sz w:val="14"/>
                <w:szCs w:val="14"/>
                <w:b w:val="1"/>
                <w:bCs w:val="1"/>
                <w:color w:val="FFFFFF"/>
              </w:rPr>
              <w:t>Company</w:t>
            </w:r>
          </w:p>
        </w:tc>
        <w:tc>
          <w:tcPr>
            <w:tcW w:w="720" w:type="dxa"/>
            <w:vAlign w:val="bottom"/>
            <w:gridSpan w:val="4"/>
            <w:shd w:val="clear" w:color="auto" w:fill="0066BA"/>
          </w:tcPr>
          <w:p>
            <w:pPr>
              <w:jc w:val="right"/>
              <w:ind w:right="40"/>
              <w:spacing w:after="0"/>
              <w:rPr>
                <w:sz w:val="20"/>
                <w:szCs w:val="20"/>
                <w:color w:val="auto"/>
              </w:rPr>
            </w:pPr>
            <w:r>
              <w:rPr>
                <w:rFonts w:ascii="Arial" w:cs="Arial" w:eastAsia="Arial" w:hAnsi="Arial"/>
                <w:sz w:val="14"/>
                <w:szCs w:val="14"/>
                <w:b w:val="1"/>
                <w:bCs w:val="1"/>
                <w:color w:val="FFFFFF"/>
                <w:w w:val="99"/>
              </w:rPr>
              <w:t>Employee</w:t>
            </w:r>
          </w:p>
        </w:tc>
        <w:tc>
          <w:tcPr>
            <w:tcW w:w="780" w:type="dxa"/>
            <w:vAlign w:val="bottom"/>
            <w:gridSpan w:val="3"/>
            <w:shd w:val="clear" w:color="auto" w:fill="0066BA"/>
          </w:tcPr>
          <w:p>
            <w:pPr>
              <w:jc w:val="right"/>
              <w:ind w:right="80"/>
              <w:spacing w:after="0"/>
              <w:rPr>
                <w:sz w:val="20"/>
                <w:szCs w:val="20"/>
                <w:color w:val="auto"/>
              </w:rPr>
            </w:pPr>
            <w:r>
              <w:rPr>
                <w:rFonts w:ascii="Arial" w:cs="Arial" w:eastAsia="Arial" w:hAnsi="Arial"/>
                <w:sz w:val="14"/>
                <w:szCs w:val="14"/>
                <w:b w:val="1"/>
                <w:bCs w:val="1"/>
                <w:color w:val="FFFFFF"/>
              </w:rPr>
              <w:t>Executive</w:t>
            </w:r>
          </w:p>
        </w:tc>
        <w:tc>
          <w:tcPr>
            <w:tcW w:w="780" w:type="dxa"/>
            <w:vAlign w:val="bottom"/>
            <w:gridSpan w:val="4"/>
            <w:shd w:val="clear" w:color="auto" w:fill="0066BA"/>
          </w:tcPr>
          <w:p>
            <w:pPr>
              <w:jc w:val="center"/>
              <w:ind w:right="40"/>
              <w:spacing w:after="0"/>
              <w:rPr>
                <w:sz w:val="20"/>
                <w:szCs w:val="20"/>
                <w:color w:val="auto"/>
              </w:rPr>
            </w:pPr>
            <w:r>
              <w:rPr>
                <w:rFonts w:ascii="Arial" w:cs="Arial" w:eastAsia="Arial" w:hAnsi="Arial"/>
                <w:sz w:val="14"/>
                <w:szCs w:val="14"/>
                <w:b w:val="1"/>
                <w:bCs w:val="1"/>
                <w:color w:val="FFFFFF"/>
                <w:w w:val="97"/>
              </w:rPr>
              <w:t>Healthcare</w:t>
            </w:r>
          </w:p>
        </w:tc>
        <w:tc>
          <w:tcPr>
            <w:tcW w:w="980" w:type="dxa"/>
            <w:vAlign w:val="bottom"/>
            <w:gridSpan w:val="3"/>
            <w:shd w:val="clear" w:color="auto" w:fill="0066BA"/>
          </w:tcPr>
          <w:p>
            <w:pPr>
              <w:jc w:val="right"/>
              <w:ind w:right="80"/>
              <w:spacing w:after="0"/>
              <w:rPr>
                <w:sz w:val="20"/>
                <w:szCs w:val="20"/>
                <w:color w:val="auto"/>
              </w:rPr>
            </w:pPr>
            <w:r>
              <w:rPr>
                <w:rFonts w:ascii="Arial" w:cs="Arial" w:eastAsia="Arial" w:hAnsi="Arial"/>
                <w:sz w:val="14"/>
                <w:szCs w:val="14"/>
                <w:b w:val="1"/>
                <w:bCs w:val="1"/>
                <w:color w:val="FFFFFF"/>
              </w:rPr>
              <w:t>Relocation</w:t>
            </w:r>
          </w:p>
        </w:tc>
        <w:tc>
          <w:tcPr>
            <w:tcW w:w="860" w:type="dxa"/>
            <w:vAlign w:val="bottom"/>
            <w:gridSpan w:val="4"/>
            <w:shd w:val="clear" w:color="auto" w:fill="0066BA"/>
          </w:tcPr>
          <w:p>
            <w:pPr>
              <w:jc w:val="right"/>
              <w:ind w:right="60"/>
              <w:spacing w:after="0"/>
              <w:rPr>
                <w:sz w:val="20"/>
                <w:szCs w:val="20"/>
                <w:color w:val="auto"/>
              </w:rPr>
            </w:pPr>
            <w:r>
              <w:rPr>
                <w:rFonts w:ascii="Arial" w:cs="Arial" w:eastAsia="Arial" w:hAnsi="Arial"/>
                <w:sz w:val="14"/>
                <w:szCs w:val="14"/>
                <w:b w:val="1"/>
                <w:bCs w:val="1"/>
                <w:color w:val="FFFFFF"/>
              </w:rPr>
              <w:t>Expatriate</w:t>
            </w:r>
          </w:p>
        </w:tc>
        <w:tc>
          <w:tcPr>
            <w:tcW w:w="140" w:type="dxa"/>
            <w:vAlign w:val="bottom"/>
            <w:shd w:val="clear" w:color="auto" w:fill="0066BA"/>
          </w:tcPr>
          <w:p>
            <w:pPr>
              <w:spacing w:after="0"/>
              <w:rPr>
                <w:sz w:val="14"/>
                <w:szCs w:val="14"/>
                <w:color w:val="auto"/>
              </w:rPr>
            </w:pPr>
          </w:p>
        </w:tc>
        <w:tc>
          <w:tcPr>
            <w:tcW w:w="600" w:type="dxa"/>
            <w:vAlign w:val="bottom"/>
            <w:gridSpan w:val="2"/>
            <w:shd w:val="clear" w:color="auto" w:fill="0066BA"/>
          </w:tcPr>
          <w:p>
            <w:pPr>
              <w:jc w:val="right"/>
              <w:ind w:right="80"/>
              <w:spacing w:after="0"/>
              <w:rPr>
                <w:sz w:val="20"/>
                <w:szCs w:val="20"/>
                <w:color w:val="auto"/>
              </w:rPr>
            </w:pPr>
            <w:r>
              <w:rPr>
                <w:rFonts w:ascii="Arial" w:cs="Arial" w:eastAsia="Arial" w:hAnsi="Arial"/>
                <w:sz w:val="14"/>
                <w:szCs w:val="14"/>
                <w:b w:val="1"/>
                <w:bCs w:val="1"/>
                <w:color w:val="FFFFFF"/>
              </w:rPr>
              <w:t>Cash</w:t>
            </w:r>
          </w:p>
        </w:tc>
        <w:tc>
          <w:tcPr>
            <w:tcW w:w="80" w:type="dxa"/>
            <w:vAlign w:val="bottom"/>
            <w:shd w:val="clear" w:color="auto" w:fill="0066BA"/>
          </w:tcPr>
          <w:p>
            <w:pPr>
              <w:spacing w:after="0"/>
              <w:rPr>
                <w:sz w:val="14"/>
                <w:szCs w:val="14"/>
                <w:color w:val="auto"/>
              </w:rPr>
            </w:pPr>
          </w:p>
        </w:tc>
        <w:tc>
          <w:tcPr>
            <w:tcW w:w="80" w:type="dxa"/>
            <w:vAlign w:val="bottom"/>
            <w:shd w:val="clear" w:color="auto" w:fill="0066BA"/>
          </w:tcPr>
          <w:p>
            <w:pPr>
              <w:spacing w:after="0"/>
              <w:rPr>
                <w:sz w:val="14"/>
                <w:szCs w:val="14"/>
                <w:color w:val="auto"/>
              </w:rPr>
            </w:pPr>
          </w:p>
        </w:tc>
        <w:tc>
          <w:tcPr>
            <w:tcW w:w="480" w:type="dxa"/>
            <w:vAlign w:val="bottom"/>
            <w:gridSpan w:val="2"/>
            <w:shd w:val="clear" w:color="auto" w:fill="0066BA"/>
          </w:tcPr>
          <w:p>
            <w:pPr>
              <w:jc w:val="right"/>
              <w:ind w:right="40"/>
              <w:spacing w:after="0"/>
              <w:rPr>
                <w:sz w:val="20"/>
                <w:szCs w:val="20"/>
                <w:color w:val="auto"/>
              </w:rPr>
            </w:pPr>
            <w:r>
              <w:rPr>
                <w:rFonts w:ascii="Arial" w:cs="Arial" w:eastAsia="Arial" w:hAnsi="Arial"/>
                <w:sz w:val="14"/>
                <w:szCs w:val="14"/>
                <w:b w:val="1"/>
                <w:bCs w:val="1"/>
                <w:color w:val="FFFFFF"/>
              </w:rPr>
              <w:t>Tax</w:t>
            </w:r>
          </w:p>
        </w:tc>
        <w:tc>
          <w:tcPr>
            <w:tcW w:w="840" w:type="dxa"/>
            <w:vAlign w:val="bottom"/>
            <w:gridSpan w:val="3"/>
            <w:shd w:val="clear" w:color="auto" w:fill="0066BA"/>
          </w:tcPr>
          <w:p>
            <w:pPr>
              <w:jc w:val="right"/>
              <w:ind w:right="100"/>
              <w:spacing w:after="0"/>
              <w:rPr>
                <w:sz w:val="20"/>
                <w:szCs w:val="20"/>
                <w:color w:val="auto"/>
              </w:rPr>
            </w:pPr>
            <w:r>
              <w:rPr>
                <w:rFonts w:ascii="Arial" w:cs="Arial" w:eastAsia="Arial" w:hAnsi="Arial"/>
                <w:sz w:val="14"/>
                <w:szCs w:val="14"/>
                <w:b w:val="1"/>
                <w:bCs w:val="1"/>
                <w:color w:val="FFFFFF"/>
              </w:rPr>
              <w:t>Vacation/</w:t>
            </w:r>
          </w:p>
        </w:tc>
        <w:tc>
          <w:tcPr>
            <w:tcW w:w="820" w:type="dxa"/>
            <w:vAlign w:val="bottom"/>
            <w:gridSpan w:val="3"/>
            <w:shd w:val="clear" w:color="auto" w:fill="0066BA"/>
          </w:tcPr>
          <w:p>
            <w:pPr>
              <w:jc w:val="right"/>
              <w:spacing w:after="0"/>
              <w:rPr>
                <w:sz w:val="20"/>
                <w:szCs w:val="20"/>
                <w:color w:val="auto"/>
              </w:rPr>
            </w:pPr>
            <w:r>
              <w:rPr>
                <w:rFonts w:ascii="Arial" w:cs="Arial" w:eastAsia="Arial" w:hAnsi="Arial"/>
                <w:sz w:val="14"/>
                <w:szCs w:val="14"/>
                <w:b w:val="1"/>
                <w:bCs w:val="1"/>
                <w:color w:val="FFFFFF"/>
              </w:rPr>
              <w:t>Dividend</w:t>
            </w:r>
          </w:p>
        </w:tc>
        <w:tc>
          <w:tcPr>
            <w:tcW w:w="0" w:type="dxa"/>
            <w:vAlign w:val="bottom"/>
          </w:tcPr>
          <w:p>
            <w:pPr>
              <w:spacing w:after="0"/>
              <w:rPr>
                <w:sz w:val="1"/>
                <w:szCs w:val="1"/>
                <w:color w:val="auto"/>
              </w:rPr>
            </w:pPr>
          </w:p>
        </w:tc>
      </w:tr>
      <w:tr>
        <w:trPr>
          <w:trHeight w:val="156"/>
        </w:trPr>
        <w:tc>
          <w:tcPr>
            <w:tcW w:w="1580" w:type="dxa"/>
            <w:vAlign w:val="bottom"/>
            <w:shd w:val="clear" w:color="auto" w:fill="0066BA"/>
          </w:tcPr>
          <w:p>
            <w:pPr>
              <w:spacing w:after="0"/>
              <w:rPr>
                <w:sz w:val="13"/>
                <w:szCs w:val="13"/>
                <w:color w:val="auto"/>
              </w:rPr>
            </w:pPr>
          </w:p>
        </w:tc>
        <w:tc>
          <w:tcPr>
            <w:tcW w:w="100" w:type="dxa"/>
            <w:vAlign w:val="bottom"/>
            <w:shd w:val="clear" w:color="auto" w:fill="0066BA"/>
          </w:tcPr>
          <w:p>
            <w:pPr>
              <w:spacing w:after="0"/>
              <w:rPr>
                <w:sz w:val="13"/>
                <w:szCs w:val="13"/>
                <w:color w:val="auto"/>
              </w:rPr>
            </w:pPr>
          </w:p>
        </w:tc>
        <w:tc>
          <w:tcPr>
            <w:tcW w:w="40" w:type="dxa"/>
            <w:vAlign w:val="bottom"/>
            <w:shd w:val="clear" w:color="auto" w:fill="0066BA"/>
          </w:tcPr>
          <w:p>
            <w:pPr>
              <w:spacing w:after="0"/>
              <w:rPr>
                <w:sz w:val="13"/>
                <w:szCs w:val="13"/>
                <w:color w:val="auto"/>
              </w:rPr>
            </w:pPr>
          </w:p>
        </w:tc>
        <w:tc>
          <w:tcPr>
            <w:tcW w:w="420" w:type="dxa"/>
            <w:vAlign w:val="bottom"/>
            <w:gridSpan w:val="2"/>
            <w:shd w:val="clear" w:color="auto" w:fill="0066BA"/>
          </w:tcPr>
          <w:p>
            <w:pPr>
              <w:jc w:val="right"/>
              <w:ind w:right="60"/>
              <w:spacing w:after="0" w:line="156" w:lineRule="exact"/>
              <w:rPr>
                <w:sz w:val="20"/>
                <w:szCs w:val="20"/>
                <w:color w:val="auto"/>
              </w:rPr>
            </w:pPr>
            <w:r>
              <w:rPr>
                <w:rFonts w:ascii="Arial" w:cs="Arial" w:eastAsia="Arial" w:hAnsi="Arial"/>
                <w:sz w:val="14"/>
                <w:szCs w:val="14"/>
                <w:b w:val="1"/>
                <w:bCs w:val="1"/>
                <w:color w:val="FFFFFF"/>
              </w:rPr>
              <w:t>Year</w:t>
            </w:r>
          </w:p>
        </w:tc>
        <w:tc>
          <w:tcPr>
            <w:tcW w:w="980" w:type="dxa"/>
            <w:vAlign w:val="bottom"/>
            <w:gridSpan w:val="2"/>
            <w:shd w:val="clear" w:color="auto" w:fill="0066BA"/>
          </w:tcPr>
          <w:p>
            <w:pPr>
              <w:jc w:val="right"/>
              <w:ind w:right="80"/>
              <w:spacing w:after="0" w:line="156" w:lineRule="exact"/>
              <w:rPr>
                <w:sz w:val="20"/>
                <w:szCs w:val="20"/>
                <w:color w:val="auto"/>
              </w:rPr>
            </w:pPr>
            <w:r>
              <w:rPr>
                <w:rFonts w:ascii="Arial" w:cs="Arial" w:eastAsia="Arial" w:hAnsi="Arial"/>
                <w:sz w:val="14"/>
                <w:szCs w:val="14"/>
                <w:b w:val="1"/>
                <w:bCs w:val="1"/>
                <w:color w:val="FFFFFF"/>
              </w:rPr>
              <w:t>401(k)</w:t>
            </w:r>
          </w:p>
        </w:tc>
        <w:tc>
          <w:tcPr>
            <w:tcW w:w="720" w:type="dxa"/>
            <w:vAlign w:val="bottom"/>
            <w:gridSpan w:val="4"/>
            <w:shd w:val="clear" w:color="auto" w:fill="0066BA"/>
          </w:tcPr>
          <w:p>
            <w:pPr>
              <w:jc w:val="right"/>
              <w:ind w:right="40"/>
              <w:spacing w:after="0" w:line="156" w:lineRule="exact"/>
              <w:rPr>
                <w:sz w:val="20"/>
                <w:szCs w:val="20"/>
                <w:color w:val="auto"/>
              </w:rPr>
            </w:pPr>
            <w:r>
              <w:rPr>
                <w:rFonts w:ascii="Arial" w:cs="Arial" w:eastAsia="Arial" w:hAnsi="Arial"/>
                <w:sz w:val="14"/>
                <w:szCs w:val="14"/>
                <w:b w:val="1"/>
                <w:bCs w:val="1"/>
                <w:color w:val="FFFFFF"/>
              </w:rPr>
              <w:t>Service</w:t>
            </w:r>
          </w:p>
        </w:tc>
        <w:tc>
          <w:tcPr>
            <w:tcW w:w="780" w:type="dxa"/>
            <w:vAlign w:val="bottom"/>
            <w:gridSpan w:val="3"/>
            <w:shd w:val="clear" w:color="auto" w:fill="0066BA"/>
          </w:tcPr>
          <w:p>
            <w:pPr>
              <w:ind w:left="280"/>
              <w:spacing w:after="0" w:line="156" w:lineRule="exact"/>
              <w:rPr>
                <w:sz w:val="20"/>
                <w:szCs w:val="20"/>
                <w:color w:val="auto"/>
              </w:rPr>
            </w:pPr>
            <w:r>
              <w:rPr>
                <w:rFonts w:ascii="Arial" w:cs="Arial" w:eastAsia="Arial" w:hAnsi="Arial"/>
                <w:sz w:val="14"/>
                <w:szCs w:val="14"/>
                <w:b w:val="1"/>
                <w:bCs w:val="1"/>
                <w:color w:val="FFFFFF"/>
              </w:rPr>
              <w:t>Health</w:t>
            </w:r>
          </w:p>
        </w:tc>
        <w:tc>
          <w:tcPr>
            <w:tcW w:w="780" w:type="dxa"/>
            <w:vAlign w:val="bottom"/>
            <w:gridSpan w:val="4"/>
            <w:shd w:val="clear" w:color="auto" w:fill="0066BA"/>
          </w:tcPr>
          <w:p>
            <w:pPr>
              <w:jc w:val="right"/>
              <w:ind w:right="60"/>
              <w:spacing w:after="0" w:line="156" w:lineRule="exact"/>
              <w:rPr>
                <w:sz w:val="20"/>
                <w:szCs w:val="20"/>
                <w:color w:val="auto"/>
              </w:rPr>
            </w:pPr>
            <w:r>
              <w:rPr>
                <w:rFonts w:ascii="Arial" w:cs="Arial" w:eastAsia="Arial" w:hAnsi="Arial"/>
                <w:sz w:val="14"/>
                <w:szCs w:val="14"/>
                <w:b w:val="1"/>
                <w:bCs w:val="1"/>
                <w:color w:val="FFFFFF"/>
              </w:rPr>
              <w:t>Savings</w:t>
            </w:r>
          </w:p>
        </w:tc>
        <w:tc>
          <w:tcPr>
            <w:tcW w:w="980" w:type="dxa"/>
            <w:vAlign w:val="bottom"/>
            <w:gridSpan w:val="3"/>
            <w:shd w:val="clear" w:color="auto" w:fill="0066BA"/>
          </w:tcPr>
          <w:p>
            <w:pPr>
              <w:jc w:val="right"/>
              <w:ind w:right="80"/>
              <w:spacing w:after="0" w:line="156" w:lineRule="exact"/>
              <w:rPr>
                <w:sz w:val="20"/>
                <w:szCs w:val="20"/>
                <w:color w:val="auto"/>
              </w:rPr>
            </w:pPr>
            <w:r>
              <w:rPr>
                <w:rFonts w:ascii="Arial" w:cs="Arial" w:eastAsia="Arial" w:hAnsi="Arial"/>
                <w:sz w:val="14"/>
                <w:szCs w:val="14"/>
                <w:b w:val="1"/>
                <w:bCs w:val="1"/>
                <w:color w:val="FFFFFF"/>
              </w:rPr>
              <w:t>Expenses (c)</w:t>
            </w:r>
          </w:p>
        </w:tc>
        <w:tc>
          <w:tcPr>
            <w:tcW w:w="860" w:type="dxa"/>
            <w:vAlign w:val="bottom"/>
            <w:gridSpan w:val="4"/>
            <w:shd w:val="clear" w:color="auto" w:fill="0066BA"/>
          </w:tcPr>
          <w:p>
            <w:pPr>
              <w:jc w:val="right"/>
              <w:ind w:right="60"/>
              <w:spacing w:after="0" w:line="156" w:lineRule="exact"/>
              <w:rPr>
                <w:sz w:val="20"/>
                <w:szCs w:val="20"/>
                <w:color w:val="auto"/>
              </w:rPr>
            </w:pPr>
            <w:r>
              <w:rPr>
                <w:rFonts w:ascii="Arial" w:cs="Arial" w:eastAsia="Arial" w:hAnsi="Arial"/>
                <w:sz w:val="14"/>
                <w:szCs w:val="14"/>
                <w:b w:val="1"/>
                <w:bCs w:val="1"/>
                <w:color w:val="FFFFFF"/>
                <w:w w:val="97"/>
              </w:rPr>
              <w:t>Assignment</w:t>
            </w:r>
          </w:p>
        </w:tc>
        <w:tc>
          <w:tcPr>
            <w:tcW w:w="140" w:type="dxa"/>
            <w:vAlign w:val="bottom"/>
            <w:shd w:val="clear" w:color="auto" w:fill="0066BA"/>
          </w:tcPr>
          <w:p>
            <w:pPr>
              <w:spacing w:after="0"/>
              <w:rPr>
                <w:sz w:val="13"/>
                <w:szCs w:val="13"/>
                <w:color w:val="auto"/>
              </w:rPr>
            </w:pPr>
          </w:p>
        </w:tc>
        <w:tc>
          <w:tcPr>
            <w:tcW w:w="600" w:type="dxa"/>
            <w:vAlign w:val="bottom"/>
            <w:gridSpan w:val="2"/>
            <w:shd w:val="clear" w:color="auto" w:fill="0066BA"/>
          </w:tcPr>
          <w:p>
            <w:pPr>
              <w:jc w:val="right"/>
              <w:ind w:right="80"/>
              <w:spacing w:after="0" w:line="156" w:lineRule="exact"/>
              <w:rPr>
                <w:sz w:val="20"/>
                <w:szCs w:val="20"/>
                <w:color w:val="auto"/>
              </w:rPr>
            </w:pPr>
            <w:r>
              <w:rPr>
                <w:rFonts w:ascii="Arial" w:cs="Arial" w:eastAsia="Arial" w:hAnsi="Arial"/>
                <w:sz w:val="14"/>
                <w:szCs w:val="14"/>
                <w:b w:val="1"/>
                <w:bCs w:val="1"/>
                <w:color w:val="FFFFFF"/>
                <w:w w:val="98"/>
              </w:rPr>
              <w:t>Awards</w:t>
            </w:r>
          </w:p>
        </w:tc>
        <w:tc>
          <w:tcPr>
            <w:tcW w:w="640" w:type="dxa"/>
            <w:vAlign w:val="bottom"/>
            <w:gridSpan w:val="4"/>
            <w:shd w:val="clear" w:color="auto" w:fill="0066BA"/>
          </w:tcPr>
          <w:p>
            <w:pPr>
              <w:jc w:val="right"/>
              <w:ind w:right="40"/>
              <w:spacing w:after="0" w:line="156" w:lineRule="exact"/>
              <w:rPr>
                <w:sz w:val="20"/>
                <w:szCs w:val="20"/>
                <w:color w:val="auto"/>
              </w:rPr>
            </w:pPr>
            <w:r>
              <w:rPr>
                <w:rFonts w:ascii="Arial" w:cs="Arial" w:eastAsia="Arial" w:hAnsi="Arial"/>
                <w:sz w:val="14"/>
                <w:szCs w:val="14"/>
                <w:b w:val="1"/>
                <w:bCs w:val="1"/>
                <w:color w:val="FFFFFF"/>
                <w:w w:val="98"/>
              </w:rPr>
              <w:t>Planning</w:t>
            </w:r>
          </w:p>
        </w:tc>
        <w:tc>
          <w:tcPr>
            <w:tcW w:w="840" w:type="dxa"/>
            <w:vAlign w:val="bottom"/>
            <w:gridSpan w:val="3"/>
            <w:shd w:val="clear" w:color="auto" w:fill="0066BA"/>
          </w:tcPr>
          <w:p>
            <w:pPr>
              <w:jc w:val="right"/>
              <w:ind w:right="100"/>
              <w:spacing w:after="0" w:line="156" w:lineRule="exact"/>
              <w:rPr>
                <w:sz w:val="20"/>
                <w:szCs w:val="20"/>
                <w:color w:val="auto"/>
              </w:rPr>
            </w:pPr>
            <w:r>
              <w:rPr>
                <w:rFonts w:ascii="Arial" w:cs="Arial" w:eastAsia="Arial" w:hAnsi="Arial"/>
                <w:sz w:val="14"/>
                <w:szCs w:val="14"/>
                <w:b w:val="1"/>
                <w:bCs w:val="1"/>
                <w:color w:val="FFFFFF"/>
              </w:rPr>
              <w:t>Sabbatical</w:t>
            </w:r>
          </w:p>
        </w:tc>
        <w:tc>
          <w:tcPr>
            <w:tcW w:w="820" w:type="dxa"/>
            <w:vAlign w:val="bottom"/>
            <w:gridSpan w:val="3"/>
            <w:shd w:val="clear" w:color="auto" w:fill="0066BA"/>
          </w:tcPr>
          <w:p>
            <w:pPr>
              <w:jc w:val="right"/>
              <w:spacing w:after="0" w:line="156" w:lineRule="exact"/>
              <w:rPr>
                <w:sz w:val="20"/>
                <w:szCs w:val="20"/>
                <w:color w:val="auto"/>
              </w:rPr>
            </w:pPr>
            <w:r>
              <w:rPr>
                <w:rFonts w:ascii="Arial" w:cs="Arial" w:eastAsia="Arial" w:hAnsi="Arial"/>
                <w:sz w:val="14"/>
                <w:szCs w:val="14"/>
                <w:b w:val="1"/>
                <w:bCs w:val="1"/>
                <w:color w:val="FFFFFF"/>
              </w:rPr>
              <w:t>Payments</w:t>
            </w:r>
          </w:p>
        </w:tc>
        <w:tc>
          <w:tcPr>
            <w:tcW w:w="0" w:type="dxa"/>
            <w:vAlign w:val="bottom"/>
          </w:tcPr>
          <w:p>
            <w:pPr>
              <w:spacing w:after="0"/>
              <w:rPr>
                <w:sz w:val="1"/>
                <w:szCs w:val="1"/>
                <w:color w:val="auto"/>
              </w:rPr>
            </w:pPr>
          </w:p>
        </w:tc>
      </w:tr>
      <w:tr>
        <w:trPr>
          <w:trHeight w:val="156"/>
        </w:trPr>
        <w:tc>
          <w:tcPr>
            <w:tcW w:w="1580" w:type="dxa"/>
            <w:vAlign w:val="bottom"/>
            <w:shd w:val="clear" w:color="auto" w:fill="0066BA"/>
          </w:tcPr>
          <w:p>
            <w:pPr>
              <w:spacing w:after="0"/>
              <w:rPr>
                <w:sz w:val="13"/>
                <w:szCs w:val="13"/>
                <w:color w:val="auto"/>
              </w:rPr>
            </w:pPr>
          </w:p>
        </w:tc>
        <w:tc>
          <w:tcPr>
            <w:tcW w:w="100" w:type="dxa"/>
            <w:vAlign w:val="bottom"/>
            <w:shd w:val="clear" w:color="auto" w:fill="0066BA"/>
          </w:tcPr>
          <w:p>
            <w:pPr>
              <w:spacing w:after="0"/>
              <w:rPr>
                <w:sz w:val="13"/>
                <w:szCs w:val="13"/>
                <w:color w:val="auto"/>
              </w:rPr>
            </w:pPr>
          </w:p>
        </w:tc>
        <w:tc>
          <w:tcPr>
            <w:tcW w:w="40" w:type="dxa"/>
            <w:vAlign w:val="bottom"/>
            <w:shd w:val="clear" w:color="auto" w:fill="0066BA"/>
          </w:tcPr>
          <w:p>
            <w:pPr>
              <w:spacing w:after="0"/>
              <w:rPr>
                <w:sz w:val="13"/>
                <w:szCs w:val="13"/>
                <w:color w:val="auto"/>
              </w:rPr>
            </w:pPr>
          </w:p>
        </w:tc>
        <w:tc>
          <w:tcPr>
            <w:tcW w:w="360" w:type="dxa"/>
            <w:vAlign w:val="bottom"/>
            <w:shd w:val="clear" w:color="auto" w:fill="0066BA"/>
          </w:tcPr>
          <w:p>
            <w:pPr>
              <w:spacing w:after="0"/>
              <w:rPr>
                <w:sz w:val="13"/>
                <w:szCs w:val="13"/>
                <w:color w:val="auto"/>
              </w:rPr>
            </w:pPr>
          </w:p>
        </w:tc>
        <w:tc>
          <w:tcPr>
            <w:tcW w:w="60" w:type="dxa"/>
            <w:vAlign w:val="bottom"/>
            <w:shd w:val="clear" w:color="auto" w:fill="0066BA"/>
          </w:tcPr>
          <w:p>
            <w:pPr>
              <w:spacing w:after="0"/>
              <w:rPr>
                <w:sz w:val="13"/>
                <w:szCs w:val="13"/>
                <w:color w:val="auto"/>
              </w:rPr>
            </w:pPr>
          </w:p>
        </w:tc>
        <w:tc>
          <w:tcPr>
            <w:tcW w:w="980" w:type="dxa"/>
            <w:vAlign w:val="bottom"/>
            <w:gridSpan w:val="2"/>
            <w:shd w:val="clear" w:color="auto" w:fill="0066BA"/>
          </w:tcPr>
          <w:p>
            <w:pPr>
              <w:jc w:val="right"/>
              <w:ind w:right="80"/>
              <w:spacing w:after="0" w:line="156" w:lineRule="exact"/>
              <w:rPr>
                <w:sz w:val="20"/>
                <w:szCs w:val="20"/>
                <w:color w:val="auto"/>
              </w:rPr>
            </w:pPr>
            <w:r>
              <w:rPr>
                <w:rFonts w:ascii="Arial" w:cs="Arial" w:eastAsia="Arial" w:hAnsi="Arial"/>
                <w:sz w:val="14"/>
                <w:szCs w:val="14"/>
                <w:b w:val="1"/>
                <w:bCs w:val="1"/>
                <w:color w:val="FFFFFF"/>
              </w:rPr>
              <w:t>and DCP</w:t>
            </w:r>
          </w:p>
        </w:tc>
        <w:tc>
          <w:tcPr>
            <w:tcW w:w="720" w:type="dxa"/>
            <w:vAlign w:val="bottom"/>
            <w:gridSpan w:val="4"/>
            <w:shd w:val="clear" w:color="auto" w:fill="0066BA"/>
          </w:tcPr>
          <w:p>
            <w:pPr>
              <w:jc w:val="right"/>
              <w:ind w:right="40"/>
              <w:spacing w:after="0" w:line="156" w:lineRule="exact"/>
              <w:rPr>
                <w:sz w:val="20"/>
                <w:szCs w:val="20"/>
                <w:color w:val="auto"/>
              </w:rPr>
            </w:pPr>
            <w:r>
              <w:rPr>
                <w:rFonts w:ascii="Arial" w:cs="Arial" w:eastAsia="Arial" w:hAnsi="Arial"/>
                <w:sz w:val="14"/>
                <w:szCs w:val="14"/>
                <w:b w:val="1"/>
                <w:bCs w:val="1"/>
                <w:color w:val="FFFFFF"/>
              </w:rPr>
              <w:t>Award (b)</w:t>
            </w:r>
          </w:p>
        </w:tc>
        <w:tc>
          <w:tcPr>
            <w:tcW w:w="780" w:type="dxa"/>
            <w:vAlign w:val="bottom"/>
            <w:gridSpan w:val="3"/>
            <w:shd w:val="clear" w:color="auto" w:fill="0066BA"/>
          </w:tcPr>
          <w:p>
            <w:pPr>
              <w:jc w:val="right"/>
              <w:ind w:right="80"/>
              <w:spacing w:after="0" w:line="156" w:lineRule="exact"/>
              <w:rPr>
                <w:sz w:val="20"/>
                <w:szCs w:val="20"/>
                <w:color w:val="auto"/>
              </w:rPr>
            </w:pPr>
            <w:r>
              <w:rPr>
                <w:rFonts w:ascii="Arial" w:cs="Arial" w:eastAsia="Arial" w:hAnsi="Arial"/>
                <w:sz w:val="14"/>
                <w:szCs w:val="14"/>
                <w:b w:val="1"/>
                <w:bCs w:val="1"/>
                <w:color w:val="FFFFFF"/>
              </w:rPr>
              <w:t>Services</w:t>
            </w:r>
          </w:p>
        </w:tc>
        <w:tc>
          <w:tcPr>
            <w:tcW w:w="780" w:type="dxa"/>
            <w:vAlign w:val="bottom"/>
            <w:gridSpan w:val="4"/>
            <w:shd w:val="clear" w:color="auto" w:fill="0066BA"/>
          </w:tcPr>
          <w:p>
            <w:pPr>
              <w:jc w:val="right"/>
              <w:ind w:right="60"/>
              <w:spacing w:after="0" w:line="156" w:lineRule="exact"/>
              <w:rPr>
                <w:sz w:val="20"/>
                <w:szCs w:val="20"/>
                <w:color w:val="auto"/>
              </w:rPr>
            </w:pPr>
            <w:r>
              <w:rPr>
                <w:rFonts w:ascii="Arial" w:cs="Arial" w:eastAsia="Arial" w:hAnsi="Arial"/>
                <w:sz w:val="14"/>
                <w:szCs w:val="14"/>
                <w:b w:val="1"/>
                <w:bCs w:val="1"/>
                <w:color w:val="FFFFFF"/>
              </w:rPr>
              <w:t>Account</w:t>
            </w:r>
          </w:p>
        </w:tc>
        <w:tc>
          <w:tcPr>
            <w:tcW w:w="380" w:type="dxa"/>
            <w:vAlign w:val="bottom"/>
            <w:shd w:val="clear" w:color="auto" w:fill="0066BA"/>
          </w:tcPr>
          <w:p>
            <w:pPr>
              <w:spacing w:after="0"/>
              <w:rPr>
                <w:sz w:val="13"/>
                <w:szCs w:val="13"/>
                <w:color w:val="auto"/>
              </w:rPr>
            </w:pPr>
          </w:p>
        </w:tc>
        <w:tc>
          <w:tcPr>
            <w:tcW w:w="500" w:type="dxa"/>
            <w:vAlign w:val="bottom"/>
            <w:shd w:val="clear" w:color="auto" w:fill="0066BA"/>
          </w:tcPr>
          <w:p>
            <w:pPr>
              <w:spacing w:after="0"/>
              <w:rPr>
                <w:sz w:val="13"/>
                <w:szCs w:val="13"/>
                <w:color w:val="auto"/>
              </w:rPr>
            </w:pPr>
          </w:p>
        </w:tc>
        <w:tc>
          <w:tcPr>
            <w:tcW w:w="100" w:type="dxa"/>
            <w:vAlign w:val="bottom"/>
            <w:shd w:val="clear" w:color="auto" w:fill="0066BA"/>
          </w:tcPr>
          <w:p>
            <w:pPr>
              <w:spacing w:after="0"/>
              <w:rPr>
                <w:sz w:val="13"/>
                <w:szCs w:val="13"/>
                <w:color w:val="auto"/>
              </w:rPr>
            </w:pPr>
          </w:p>
        </w:tc>
        <w:tc>
          <w:tcPr>
            <w:tcW w:w="860" w:type="dxa"/>
            <w:vAlign w:val="bottom"/>
            <w:gridSpan w:val="4"/>
            <w:shd w:val="clear" w:color="auto" w:fill="0066BA"/>
          </w:tcPr>
          <w:p>
            <w:pPr>
              <w:jc w:val="right"/>
              <w:ind w:right="60"/>
              <w:spacing w:after="0" w:line="156" w:lineRule="exact"/>
              <w:rPr>
                <w:sz w:val="20"/>
                <w:szCs w:val="20"/>
                <w:color w:val="auto"/>
              </w:rPr>
            </w:pPr>
            <w:r>
              <w:rPr>
                <w:rFonts w:ascii="Arial" w:cs="Arial" w:eastAsia="Arial" w:hAnsi="Arial"/>
                <w:sz w:val="14"/>
                <w:szCs w:val="14"/>
                <w:b w:val="1"/>
                <w:bCs w:val="1"/>
                <w:color w:val="FFFFFF"/>
                <w:w w:val="97"/>
              </w:rPr>
              <w:t>Payment (d)</w:t>
            </w:r>
          </w:p>
        </w:tc>
        <w:tc>
          <w:tcPr>
            <w:tcW w:w="140" w:type="dxa"/>
            <w:vAlign w:val="bottom"/>
            <w:shd w:val="clear" w:color="auto" w:fill="0066BA"/>
          </w:tcPr>
          <w:p>
            <w:pPr>
              <w:spacing w:after="0"/>
              <w:rPr>
                <w:sz w:val="13"/>
                <w:szCs w:val="13"/>
                <w:color w:val="auto"/>
              </w:rPr>
            </w:pPr>
          </w:p>
        </w:tc>
        <w:tc>
          <w:tcPr>
            <w:tcW w:w="500" w:type="dxa"/>
            <w:vAlign w:val="bottom"/>
            <w:shd w:val="clear" w:color="auto" w:fill="0066BA"/>
          </w:tcPr>
          <w:p>
            <w:pPr>
              <w:spacing w:after="0"/>
              <w:rPr>
                <w:sz w:val="13"/>
                <w:szCs w:val="13"/>
                <w:color w:val="auto"/>
              </w:rPr>
            </w:pPr>
          </w:p>
        </w:tc>
        <w:tc>
          <w:tcPr>
            <w:tcW w:w="10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420" w:type="dxa"/>
            <w:vAlign w:val="bottom"/>
            <w:shd w:val="clear" w:color="auto" w:fill="0066BA"/>
          </w:tcPr>
          <w:p>
            <w:pPr>
              <w:spacing w:after="0"/>
              <w:rPr>
                <w:sz w:val="13"/>
                <w:szCs w:val="13"/>
                <w:color w:val="auto"/>
              </w:rPr>
            </w:pPr>
          </w:p>
        </w:tc>
        <w:tc>
          <w:tcPr>
            <w:tcW w:w="60" w:type="dxa"/>
            <w:vAlign w:val="bottom"/>
            <w:shd w:val="clear" w:color="auto" w:fill="0066BA"/>
          </w:tcPr>
          <w:p>
            <w:pPr>
              <w:spacing w:after="0"/>
              <w:rPr>
                <w:sz w:val="13"/>
                <w:szCs w:val="13"/>
                <w:color w:val="auto"/>
              </w:rPr>
            </w:pPr>
          </w:p>
        </w:tc>
        <w:tc>
          <w:tcPr>
            <w:tcW w:w="840" w:type="dxa"/>
            <w:vAlign w:val="bottom"/>
            <w:gridSpan w:val="3"/>
            <w:shd w:val="clear" w:color="auto" w:fill="0066BA"/>
          </w:tcPr>
          <w:p>
            <w:pPr>
              <w:jc w:val="right"/>
              <w:ind w:right="100"/>
              <w:spacing w:after="0" w:line="156" w:lineRule="exact"/>
              <w:rPr>
                <w:sz w:val="20"/>
                <w:szCs w:val="20"/>
                <w:color w:val="auto"/>
              </w:rPr>
            </w:pPr>
            <w:r>
              <w:rPr>
                <w:rFonts w:ascii="Arial" w:cs="Arial" w:eastAsia="Arial" w:hAnsi="Arial"/>
                <w:sz w:val="14"/>
                <w:szCs w:val="14"/>
                <w:b w:val="1"/>
                <w:bCs w:val="1"/>
                <w:color w:val="FFFFFF"/>
              </w:rPr>
              <w:t>Payout (e)</w:t>
            </w:r>
          </w:p>
        </w:tc>
        <w:tc>
          <w:tcPr>
            <w:tcW w:w="820" w:type="dxa"/>
            <w:vAlign w:val="bottom"/>
            <w:gridSpan w:val="3"/>
            <w:shd w:val="clear" w:color="auto" w:fill="0066BA"/>
          </w:tcPr>
          <w:p>
            <w:pPr>
              <w:jc w:val="right"/>
              <w:spacing w:after="0" w:line="156" w:lineRule="exact"/>
              <w:rPr>
                <w:sz w:val="20"/>
                <w:szCs w:val="20"/>
                <w:color w:val="auto"/>
              </w:rPr>
            </w:pPr>
            <w:r>
              <w:rPr>
                <w:rFonts w:ascii="Arial" w:cs="Arial" w:eastAsia="Arial" w:hAnsi="Arial"/>
                <w:sz w:val="14"/>
                <w:szCs w:val="14"/>
                <w:b w:val="1"/>
                <w:bCs w:val="1"/>
                <w:color w:val="FFFFFF"/>
                <w:w w:val="97"/>
              </w:rPr>
              <w:t>on RSAs (f)</w:t>
            </w:r>
          </w:p>
        </w:tc>
        <w:tc>
          <w:tcPr>
            <w:tcW w:w="0" w:type="dxa"/>
            <w:vAlign w:val="bottom"/>
          </w:tcPr>
          <w:p>
            <w:pPr>
              <w:spacing w:after="0"/>
              <w:rPr>
                <w:sz w:val="1"/>
                <w:szCs w:val="1"/>
                <w:color w:val="auto"/>
              </w:rPr>
            </w:pPr>
          </w:p>
        </w:tc>
      </w:tr>
      <w:tr>
        <w:trPr>
          <w:trHeight w:val="182"/>
        </w:trPr>
        <w:tc>
          <w:tcPr>
            <w:tcW w:w="1580" w:type="dxa"/>
            <w:vAlign w:val="bottom"/>
            <w:shd w:val="clear" w:color="auto" w:fill="0066BA"/>
          </w:tcPr>
          <w:p>
            <w:pPr>
              <w:spacing w:after="0"/>
              <w:rPr>
                <w:sz w:val="15"/>
                <w:szCs w:val="15"/>
                <w:color w:val="auto"/>
              </w:rPr>
            </w:pPr>
          </w:p>
        </w:tc>
        <w:tc>
          <w:tcPr>
            <w:tcW w:w="100" w:type="dxa"/>
            <w:vAlign w:val="bottom"/>
            <w:shd w:val="clear" w:color="auto" w:fill="0066BA"/>
          </w:tcPr>
          <w:p>
            <w:pPr>
              <w:spacing w:after="0"/>
              <w:rPr>
                <w:sz w:val="15"/>
                <w:szCs w:val="15"/>
                <w:color w:val="auto"/>
              </w:rPr>
            </w:pPr>
          </w:p>
        </w:tc>
        <w:tc>
          <w:tcPr>
            <w:tcW w:w="40" w:type="dxa"/>
            <w:vAlign w:val="bottom"/>
            <w:shd w:val="clear" w:color="auto" w:fill="0066BA"/>
          </w:tcPr>
          <w:p>
            <w:pPr>
              <w:spacing w:after="0"/>
              <w:rPr>
                <w:sz w:val="15"/>
                <w:szCs w:val="15"/>
                <w:color w:val="auto"/>
              </w:rPr>
            </w:pPr>
          </w:p>
        </w:tc>
        <w:tc>
          <w:tcPr>
            <w:tcW w:w="360" w:type="dxa"/>
            <w:vAlign w:val="bottom"/>
            <w:shd w:val="clear" w:color="auto" w:fill="0066BA"/>
          </w:tcPr>
          <w:p>
            <w:pPr>
              <w:spacing w:after="0"/>
              <w:rPr>
                <w:sz w:val="15"/>
                <w:szCs w:val="15"/>
                <w:color w:val="auto"/>
              </w:rPr>
            </w:pPr>
          </w:p>
        </w:tc>
        <w:tc>
          <w:tcPr>
            <w:tcW w:w="60" w:type="dxa"/>
            <w:vAlign w:val="bottom"/>
            <w:shd w:val="clear" w:color="auto" w:fill="0066BA"/>
          </w:tcPr>
          <w:p>
            <w:pPr>
              <w:spacing w:after="0"/>
              <w:rPr>
                <w:sz w:val="15"/>
                <w:szCs w:val="15"/>
                <w:color w:val="auto"/>
              </w:rPr>
            </w:pPr>
          </w:p>
        </w:tc>
        <w:tc>
          <w:tcPr>
            <w:tcW w:w="980" w:type="dxa"/>
            <w:vAlign w:val="bottom"/>
            <w:gridSpan w:val="2"/>
            <w:shd w:val="clear" w:color="auto" w:fill="0066BA"/>
          </w:tcPr>
          <w:p>
            <w:pPr>
              <w:jc w:val="right"/>
              <w:ind w:right="80"/>
              <w:spacing w:after="0"/>
              <w:rPr>
                <w:sz w:val="20"/>
                <w:szCs w:val="20"/>
                <w:color w:val="auto"/>
              </w:rPr>
            </w:pPr>
            <w:r>
              <w:rPr>
                <w:rFonts w:ascii="Arial" w:cs="Arial" w:eastAsia="Arial" w:hAnsi="Arial"/>
                <w:sz w:val="14"/>
                <w:szCs w:val="14"/>
                <w:b w:val="1"/>
                <w:bCs w:val="1"/>
                <w:color w:val="FFFFFF"/>
              </w:rPr>
              <w:t>Payments (a)</w:t>
            </w:r>
          </w:p>
        </w:tc>
        <w:tc>
          <w:tcPr>
            <w:tcW w:w="240" w:type="dxa"/>
            <w:vAlign w:val="bottom"/>
            <w:shd w:val="clear" w:color="auto" w:fill="0066BA"/>
          </w:tcPr>
          <w:p>
            <w:pPr>
              <w:spacing w:after="0"/>
              <w:rPr>
                <w:sz w:val="15"/>
                <w:szCs w:val="15"/>
                <w:color w:val="auto"/>
              </w:rPr>
            </w:pPr>
          </w:p>
        </w:tc>
        <w:tc>
          <w:tcPr>
            <w:tcW w:w="80" w:type="dxa"/>
            <w:vAlign w:val="bottom"/>
            <w:shd w:val="clear" w:color="auto" w:fill="0066BA"/>
          </w:tcPr>
          <w:p>
            <w:pPr>
              <w:spacing w:after="0"/>
              <w:rPr>
                <w:sz w:val="15"/>
                <w:szCs w:val="15"/>
                <w:color w:val="auto"/>
              </w:rPr>
            </w:pPr>
          </w:p>
        </w:tc>
        <w:tc>
          <w:tcPr>
            <w:tcW w:w="360" w:type="dxa"/>
            <w:vAlign w:val="bottom"/>
            <w:shd w:val="clear" w:color="auto" w:fill="0066BA"/>
          </w:tcPr>
          <w:p>
            <w:pPr>
              <w:spacing w:after="0"/>
              <w:rPr>
                <w:sz w:val="15"/>
                <w:szCs w:val="15"/>
                <w:color w:val="auto"/>
              </w:rPr>
            </w:pPr>
          </w:p>
        </w:tc>
        <w:tc>
          <w:tcPr>
            <w:tcW w:w="40" w:type="dxa"/>
            <w:vAlign w:val="bottom"/>
            <w:shd w:val="clear" w:color="auto" w:fill="0066BA"/>
          </w:tcPr>
          <w:p>
            <w:pPr>
              <w:spacing w:after="0"/>
              <w:rPr>
                <w:sz w:val="15"/>
                <w:szCs w:val="15"/>
                <w:color w:val="auto"/>
              </w:rPr>
            </w:pPr>
          </w:p>
        </w:tc>
        <w:tc>
          <w:tcPr>
            <w:tcW w:w="340" w:type="dxa"/>
            <w:vAlign w:val="bottom"/>
            <w:shd w:val="clear" w:color="auto" w:fill="0066BA"/>
          </w:tcPr>
          <w:p>
            <w:pPr>
              <w:spacing w:after="0"/>
              <w:rPr>
                <w:sz w:val="15"/>
                <w:szCs w:val="15"/>
                <w:color w:val="auto"/>
              </w:rPr>
            </w:pPr>
          </w:p>
        </w:tc>
        <w:tc>
          <w:tcPr>
            <w:tcW w:w="360" w:type="dxa"/>
            <w:vAlign w:val="bottom"/>
            <w:shd w:val="clear" w:color="auto" w:fill="0066BA"/>
          </w:tcPr>
          <w:p>
            <w:pPr>
              <w:spacing w:after="0"/>
              <w:rPr>
                <w:sz w:val="15"/>
                <w:szCs w:val="15"/>
                <w:color w:val="auto"/>
              </w:rPr>
            </w:pPr>
          </w:p>
        </w:tc>
        <w:tc>
          <w:tcPr>
            <w:tcW w:w="80" w:type="dxa"/>
            <w:vAlign w:val="bottom"/>
            <w:shd w:val="clear" w:color="auto" w:fill="0066BA"/>
          </w:tcPr>
          <w:p>
            <w:pPr>
              <w:spacing w:after="0"/>
              <w:rPr>
                <w:sz w:val="15"/>
                <w:szCs w:val="15"/>
                <w:color w:val="auto"/>
              </w:rPr>
            </w:pPr>
          </w:p>
        </w:tc>
        <w:tc>
          <w:tcPr>
            <w:tcW w:w="280" w:type="dxa"/>
            <w:vAlign w:val="bottom"/>
            <w:shd w:val="clear" w:color="auto" w:fill="0066BA"/>
          </w:tcPr>
          <w:p>
            <w:pPr>
              <w:spacing w:after="0"/>
              <w:rPr>
                <w:sz w:val="15"/>
                <w:szCs w:val="15"/>
                <w:color w:val="auto"/>
              </w:rPr>
            </w:pPr>
          </w:p>
        </w:tc>
        <w:tc>
          <w:tcPr>
            <w:tcW w:w="100" w:type="dxa"/>
            <w:vAlign w:val="bottom"/>
            <w:shd w:val="clear" w:color="auto" w:fill="0066BA"/>
          </w:tcPr>
          <w:p>
            <w:pPr>
              <w:spacing w:after="0"/>
              <w:rPr>
                <w:sz w:val="15"/>
                <w:szCs w:val="15"/>
                <w:color w:val="auto"/>
              </w:rPr>
            </w:pPr>
          </w:p>
        </w:tc>
        <w:tc>
          <w:tcPr>
            <w:tcW w:w="340" w:type="dxa"/>
            <w:vAlign w:val="bottom"/>
            <w:shd w:val="clear" w:color="auto" w:fill="0066BA"/>
          </w:tcPr>
          <w:p>
            <w:pPr>
              <w:spacing w:after="0"/>
              <w:rPr>
                <w:sz w:val="15"/>
                <w:szCs w:val="15"/>
                <w:color w:val="auto"/>
              </w:rPr>
            </w:pPr>
          </w:p>
        </w:tc>
        <w:tc>
          <w:tcPr>
            <w:tcW w:w="60" w:type="dxa"/>
            <w:vAlign w:val="bottom"/>
            <w:shd w:val="clear" w:color="auto" w:fill="0066BA"/>
          </w:tcPr>
          <w:p>
            <w:pPr>
              <w:spacing w:after="0"/>
              <w:rPr>
                <w:sz w:val="15"/>
                <w:szCs w:val="15"/>
                <w:color w:val="auto"/>
              </w:rPr>
            </w:pPr>
          </w:p>
        </w:tc>
        <w:tc>
          <w:tcPr>
            <w:tcW w:w="380" w:type="dxa"/>
            <w:vAlign w:val="bottom"/>
            <w:shd w:val="clear" w:color="auto" w:fill="0066BA"/>
          </w:tcPr>
          <w:p>
            <w:pPr>
              <w:spacing w:after="0"/>
              <w:rPr>
                <w:sz w:val="15"/>
                <w:szCs w:val="15"/>
                <w:color w:val="auto"/>
              </w:rPr>
            </w:pPr>
          </w:p>
        </w:tc>
        <w:tc>
          <w:tcPr>
            <w:tcW w:w="500" w:type="dxa"/>
            <w:vAlign w:val="bottom"/>
            <w:shd w:val="clear" w:color="auto" w:fill="0066BA"/>
          </w:tcPr>
          <w:p>
            <w:pPr>
              <w:spacing w:after="0"/>
              <w:rPr>
                <w:sz w:val="15"/>
                <w:szCs w:val="15"/>
                <w:color w:val="auto"/>
              </w:rPr>
            </w:pPr>
          </w:p>
        </w:tc>
        <w:tc>
          <w:tcPr>
            <w:tcW w:w="100" w:type="dxa"/>
            <w:vAlign w:val="bottom"/>
            <w:shd w:val="clear" w:color="auto" w:fill="0066BA"/>
          </w:tcPr>
          <w:p>
            <w:pPr>
              <w:spacing w:after="0"/>
              <w:rPr>
                <w:sz w:val="15"/>
                <w:szCs w:val="15"/>
                <w:color w:val="auto"/>
              </w:rPr>
            </w:pPr>
          </w:p>
        </w:tc>
        <w:tc>
          <w:tcPr>
            <w:tcW w:w="280" w:type="dxa"/>
            <w:vAlign w:val="bottom"/>
            <w:shd w:val="clear" w:color="auto" w:fill="0066BA"/>
          </w:tcPr>
          <w:p>
            <w:pPr>
              <w:spacing w:after="0"/>
              <w:rPr>
                <w:sz w:val="15"/>
                <w:szCs w:val="15"/>
                <w:color w:val="auto"/>
              </w:rPr>
            </w:pPr>
          </w:p>
        </w:tc>
        <w:tc>
          <w:tcPr>
            <w:tcW w:w="100" w:type="dxa"/>
            <w:vAlign w:val="bottom"/>
            <w:shd w:val="clear" w:color="auto" w:fill="0066BA"/>
          </w:tcPr>
          <w:p>
            <w:pPr>
              <w:spacing w:after="0"/>
              <w:rPr>
                <w:sz w:val="15"/>
                <w:szCs w:val="15"/>
                <w:color w:val="auto"/>
              </w:rPr>
            </w:pPr>
          </w:p>
        </w:tc>
        <w:tc>
          <w:tcPr>
            <w:tcW w:w="420" w:type="dxa"/>
            <w:vAlign w:val="bottom"/>
            <w:shd w:val="clear" w:color="auto" w:fill="0066BA"/>
          </w:tcPr>
          <w:p>
            <w:pPr>
              <w:spacing w:after="0"/>
              <w:rPr>
                <w:sz w:val="15"/>
                <w:szCs w:val="15"/>
                <w:color w:val="auto"/>
              </w:rPr>
            </w:pPr>
          </w:p>
        </w:tc>
        <w:tc>
          <w:tcPr>
            <w:tcW w:w="60" w:type="dxa"/>
            <w:vAlign w:val="bottom"/>
            <w:shd w:val="clear" w:color="auto" w:fill="0066BA"/>
          </w:tcPr>
          <w:p>
            <w:pPr>
              <w:spacing w:after="0"/>
              <w:rPr>
                <w:sz w:val="15"/>
                <w:szCs w:val="15"/>
                <w:color w:val="auto"/>
              </w:rPr>
            </w:pPr>
          </w:p>
        </w:tc>
        <w:tc>
          <w:tcPr>
            <w:tcW w:w="140" w:type="dxa"/>
            <w:vAlign w:val="bottom"/>
            <w:shd w:val="clear" w:color="auto" w:fill="0066BA"/>
          </w:tcPr>
          <w:p>
            <w:pPr>
              <w:spacing w:after="0"/>
              <w:rPr>
                <w:sz w:val="15"/>
                <w:szCs w:val="15"/>
                <w:color w:val="auto"/>
              </w:rPr>
            </w:pPr>
          </w:p>
        </w:tc>
        <w:tc>
          <w:tcPr>
            <w:tcW w:w="500" w:type="dxa"/>
            <w:vAlign w:val="bottom"/>
            <w:shd w:val="clear" w:color="auto" w:fill="0066BA"/>
          </w:tcPr>
          <w:p>
            <w:pPr>
              <w:spacing w:after="0"/>
              <w:rPr>
                <w:sz w:val="15"/>
                <w:szCs w:val="15"/>
                <w:color w:val="auto"/>
              </w:rPr>
            </w:pPr>
          </w:p>
        </w:tc>
        <w:tc>
          <w:tcPr>
            <w:tcW w:w="100" w:type="dxa"/>
            <w:vAlign w:val="bottom"/>
            <w:shd w:val="clear" w:color="auto" w:fill="0066BA"/>
          </w:tcPr>
          <w:p>
            <w:pPr>
              <w:spacing w:after="0"/>
              <w:rPr>
                <w:sz w:val="15"/>
                <w:szCs w:val="15"/>
                <w:color w:val="auto"/>
              </w:rPr>
            </w:pPr>
          </w:p>
        </w:tc>
        <w:tc>
          <w:tcPr>
            <w:tcW w:w="80" w:type="dxa"/>
            <w:vAlign w:val="bottom"/>
            <w:shd w:val="clear" w:color="auto" w:fill="0066BA"/>
          </w:tcPr>
          <w:p>
            <w:pPr>
              <w:spacing w:after="0"/>
              <w:rPr>
                <w:sz w:val="15"/>
                <w:szCs w:val="15"/>
                <w:color w:val="auto"/>
              </w:rPr>
            </w:pPr>
          </w:p>
        </w:tc>
        <w:tc>
          <w:tcPr>
            <w:tcW w:w="80" w:type="dxa"/>
            <w:vAlign w:val="bottom"/>
            <w:shd w:val="clear" w:color="auto" w:fill="0066BA"/>
          </w:tcPr>
          <w:p>
            <w:pPr>
              <w:spacing w:after="0"/>
              <w:rPr>
                <w:sz w:val="15"/>
                <w:szCs w:val="15"/>
                <w:color w:val="auto"/>
              </w:rPr>
            </w:pPr>
          </w:p>
        </w:tc>
        <w:tc>
          <w:tcPr>
            <w:tcW w:w="420" w:type="dxa"/>
            <w:vAlign w:val="bottom"/>
            <w:shd w:val="clear" w:color="auto" w:fill="0066BA"/>
          </w:tcPr>
          <w:p>
            <w:pPr>
              <w:spacing w:after="0"/>
              <w:rPr>
                <w:sz w:val="15"/>
                <w:szCs w:val="15"/>
                <w:color w:val="auto"/>
              </w:rPr>
            </w:pPr>
          </w:p>
        </w:tc>
        <w:tc>
          <w:tcPr>
            <w:tcW w:w="60" w:type="dxa"/>
            <w:vAlign w:val="bottom"/>
            <w:shd w:val="clear" w:color="auto" w:fill="0066BA"/>
          </w:tcPr>
          <w:p>
            <w:pPr>
              <w:spacing w:after="0"/>
              <w:rPr>
                <w:sz w:val="15"/>
                <w:szCs w:val="15"/>
                <w:color w:val="auto"/>
              </w:rPr>
            </w:pPr>
          </w:p>
        </w:tc>
        <w:tc>
          <w:tcPr>
            <w:tcW w:w="320" w:type="dxa"/>
            <w:vAlign w:val="bottom"/>
            <w:shd w:val="clear" w:color="auto" w:fill="0066BA"/>
          </w:tcPr>
          <w:p>
            <w:pPr>
              <w:spacing w:after="0"/>
              <w:rPr>
                <w:sz w:val="15"/>
                <w:szCs w:val="15"/>
                <w:color w:val="auto"/>
              </w:rPr>
            </w:pPr>
          </w:p>
        </w:tc>
        <w:tc>
          <w:tcPr>
            <w:tcW w:w="420" w:type="dxa"/>
            <w:vAlign w:val="bottom"/>
            <w:shd w:val="clear" w:color="auto" w:fill="0066BA"/>
          </w:tcPr>
          <w:p>
            <w:pPr>
              <w:spacing w:after="0"/>
              <w:rPr>
                <w:sz w:val="15"/>
                <w:szCs w:val="15"/>
                <w:color w:val="auto"/>
              </w:rPr>
            </w:pPr>
          </w:p>
        </w:tc>
        <w:tc>
          <w:tcPr>
            <w:tcW w:w="100" w:type="dxa"/>
            <w:vAlign w:val="bottom"/>
            <w:shd w:val="clear" w:color="auto" w:fill="0066BA"/>
          </w:tcPr>
          <w:p>
            <w:pPr>
              <w:spacing w:after="0"/>
              <w:rPr>
                <w:sz w:val="15"/>
                <w:szCs w:val="15"/>
                <w:color w:val="auto"/>
              </w:rPr>
            </w:pPr>
          </w:p>
        </w:tc>
        <w:tc>
          <w:tcPr>
            <w:tcW w:w="240" w:type="dxa"/>
            <w:vAlign w:val="bottom"/>
            <w:shd w:val="clear" w:color="auto" w:fill="0066BA"/>
          </w:tcPr>
          <w:p>
            <w:pPr>
              <w:spacing w:after="0"/>
              <w:rPr>
                <w:sz w:val="15"/>
                <w:szCs w:val="15"/>
                <w:color w:val="auto"/>
              </w:rPr>
            </w:pPr>
          </w:p>
        </w:tc>
        <w:tc>
          <w:tcPr>
            <w:tcW w:w="80" w:type="dxa"/>
            <w:vAlign w:val="bottom"/>
            <w:shd w:val="clear" w:color="auto" w:fill="0066BA"/>
          </w:tcPr>
          <w:p>
            <w:pPr>
              <w:spacing w:after="0"/>
              <w:rPr>
                <w:sz w:val="15"/>
                <w:szCs w:val="15"/>
                <w:color w:val="auto"/>
              </w:rPr>
            </w:pPr>
          </w:p>
        </w:tc>
        <w:tc>
          <w:tcPr>
            <w:tcW w:w="500" w:type="dxa"/>
            <w:vAlign w:val="bottom"/>
            <w:shd w:val="clear" w:color="auto" w:fill="0066BA"/>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0066BA"/>
          </w:tcPr>
          <w:p>
            <w:pPr>
              <w:spacing w:after="0"/>
              <w:rPr>
                <w:sz w:val="10"/>
                <w:szCs w:val="10"/>
                <w:color w:val="auto"/>
              </w:rPr>
            </w:pPr>
          </w:p>
        </w:tc>
        <w:tc>
          <w:tcPr>
            <w:tcW w:w="100" w:type="dxa"/>
            <w:vAlign w:val="bottom"/>
            <w:tcBorders>
              <w:bottom w:val="single" w:sz="8" w:color="EAEAEA"/>
            </w:tcBorders>
            <w:shd w:val="clear" w:color="auto" w:fill="0066BA"/>
          </w:tcPr>
          <w:p>
            <w:pPr>
              <w:spacing w:after="0"/>
              <w:rPr>
                <w:sz w:val="10"/>
                <w:szCs w:val="10"/>
                <w:color w:val="auto"/>
              </w:rPr>
            </w:pPr>
          </w:p>
        </w:tc>
        <w:tc>
          <w:tcPr>
            <w:tcW w:w="40" w:type="dxa"/>
            <w:vAlign w:val="bottom"/>
            <w:tcBorders>
              <w:bottom w:val="single" w:sz="8" w:color="EAEAEA"/>
            </w:tcBorders>
            <w:shd w:val="clear" w:color="auto" w:fill="0066BA"/>
          </w:tcPr>
          <w:p>
            <w:pPr>
              <w:spacing w:after="0"/>
              <w:rPr>
                <w:sz w:val="10"/>
                <w:szCs w:val="10"/>
                <w:color w:val="auto"/>
              </w:rPr>
            </w:pPr>
          </w:p>
        </w:tc>
        <w:tc>
          <w:tcPr>
            <w:tcW w:w="360" w:type="dxa"/>
            <w:vAlign w:val="bottom"/>
            <w:tcBorders>
              <w:bottom w:val="single" w:sz="8" w:color="EAEAEA"/>
            </w:tcBorders>
            <w:shd w:val="clear" w:color="auto" w:fill="0066BA"/>
          </w:tcPr>
          <w:p>
            <w:pPr>
              <w:spacing w:after="0"/>
              <w:rPr>
                <w:sz w:val="10"/>
                <w:szCs w:val="10"/>
                <w:color w:val="auto"/>
              </w:rPr>
            </w:pPr>
          </w:p>
        </w:tc>
        <w:tc>
          <w:tcPr>
            <w:tcW w:w="60" w:type="dxa"/>
            <w:vAlign w:val="bottom"/>
            <w:shd w:val="clear" w:color="auto" w:fill="0066BA"/>
          </w:tcPr>
          <w:p>
            <w:pPr>
              <w:spacing w:after="0"/>
              <w:rPr>
                <w:sz w:val="10"/>
                <w:szCs w:val="10"/>
                <w:color w:val="auto"/>
              </w:rPr>
            </w:pPr>
          </w:p>
        </w:tc>
        <w:tc>
          <w:tcPr>
            <w:tcW w:w="900" w:type="dxa"/>
            <w:vAlign w:val="bottom"/>
            <w:shd w:val="clear" w:color="auto" w:fill="0066BA"/>
          </w:tcPr>
          <w:p>
            <w:pPr>
              <w:spacing w:after="0"/>
              <w:rPr>
                <w:sz w:val="10"/>
                <w:szCs w:val="10"/>
                <w:color w:val="auto"/>
              </w:rPr>
            </w:pPr>
          </w:p>
        </w:tc>
        <w:tc>
          <w:tcPr>
            <w:tcW w:w="80" w:type="dxa"/>
            <w:vAlign w:val="bottom"/>
            <w:tcBorders>
              <w:bottom w:val="single" w:sz="8" w:color="EAEAEA"/>
            </w:tcBorders>
            <w:shd w:val="clear" w:color="auto" w:fill="0066BA"/>
          </w:tcPr>
          <w:p>
            <w:pPr>
              <w:spacing w:after="0"/>
              <w:rPr>
                <w:sz w:val="10"/>
                <w:szCs w:val="10"/>
                <w:color w:val="auto"/>
              </w:rPr>
            </w:pPr>
          </w:p>
        </w:tc>
        <w:tc>
          <w:tcPr>
            <w:tcW w:w="240" w:type="dxa"/>
            <w:vAlign w:val="bottom"/>
            <w:tcBorders>
              <w:bottom w:val="single" w:sz="8" w:color="EAEAEA"/>
            </w:tcBorders>
            <w:shd w:val="clear" w:color="auto" w:fill="0066BA"/>
          </w:tcPr>
          <w:p>
            <w:pPr>
              <w:spacing w:after="0"/>
              <w:rPr>
                <w:sz w:val="10"/>
                <w:szCs w:val="10"/>
                <w:color w:val="auto"/>
              </w:rPr>
            </w:pPr>
          </w:p>
        </w:tc>
        <w:tc>
          <w:tcPr>
            <w:tcW w:w="80" w:type="dxa"/>
            <w:vAlign w:val="bottom"/>
            <w:tcBorders>
              <w:bottom w:val="single" w:sz="8" w:color="EAEAEA"/>
            </w:tcBorders>
            <w:shd w:val="clear" w:color="auto" w:fill="0066BA"/>
          </w:tcPr>
          <w:p>
            <w:pPr>
              <w:spacing w:after="0"/>
              <w:rPr>
                <w:sz w:val="10"/>
                <w:szCs w:val="10"/>
                <w:color w:val="auto"/>
              </w:rPr>
            </w:pPr>
          </w:p>
        </w:tc>
        <w:tc>
          <w:tcPr>
            <w:tcW w:w="360" w:type="dxa"/>
            <w:vAlign w:val="bottom"/>
            <w:tcBorders>
              <w:bottom w:val="single" w:sz="8" w:color="EAEAEA"/>
            </w:tcBorders>
            <w:shd w:val="clear" w:color="auto" w:fill="0066BA"/>
          </w:tcPr>
          <w:p>
            <w:pPr>
              <w:spacing w:after="0"/>
              <w:rPr>
                <w:sz w:val="10"/>
                <w:szCs w:val="10"/>
                <w:color w:val="auto"/>
              </w:rPr>
            </w:pPr>
          </w:p>
        </w:tc>
        <w:tc>
          <w:tcPr>
            <w:tcW w:w="40" w:type="dxa"/>
            <w:vAlign w:val="bottom"/>
            <w:shd w:val="clear" w:color="auto" w:fill="0066BA"/>
          </w:tcPr>
          <w:p>
            <w:pPr>
              <w:spacing w:after="0"/>
              <w:rPr>
                <w:sz w:val="10"/>
                <w:szCs w:val="10"/>
                <w:color w:val="auto"/>
              </w:rPr>
            </w:pPr>
          </w:p>
        </w:tc>
        <w:tc>
          <w:tcPr>
            <w:tcW w:w="340" w:type="dxa"/>
            <w:vAlign w:val="bottom"/>
            <w:shd w:val="clear" w:color="auto" w:fill="0066BA"/>
          </w:tcPr>
          <w:p>
            <w:pPr>
              <w:spacing w:after="0"/>
              <w:rPr>
                <w:sz w:val="10"/>
                <w:szCs w:val="10"/>
                <w:color w:val="auto"/>
              </w:rPr>
            </w:pPr>
          </w:p>
        </w:tc>
        <w:tc>
          <w:tcPr>
            <w:tcW w:w="360" w:type="dxa"/>
            <w:vAlign w:val="bottom"/>
            <w:shd w:val="clear" w:color="auto" w:fill="0066BA"/>
          </w:tcPr>
          <w:p>
            <w:pPr>
              <w:spacing w:after="0"/>
              <w:rPr>
                <w:sz w:val="10"/>
                <w:szCs w:val="10"/>
                <w:color w:val="auto"/>
              </w:rPr>
            </w:pPr>
          </w:p>
        </w:tc>
        <w:tc>
          <w:tcPr>
            <w:tcW w:w="80" w:type="dxa"/>
            <w:vAlign w:val="bottom"/>
            <w:tcBorders>
              <w:bottom w:val="single" w:sz="8" w:color="EAEAEA"/>
            </w:tcBorders>
            <w:shd w:val="clear" w:color="auto" w:fill="0066BA"/>
          </w:tcPr>
          <w:p>
            <w:pPr>
              <w:spacing w:after="0"/>
              <w:rPr>
                <w:sz w:val="10"/>
                <w:szCs w:val="10"/>
                <w:color w:val="auto"/>
              </w:rPr>
            </w:pPr>
          </w:p>
        </w:tc>
        <w:tc>
          <w:tcPr>
            <w:tcW w:w="280" w:type="dxa"/>
            <w:vAlign w:val="bottom"/>
            <w:tcBorders>
              <w:bottom w:val="single" w:sz="8" w:color="EAEAEA"/>
            </w:tcBorders>
            <w:shd w:val="clear" w:color="auto" w:fill="0066BA"/>
          </w:tcPr>
          <w:p>
            <w:pPr>
              <w:spacing w:after="0"/>
              <w:rPr>
                <w:sz w:val="10"/>
                <w:szCs w:val="10"/>
                <w:color w:val="auto"/>
              </w:rPr>
            </w:pPr>
          </w:p>
        </w:tc>
        <w:tc>
          <w:tcPr>
            <w:tcW w:w="100" w:type="dxa"/>
            <w:vAlign w:val="bottom"/>
            <w:tcBorders>
              <w:bottom w:val="single" w:sz="8" w:color="EAEAEA"/>
            </w:tcBorders>
            <w:shd w:val="clear" w:color="auto" w:fill="0066BA"/>
          </w:tcPr>
          <w:p>
            <w:pPr>
              <w:spacing w:after="0"/>
              <w:rPr>
                <w:sz w:val="10"/>
                <w:szCs w:val="10"/>
                <w:color w:val="auto"/>
              </w:rPr>
            </w:pPr>
          </w:p>
        </w:tc>
        <w:tc>
          <w:tcPr>
            <w:tcW w:w="340" w:type="dxa"/>
            <w:vAlign w:val="bottom"/>
            <w:tcBorders>
              <w:bottom w:val="single" w:sz="8" w:color="EAEAEA"/>
            </w:tcBorders>
            <w:shd w:val="clear" w:color="auto" w:fill="0066BA"/>
          </w:tcPr>
          <w:p>
            <w:pPr>
              <w:spacing w:after="0"/>
              <w:rPr>
                <w:sz w:val="10"/>
                <w:szCs w:val="10"/>
                <w:color w:val="auto"/>
              </w:rPr>
            </w:pPr>
          </w:p>
        </w:tc>
        <w:tc>
          <w:tcPr>
            <w:tcW w:w="60" w:type="dxa"/>
            <w:vAlign w:val="bottom"/>
            <w:shd w:val="clear" w:color="auto" w:fill="0066BA"/>
          </w:tcPr>
          <w:p>
            <w:pPr>
              <w:spacing w:after="0"/>
              <w:rPr>
                <w:sz w:val="10"/>
                <w:szCs w:val="10"/>
                <w:color w:val="auto"/>
              </w:rPr>
            </w:pPr>
          </w:p>
        </w:tc>
        <w:tc>
          <w:tcPr>
            <w:tcW w:w="380" w:type="dxa"/>
            <w:vAlign w:val="bottom"/>
            <w:shd w:val="clear" w:color="auto" w:fill="0066BA"/>
          </w:tcPr>
          <w:p>
            <w:pPr>
              <w:spacing w:after="0"/>
              <w:rPr>
                <w:sz w:val="10"/>
                <w:szCs w:val="10"/>
                <w:color w:val="auto"/>
              </w:rPr>
            </w:pPr>
          </w:p>
        </w:tc>
        <w:tc>
          <w:tcPr>
            <w:tcW w:w="500" w:type="dxa"/>
            <w:vAlign w:val="bottom"/>
            <w:shd w:val="clear" w:color="auto" w:fill="0066BA"/>
          </w:tcPr>
          <w:p>
            <w:pPr>
              <w:spacing w:after="0"/>
              <w:rPr>
                <w:sz w:val="10"/>
                <w:szCs w:val="10"/>
                <w:color w:val="auto"/>
              </w:rPr>
            </w:pPr>
          </w:p>
        </w:tc>
        <w:tc>
          <w:tcPr>
            <w:tcW w:w="100" w:type="dxa"/>
            <w:vAlign w:val="bottom"/>
            <w:tcBorders>
              <w:bottom w:val="single" w:sz="8" w:color="EAEAEA"/>
            </w:tcBorders>
            <w:shd w:val="clear" w:color="auto" w:fill="0066BA"/>
          </w:tcPr>
          <w:p>
            <w:pPr>
              <w:spacing w:after="0"/>
              <w:rPr>
                <w:sz w:val="10"/>
                <w:szCs w:val="10"/>
                <w:color w:val="auto"/>
              </w:rPr>
            </w:pPr>
          </w:p>
        </w:tc>
        <w:tc>
          <w:tcPr>
            <w:tcW w:w="280" w:type="dxa"/>
            <w:vAlign w:val="bottom"/>
            <w:tcBorders>
              <w:bottom w:val="single" w:sz="8" w:color="EAEAEA"/>
            </w:tcBorders>
            <w:shd w:val="clear" w:color="auto" w:fill="0066BA"/>
          </w:tcPr>
          <w:p>
            <w:pPr>
              <w:spacing w:after="0"/>
              <w:rPr>
                <w:sz w:val="10"/>
                <w:szCs w:val="10"/>
                <w:color w:val="auto"/>
              </w:rPr>
            </w:pPr>
          </w:p>
        </w:tc>
        <w:tc>
          <w:tcPr>
            <w:tcW w:w="100" w:type="dxa"/>
            <w:vAlign w:val="bottom"/>
            <w:tcBorders>
              <w:bottom w:val="single" w:sz="8" w:color="EAEAEA"/>
            </w:tcBorders>
            <w:shd w:val="clear" w:color="auto" w:fill="0066BA"/>
          </w:tcPr>
          <w:p>
            <w:pPr>
              <w:spacing w:after="0"/>
              <w:rPr>
                <w:sz w:val="10"/>
                <w:szCs w:val="10"/>
                <w:color w:val="auto"/>
              </w:rPr>
            </w:pPr>
          </w:p>
        </w:tc>
        <w:tc>
          <w:tcPr>
            <w:tcW w:w="420" w:type="dxa"/>
            <w:vAlign w:val="bottom"/>
            <w:tcBorders>
              <w:bottom w:val="single" w:sz="8" w:color="EAEAEA"/>
            </w:tcBorders>
            <w:shd w:val="clear" w:color="auto" w:fill="0066BA"/>
          </w:tcPr>
          <w:p>
            <w:pPr>
              <w:spacing w:after="0"/>
              <w:rPr>
                <w:sz w:val="10"/>
                <w:szCs w:val="10"/>
                <w:color w:val="auto"/>
              </w:rPr>
            </w:pPr>
          </w:p>
        </w:tc>
        <w:tc>
          <w:tcPr>
            <w:tcW w:w="60" w:type="dxa"/>
            <w:vAlign w:val="bottom"/>
            <w:shd w:val="clear" w:color="auto" w:fill="0066BA"/>
          </w:tcPr>
          <w:p>
            <w:pPr>
              <w:spacing w:after="0"/>
              <w:rPr>
                <w:sz w:val="10"/>
                <w:szCs w:val="10"/>
                <w:color w:val="auto"/>
              </w:rPr>
            </w:pPr>
          </w:p>
        </w:tc>
        <w:tc>
          <w:tcPr>
            <w:tcW w:w="140" w:type="dxa"/>
            <w:vAlign w:val="bottom"/>
            <w:shd w:val="clear" w:color="auto" w:fill="0066BA"/>
          </w:tcPr>
          <w:p>
            <w:pPr>
              <w:spacing w:after="0"/>
              <w:rPr>
                <w:sz w:val="10"/>
                <w:szCs w:val="10"/>
                <w:color w:val="auto"/>
              </w:rPr>
            </w:pPr>
          </w:p>
        </w:tc>
        <w:tc>
          <w:tcPr>
            <w:tcW w:w="500" w:type="dxa"/>
            <w:vAlign w:val="bottom"/>
            <w:shd w:val="clear" w:color="auto" w:fill="0066BA"/>
          </w:tcPr>
          <w:p>
            <w:pPr>
              <w:spacing w:after="0"/>
              <w:rPr>
                <w:sz w:val="10"/>
                <w:szCs w:val="10"/>
                <w:color w:val="auto"/>
              </w:rPr>
            </w:pPr>
          </w:p>
        </w:tc>
        <w:tc>
          <w:tcPr>
            <w:tcW w:w="100" w:type="dxa"/>
            <w:vAlign w:val="bottom"/>
            <w:tcBorders>
              <w:bottom w:val="single" w:sz="8" w:color="EAEAEA"/>
            </w:tcBorders>
            <w:shd w:val="clear" w:color="auto" w:fill="0066BA"/>
          </w:tcPr>
          <w:p>
            <w:pPr>
              <w:spacing w:after="0"/>
              <w:rPr>
                <w:sz w:val="10"/>
                <w:szCs w:val="10"/>
                <w:color w:val="auto"/>
              </w:rPr>
            </w:pPr>
          </w:p>
        </w:tc>
        <w:tc>
          <w:tcPr>
            <w:tcW w:w="80" w:type="dxa"/>
            <w:vAlign w:val="bottom"/>
            <w:tcBorders>
              <w:bottom w:val="single" w:sz="8" w:color="EAEAEA"/>
            </w:tcBorders>
            <w:shd w:val="clear" w:color="auto" w:fill="0066BA"/>
          </w:tcPr>
          <w:p>
            <w:pPr>
              <w:spacing w:after="0"/>
              <w:rPr>
                <w:sz w:val="10"/>
                <w:szCs w:val="10"/>
                <w:color w:val="auto"/>
              </w:rPr>
            </w:pPr>
          </w:p>
        </w:tc>
        <w:tc>
          <w:tcPr>
            <w:tcW w:w="80" w:type="dxa"/>
            <w:vAlign w:val="bottom"/>
            <w:tcBorders>
              <w:bottom w:val="single" w:sz="8" w:color="EAEAEA"/>
            </w:tcBorders>
            <w:shd w:val="clear" w:color="auto" w:fill="0066BA"/>
          </w:tcPr>
          <w:p>
            <w:pPr>
              <w:spacing w:after="0"/>
              <w:rPr>
                <w:sz w:val="10"/>
                <w:szCs w:val="10"/>
                <w:color w:val="auto"/>
              </w:rPr>
            </w:pPr>
          </w:p>
        </w:tc>
        <w:tc>
          <w:tcPr>
            <w:tcW w:w="420" w:type="dxa"/>
            <w:vAlign w:val="bottom"/>
            <w:tcBorders>
              <w:bottom w:val="single" w:sz="8" w:color="EAEAEA"/>
            </w:tcBorders>
            <w:shd w:val="clear" w:color="auto" w:fill="0066BA"/>
          </w:tcPr>
          <w:p>
            <w:pPr>
              <w:spacing w:after="0"/>
              <w:rPr>
                <w:sz w:val="10"/>
                <w:szCs w:val="10"/>
                <w:color w:val="auto"/>
              </w:rPr>
            </w:pPr>
          </w:p>
        </w:tc>
        <w:tc>
          <w:tcPr>
            <w:tcW w:w="60" w:type="dxa"/>
            <w:vAlign w:val="bottom"/>
            <w:shd w:val="clear" w:color="auto" w:fill="0066BA"/>
          </w:tcPr>
          <w:p>
            <w:pPr>
              <w:spacing w:after="0"/>
              <w:rPr>
                <w:sz w:val="10"/>
                <w:szCs w:val="10"/>
                <w:color w:val="auto"/>
              </w:rPr>
            </w:pPr>
          </w:p>
        </w:tc>
        <w:tc>
          <w:tcPr>
            <w:tcW w:w="320" w:type="dxa"/>
            <w:vAlign w:val="bottom"/>
            <w:shd w:val="clear" w:color="auto" w:fill="0066BA"/>
          </w:tcPr>
          <w:p>
            <w:pPr>
              <w:spacing w:after="0"/>
              <w:rPr>
                <w:sz w:val="10"/>
                <w:szCs w:val="10"/>
                <w:color w:val="auto"/>
              </w:rPr>
            </w:pPr>
          </w:p>
        </w:tc>
        <w:tc>
          <w:tcPr>
            <w:tcW w:w="420" w:type="dxa"/>
            <w:vAlign w:val="bottom"/>
            <w:shd w:val="clear" w:color="auto" w:fill="0066BA"/>
          </w:tcPr>
          <w:p>
            <w:pPr>
              <w:spacing w:after="0"/>
              <w:rPr>
                <w:sz w:val="10"/>
                <w:szCs w:val="10"/>
                <w:color w:val="auto"/>
              </w:rPr>
            </w:pPr>
          </w:p>
        </w:tc>
        <w:tc>
          <w:tcPr>
            <w:tcW w:w="100" w:type="dxa"/>
            <w:vAlign w:val="bottom"/>
            <w:tcBorders>
              <w:bottom w:val="single" w:sz="8" w:color="EAEAEA"/>
            </w:tcBorders>
            <w:shd w:val="clear" w:color="auto" w:fill="0066BA"/>
          </w:tcPr>
          <w:p>
            <w:pPr>
              <w:spacing w:after="0"/>
              <w:rPr>
                <w:sz w:val="10"/>
                <w:szCs w:val="10"/>
                <w:color w:val="auto"/>
              </w:rPr>
            </w:pPr>
          </w:p>
        </w:tc>
        <w:tc>
          <w:tcPr>
            <w:tcW w:w="240" w:type="dxa"/>
            <w:vAlign w:val="bottom"/>
            <w:tcBorders>
              <w:bottom w:val="single" w:sz="8" w:color="EAEAEA"/>
            </w:tcBorders>
            <w:shd w:val="clear" w:color="auto" w:fill="0066BA"/>
          </w:tcPr>
          <w:p>
            <w:pPr>
              <w:spacing w:after="0"/>
              <w:rPr>
                <w:sz w:val="10"/>
                <w:szCs w:val="10"/>
                <w:color w:val="auto"/>
              </w:rPr>
            </w:pPr>
          </w:p>
        </w:tc>
        <w:tc>
          <w:tcPr>
            <w:tcW w:w="80" w:type="dxa"/>
            <w:vAlign w:val="bottom"/>
            <w:tcBorders>
              <w:bottom w:val="single" w:sz="8" w:color="EAEAEA"/>
            </w:tcBorders>
            <w:shd w:val="clear" w:color="auto" w:fill="0066BA"/>
          </w:tcPr>
          <w:p>
            <w:pPr>
              <w:spacing w:after="0"/>
              <w:rPr>
                <w:sz w:val="10"/>
                <w:szCs w:val="10"/>
                <w:color w:val="auto"/>
              </w:rPr>
            </w:pPr>
          </w:p>
        </w:tc>
        <w:tc>
          <w:tcPr>
            <w:tcW w:w="500" w:type="dxa"/>
            <w:vAlign w:val="bottom"/>
            <w:tcBorders>
              <w:bottom w:val="single" w:sz="8" w:color="EAEAEA"/>
            </w:tcBorders>
            <w:shd w:val="clear" w:color="auto" w:fill="0066BA"/>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58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Vincent Roche</w:t>
            </w:r>
          </w:p>
        </w:tc>
        <w:tc>
          <w:tcPr>
            <w:tcW w:w="100" w:type="dxa"/>
            <w:vAlign w:val="bottom"/>
            <w:tcBorders>
              <w:bottom w:val="single" w:sz="8" w:color="EAEAEA"/>
            </w:tcBorders>
            <w:shd w:val="clear" w:color="auto" w:fill="EAEAEA"/>
          </w:tcPr>
          <w:p>
            <w:pPr>
              <w:spacing w:after="0"/>
              <w:rPr>
                <w:sz w:val="21"/>
                <w:szCs w:val="21"/>
                <w:color w:val="auto"/>
              </w:rPr>
            </w:pPr>
          </w:p>
        </w:tc>
        <w:tc>
          <w:tcPr>
            <w:tcW w:w="40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2020</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$84,000</w:t>
            </w:r>
          </w:p>
        </w:tc>
        <w:tc>
          <w:tcPr>
            <w:tcW w:w="80" w:type="dxa"/>
            <w:vAlign w:val="bottom"/>
            <w:tcBorders>
              <w:bottom w:val="single" w:sz="8" w:color="EAEAEA"/>
            </w:tcBorders>
            <w:shd w:val="clear" w:color="auto" w:fill="EAEAEA"/>
          </w:tcPr>
          <w:p>
            <w:pPr>
              <w:spacing w:after="0"/>
              <w:rPr>
                <w:sz w:val="21"/>
                <w:szCs w:val="21"/>
                <w:color w:val="auto"/>
              </w:rPr>
            </w:pPr>
          </w:p>
        </w:tc>
        <w:tc>
          <w:tcPr>
            <w:tcW w:w="32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340" w:type="dxa"/>
            <w:vAlign w:val="bottom"/>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21"/>
                <w:szCs w:val="21"/>
                <w:color w:val="auto"/>
              </w:rPr>
            </w:pPr>
          </w:p>
        </w:tc>
        <w:tc>
          <w:tcPr>
            <w:tcW w:w="380" w:type="dxa"/>
            <w:vAlign w:val="bottom"/>
            <w:tcBorders>
              <w:bottom w:val="single" w:sz="8" w:color="EAEAEA"/>
            </w:tcBorders>
            <w:gridSpan w:val="2"/>
            <w:shd w:val="clear" w:color="auto" w:fill="EAEAEA"/>
          </w:tcPr>
          <w:p>
            <w:pPr>
              <w:jc w:val="center"/>
              <w:ind w:left="225"/>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AEAEA"/>
            </w:tcBorders>
            <w:shd w:val="clear" w:color="auto" w:fill="EAEAEA"/>
          </w:tcPr>
          <w:p>
            <w:pPr>
              <w:spacing w:after="0"/>
              <w:rPr>
                <w:sz w:val="21"/>
                <w:szCs w:val="21"/>
                <w:color w:val="auto"/>
              </w:rPr>
            </w:pPr>
          </w:p>
        </w:tc>
        <w:tc>
          <w:tcPr>
            <w:tcW w:w="38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AEAEA"/>
            </w:tcBorders>
            <w:shd w:val="clear" w:color="auto" w:fill="EAEAEA"/>
          </w:tcPr>
          <w:p>
            <w:pPr>
              <w:spacing w:after="0"/>
              <w:rPr>
                <w:sz w:val="21"/>
                <w:szCs w:val="21"/>
                <w:color w:val="auto"/>
              </w:rPr>
            </w:pPr>
          </w:p>
        </w:tc>
        <w:tc>
          <w:tcPr>
            <w:tcW w:w="16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9"/>
              </w:rPr>
              <w:t>3,825</w:t>
            </w:r>
          </w:p>
        </w:tc>
        <w:tc>
          <w:tcPr>
            <w:tcW w:w="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AEAEA"/>
            </w:tcBorders>
            <w:shd w:val="clear" w:color="auto" w:fill="EAEAEA"/>
          </w:tcPr>
          <w:p>
            <w:pPr>
              <w:spacing w:after="0"/>
              <w:rPr>
                <w:sz w:val="21"/>
                <w:szCs w:val="21"/>
                <w:color w:val="auto"/>
              </w:rPr>
            </w:pPr>
          </w:p>
        </w:tc>
        <w:tc>
          <w:tcPr>
            <w:tcW w:w="32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1580" w:type="dxa"/>
            <w:vAlign w:val="bottom"/>
            <w:vMerge w:val="continue"/>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40" w:type="dxa"/>
            <w:vAlign w:val="bottom"/>
            <w:tcBorders>
              <w:top w:val="single" w:sz="8" w:color="auto"/>
              <w:bottom w:val="single" w:sz="8" w:color="EAEAEA"/>
            </w:tcBorders>
            <w:shd w:val="clear" w:color="auto" w:fill="EAEAEA"/>
          </w:tcPr>
          <w:p>
            <w:pPr>
              <w:spacing w:after="0"/>
              <w:rPr>
                <w:sz w:val="20"/>
                <w:szCs w:val="20"/>
                <w:color w:val="auto"/>
              </w:rPr>
            </w:pPr>
          </w:p>
        </w:tc>
        <w:tc>
          <w:tcPr>
            <w:tcW w:w="3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5"/>
              </w:rPr>
              <w:t>2019</w:t>
            </w:r>
          </w:p>
        </w:tc>
        <w:tc>
          <w:tcPr>
            <w:tcW w:w="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$82,462</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24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280" w:type="dxa"/>
            <w:vAlign w:val="bottom"/>
            <w:tcBorders>
              <w:top w:val="single" w:sz="8" w:color="auto"/>
              <w:bottom w:val="single" w:sz="8" w:color="EAEAEA"/>
            </w:tcBorders>
            <w:shd w:val="clear" w:color="auto" w:fill="EAEAEA"/>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jc w:val="center"/>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280" w:type="dxa"/>
            <w:vAlign w:val="bottom"/>
            <w:tcBorders>
              <w:top w:val="single" w:sz="8" w:color="auto"/>
              <w:bottom w:val="single" w:sz="8" w:color="EAEAEA"/>
            </w:tcBorders>
            <w:shd w:val="clear" w:color="auto" w:fill="EAEAEA"/>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9"/>
              </w:rPr>
              <w:t>3,129</w:t>
            </w:r>
          </w:p>
        </w:tc>
        <w:tc>
          <w:tcPr>
            <w:tcW w:w="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24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1580" w:type="dxa"/>
            <w:vAlign w:val="bottom"/>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40" w:type="dxa"/>
            <w:vAlign w:val="bottom"/>
            <w:tcBorders>
              <w:top w:val="single" w:sz="8" w:color="auto"/>
              <w:bottom w:val="single" w:sz="8" w:color="EAEAEA"/>
            </w:tcBorders>
            <w:shd w:val="clear" w:color="auto" w:fill="EAEAEA"/>
          </w:tcPr>
          <w:p>
            <w:pPr>
              <w:spacing w:after="0"/>
              <w:rPr>
                <w:sz w:val="20"/>
                <w:szCs w:val="20"/>
                <w:color w:val="auto"/>
              </w:rPr>
            </w:pPr>
          </w:p>
        </w:tc>
        <w:tc>
          <w:tcPr>
            <w:tcW w:w="3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5"/>
                <w:shd w:val="clear" w:color="auto" w:fill="EAEAEA"/>
              </w:rPr>
              <w:t>2018</w:t>
            </w:r>
          </w:p>
        </w:tc>
        <w:tc>
          <w:tcPr>
            <w:tcW w:w="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$78,769</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24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shd w:val="clear" w:color="auto" w:fill="EAEAEA"/>
              </w:rPr>
              <w:t>$</w:t>
            </w:r>
          </w:p>
        </w:tc>
        <w:tc>
          <w:tcPr>
            <w:tcW w:w="3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shd w:val="clear" w:color="auto" w:fill="EAEAEA"/>
              </w:rPr>
              <w:t>988</w:t>
            </w: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280" w:type="dxa"/>
            <w:vAlign w:val="bottom"/>
            <w:tcBorders>
              <w:top w:val="single" w:sz="8" w:color="auto"/>
              <w:bottom w:val="single" w:sz="8" w:color="EAEAEA"/>
            </w:tcBorders>
            <w:shd w:val="clear" w:color="auto" w:fill="EAEAEA"/>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jc w:val="center"/>
              <w:spacing w:after="0"/>
              <w:rPr>
                <w:sz w:val="20"/>
                <w:szCs w:val="20"/>
                <w:color w:val="auto"/>
              </w:rPr>
            </w:pPr>
            <w:r>
              <w:rPr>
                <w:rFonts w:ascii="Arial" w:cs="Arial" w:eastAsia="Arial" w:hAnsi="Arial"/>
                <w:sz w:val="16"/>
                <w:szCs w:val="16"/>
                <w:color w:val="auto"/>
                <w:w w:val="89"/>
                <w:shd w:val="clear" w:color="auto" w:fill="EAEAEA"/>
              </w:rPr>
              <w:t>$</w:t>
            </w:r>
          </w:p>
        </w:tc>
        <w:tc>
          <w:tcPr>
            <w:tcW w:w="3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shd w:val="clear" w:color="auto" w:fill="EAEAEA"/>
              </w:rPr>
              <w:t>—</w:t>
            </w:r>
          </w:p>
        </w:tc>
        <w:tc>
          <w:tcPr>
            <w:tcW w:w="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280" w:type="dxa"/>
            <w:vAlign w:val="bottom"/>
            <w:tcBorders>
              <w:top w:val="single" w:sz="8" w:color="auto"/>
              <w:bottom w:val="single" w:sz="8" w:color="EAEAEA"/>
            </w:tcBorders>
            <w:shd w:val="clear" w:color="auto" w:fill="EAEAEA"/>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shd w:val="clear" w:color="auto" w:fill="EAEAEA"/>
              </w:rPr>
              <w:t>$</w:t>
            </w:r>
          </w:p>
        </w:tc>
        <w:tc>
          <w:tcPr>
            <w:tcW w:w="4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shd w:val="clear" w:color="auto" w:fill="EAEAEA"/>
              </w:rPr>
              <w:t>—</w:t>
            </w: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shd w:val="clear" w:color="auto" w:fill="EAEAEA"/>
              </w:rPr>
              <w:t>$</w:t>
            </w:r>
          </w:p>
        </w:tc>
        <w:tc>
          <w:tcPr>
            <w:tcW w:w="4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9"/>
                <w:shd w:val="clear" w:color="auto" w:fill="EAEAEA"/>
              </w:rPr>
              <w:t>6,180</w:t>
            </w:r>
          </w:p>
        </w:tc>
        <w:tc>
          <w:tcPr>
            <w:tcW w:w="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24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shd w:val="clear" w:color="auto" w:fill="EAEAEA"/>
              </w:rPr>
              <w:t>$</w:t>
            </w:r>
          </w:p>
        </w:tc>
        <w:tc>
          <w:tcPr>
            <w:tcW w:w="5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shd w:val="clear" w:color="auto" w:fill="EAEAEA"/>
              </w:rPr>
              <w:t>—</w:t>
            </w:r>
          </w:p>
        </w:tc>
        <w:tc>
          <w:tcPr>
            <w:tcW w:w="0" w:type="dxa"/>
            <w:vAlign w:val="bottom"/>
          </w:tcPr>
          <w:p>
            <w:pPr>
              <w:spacing w:after="0"/>
              <w:rPr>
                <w:sz w:val="1"/>
                <w:szCs w:val="1"/>
                <w:color w:val="auto"/>
              </w:rPr>
            </w:pPr>
          </w:p>
        </w:tc>
      </w:tr>
      <w:tr>
        <w:trPr>
          <w:trHeight w:val="279"/>
        </w:trPr>
        <w:tc>
          <w:tcPr>
            <w:tcW w:w="1580" w:type="dxa"/>
            <w:vAlign w:val="bottom"/>
            <w:tcBorders>
              <w:top w:val="single" w:sz="8" w:color="0066BA"/>
              <w:bottom w:val="single" w:sz="8" w:color="0066BA"/>
            </w:tcBorders>
            <w:vMerge w:val="restart"/>
          </w:tcPr>
          <w:p>
            <w:pPr>
              <w:ind w:left="60"/>
              <w:spacing w:after="0"/>
              <w:rPr>
                <w:sz w:val="20"/>
                <w:szCs w:val="20"/>
                <w:color w:val="auto"/>
              </w:rPr>
            </w:pPr>
            <w:r>
              <w:rPr>
                <w:rFonts w:ascii="Arial" w:cs="Arial" w:eastAsia="Arial" w:hAnsi="Arial"/>
                <w:sz w:val="16"/>
                <w:szCs w:val="16"/>
                <w:b w:val="1"/>
                <w:bCs w:val="1"/>
                <w:color w:val="0066BA"/>
              </w:rPr>
              <w:t>Prashanth</w:t>
            </w:r>
          </w:p>
        </w:tc>
        <w:tc>
          <w:tcPr>
            <w:tcW w:w="100" w:type="dxa"/>
            <w:vAlign w:val="bottom"/>
            <w:tcBorders>
              <w:top w:val="single" w:sz="8" w:color="0066BA"/>
              <w:bottom w:val="single" w:sz="8" w:color="EAEAEA"/>
            </w:tcBorders>
            <w:shd w:val="clear" w:color="auto" w:fill="EAEAEA"/>
          </w:tcPr>
          <w:p>
            <w:pPr>
              <w:spacing w:after="0"/>
              <w:rPr>
                <w:sz w:val="24"/>
                <w:szCs w:val="24"/>
                <w:color w:val="auto"/>
              </w:rPr>
            </w:pPr>
          </w:p>
        </w:tc>
        <w:tc>
          <w:tcPr>
            <w:tcW w:w="400" w:type="dxa"/>
            <w:vAlign w:val="bottom"/>
            <w:tcBorders>
              <w:top w:val="single" w:sz="8" w:color="0066BA"/>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2020</w:t>
            </w:r>
          </w:p>
        </w:tc>
        <w:tc>
          <w:tcPr>
            <w:tcW w:w="60" w:type="dxa"/>
            <w:vAlign w:val="bottom"/>
            <w:tcBorders>
              <w:top w:val="single" w:sz="8" w:color="0066BA"/>
            </w:tcBorders>
          </w:tcPr>
          <w:p>
            <w:pPr>
              <w:spacing w:after="0"/>
              <w:rPr>
                <w:sz w:val="24"/>
                <w:szCs w:val="24"/>
                <w:color w:val="auto"/>
              </w:rPr>
            </w:pPr>
          </w:p>
        </w:tc>
        <w:tc>
          <w:tcPr>
            <w:tcW w:w="90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$46,000</w:t>
            </w:r>
          </w:p>
        </w:tc>
        <w:tc>
          <w:tcPr>
            <w:tcW w:w="80" w:type="dxa"/>
            <w:vAlign w:val="bottom"/>
            <w:tcBorders>
              <w:top w:val="single" w:sz="8" w:color="0066BA"/>
              <w:bottom w:val="single" w:sz="8" w:color="EAEAEA"/>
            </w:tcBorders>
            <w:shd w:val="clear" w:color="auto" w:fill="EAEAEA"/>
          </w:tcPr>
          <w:p>
            <w:pPr>
              <w:spacing w:after="0"/>
              <w:rPr>
                <w:sz w:val="24"/>
                <w:szCs w:val="24"/>
                <w:color w:val="auto"/>
              </w:rPr>
            </w:pPr>
          </w:p>
        </w:tc>
        <w:tc>
          <w:tcPr>
            <w:tcW w:w="320" w:type="dxa"/>
            <w:vAlign w:val="bottom"/>
            <w:tcBorders>
              <w:top w:val="single" w:sz="8" w:color="0066BA"/>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0066BA"/>
            </w:tcBorders>
          </w:tcPr>
          <w:p>
            <w:pPr>
              <w:spacing w:after="0"/>
              <w:rPr>
                <w:sz w:val="24"/>
                <w:szCs w:val="24"/>
                <w:color w:val="auto"/>
              </w:rPr>
            </w:pPr>
          </w:p>
        </w:tc>
        <w:tc>
          <w:tcPr>
            <w:tcW w:w="340" w:type="dxa"/>
            <w:vAlign w:val="bottom"/>
            <w:tcBorders>
              <w:top w:val="single" w:sz="8" w:color="0066BA"/>
            </w:tcBorders>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4"/>
                <w:szCs w:val="24"/>
                <w:color w:val="auto"/>
              </w:rPr>
            </w:pPr>
          </w:p>
        </w:tc>
        <w:tc>
          <w:tcPr>
            <w:tcW w:w="380" w:type="dxa"/>
            <w:vAlign w:val="bottom"/>
            <w:tcBorders>
              <w:top w:val="single" w:sz="8" w:color="0066BA"/>
              <w:bottom w:val="single" w:sz="8" w:color="EAEAEA"/>
            </w:tcBorders>
            <w:gridSpan w:val="2"/>
            <w:shd w:val="clear" w:color="auto" w:fill="EAEAEA"/>
          </w:tcPr>
          <w:p>
            <w:pPr>
              <w:jc w:val="center"/>
              <w:ind w:left="225"/>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79"/>
              </w:rPr>
              <w:t>1,200</w:t>
            </w:r>
          </w:p>
        </w:tc>
        <w:tc>
          <w:tcPr>
            <w:tcW w:w="60" w:type="dxa"/>
            <w:vAlign w:val="bottom"/>
            <w:tcBorders>
              <w:top w:val="single" w:sz="8" w:color="0066BA"/>
            </w:tcBorders>
          </w:tcPr>
          <w:p>
            <w:pPr>
              <w:spacing w:after="0"/>
              <w:rPr>
                <w:sz w:val="24"/>
                <w:szCs w:val="24"/>
                <w:color w:val="auto"/>
              </w:rPr>
            </w:pPr>
          </w:p>
        </w:tc>
        <w:tc>
          <w:tcPr>
            <w:tcW w:w="38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0066BA"/>
              <w:bottom w:val="single" w:sz="8" w:color="EAEAEA"/>
            </w:tcBorders>
            <w:shd w:val="clear" w:color="auto" w:fill="EAEAEA"/>
          </w:tcPr>
          <w:p>
            <w:pPr>
              <w:spacing w:after="0"/>
              <w:rPr>
                <w:sz w:val="24"/>
                <w:szCs w:val="24"/>
                <w:color w:val="auto"/>
              </w:rPr>
            </w:pPr>
          </w:p>
        </w:tc>
        <w:tc>
          <w:tcPr>
            <w:tcW w:w="380" w:type="dxa"/>
            <w:vAlign w:val="bottom"/>
            <w:tcBorders>
              <w:top w:val="single" w:sz="8" w:color="0066BA"/>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0066BA"/>
            </w:tcBorders>
          </w:tcPr>
          <w:p>
            <w:pPr>
              <w:spacing w:after="0"/>
              <w:rPr>
                <w:sz w:val="24"/>
                <w:szCs w:val="24"/>
                <w:color w:val="auto"/>
              </w:rPr>
            </w:pPr>
          </w:p>
        </w:tc>
        <w:tc>
          <w:tcPr>
            <w:tcW w:w="14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0066BA"/>
              <w:bottom w:val="single" w:sz="8" w:color="EAEAEA"/>
            </w:tcBorders>
            <w:shd w:val="clear" w:color="auto" w:fill="EAEAEA"/>
          </w:tcPr>
          <w:p>
            <w:pPr>
              <w:spacing w:after="0"/>
              <w:rPr>
                <w:sz w:val="24"/>
                <w:szCs w:val="24"/>
                <w:color w:val="auto"/>
              </w:rPr>
            </w:pPr>
          </w:p>
        </w:tc>
        <w:tc>
          <w:tcPr>
            <w:tcW w:w="160" w:type="dxa"/>
            <w:vAlign w:val="bottom"/>
            <w:tcBorders>
              <w:top w:val="single" w:sz="8" w:color="0066BA"/>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1"/>
              </w:rPr>
              <w:t>10,000</w:t>
            </w:r>
          </w:p>
        </w:tc>
        <w:tc>
          <w:tcPr>
            <w:tcW w:w="60" w:type="dxa"/>
            <w:vAlign w:val="bottom"/>
            <w:tcBorders>
              <w:top w:val="single" w:sz="8" w:color="0066BA"/>
            </w:tcBorders>
          </w:tcPr>
          <w:p>
            <w:pPr>
              <w:spacing w:after="0"/>
              <w:rPr>
                <w:sz w:val="24"/>
                <w:szCs w:val="24"/>
                <w:color w:val="auto"/>
              </w:rPr>
            </w:pPr>
          </w:p>
        </w:tc>
        <w:tc>
          <w:tcPr>
            <w:tcW w:w="32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0066BA"/>
              <w:bottom w:val="single" w:sz="8" w:color="EAEAEA"/>
            </w:tcBorders>
            <w:shd w:val="clear" w:color="auto" w:fill="EAEAEA"/>
          </w:tcPr>
          <w:p>
            <w:pPr>
              <w:spacing w:after="0"/>
              <w:rPr>
                <w:sz w:val="24"/>
                <w:szCs w:val="24"/>
                <w:color w:val="auto"/>
              </w:rPr>
            </w:pPr>
          </w:p>
        </w:tc>
        <w:tc>
          <w:tcPr>
            <w:tcW w:w="320" w:type="dxa"/>
            <w:vAlign w:val="bottom"/>
            <w:tcBorders>
              <w:top w:val="single" w:sz="8" w:color="0066BA"/>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0"/>
        </w:trPr>
        <w:tc>
          <w:tcPr>
            <w:tcW w:w="1580" w:type="dxa"/>
            <w:vAlign w:val="bottom"/>
            <w:tcBorders>
              <w:top w:val="single" w:sz="8" w:color="0066BA"/>
            </w:tcBorders>
            <w:vMerge w:val="continue"/>
          </w:tcPr>
          <w:p>
            <w:pPr>
              <w:spacing w:after="0"/>
              <w:rPr>
                <w:sz w:val="6"/>
                <w:szCs w:val="6"/>
                <w:color w:val="auto"/>
              </w:rPr>
            </w:pPr>
          </w:p>
        </w:tc>
        <w:tc>
          <w:tcPr>
            <w:tcW w:w="100" w:type="dxa"/>
            <w:vAlign w:val="bottom"/>
            <w:tcBorders>
              <w:top w:val="single" w:sz="8" w:color="auto"/>
            </w:tcBorders>
            <w:shd w:val="clear" w:color="auto" w:fill="EAEAEA"/>
          </w:tcPr>
          <w:p>
            <w:pPr>
              <w:spacing w:after="0"/>
              <w:rPr>
                <w:sz w:val="6"/>
                <w:szCs w:val="6"/>
                <w:color w:val="auto"/>
              </w:rPr>
            </w:pPr>
          </w:p>
        </w:tc>
        <w:tc>
          <w:tcPr>
            <w:tcW w:w="40" w:type="dxa"/>
            <w:vAlign w:val="bottom"/>
            <w:tcBorders>
              <w:top w:val="single" w:sz="8" w:color="auto"/>
            </w:tcBorders>
            <w:shd w:val="clear" w:color="auto" w:fill="EAEAEA"/>
          </w:tcPr>
          <w:p>
            <w:pPr>
              <w:spacing w:after="0"/>
              <w:rPr>
                <w:sz w:val="6"/>
                <w:szCs w:val="6"/>
                <w:color w:val="auto"/>
              </w:rPr>
            </w:pPr>
          </w:p>
        </w:tc>
        <w:tc>
          <w:tcPr>
            <w:tcW w:w="36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95"/>
              </w:rPr>
              <w:t>2019</w:t>
            </w:r>
          </w:p>
        </w:tc>
        <w:tc>
          <w:tcPr>
            <w:tcW w:w="6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$45,231</w:t>
            </w:r>
          </w:p>
        </w:tc>
        <w:tc>
          <w:tcPr>
            <w:tcW w:w="80" w:type="dxa"/>
            <w:vAlign w:val="bottom"/>
            <w:tcBorders>
              <w:top w:val="single" w:sz="8" w:color="auto"/>
            </w:tcBorders>
            <w:shd w:val="clear" w:color="auto" w:fill="EAEAEA"/>
          </w:tcPr>
          <w:p>
            <w:pPr>
              <w:spacing w:after="0"/>
              <w:rPr>
                <w:sz w:val="6"/>
                <w:szCs w:val="6"/>
                <w:color w:val="auto"/>
              </w:rPr>
            </w:pPr>
          </w:p>
        </w:tc>
        <w:tc>
          <w:tcPr>
            <w:tcW w:w="240" w:type="dxa"/>
            <w:vAlign w:val="bottom"/>
            <w:tcBorders>
              <w:top w:val="single" w:sz="8" w:color="auto"/>
            </w:tcBorders>
            <w:shd w:val="clear" w:color="auto" w:fill="EAEAEA"/>
          </w:tcPr>
          <w:p>
            <w:pPr>
              <w:spacing w:after="0"/>
              <w:rPr>
                <w:sz w:val="6"/>
                <w:szCs w:val="6"/>
                <w:color w:val="auto"/>
              </w:rPr>
            </w:pPr>
          </w:p>
        </w:tc>
        <w:tc>
          <w:tcPr>
            <w:tcW w:w="8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vMerge w:val="restart"/>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6"/>
                <w:szCs w:val="6"/>
                <w:color w:val="auto"/>
              </w:rPr>
            </w:pPr>
          </w:p>
        </w:tc>
        <w:tc>
          <w:tcPr>
            <w:tcW w:w="280" w:type="dxa"/>
            <w:vAlign w:val="bottom"/>
            <w:tcBorders>
              <w:top w:val="single" w:sz="8" w:color="auto"/>
            </w:tcBorders>
            <w:shd w:val="clear" w:color="auto" w:fill="EAEAEA"/>
          </w:tcPr>
          <w:p>
            <w:pPr>
              <w:spacing w:after="0"/>
              <w:rPr>
                <w:sz w:val="6"/>
                <w:szCs w:val="6"/>
                <w:color w:val="auto"/>
              </w:rPr>
            </w:pPr>
          </w:p>
        </w:tc>
        <w:tc>
          <w:tcPr>
            <w:tcW w:w="100" w:type="dxa"/>
            <w:vAlign w:val="bottom"/>
            <w:tcBorders>
              <w:top w:val="single" w:sz="8" w:color="auto"/>
            </w:tcBorders>
            <w:vMerge w:val="restart"/>
            <w:shd w:val="clear" w:color="auto" w:fill="EAEAEA"/>
          </w:tcPr>
          <w:p>
            <w:pPr>
              <w:jc w:val="center"/>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79"/>
              </w:rPr>
              <w:t>1,200</w:t>
            </w:r>
          </w:p>
        </w:tc>
        <w:tc>
          <w:tcPr>
            <w:tcW w:w="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2"/>
              </w:rPr>
              <w:t>106,705</w:t>
            </w:r>
          </w:p>
        </w:tc>
        <w:tc>
          <w:tcPr>
            <w:tcW w:w="100" w:type="dxa"/>
            <w:vAlign w:val="bottom"/>
            <w:tcBorders>
              <w:top w:val="single" w:sz="8" w:color="auto"/>
            </w:tcBorders>
            <w:shd w:val="clear" w:color="auto" w:fill="EAEAEA"/>
          </w:tcPr>
          <w:p>
            <w:pPr>
              <w:spacing w:after="0"/>
              <w:rPr>
                <w:sz w:val="6"/>
                <w:szCs w:val="6"/>
                <w:color w:val="auto"/>
              </w:rPr>
            </w:pPr>
          </w:p>
        </w:tc>
        <w:tc>
          <w:tcPr>
            <w:tcW w:w="280" w:type="dxa"/>
            <w:vAlign w:val="bottom"/>
            <w:tcBorders>
              <w:top w:val="single" w:sz="8" w:color="auto"/>
            </w:tcBorders>
            <w:shd w:val="clear" w:color="auto" w:fill="EAEAEA"/>
          </w:tcPr>
          <w:p>
            <w:pPr>
              <w:spacing w:after="0"/>
              <w:rPr>
                <w:sz w:val="6"/>
                <w:szCs w:val="6"/>
                <w:color w:val="auto"/>
              </w:rPr>
            </w:pPr>
          </w:p>
        </w:tc>
        <w:tc>
          <w:tcPr>
            <w:tcW w:w="10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tcPr>
          <w:p>
            <w:pPr>
              <w:spacing w:after="0"/>
              <w:rPr>
                <w:sz w:val="6"/>
                <w:szCs w:val="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EAEAEA"/>
          </w:tcPr>
          <w:p>
            <w:pPr>
              <w:spacing w:after="0"/>
              <w:rPr>
                <w:sz w:val="6"/>
                <w:szCs w:val="6"/>
                <w:color w:val="auto"/>
              </w:rPr>
            </w:pPr>
          </w:p>
        </w:tc>
        <w:tc>
          <w:tcPr>
            <w:tcW w:w="80" w:type="dxa"/>
            <w:vAlign w:val="bottom"/>
            <w:tcBorders>
              <w:top w:val="single" w:sz="8" w:color="auto"/>
            </w:tcBorders>
            <w:shd w:val="clear" w:color="auto" w:fill="EAEAEA"/>
          </w:tcPr>
          <w:p>
            <w:pPr>
              <w:spacing w:after="0"/>
              <w:rPr>
                <w:sz w:val="6"/>
                <w:szCs w:val="6"/>
                <w:color w:val="auto"/>
              </w:rPr>
            </w:pPr>
          </w:p>
        </w:tc>
        <w:tc>
          <w:tcPr>
            <w:tcW w:w="8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tcPr>
          <w:p>
            <w:pPr>
              <w:spacing w:after="0"/>
              <w:rPr>
                <w:sz w:val="6"/>
                <w:szCs w:val="6"/>
                <w:color w:val="auto"/>
              </w:rPr>
            </w:pPr>
          </w:p>
        </w:tc>
        <w:tc>
          <w:tcPr>
            <w:tcW w:w="3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EAEAEA"/>
          </w:tcPr>
          <w:p>
            <w:pPr>
              <w:spacing w:after="0"/>
              <w:rPr>
                <w:sz w:val="6"/>
                <w:szCs w:val="6"/>
                <w:color w:val="auto"/>
              </w:rPr>
            </w:pPr>
          </w:p>
        </w:tc>
        <w:tc>
          <w:tcPr>
            <w:tcW w:w="240" w:type="dxa"/>
            <w:vAlign w:val="bottom"/>
            <w:tcBorders>
              <w:top w:val="single" w:sz="8" w:color="auto"/>
            </w:tcBorders>
            <w:shd w:val="clear" w:color="auto" w:fill="EAEAEA"/>
          </w:tcPr>
          <w:p>
            <w:pPr>
              <w:spacing w:after="0"/>
              <w:rPr>
                <w:sz w:val="6"/>
                <w:szCs w:val="6"/>
                <w:color w:val="auto"/>
              </w:rPr>
            </w:pPr>
          </w:p>
        </w:tc>
        <w:tc>
          <w:tcPr>
            <w:tcW w:w="8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1580" w:type="dxa"/>
            <w:vAlign w:val="bottom"/>
          </w:tcPr>
          <w:p>
            <w:pPr>
              <w:ind w:left="60"/>
              <w:spacing w:after="0" w:line="170" w:lineRule="exact"/>
              <w:rPr>
                <w:sz w:val="20"/>
                <w:szCs w:val="20"/>
                <w:color w:val="auto"/>
              </w:rPr>
            </w:pPr>
            <w:r>
              <w:rPr>
                <w:rFonts w:ascii="Arial" w:cs="Arial" w:eastAsia="Arial" w:hAnsi="Arial"/>
                <w:sz w:val="16"/>
                <w:szCs w:val="16"/>
                <w:b w:val="1"/>
                <w:bCs w:val="1"/>
                <w:color w:val="0066BA"/>
              </w:rPr>
              <w:t>Mahendra-Rajah</w:t>
            </w:r>
          </w:p>
        </w:tc>
        <w:tc>
          <w:tcPr>
            <w:tcW w:w="100" w:type="dxa"/>
            <w:vAlign w:val="bottom"/>
            <w:tcBorders>
              <w:bottom w:val="single" w:sz="8" w:color="EAEAEA"/>
            </w:tcBorders>
            <w:shd w:val="clear" w:color="auto" w:fill="EAEAEA"/>
          </w:tcPr>
          <w:p>
            <w:pPr>
              <w:spacing w:after="0"/>
              <w:rPr>
                <w:sz w:val="14"/>
                <w:szCs w:val="14"/>
                <w:color w:val="auto"/>
              </w:rPr>
            </w:pPr>
          </w:p>
        </w:tc>
        <w:tc>
          <w:tcPr>
            <w:tcW w:w="40" w:type="dxa"/>
            <w:vAlign w:val="bottom"/>
            <w:tcBorders>
              <w:bottom w:val="single" w:sz="8" w:color="EAEAEA"/>
            </w:tcBorders>
            <w:shd w:val="clear" w:color="auto" w:fill="EAEAEA"/>
          </w:tcPr>
          <w:p>
            <w:pPr>
              <w:spacing w:after="0"/>
              <w:rPr>
                <w:sz w:val="14"/>
                <w:szCs w:val="14"/>
                <w:color w:val="auto"/>
              </w:rPr>
            </w:pPr>
          </w:p>
        </w:tc>
        <w:tc>
          <w:tcPr>
            <w:tcW w:w="360" w:type="dxa"/>
            <w:vAlign w:val="bottom"/>
            <w:tcBorders>
              <w:bottom w:val="single" w:sz="8" w:color="EAEAEA"/>
            </w:tcBorders>
            <w:vMerge w:val="continue"/>
            <w:shd w:val="clear" w:color="auto" w:fill="EAEAEA"/>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Borders>
              <w:bottom w:val="single" w:sz="8" w:color="EAEAEA"/>
            </w:tcBorders>
            <w:shd w:val="clear" w:color="auto" w:fill="EAEAEA"/>
          </w:tcPr>
          <w:p>
            <w:pPr>
              <w:spacing w:after="0"/>
              <w:rPr>
                <w:sz w:val="14"/>
                <w:szCs w:val="14"/>
                <w:color w:val="auto"/>
              </w:rPr>
            </w:pPr>
          </w:p>
        </w:tc>
        <w:tc>
          <w:tcPr>
            <w:tcW w:w="240" w:type="dxa"/>
            <w:vAlign w:val="bottom"/>
            <w:tcBorders>
              <w:bottom w:val="single" w:sz="8" w:color="EAEAEA"/>
            </w:tcBorders>
            <w:shd w:val="clear" w:color="auto" w:fill="EAEAEA"/>
          </w:tcPr>
          <w:p>
            <w:pPr>
              <w:spacing w:after="0"/>
              <w:rPr>
                <w:sz w:val="14"/>
                <w:szCs w:val="14"/>
                <w:color w:val="auto"/>
              </w:rPr>
            </w:pPr>
          </w:p>
        </w:tc>
        <w:tc>
          <w:tcPr>
            <w:tcW w:w="80" w:type="dxa"/>
            <w:vAlign w:val="bottom"/>
            <w:tcBorders>
              <w:bottom w:val="single" w:sz="8" w:color="EAEAEA"/>
            </w:tcBorders>
            <w:vMerge w:val="continue"/>
            <w:shd w:val="clear" w:color="auto" w:fill="EAEAEA"/>
          </w:tcPr>
          <w:p>
            <w:pPr>
              <w:spacing w:after="0"/>
              <w:rPr>
                <w:sz w:val="14"/>
                <w:szCs w:val="14"/>
                <w:color w:val="auto"/>
              </w:rPr>
            </w:pPr>
          </w:p>
        </w:tc>
        <w:tc>
          <w:tcPr>
            <w:tcW w:w="360" w:type="dxa"/>
            <w:vAlign w:val="bottom"/>
            <w:tcBorders>
              <w:bottom w:val="single" w:sz="8" w:color="EAEAEA"/>
            </w:tcBorders>
            <w:vMerge w:val="continue"/>
            <w:shd w:val="clear" w:color="auto" w:fill="EAEAEA"/>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0" w:type="dxa"/>
            <w:vAlign w:val="bottom"/>
            <w:tcBorders>
              <w:bottom w:val="single" w:sz="8" w:color="EAEAEA"/>
            </w:tcBorders>
            <w:shd w:val="clear" w:color="auto" w:fill="EAEAEA"/>
          </w:tcPr>
          <w:p>
            <w:pPr>
              <w:spacing w:after="0"/>
              <w:rPr>
                <w:sz w:val="14"/>
                <w:szCs w:val="14"/>
                <w:color w:val="auto"/>
              </w:rPr>
            </w:pPr>
          </w:p>
        </w:tc>
        <w:tc>
          <w:tcPr>
            <w:tcW w:w="280" w:type="dxa"/>
            <w:vAlign w:val="bottom"/>
            <w:tcBorders>
              <w:bottom w:val="single" w:sz="8" w:color="EAEAEA"/>
            </w:tcBorders>
            <w:shd w:val="clear" w:color="auto" w:fill="EAEAEA"/>
          </w:tcPr>
          <w:p>
            <w:pPr>
              <w:spacing w:after="0"/>
              <w:rPr>
                <w:sz w:val="14"/>
                <w:szCs w:val="14"/>
                <w:color w:val="auto"/>
              </w:rPr>
            </w:pPr>
          </w:p>
        </w:tc>
        <w:tc>
          <w:tcPr>
            <w:tcW w:w="100" w:type="dxa"/>
            <w:vAlign w:val="bottom"/>
            <w:tcBorders>
              <w:bottom w:val="single" w:sz="8" w:color="EAEAEA"/>
            </w:tcBorders>
            <w:vMerge w:val="continue"/>
            <w:shd w:val="clear" w:color="auto" w:fill="EAEAEA"/>
          </w:tcPr>
          <w:p>
            <w:pPr>
              <w:spacing w:after="0"/>
              <w:rPr>
                <w:sz w:val="14"/>
                <w:szCs w:val="14"/>
                <w:color w:val="auto"/>
              </w:rPr>
            </w:pPr>
          </w:p>
        </w:tc>
        <w:tc>
          <w:tcPr>
            <w:tcW w:w="340" w:type="dxa"/>
            <w:vAlign w:val="bottom"/>
            <w:tcBorders>
              <w:bottom w:val="single" w:sz="8" w:color="EAEAEA"/>
            </w:tcBorders>
            <w:vMerge w:val="continue"/>
            <w:shd w:val="clear" w:color="auto" w:fill="EAEAEA"/>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Borders>
              <w:bottom w:val="single" w:sz="8" w:color="EAEAEA"/>
            </w:tcBorders>
            <w:shd w:val="clear" w:color="auto" w:fill="EAEAEA"/>
          </w:tcPr>
          <w:p>
            <w:pPr>
              <w:spacing w:after="0"/>
              <w:rPr>
                <w:sz w:val="14"/>
                <w:szCs w:val="14"/>
                <w:color w:val="auto"/>
              </w:rPr>
            </w:pPr>
          </w:p>
        </w:tc>
        <w:tc>
          <w:tcPr>
            <w:tcW w:w="280" w:type="dxa"/>
            <w:vAlign w:val="bottom"/>
            <w:tcBorders>
              <w:bottom w:val="single" w:sz="8" w:color="EAEAEA"/>
            </w:tcBorders>
            <w:shd w:val="clear" w:color="auto" w:fill="EAEAEA"/>
          </w:tcPr>
          <w:p>
            <w:pPr>
              <w:spacing w:after="0"/>
              <w:rPr>
                <w:sz w:val="14"/>
                <w:szCs w:val="14"/>
                <w:color w:val="auto"/>
              </w:rPr>
            </w:pPr>
          </w:p>
        </w:tc>
        <w:tc>
          <w:tcPr>
            <w:tcW w:w="100" w:type="dxa"/>
            <w:vAlign w:val="bottom"/>
            <w:tcBorders>
              <w:bottom w:val="single" w:sz="8" w:color="EAEAEA"/>
            </w:tcBorders>
            <w:vMerge w:val="continue"/>
            <w:shd w:val="clear" w:color="auto" w:fill="EAEAEA"/>
          </w:tcPr>
          <w:p>
            <w:pPr>
              <w:spacing w:after="0"/>
              <w:rPr>
                <w:sz w:val="14"/>
                <w:szCs w:val="14"/>
                <w:color w:val="auto"/>
              </w:rPr>
            </w:pPr>
          </w:p>
        </w:tc>
        <w:tc>
          <w:tcPr>
            <w:tcW w:w="420" w:type="dxa"/>
            <w:vAlign w:val="bottom"/>
            <w:tcBorders>
              <w:bottom w:val="single" w:sz="8" w:color="EAEAEA"/>
            </w:tcBorders>
            <w:vMerge w:val="continue"/>
            <w:shd w:val="clear" w:color="auto" w:fill="EAEAEA"/>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Borders>
              <w:bottom w:val="single" w:sz="8" w:color="EAEAEA"/>
            </w:tcBorders>
            <w:shd w:val="clear" w:color="auto" w:fill="EAEAEA"/>
          </w:tcPr>
          <w:p>
            <w:pPr>
              <w:spacing w:after="0"/>
              <w:rPr>
                <w:sz w:val="14"/>
                <w:szCs w:val="14"/>
                <w:color w:val="auto"/>
              </w:rPr>
            </w:pPr>
          </w:p>
        </w:tc>
        <w:tc>
          <w:tcPr>
            <w:tcW w:w="80" w:type="dxa"/>
            <w:vAlign w:val="bottom"/>
            <w:tcBorders>
              <w:bottom w:val="single" w:sz="8" w:color="EAEAEA"/>
            </w:tcBorders>
            <w:shd w:val="clear" w:color="auto" w:fill="EAEAEA"/>
          </w:tcPr>
          <w:p>
            <w:pPr>
              <w:spacing w:after="0"/>
              <w:rPr>
                <w:sz w:val="14"/>
                <w:szCs w:val="14"/>
                <w:color w:val="auto"/>
              </w:rPr>
            </w:pPr>
          </w:p>
        </w:tc>
        <w:tc>
          <w:tcPr>
            <w:tcW w:w="80" w:type="dxa"/>
            <w:vAlign w:val="bottom"/>
            <w:tcBorders>
              <w:bottom w:val="single" w:sz="8" w:color="EAEAEA"/>
            </w:tcBorders>
            <w:vMerge w:val="continue"/>
            <w:shd w:val="clear" w:color="auto" w:fill="EAEAEA"/>
          </w:tcPr>
          <w:p>
            <w:pPr>
              <w:spacing w:after="0"/>
              <w:rPr>
                <w:sz w:val="14"/>
                <w:szCs w:val="14"/>
                <w:color w:val="auto"/>
              </w:rPr>
            </w:pPr>
          </w:p>
        </w:tc>
        <w:tc>
          <w:tcPr>
            <w:tcW w:w="420" w:type="dxa"/>
            <w:vAlign w:val="bottom"/>
            <w:tcBorders>
              <w:bottom w:val="single" w:sz="8" w:color="EAEAEA"/>
            </w:tcBorders>
            <w:vMerge w:val="continue"/>
            <w:shd w:val="clear" w:color="auto" w:fill="EAEAEA"/>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Borders>
              <w:bottom w:val="single" w:sz="8" w:color="EAEAEA"/>
            </w:tcBorders>
            <w:shd w:val="clear" w:color="auto" w:fill="EAEAEA"/>
          </w:tcPr>
          <w:p>
            <w:pPr>
              <w:spacing w:after="0"/>
              <w:rPr>
                <w:sz w:val="14"/>
                <w:szCs w:val="14"/>
                <w:color w:val="auto"/>
              </w:rPr>
            </w:pPr>
          </w:p>
        </w:tc>
        <w:tc>
          <w:tcPr>
            <w:tcW w:w="240" w:type="dxa"/>
            <w:vAlign w:val="bottom"/>
            <w:tcBorders>
              <w:bottom w:val="single" w:sz="8" w:color="EAEAEA"/>
            </w:tcBorders>
            <w:shd w:val="clear" w:color="auto" w:fill="EAEAEA"/>
          </w:tcPr>
          <w:p>
            <w:pPr>
              <w:spacing w:after="0"/>
              <w:rPr>
                <w:sz w:val="14"/>
                <w:szCs w:val="14"/>
                <w:color w:val="auto"/>
              </w:rPr>
            </w:pPr>
          </w:p>
        </w:tc>
        <w:tc>
          <w:tcPr>
            <w:tcW w:w="80" w:type="dxa"/>
            <w:vAlign w:val="bottom"/>
            <w:tcBorders>
              <w:bottom w:val="single" w:sz="8" w:color="EAEAEA"/>
            </w:tcBorders>
            <w:vMerge w:val="continue"/>
            <w:shd w:val="clear" w:color="auto" w:fill="EAEAEA"/>
          </w:tcPr>
          <w:p>
            <w:pPr>
              <w:spacing w:after="0"/>
              <w:rPr>
                <w:sz w:val="14"/>
                <w:szCs w:val="14"/>
                <w:color w:val="auto"/>
              </w:rPr>
            </w:pPr>
          </w:p>
        </w:tc>
        <w:tc>
          <w:tcPr>
            <w:tcW w:w="500" w:type="dxa"/>
            <w:vAlign w:val="bottom"/>
            <w:tcBorders>
              <w:bottom w:val="single" w:sz="8" w:color="EAEAEA"/>
            </w:tcBorders>
            <w:vMerge w:val="continue"/>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580" w:type="dxa"/>
            <w:vAlign w:val="bottom"/>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40" w:type="dxa"/>
            <w:vAlign w:val="bottom"/>
            <w:tcBorders>
              <w:top w:val="single" w:sz="8" w:color="auto"/>
              <w:bottom w:val="single" w:sz="8" w:color="EAEAEA"/>
            </w:tcBorders>
            <w:shd w:val="clear" w:color="auto" w:fill="EAEAEA"/>
          </w:tcPr>
          <w:p>
            <w:pPr>
              <w:spacing w:after="0"/>
              <w:rPr>
                <w:sz w:val="20"/>
                <w:szCs w:val="20"/>
                <w:color w:val="auto"/>
              </w:rPr>
            </w:pPr>
          </w:p>
        </w:tc>
        <w:tc>
          <w:tcPr>
            <w:tcW w:w="3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5"/>
                <w:shd w:val="clear" w:color="auto" w:fill="EAEAEA"/>
              </w:rPr>
              <w:t>2018</w:t>
            </w:r>
          </w:p>
        </w:tc>
        <w:tc>
          <w:tcPr>
            <w:tcW w:w="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$45,692</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24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shd w:val="clear" w:color="auto" w:fill="EAEAEA"/>
              </w:rPr>
              <w:t>$</w:t>
            </w:r>
          </w:p>
        </w:tc>
        <w:tc>
          <w:tcPr>
            <w:tcW w:w="3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shd w:val="clear" w:color="auto" w:fill="EAEAEA"/>
              </w:rPr>
              <w:t>—</w:t>
            </w: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2,850</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280" w:type="dxa"/>
            <w:vAlign w:val="bottom"/>
            <w:tcBorders>
              <w:top w:val="single" w:sz="8" w:color="auto"/>
              <w:bottom w:val="single" w:sz="8" w:color="EAEAEA"/>
            </w:tcBorders>
            <w:shd w:val="clear" w:color="auto" w:fill="EAEAEA"/>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jc w:val="center"/>
              <w:spacing w:after="0"/>
              <w:rPr>
                <w:sz w:val="20"/>
                <w:szCs w:val="20"/>
                <w:color w:val="auto"/>
              </w:rPr>
            </w:pPr>
            <w:r>
              <w:rPr>
                <w:rFonts w:ascii="Arial" w:cs="Arial" w:eastAsia="Arial" w:hAnsi="Arial"/>
                <w:sz w:val="16"/>
                <w:szCs w:val="16"/>
                <w:color w:val="auto"/>
                <w:w w:val="89"/>
                <w:shd w:val="clear" w:color="auto" w:fill="EAEAEA"/>
              </w:rPr>
              <w:t>$</w:t>
            </w:r>
          </w:p>
        </w:tc>
        <w:tc>
          <w:tcPr>
            <w:tcW w:w="3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79"/>
                <w:shd w:val="clear" w:color="auto" w:fill="EAEAEA"/>
              </w:rPr>
              <w:t>2,400</w:t>
            </w:r>
          </w:p>
        </w:tc>
        <w:tc>
          <w:tcPr>
            <w:tcW w:w="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36,629</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280" w:type="dxa"/>
            <w:vAlign w:val="bottom"/>
            <w:tcBorders>
              <w:top w:val="single" w:sz="8" w:color="auto"/>
              <w:bottom w:val="single" w:sz="8" w:color="EAEAEA"/>
            </w:tcBorders>
            <w:shd w:val="clear" w:color="auto" w:fill="EAEAEA"/>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shd w:val="clear" w:color="auto" w:fill="EAEAEA"/>
              </w:rPr>
              <w:t>$</w:t>
            </w:r>
          </w:p>
        </w:tc>
        <w:tc>
          <w:tcPr>
            <w:tcW w:w="4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shd w:val="clear" w:color="auto" w:fill="EAEAEA"/>
              </w:rPr>
              <w:t>—</w:t>
            </w: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shd w:val="clear" w:color="auto" w:fill="EAEAEA"/>
              </w:rPr>
              <w:t>$</w:t>
            </w:r>
          </w:p>
        </w:tc>
        <w:tc>
          <w:tcPr>
            <w:tcW w:w="4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9"/>
                <w:shd w:val="clear" w:color="auto" w:fill="EAEAEA"/>
              </w:rPr>
              <w:t>5,037</w:t>
            </w:r>
          </w:p>
        </w:tc>
        <w:tc>
          <w:tcPr>
            <w:tcW w:w="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24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shd w:val="clear" w:color="auto" w:fill="EAEAEA"/>
              </w:rPr>
              <w:t>$</w:t>
            </w:r>
          </w:p>
        </w:tc>
        <w:tc>
          <w:tcPr>
            <w:tcW w:w="5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shd w:val="clear" w:color="auto" w:fill="EAEAEA"/>
              </w:rPr>
              <w:t>—</w:t>
            </w:r>
          </w:p>
        </w:tc>
        <w:tc>
          <w:tcPr>
            <w:tcW w:w="0" w:type="dxa"/>
            <w:vAlign w:val="bottom"/>
          </w:tcPr>
          <w:p>
            <w:pPr>
              <w:spacing w:after="0"/>
              <w:rPr>
                <w:sz w:val="1"/>
                <w:szCs w:val="1"/>
                <w:color w:val="auto"/>
              </w:rPr>
            </w:pPr>
          </w:p>
        </w:tc>
      </w:tr>
      <w:tr>
        <w:trPr>
          <w:trHeight w:val="279"/>
        </w:trPr>
        <w:tc>
          <w:tcPr>
            <w:tcW w:w="1580" w:type="dxa"/>
            <w:vAlign w:val="bottom"/>
            <w:tcBorders>
              <w:top w:val="single" w:sz="8" w:color="0066BA"/>
            </w:tcBorders>
          </w:tcPr>
          <w:p>
            <w:pPr>
              <w:spacing w:after="0"/>
              <w:rPr>
                <w:sz w:val="24"/>
                <w:szCs w:val="24"/>
                <w:color w:val="auto"/>
              </w:rPr>
            </w:pPr>
          </w:p>
        </w:tc>
        <w:tc>
          <w:tcPr>
            <w:tcW w:w="100" w:type="dxa"/>
            <w:vAlign w:val="bottom"/>
            <w:tcBorders>
              <w:top w:val="single" w:sz="8" w:color="0066BA"/>
              <w:bottom w:val="single" w:sz="8" w:color="EAEAEA"/>
            </w:tcBorders>
            <w:shd w:val="clear" w:color="auto" w:fill="EAEAEA"/>
          </w:tcPr>
          <w:p>
            <w:pPr>
              <w:spacing w:after="0"/>
              <w:rPr>
                <w:sz w:val="24"/>
                <w:szCs w:val="24"/>
                <w:color w:val="auto"/>
              </w:rPr>
            </w:pPr>
          </w:p>
        </w:tc>
        <w:tc>
          <w:tcPr>
            <w:tcW w:w="400" w:type="dxa"/>
            <w:vAlign w:val="bottom"/>
            <w:tcBorders>
              <w:top w:val="single" w:sz="8" w:color="0066BA"/>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2020</w:t>
            </w:r>
          </w:p>
        </w:tc>
        <w:tc>
          <w:tcPr>
            <w:tcW w:w="60" w:type="dxa"/>
            <w:vAlign w:val="bottom"/>
            <w:tcBorders>
              <w:top w:val="single" w:sz="8" w:color="0066BA"/>
            </w:tcBorders>
          </w:tcPr>
          <w:p>
            <w:pPr>
              <w:spacing w:after="0"/>
              <w:rPr>
                <w:sz w:val="24"/>
                <w:szCs w:val="24"/>
                <w:color w:val="auto"/>
              </w:rPr>
            </w:pPr>
          </w:p>
        </w:tc>
        <w:tc>
          <w:tcPr>
            <w:tcW w:w="90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$36,800</w:t>
            </w:r>
          </w:p>
        </w:tc>
        <w:tc>
          <w:tcPr>
            <w:tcW w:w="80" w:type="dxa"/>
            <w:vAlign w:val="bottom"/>
            <w:tcBorders>
              <w:top w:val="single" w:sz="8" w:color="0066BA"/>
              <w:bottom w:val="single" w:sz="8" w:color="EAEAEA"/>
            </w:tcBorders>
            <w:shd w:val="clear" w:color="auto" w:fill="EAEAEA"/>
          </w:tcPr>
          <w:p>
            <w:pPr>
              <w:spacing w:after="0"/>
              <w:rPr>
                <w:sz w:val="24"/>
                <w:szCs w:val="24"/>
                <w:color w:val="auto"/>
              </w:rPr>
            </w:pPr>
          </w:p>
        </w:tc>
        <w:tc>
          <w:tcPr>
            <w:tcW w:w="320" w:type="dxa"/>
            <w:vAlign w:val="bottom"/>
            <w:tcBorders>
              <w:top w:val="single" w:sz="8" w:color="0066BA"/>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0066BA"/>
            </w:tcBorders>
          </w:tcPr>
          <w:p>
            <w:pPr>
              <w:spacing w:after="0"/>
              <w:rPr>
                <w:sz w:val="24"/>
                <w:szCs w:val="24"/>
                <w:color w:val="auto"/>
              </w:rPr>
            </w:pPr>
          </w:p>
        </w:tc>
        <w:tc>
          <w:tcPr>
            <w:tcW w:w="340" w:type="dxa"/>
            <w:vAlign w:val="bottom"/>
            <w:tcBorders>
              <w:top w:val="single" w:sz="8" w:color="0066BA"/>
            </w:tcBorders>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4"/>
                <w:szCs w:val="24"/>
                <w:color w:val="auto"/>
              </w:rPr>
            </w:pPr>
          </w:p>
        </w:tc>
        <w:tc>
          <w:tcPr>
            <w:tcW w:w="380" w:type="dxa"/>
            <w:vAlign w:val="bottom"/>
            <w:tcBorders>
              <w:top w:val="single" w:sz="8" w:color="0066BA"/>
              <w:bottom w:val="single" w:sz="8" w:color="EAEAEA"/>
            </w:tcBorders>
            <w:gridSpan w:val="2"/>
            <w:shd w:val="clear" w:color="auto" w:fill="EAEAEA"/>
          </w:tcPr>
          <w:p>
            <w:pPr>
              <w:jc w:val="center"/>
              <w:ind w:left="225"/>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0066BA"/>
            </w:tcBorders>
          </w:tcPr>
          <w:p>
            <w:pPr>
              <w:spacing w:after="0"/>
              <w:rPr>
                <w:sz w:val="24"/>
                <w:szCs w:val="24"/>
                <w:color w:val="auto"/>
              </w:rPr>
            </w:pPr>
          </w:p>
        </w:tc>
        <w:tc>
          <w:tcPr>
            <w:tcW w:w="38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0066BA"/>
              <w:bottom w:val="single" w:sz="8" w:color="EAEAEA"/>
            </w:tcBorders>
            <w:shd w:val="clear" w:color="auto" w:fill="EAEAEA"/>
          </w:tcPr>
          <w:p>
            <w:pPr>
              <w:spacing w:after="0"/>
              <w:rPr>
                <w:sz w:val="24"/>
                <w:szCs w:val="24"/>
                <w:color w:val="auto"/>
              </w:rPr>
            </w:pPr>
          </w:p>
        </w:tc>
        <w:tc>
          <w:tcPr>
            <w:tcW w:w="380" w:type="dxa"/>
            <w:vAlign w:val="bottom"/>
            <w:tcBorders>
              <w:top w:val="single" w:sz="8" w:color="0066BA"/>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0066BA"/>
            </w:tcBorders>
          </w:tcPr>
          <w:p>
            <w:pPr>
              <w:spacing w:after="0"/>
              <w:rPr>
                <w:sz w:val="24"/>
                <w:szCs w:val="24"/>
                <w:color w:val="auto"/>
              </w:rPr>
            </w:pPr>
          </w:p>
        </w:tc>
        <w:tc>
          <w:tcPr>
            <w:tcW w:w="14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0066BA"/>
              <w:bottom w:val="single" w:sz="8" w:color="EAEAEA"/>
            </w:tcBorders>
            <w:shd w:val="clear" w:color="auto" w:fill="EAEAEA"/>
          </w:tcPr>
          <w:p>
            <w:pPr>
              <w:spacing w:after="0"/>
              <w:rPr>
                <w:sz w:val="24"/>
                <w:szCs w:val="24"/>
                <w:color w:val="auto"/>
              </w:rPr>
            </w:pPr>
          </w:p>
        </w:tc>
        <w:tc>
          <w:tcPr>
            <w:tcW w:w="160" w:type="dxa"/>
            <w:vAlign w:val="bottom"/>
            <w:tcBorders>
              <w:top w:val="single" w:sz="8" w:color="0066BA"/>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0066BA"/>
            </w:tcBorders>
          </w:tcPr>
          <w:p>
            <w:pPr>
              <w:spacing w:after="0"/>
              <w:rPr>
                <w:sz w:val="24"/>
                <w:szCs w:val="24"/>
                <w:color w:val="auto"/>
              </w:rPr>
            </w:pPr>
          </w:p>
        </w:tc>
        <w:tc>
          <w:tcPr>
            <w:tcW w:w="32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0066BA"/>
              <w:bottom w:val="single" w:sz="8" w:color="EAEAEA"/>
            </w:tcBorders>
            <w:shd w:val="clear" w:color="auto" w:fill="EAEAEA"/>
          </w:tcPr>
          <w:p>
            <w:pPr>
              <w:spacing w:after="0"/>
              <w:rPr>
                <w:sz w:val="24"/>
                <w:szCs w:val="24"/>
                <w:color w:val="auto"/>
              </w:rPr>
            </w:pPr>
          </w:p>
        </w:tc>
        <w:tc>
          <w:tcPr>
            <w:tcW w:w="320" w:type="dxa"/>
            <w:vAlign w:val="bottom"/>
            <w:tcBorders>
              <w:top w:val="single" w:sz="8" w:color="0066BA"/>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1580" w:type="dxa"/>
            <w:vAlign w:val="bottom"/>
          </w:tcPr>
          <w:p>
            <w:pPr>
              <w:ind w:left="60"/>
              <w:spacing w:after="0" w:line="182" w:lineRule="exact"/>
              <w:rPr>
                <w:sz w:val="20"/>
                <w:szCs w:val="20"/>
                <w:color w:val="auto"/>
              </w:rPr>
            </w:pPr>
            <w:r>
              <w:rPr>
                <w:rFonts w:ascii="Arial" w:cs="Arial" w:eastAsia="Arial" w:hAnsi="Arial"/>
                <w:sz w:val="16"/>
                <w:szCs w:val="16"/>
                <w:b w:val="1"/>
                <w:bCs w:val="1"/>
                <w:color w:val="0066BA"/>
              </w:rPr>
              <w:t>Martin Cotter</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40" w:type="dxa"/>
            <w:vAlign w:val="bottom"/>
            <w:tcBorders>
              <w:top w:val="single" w:sz="8" w:color="auto"/>
              <w:bottom w:val="single" w:sz="8" w:color="EAEAEA"/>
            </w:tcBorders>
            <w:shd w:val="clear" w:color="auto" w:fill="EAEAEA"/>
          </w:tcPr>
          <w:p>
            <w:pPr>
              <w:spacing w:after="0"/>
              <w:rPr>
                <w:sz w:val="20"/>
                <w:szCs w:val="20"/>
                <w:color w:val="auto"/>
              </w:rPr>
            </w:pPr>
          </w:p>
        </w:tc>
        <w:tc>
          <w:tcPr>
            <w:tcW w:w="3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5"/>
              </w:rPr>
              <w:t>2019</w:t>
            </w:r>
          </w:p>
        </w:tc>
        <w:tc>
          <w:tcPr>
            <w:tcW w:w="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$36,492</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24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280" w:type="dxa"/>
            <w:vAlign w:val="bottom"/>
            <w:tcBorders>
              <w:top w:val="single" w:sz="8" w:color="auto"/>
              <w:bottom w:val="single" w:sz="8" w:color="EAEAEA"/>
            </w:tcBorders>
            <w:shd w:val="clear" w:color="auto" w:fill="EAEAEA"/>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jc w:val="center"/>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280" w:type="dxa"/>
            <w:vAlign w:val="bottom"/>
            <w:tcBorders>
              <w:top w:val="single" w:sz="8" w:color="auto"/>
              <w:bottom w:val="single" w:sz="8" w:color="EAEAEA"/>
            </w:tcBorders>
            <w:shd w:val="clear" w:color="auto" w:fill="EAEAEA"/>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1"/>
              </w:rPr>
              <w:t>66,606</w:t>
            </w: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24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1580" w:type="dxa"/>
            <w:vAlign w:val="bottom"/>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40" w:type="dxa"/>
            <w:vAlign w:val="bottom"/>
            <w:tcBorders>
              <w:top w:val="single" w:sz="8" w:color="auto"/>
              <w:bottom w:val="single" w:sz="8" w:color="EAEAEA"/>
            </w:tcBorders>
            <w:shd w:val="clear" w:color="auto" w:fill="EAEAEA"/>
          </w:tcPr>
          <w:p>
            <w:pPr>
              <w:spacing w:after="0"/>
              <w:rPr>
                <w:sz w:val="20"/>
                <w:szCs w:val="20"/>
                <w:color w:val="auto"/>
              </w:rPr>
            </w:pPr>
          </w:p>
        </w:tc>
        <w:tc>
          <w:tcPr>
            <w:tcW w:w="3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5"/>
                <w:shd w:val="clear" w:color="auto" w:fill="EAEAEA"/>
              </w:rPr>
              <w:t>2018</w:t>
            </w:r>
          </w:p>
        </w:tc>
        <w:tc>
          <w:tcPr>
            <w:tcW w:w="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$35,654</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24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shd w:val="clear" w:color="auto" w:fill="EAEAEA"/>
              </w:rPr>
              <w:t>$</w:t>
            </w:r>
          </w:p>
        </w:tc>
        <w:tc>
          <w:tcPr>
            <w:tcW w:w="3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shd w:val="clear" w:color="auto" w:fill="EAEAEA"/>
              </w:rPr>
              <w:t>—</w:t>
            </w: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2,950</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280" w:type="dxa"/>
            <w:vAlign w:val="bottom"/>
            <w:tcBorders>
              <w:top w:val="single" w:sz="8" w:color="auto"/>
              <w:bottom w:val="single" w:sz="8" w:color="EAEAEA"/>
            </w:tcBorders>
            <w:shd w:val="clear" w:color="auto" w:fill="EAEAEA"/>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jc w:val="center"/>
              <w:spacing w:after="0"/>
              <w:rPr>
                <w:sz w:val="20"/>
                <w:szCs w:val="20"/>
                <w:color w:val="auto"/>
              </w:rPr>
            </w:pPr>
            <w:r>
              <w:rPr>
                <w:rFonts w:ascii="Arial" w:cs="Arial" w:eastAsia="Arial" w:hAnsi="Arial"/>
                <w:sz w:val="16"/>
                <w:szCs w:val="16"/>
                <w:color w:val="auto"/>
                <w:w w:val="89"/>
                <w:shd w:val="clear" w:color="auto" w:fill="EAEAEA"/>
              </w:rPr>
              <w:t>$</w:t>
            </w:r>
          </w:p>
        </w:tc>
        <w:tc>
          <w:tcPr>
            <w:tcW w:w="3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shd w:val="clear" w:color="auto" w:fill="EAEAEA"/>
              </w:rPr>
              <w:t>—</w:t>
            </w:r>
          </w:p>
        </w:tc>
        <w:tc>
          <w:tcPr>
            <w:tcW w:w="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280" w:type="dxa"/>
            <w:vAlign w:val="bottom"/>
            <w:tcBorders>
              <w:top w:val="single" w:sz="8" w:color="auto"/>
              <w:bottom w:val="single" w:sz="8" w:color="EAEAEA"/>
            </w:tcBorders>
            <w:shd w:val="clear" w:color="auto" w:fill="EAEAEA"/>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shd w:val="clear" w:color="auto" w:fill="EAEAEA"/>
              </w:rPr>
              <w:t>$</w:t>
            </w:r>
          </w:p>
        </w:tc>
        <w:tc>
          <w:tcPr>
            <w:tcW w:w="4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1"/>
                <w:shd w:val="clear" w:color="auto" w:fill="EAEAEA"/>
              </w:rPr>
              <w:t>70,023</w:t>
            </w: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shd w:val="clear" w:color="auto" w:fill="EAEAEA"/>
              </w:rPr>
              <w:t>$</w:t>
            </w:r>
          </w:p>
        </w:tc>
        <w:tc>
          <w:tcPr>
            <w:tcW w:w="4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shd w:val="clear" w:color="auto" w:fill="EAEAEA"/>
              </w:rPr>
              <w:t>—</w:t>
            </w:r>
          </w:p>
        </w:tc>
        <w:tc>
          <w:tcPr>
            <w:tcW w:w="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24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shd w:val="clear" w:color="auto" w:fill="EAEAEA"/>
              </w:rPr>
              <w:t>$</w:t>
            </w:r>
          </w:p>
        </w:tc>
        <w:tc>
          <w:tcPr>
            <w:tcW w:w="5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shd w:val="clear" w:color="auto" w:fill="EAEAEA"/>
              </w:rPr>
              <w:t>—</w:t>
            </w:r>
          </w:p>
        </w:tc>
        <w:tc>
          <w:tcPr>
            <w:tcW w:w="0" w:type="dxa"/>
            <w:vAlign w:val="bottom"/>
          </w:tcPr>
          <w:p>
            <w:pPr>
              <w:spacing w:after="0"/>
              <w:rPr>
                <w:sz w:val="1"/>
                <w:szCs w:val="1"/>
                <w:color w:val="auto"/>
              </w:rPr>
            </w:pPr>
          </w:p>
        </w:tc>
      </w:tr>
      <w:tr>
        <w:trPr>
          <w:trHeight w:val="279"/>
        </w:trPr>
        <w:tc>
          <w:tcPr>
            <w:tcW w:w="1580" w:type="dxa"/>
            <w:vAlign w:val="bottom"/>
            <w:tcBorders>
              <w:top w:val="single" w:sz="8" w:color="0066BA"/>
            </w:tcBorders>
          </w:tcPr>
          <w:p>
            <w:pPr>
              <w:spacing w:after="0"/>
              <w:rPr>
                <w:sz w:val="24"/>
                <w:szCs w:val="24"/>
                <w:color w:val="auto"/>
              </w:rPr>
            </w:pPr>
          </w:p>
        </w:tc>
        <w:tc>
          <w:tcPr>
            <w:tcW w:w="100" w:type="dxa"/>
            <w:vAlign w:val="bottom"/>
            <w:tcBorders>
              <w:top w:val="single" w:sz="8" w:color="0066BA"/>
              <w:bottom w:val="single" w:sz="8" w:color="EAEAEA"/>
            </w:tcBorders>
            <w:shd w:val="clear" w:color="auto" w:fill="EAEAEA"/>
          </w:tcPr>
          <w:p>
            <w:pPr>
              <w:spacing w:after="0"/>
              <w:rPr>
                <w:sz w:val="24"/>
                <w:szCs w:val="24"/>
                <w:color w:val="auto"/>
              </w:rPr>
            </w:pPr>
          </w:p>
        </w:tc>
        <w:tc>
          <w:tcPr>
            <w:tcW w:w="400" w:type="dxa"/>
            <w:vAlign w:val="bottom"/>
            <w:tcBorders>
              <w:top w:val="single" w:sz="8" w:color="0066BA"/>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2020</w:t>
            </w:r>
          </w:p>
        </w:tc>
        <w:tc>
          <w:tcPr>
            <w:tcW w:w="60" w:type="dxa"/>
            <w:vAlign w:val="bottom"/>
            <w:tcBorders>
              <w:top w:val="single" w:sz="8" w:color="0066BA"/>
            </w:tcBorders>
          </w:tcPr>
          <w:p>
            <w:pPr>
              <w:spacing w:after="0"/>
              <w:rPr>
                <w:sz w:val="24"/>
                <w:szCs w:val="24"/>
                <w:color w:val="auto"/>
              </w:rPr>
            </w:pPr>
          </w:p>
        </w:tc>
        <w:tc>
          <w:tcPr>
            <w:tcW w:w="90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$38,000</w:t>
            </w:r>
          </w:p>
        </w:tc>
        <w:tc>
          <w:tcPr>
            <w:tcW w:w="80" w:type="dxa"/>
            <w:vAlign w:val="bottom"/>
            <w:tcBorders>
              <w:top w:val="single" w:sz="8" w:color="0066BA"/>
              <w:bottom w:val="single" w:sz="8" w:color="EAEAEA"/>
            </w:tcBorders>
            <w:shd w:val="clear" w:color="auto" w:fill="EAEAEA"/>
          </w:tcPr>
          <w:p>
            <w:pPr>
              <w:spacing w:after="0"/>
              <w:rPr>
                <w:sz w:val="24"/>
                <w:szCs w:val="24"/>
                <w:color w:val="auto"/>
              </w:rPr>
            </w:pPr>
          </w:p>
        </w:tc>
        <w:tc>
          <w:tcPr>
            <w:tcW w:w="320" w:type="dxa"/>
            <w:vAlign w:val="bottom"/>
            <w:tcBorders>
              <w:top w:val="single" w:sz="8" w:color="0066BA"/>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0066BA"/>
            </w:tcBorders>
          </w:tcPr>
          <w:p>
            <w:pPr>
              <w:spacing w:after="0"/>
              <w:rPr>
                <w:sz w:val="24"/>
                <w:szCs w:val="24"/>
                <w:color w:val="auto"/>
              </w:rPr>
            </w:pPr>
          </w:p>
        </w:tc>
        <w:tc>
          <w:tcPr>
            <w:tcW w:w="340" w:type="dxa"/>
            <w:vAlign w:val="bottom"/>
            <w:tcBorders>
              <w:top w:val="single" w:sz="8" w:color="0066BA"/>
            </w:tcBorders>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w w:val="84"/>
              </w:rPr>
              <w:t>4,589</w:t>
            </w:r>
          </w:p>
        </w:tc>
        <w:tc>
          <w:tcPr>
            <w:tcW w:w="80" w:type="dxa"/>
            <w:vAlign w:val="bottom"/>
            <w:tcBorders>
              <w:top w:val="single" w:sz="8" w:color="0066BA"/>
              <w:bottom w:val="single" w:sz="8" w:color="EAEAEA"/>
            </w:tcBorders>
            <w:shd w:val="clear" w:color="auto" w:fill="EAEAEA"/>
          </w:tcPr>
          <w:p>
            <w:pPr>
              <w:spacing w:after="0"/>
              <w:rPr>
                <w:sz w:val="24"/>
                <w:szCs w:val="24"/>
                <w:color w:val="auto"/>
              </w:rPr>
            </w:pPr>
          </w:p>
        </w:tc>
        <w:tc>
          <w:tcPr>
            <w:tcW w:w="380" w:type="dxa"/>
            <w:vAlign w:val="bottom"/>
            <w:tcBorders>
              <w:top w:val="single" w:sz="8" w:color="0066BA"/>
              <w:bottom w:val="single" w:sz="8" w:color="EAEAEA"/>
            </w:tcBorders>
            <w:gridSpan w:val="2"/>
            <w:shd w:val="clear" w:color="auto" w:fill="EAEAEA"/>
          </w:tcPr>
          <w:p>
            <w:pPr>
              <w:jc w:val="center"/>
              <w:ind w:left="225"/>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79"/>
              </w:rPr>
              <w:t>1,200</w:t>
            </w:r>
          </w:p>
        </w:tc>
        <w:tc>
          <w:tcPr>
            <w:tcW w:w="60" w:type="dxa"/>
            <w:vAlign w:val="bottom"/>
            <w:tcBorders>
              <w:top w:val="single" w:sz="8" w:color="0066BA"/>
            </w:tcBorders>
          </w:tcPr>
          <w:p>
            <w:pPr>
              <w:spacing w:after="0"/>
              <w:rPr>
                <w:sz w:val="24"/>
                <w:szCs w:val="24"/>
                <w:color w:val="auto"/>
              </w:rPr>
            </w:pPr>
          </w:p>
        </w:tc>
        <w:tc>
          <w:tcPr>
            <w:tcW w:w="38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0066BA"/>
              <w:bottom w:val="single" w:sz="8" w:color="EAEAEA"/>
            </w:tcBorders>
            <w:shd w:val="clear" w:color="auto" w:fill="EAEAEA"/>
          </w:tcPr>
          <w:p>
            <w:pPr>
              <w:spacing w:after="0"/>
              <w:rPr>
                <w:sz w:val="24"/>
                <w:szCs w:val="24"/>
                <w:color w:val="auto"/>
              </w:rPr>
            </w:pPr>
          </w:p>
        </w:tc>
        <w:tc>
          <w:tcPr>
            <w:tcW w:w="380" w:type="dxa"/>
            <w:vAlign w:val="bottom"/>
            <w:tcBorders>
              <w:top w:val="single" w:sz="8" w:color="0066BA"/>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0066BA"/>
            </w:tcBorders>
          </w:tcPr>
          <w:p>
            <w:pPr>
              <w:spacing w:after="0"/>
              <w:rPr>
                <w:sz w:val="24"/>
                <w:szCs w:val="24"/>
                <w:color w:val="auto"/>
              </w:rPr>
            </w:pPr>
          </w:p>
        </w:tc>
        <w:tc>
          <w:tcPr>
            <w:tcW w:w="14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0066BA"/>
              <w:bottom w:val="single" w:sz="8" w:color="EAEAEA"/>
            </w:tcBorders>
            <w:shd w:val="clear" w:color="auto" w:fill="EAEAEA"/>
          </w:tcPr>
          <w:p>
            <w:pPr>
              <w:spacing w:after="0"/>
              <w:rPr>
                <w:sz w:val="24"/>
                <w:szCs w:val="24"/>
                <w:color w:val="auto"/>
              </w:rPr>
            </w:pPr>
          </w:p>
        </w:tc>
        <w:tc>
          <w:tcPr>
            <w:tcW w:w="160" w:type="dxa"/>
            <w:vAlign w:val="bottom"/>
            <w:tcBorders>
              <w:top w:val="single" w:sz="8" w:color="0066BA"/>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9"/>
              </w:rPr>
              <w:t>7,978</w:t>
            </w:r>
          </w:p>
        </w:tc>
        <w:tc>
          <w:tcPr>
            <w:tcW w:w="60" w:type="dxa"/>
            <w:vAlign w:val="bottom"/>
            <w:tcBorders>
              <w:top w:val="single" w:sz="8" w:color="0066BA"/>
            </w:tcBorders>
          </w:tcPr>
          <w:p>
            <w:pPr>
              <w:spacing w:after="0"/>
              <w:rPr>
                <w:sz w:val="24"/>
                <w:szCs w:val="24"/>
                <w:color w:val="auto"/>
              </w:rPr>
            </w:pPr>
          </w:p>
        </w:tc>
        <w:tc>
          <w:tcPr>
            <w:tcW w:w="32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0066BA"/>
              <w:bottom w:val="single" w:sz="8" w:color="EAEAEA"/>
            </w:tcBorders>
            <w:shd w:val="clear" w:color="auto" w:fill="EAEAEA"/>
          </w:tcPr>
          <w:p>
            <w:pPr>
              <w:spacing w:after="0"/>
              <w:rPr>
                <w:sz w:val="24"/>
                <w:szCs w:val="24"/>
                <w:color w:val="auto"/>
              </w:rPr>
            </w:pPr>
          </w:p>
        </w:tc>
        <w:tc>
          <w:tcPr>
            <w:tcW w:w="320" w:type="dxa"/>
            <w:vAlign w:val="bottom"/>
            <w:tcBorders>
              <w:top w:val="single" w:sz="8" w:color="0066BA"/>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1580" w:type="dxa"/>
            <w:vAlign w:val="bottom"/>
          </w:tcPr>
          <w:p>
            <w:pPr>
              <w:ind w:left="60"/>
              <w:spacing w:after="0" w:line="182" w:lineRule="exact"/>
              <w:rPr>
                <w:sz w:val="20"/>
                <w:szCs w:val="20"/>
                <w:color w:val="auto"/>
              </w:rPr>
            </w:pPr>
            <w:r>
              <w:rPr>
                <w:rFonts w:ascii="Arial" w:cs="Arial" w:eastAsia="Arial" w:hAnsi="Arial"/>
                <w:sz w:val="16"/>
                <w:szCs w:val="16"/>
                <w:b w:val="1"/>
                <w:bCs w:val="1"/>
                <w:color w:val="0066BA"/>
              </w:rPr>
              <w:t>John Hassett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40" w:type="dxa"/>
            <w:vAlign w:val="bottom"/>
            <w:tcBorders>
              <w:top w:val="single" w:sz="8" w:color="auto"/>
              <w:bottom w:val="single" w:sz="8" w:color="EAEAEA"/>
            </w:tcBorders>
            <w:shd w:val="clear" w:color="auto" w:fill="EAEAEA"/>
          </w:tcPr>
          <w:p>
            <w:pPr>
              <w:spacing w:after="0"/>
              <w:rPr>
                <w:sz w:val="20"/>
                <w:szCs w:val="20"/>
                <w:color w:val="auto"/>
              </w:rPr>
            </w:pPr>
          </w:p>
        </w:tc>
        <w:tc>
          <w:tcPr>
            <w:tcW w:w="3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5"/>
              </w:rPr>
              <w:t>2019</w:t>
            </w:r>
          </w:p>
        </w:tc>
        <w:tc>
          <w:tcPr>
            <w:tcW w:w="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$37,692</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24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4,507</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280" w:type="dxa"/>
            <w:vAlign w:val="bottom"/>
            <w:tcBorders>
              <w:top w:val="single" w:sz="8" w:color="auto"/>
              <w:bottom w:val="single" w:sz="8" w:color="EAEAEA"/>
            </w:tcBorders>
            <w:shd w:val="clear" w:color="auto" w:fill="EAEAEA"/>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jc w:val="center"/>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79"/>
              </w:rPr>
              <w:t>1,200</w:t>
            </w:r>
          </w:p>
        </w:tc>
        <w:tc>
          <w:tcPr>
            <w:tcW w:w="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280" w:type="dxa"/>
            <w:vAlign w:val="bottom"/>
            <w:tcBorders>
              <w:top w:val="single" w:sz="8" w:color="auto"/>
              <w:bottom w:val="single" w:sz="8" w:color="EAEAEA"/>
            </w:tcBorders>
            <w:shd w:val="clear" w:color="auto" w:fill="EAEAEA"/>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9"/>
              </w:rPr>
              <w:t>2,500</w:t>
            </w:r>
          </w:p>
        </w:tc>
        <w:tc>
          <w:tcPr>
            <w:tcW w:w="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24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1580" w:type="dxa"/>
            <w:vAlign w:val="bottom"/>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40" w:type="dxa"/>
            <w:vAlign w:val="bottom"/>
            <w:tcBorders>
              <w:top w:val="single" w:sz="8" w:color="auto"/>
              <w:bottom w:val="single" w:sz="8" w:color="EAEAEA"/>
            </w:tcBorders>
            <w:shd w:val="clear" w:color="auto" w:fill="EAEAEA"/>
          </w:tcPr>
          <w:p>
            <w:pPr>
              <w:spacing w:after="0"/>
              <w:rPr>
                <w:sz w:val="20"/>
                <w:szCs w:val="20"/>
                <w:color w:val="auto"/>
              </w:rPr>
            </w:pPr>
          </w:p>
        </w:tc>
        <w:tc>
          <w:tcPr>
            <w:tcW w:w="3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5"/>
                <w:shd w:val="clear" w:color="auto" w:fill="EAEAEA"/>
              </w:rPr>
              <w:t>2018</w:t>
            </w:r>
          </w:p>
        </w:tc>
        <w:tc>
          <w:tcPr>
            <w:tcW w:w="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$37,554</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24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shd w:val="clear" w:color="auto" w:fill="EAEAEA"/>
              </w:rPr>
              <w:t>$</w:t>
            </w:r>
          </w:p>
        </w:tc>
        <w:tc>
          <w:tcPr>
            <w:tcW w:w="3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4"/>
                <w:shd w:val="clear" w:color="auto" w:fill="EAEAEA"/>
              </w:rPr>
              <w:t>6,610</w:t>
            </w: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4,304</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280" w:type="dxa"/>
            <w:vAlign w:val="bottom"/>
            <w:tcBorders>
              <w:top w:val="single" w:sz="8" w:color="auto"/>
              <w:bottom w:val="single" w:sz="8" w:color="EAEAEA"/>
            </w:tcBorders>
            <w:shd w:val="clear" w:color="auto" w:fill="EAEAEA"/>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jc w:val="center"/>
              <w:spacing w:after="0"/>
              <w:rPr>
                <w:sz w:val="20"/>
                <w:szCs w:val="20"/>
                <w:color w:val="auto"/>
              </w:rPr>
            </w:pPr>
            <w:r>
              <w:rPr>
                <w:rFonts w:ascii="Arial" w:cs="Arial" w:eastAsia="Arial" w:hAnsi="Arial"/>
                <w:sz w:val="16"/>
                <w:szCs w:val="16"/>
                <w:color w:val="auto"/>
                <w:w w:val="89"/>
                <w:shd w:val="clear" w:color="auto" w:fill="EAEAEA"/>
              </w:rPr>
              <w:t>$</w:t>
            </w:r>
          </w:p>
        </w:tc>
        <w:tc>
          <w:tcPr>
            <w:tcW w:w="3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79"/>
                <w:shd w:val="clear" w:color="auto" w:fill="EAEAEA"/>
              </w:rPr>
              <w:t>1,200</w:t>
            </w:r>
          </w:p>
        </w:tc>
        <w:tc>
          <w:tcPr>
            <w:tcW w:w="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280" w:type="dxa"/>
            <w:vAlign w:val="bottom"/>
            <w:tcBorders>
              <w:top w:val="single" w:sz="8" w:color="auto"/>
              <w:bottom w:val="single" w:sz="8" w:color="EAEAEA"/>
            </w:tcBorders>
            <w:shd w:val="clear" w:color="auto" w:fill="EAEAEA"/>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shd w:val="clear" w:color="auto" w:fill="EAEAEA"/>
              </w:rPr>
              <w:t>$</w:t>
            </w:r>
          </w:p>
        </w:tc>
        <w:tc>
          <w:tcPr>
            <w:tcW w:w="4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shd w:val="clear" w:color="auto" w:fill="EAEAEA"/>
              </w:rPr>
              <w:t>—</w:t>
            </w: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shd w:val="clear" w:color="auto" w:fill="EAEAEA"/>
              </w:rPr>
              <w:t>$</w:t>
            </w:r>
          </w:p>
        </w:tc>
        <w:tc>
          <w:tcPr>
            <w:tcW w:w="4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shd w:val="clear" w:color="auto" w:fill="EAEAEA"/>
              </w:rPr>
              <w:t>—</w:t>
            </w:r>
          </w:p>
        </w:tc>
        <w:tc>
          <w:tcPr>
            <w:tcW w:w="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24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shd w:val="clear" w:color="auto" w:fill="EAEAEA"/>
              </w:rPr>
              <w:t>$</w:t>
            </w:r>
          </w:p>
        </w:tc>
        <w:tc>
          <w:tcPr>
            <w:tcW w:w="5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shd w:val="clear" w:color="auto" w:fill="EAEAEA"/>
              </w:rPr>
              <w:t>—</w:t>
            </w:r>
          </w:p>
        </w:tc>
        <w:tc>
          <w:tcPr>
            <w:tcW w:w="0" w:type="dxa"/>
            <w:vAlign w:val="bottom"/>
          </w:tcPr>
          <w:p>
            <w:pPr>
              <w:spacing w:after="0"/>
              <w:rPr>
                <w:sz w:val="1"/>
                <w:szCs w:val="1"/>
                <w:color w:val="auto"/>
              </w:rPr>
            </w:pPr>
          </w:p>
        </w:tc>
      </w:tr>
      <w:tr>
        <w:trPr>
          <w:trHeight w:val="279"/>
        </w:trPr>
        <w:tc>
          <w:tcPr>
            <w:tcW w:w="1580" w:type="dxa"/>
            <w:vAlign w:val="bottom"/>
            <w:tcBorders>
              <w:top w:val="single" w:sz="8" w:color="0066BA"/>
            </w:tcBorders>
          </w:tcPr>
          <w:p>
            <w:pPr>
              <w:spacing w:after="0"/>
              <w:rPr>
                <w:sz w:val="24"/>
                <w:szCs w:val="24"/>
                <w:color w:val="auto"/>
              </w:rPr>
            </w:pPr>
          </w:p>
        </w:tc>
        <w:tc>
          <w:tcPr>
            <w:tcW w:w="100" w:type="dxa"/>
            <w:vAlign w:val="bottom"/>
            <w:tcBorders>
              <w:top w:val="single" w:sz="8" w:color="0066BA"/>
              <w:bottom w:val="single" w:sz="8" w:color="EAEAEA"/>
            </w:tcBorders>
            <w:shd w:val="clear" w:color="auto" w:fill="EAEAEA"/>
          </w:tcPr>
          <w:p>
            <w:pPr>
              <w:spacing w:after="0"/>
              <w:rPr>
                <w:sz w:val="24"/>
                <w:szCs w:val="24"/>
                <w:color w:val="auto"/>
              </w:rPr>
            </w:pPr>
          </w:p>
        </w:tc>
        <w:tc>
          <w:tcPr>
            <w:tcW w:w="400" w:type="dxa"/>
            <w:vAlign w:val="bottom"/>
            <w:tcBorders>
              <w:top w:val="single" w:sz="8" w:color="0066BA"/>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2020</w:t>
            </w:r>
          </w:p>
        </w:tc>
        <w:tc>
          <w:tcPr>
            <w:tcW w:w="60" w:type="dxa"/>
            <w:vAlign w:val="bottom"/>
            <w:tcBorders>
              <w:top w:val="single" w:sz="8" w:color="0066BA"/>
            </w:tcBorders>
          </w:tcPr>
          <w:p>
            <w:pPr>
              <w:spacing w:after="0"/>
              <w:rPr>
                <w:sz w:val="24"/>
                <w:szCs w:val="24"/>
                <w:color w:val="auto"/>
              </w:rPr>
            </w:pPr>
          </w:p>
        </w:tc>
        <w:tc>
          <w:tcPr>
            <w:tcW w:w="90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$36,000</w:t>
            </w:r>
          </w:p>
        </w:tc>
        <w:tc>
          <w:tcPr>
            <w:tcW w:w="80" w:type="dxa"/>
            <w:vAlign w:val="bottom"/>
            <w:tcBorders>
              <w:top w:val="single" w:sz="8" w:color="0066BA"/>
              <w:bottom w:val="single" w:sz="8" w:color="EAEAEA"/>
            </w:tcBorders>
            <w:shd w:val="clear" w:color="auto" w:fill="EAEAEA"/>
          </w:tcPr>
          <w:p>
            <w:pPr>
              <w:spacing w:after="0"/>
              <w:rPr>
                <w:sz w:val="24"/>
                <w:szCs w:val="24"/>
                <w:color w:val="auto"/>
              </w:rPr>
            </w:pPr>
          </w:p>
        </w:tc>
        <w:tc>
          <w:tcPr>
            <w:tcW w:w="320" w:type="dxa"/>
            <w:vAlign w:val="bottom"/>
            <w:tcBorders>
              <w:top w:val="single" w:sz="8" w:color="0066BA"/>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0066BA"/>
            </w:tcBorders>
          </w:tcPr>
          <w:p>
            <w:pPr>
              <w:spacing w:after="0"/>
              <w:rPr>
                <w:sz w:val="24"/>
                <w:szCs w:val="24"/>
                <w:color w:val="auto"/>
              </w:rPr>
            </w:pPr>
          </w:p>
        </w:tc>
        <w:tc>
          <w:tcPr>
            <w:tcW w:w="340" w:type="dxa"/>
            <w:vAlign w:val="bottom"/>
            <w:tcBorders>
              <w:top w:val="single" w:sz="8" w:color="0066BA"/>
            </w:tcBorders>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4"/>
                <w:szCs w:val="24"/>
                <w:color w:val="auto"/>
              </w:rPr>
            </w:pPr>
          </w:p>
        </w:tc>
        <w:tc>
          <w:tcPr>
            <w:tcW w:w="380" w:type="dxa"/>
            <w:vAlign w:val="bottom"/>
            <w:tcBorders>
              <w:top w:val="single" w:sz="8" w:color="0066BA"/>
              <w:bottom w:val="single" w:sz="8" w:color="EAEAEA"/>
            </w:tcBorders>
            <w:gridSpan w:val="2"/>
            <w:shd w:val="clear" w:color="auto" w:fill="EAEAEA"/>
          </w:tcPr>
          <w:p>
            <w:pPr>
              <w:jc w:val="center"/>
              <w:ind w:left="225"/>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79"/>
              </w:rPr>
              <w:t>1,200</w:t>
            </w:r>
          </w:p>
        </w:tc>
        <w:tc>
          <w:tcPr>
            <w:tcW w:w="60" w:type="dxa"/>
            <w:vAlign w:val="bottom"/>
            <w:tcBorders>
              <w:top w:val="single" w:sz="8" w:color="0066BA"/>
            </w:tcBorders>
          </w:tcPr>
          <w:p>
            <w:pPr>
              <w:spacing w:after="0"/>
              <w:rPr>
                <w:sz w:val="24"/>
                <w:szCs w:val="24"/>
                <w:color w:val="auto"/>
              </w:rPr>
            </w:pPr>
          </w:p>
        </w:tc>
        <w:tc>
          <w:tcPr>
            <w:tcW w:w="38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0066BA"/>
              <w:bottom w:val="single" w:sz="8" w:color="EAEAEA"/>
            </w:tcBorders>
            <w:shd w:val="clear" w:color="auto" w:fill="EAEAEA"/>
          </w:tcPr>
          <w:p>
            <w:pPr>
              <w:spacing w:after="0"/>
              <w:rPr>
                <w:sz w:val="24"/>
                <w:szCs w:val="24"/>
                <w:color w:val="auto"/>
              </w:rPr>
            </w:pPr>
          </w:p>
        </w:tc>
        <w:tc>
          <w:tcPr>
            <w:tcW w:w="380" w:type="dxa"/>
            <w:vAlign w:val="bottom"/>
            <w:tcBorders>
              <w:top w:val="single" w:sz="8" w:color="0066BA"/>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0066BA"/>
            </w:tcBorders>
          </w:tcPr>
          <w:p>
            <w:pPr>
              <w:spacing w:after="0"/>
              <w:rPr>
                <w:sz w:val="24"/>
                <w:szCs w:val="24"/>
                <w:color w:val="auto"/>
              </w:rPr>
            </w:pPr>
          </w:p>
        </w:tc>
        <w:tc>
          <w:tcPr>
            <w:tcW w:w="14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0066BA"/>
              <w:bottom w:val="single" w:sz="8" w:color="EAEAEA"/>
            </w:tcBorders>
            <w:shd w:val="clear" w:color="auto" w:fill="EAEAEA"/>
          </w:tcPr>
          <w:p>
            <w:pPr>
              <w:spacing w:after="0"/>
              <w:rPr>
                <w:sz w:val="24"/>
                <w:szCs w:val="24"/>
                <w:color w:val="auto"/>
              </w:rPr>
            </w:pPr>
          </w:p>
        </w:tc>
        <w:tc>
          <w:tcPr>
            <w:tcW w:w="160" w:type="dxa"/>
            <w:vAlign w:val="bottom"/>
            <w:tcBorders>
              <w:top w:val="single" w:sz="8" w:color="0066BA"/>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0066BA"/>
            </w:tcBorders>
          </w:tcPr>
          <w:p>
            <w:pPr>
              <w:spacing w:after="0"/>
              <w:rPr>
                <w:sz w:val="24"/>
                <w:szCs w:val="24"/>
                <w:color w:val="auto"/>
              </w:rPr>
            </w:pPr>
          </w:p>
        </w:tc>
        <w:tc>
          <w:tcPr>
            <w:tcW w:w="32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0066BA"/>
              <w:bottom w:val="single" w:sz="8" w:color="EAEAEA"/>
            </w:tcBorders>
            <w:shd w:val="clear" w:color="auto" w:fill="EAEAEA"/>
          </w:tcPr>
          <w:p>
            <w:pPr>
              <w:spacing w:after="0"/>
              <w:rPr>
                <w:sz w:val="24"/>
                <w:szCs w:val="24"/>
                <w:color w:val="auto"/>
              </w:rPr>
            </w:pPr>
          </w:p>
        </w:tc>
        <w:tc>
          <w:tcPr>
            <w:tcW w:w="320" w:type="dxa"/>
            <w:vAlign w:val="bottom"/>
            <w:tcBorders>
              <w:top w:val="single" w:sz="8" w:color="0066BA"/>
              <w:bottom w:val="single" w:sz="8" w:color="EAEAEA"/>
            </w:tcBorders>
            <w:gridSpan w:val="2"/>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5"/>
              </w:rPr>
              <w:t>26,560</w:t>
            </w:r>
          </w:p>
        </w:tc>
        <w:tc>
          <w:tcPr>
            <w:tcW w:w="0" w:type="dxa"/>
            <w:vAlign w:val="bottom"/>
          </w:tcPr>
          <w:p>
            <w:pPr>
              <w:spacing w:after="0"/>
              <w:rPr>
                <w:sz w:val="1"/>
                <w:szCs w:val="1"/>
                <w:color w:val="auto"/>
              </w:rPr>
            </w:pPr>
          </w:p>
        </w:tc>
      </w:tr>
      <w:tr>
        <w:trPr>
          <w:trHeight w:val="240"/>
        </w:trPr>
        <w:tc>
          <w:tcPr>
            <w:tcW w:w="1580" w:type="dxa"/>
            <w:vAlign w:val="bottom"/>
          </w:tcPr>
          <w:p>
            <w:pPr>
              <w:ind w:left="60"/>
              <w:spacing w:after="0" w:line="182" w:lineRule="exact"/>
              <w:rPr>
                <w:sz w:val="20"/>
                <w:szCs w:val="20"/>
                <w:color w:val="auto"/>
              </w:rPr>
            </w:pPr>
            <w:r>
              <w:rPr>
                <w:rFonts w:ascii="Arial" w:cs="Arial" w:eastAsia="Arial" w:hAnsi="Arial"/>
                <w:sz w:val="16"/>
                <w:szCs w:val="16"/>
                <w:b w:val="1"/>
                <w:bCs w:val="1"/>
                <w:color w:val="0066BA"/>
              </w:rPr>
              <w:t>Steve Pietkiewicz</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40" w:type="dxa"/>
            <w:vAlign w:val="bottom"/>
            <w:tcBorders>
              <w:top w:val="single" w:sz="8" w:color="auto"/>
              <w:bottom w:val="single" w:sz="8" w:color="EAEAEA"/>
            </w:tcBorders>
            <w:shd w:val="clear" w:color="auto" w:fill="EAEAEA"/>
          </w:tcPr>
          <w:p>
            <w:pPr>
              <w:spacing w:after="0"/>
              <w:rPr>
                <w:sz w:val="20"/>
                <w:szCs w:val="20"/>
                <w:color w:val="auto"/>
              </w:rPr>
            </w:pPr>
          </w:p>
        </w:tc>
        <w:tc>
          <w:tcPr>
            <w:tcW w:w="3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5"/>
              </w:rPr>
              <w:t>2019</w:t>
            </w:r>
          </w:p>
        </w:tc>
        <w:tc>
          <w:tcPr>
            <w:tcW w:w="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$29,539</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24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280" w:type="dxa"/>
            <w:vAlign w:val="bottom"/>
            <w:tcBorders>
              <w:top w:val="single" w:sz="8" w:color="auto"/>
              <w:bottom w:val="single" w:sz="8" w:color="EAEAEA"/>
            </w:tcBorders>
            <w:shd w:val="clear" w:color="auto" w:fill="EAEAEA"/>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jc w:val="center"/>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79"/>
              </w:rPr>
              <w:t>1,200</w:t>
            </w:r>
          </w:p>
        </w:tc>
        <w:tc>
          <w:tcPr>
            <w:tcW w:w="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280" w:type="dxa"/>
            <w:vAlign w:val="bottom"/>
            <w:tcBorders>
              <w:top w:val="single" w:sz="8" w:color="auto"/>
              <w:bottom w:val="single" w:sz="8" w:color="EAEAEA"/>
            </w:tcBorders>
            <w:shd w:val="clear" w:color="auto" w:fill="EAEAEA"/>
          </w:tcPr>
          <w:p>
            <w:pPr>
              <w:spacing w:after="0"/>
              <w:rPr>
                <w:sz w:val="20"/>
                <w:szCs w:val="20"/>
                <w:color w:val="auto"/>
              </w:rPr>
            </w:pPr>
          </w:p>
        </w:tc>
        <w:tc>
          <w:tcPr>
            <w:tcW w:w="1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2"/>
              </w:rPr>
              <w:t>194,950</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1"/>
              </w:rPr>
              <w:t>66,695</w:t>
            </w:r>
          </w:p>
        </w:tc>
        <w:tc>
          <w:tcPr>
            <w:tcW w:w="100" w:type="dxa"/>
            <w:vAlign w:val="bottom"/>
            <w:tcBorders>
              <w:top w:val="single" w:sz="8" w:color="auto"/>
              <w:bottom w:val="single" w:sz="8" w:color="EAEAEA"/>
            </w:tcBorders>
            <w:shd w:val="clear" w:color="auto" w:fill="EAEAEA"/>
          </w:tcPr>
          <w:p>
            <w:pPr>
              <w:spacing w:after="0"/>
              <w:rPr>
                <w:sz w:val="20"/>
                <w:szCs w:val="20"/>
                <w:color w:val="auto"/>
              </w:rPr>
            </w:pPr>
          </w:p>
        </w:tc>
        <w:tc>
          <w:tcPr>
            <w:tcW w:w="240" w:type="dxa"/>
            <w:vAlign w:val="bottom"/>
            <w:tcBorders>
              <w:top w:val="single" w:sz="8" w:color="auto"/>
              <w:bottom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5"/>
              </w:rPr>
              <w:t>39,356</w:t>
            </w:r>
          </w:p>
        </w:tc>
        <w:tc>
          <w:tcPr>
            <w:tcW w:w="0" w:type="dxa"/>
            <w:vAlign w:val="bottom"/>
          </w:tcPr>
          <w:p>
            <w:pPr>
              <w:spacing w:after="0"/>
              <w:rPr>
                <w:sz w:val="1"/>
                <w:szCs w:val="1"/>
                <w:color w:val="auto"/>
              </w:rPr>
            </w:pPr>
          </w:p>
        </w:tc>
      </w:tr>
      <w:tr>
        <w:trPr>
          <w:trHeight w:val="220"/>
        </w:trPr>
        <w:tc>
          <w:tcPr>
            <w:tcW w:w="1580" w:type="dxa"/>
            <w:vAlign w:val="bottom"/>
          </w:tcPr>
          <w:p>
            <w:pPr>
              <w:spacing w:after="0"/>
              <w:rPr>
                <w:sz w:val="19"/>
                <w:szCs w:val="19"/>
                <w:color w:val="auto"/>
              </w:rPr>
            </w:pPr>
          </w:p>
        </w:tc>
        <w:tc>
          <w:tcPr>
            <w:tcW w:w="100" w:type="dxa"/>
            <w:vAlign w:val="bottom"/>
            <w:tcBorders>
              <w:top w:val="single" w:sz="8" w:color="auto"/>
              <w:bottom w:val="single" w:sz="8" w:color="EAEAEA"/>
            </w:tcBorders>
            <w:shd w:val="clear" w:color="auto" w:fill="EAEAEA"/>
          </w:tcPr>
          <w:p>
            <w:pPr>
              <w:spacing w:after="0"/>
              <w:rPr>
                <w:sz w:val="19"/>
                <w:szCs w:val="19"/>
                <w:color w:val="auto"/>
              </w:rPr>
            </w:pPr>
          </w:p>
        </w:tc>
        <w:tc>
          <w:tcPr>
            <w:tcW w:w="40" w:type="dxa"/>
            <w:vAlign w:val="bottom"/>
            <w:tcBorders>
              <w:top w:val="single" w:sz="8" w:color="auto"/>
              <w:bottom w:val="single" w:sz="8" w:color="EAEAEA"/>
            </w:tcBorders>
            <w:shd w:val="clear" w:color="auto" w:fill="EAEAEA"/>
          </w:tcPr>
          <w:p>
            <w:pPr>
              <w:spacing w:after="0"/>
              <w:rPr>
                <w:sz w:val="19"/>
                <w:szCs w:val="19"/>
                <w:color w:val="auto"/>
              </w:rPr>
            </w:pPr>
          </w:p>
        </w:tc>
        <w:tc>
          <w:tcPr>
            <w:tcW w:w="3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5"/>
                <w:shd w:val="clear" w:color="auto" w:fill="EAEAEA"/>
              </w:rPr>
              <w:t>2018</w:t>
            </w:r>
          </w:p>
        </w:tc>
        <w:tc>
          <w:tcPr>
            <w:tcW w:w="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$ 9,351</w:t>
            </w:r>
          </w:p>
        </w:tc>
        <w:tc>
          <w:tcPr>
            <w:tcW w:w="80" w:type="dxa"/>
            <w:vAlign w:val="bottom"/>
            <w:tcBorders>
              <w:top w:val="single" w:sz="8" w:color="auto"/>
              <w:bottom w:val="single" w:sz="8" w:color="EAEAEA"/>
            </w:tcBorders>
            <w:shd w:val="clear" w:color="auto" w:fill="EAEAEA"/>
          </w:tcPr>
          <w:p>
            <w:pPr>
              <w:spacing w:after="0"/>
              <w:rPr>
                <w:sz w:val="19"/>
                <w:szCs w:val="19"/>
                <w:color w:val="auto"/>
              </w:rPr>
            </w:pPr>
          </w:p>
        </w:tc>
        <w:tc>
          <w:tcPr>
            <w:tcW w:w="240" w:type="dxa"/>
            <w:vAlign w:val="bottom"/>
            <w:tcBorders>
              <w:top w:val="single" w:sz="8" w:color="auto"/>
              <w:bottom w:val="single" w:sz="8" w:color="EAEAEA"/>
            </w:tcBorders>
            <w:shd w:val="clear" w:color="auto" w:fill="EAEAEA"/>
          </w:tcPr>
          <w:p>
            <w:pPr>
              <w:spacing w:after="0"/>
              <w:rPr>
                <w:sz w:val="19"/>
                <w:szCs w:val="19"/>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shd w:val="clear" w:color="auto" w:fill="EAEAEA"/>
              </w:rPr>
              <w:t>$</w:t>
            </w:r>
          </w:p>
        </w:tc>
        <w:tc>
          <w:tcPr>
            <w:tcW w:w="3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shd w:val="clear" w:color="auto" w:fill="EAEAEA"/>
              </w:rPr>
              <w:t>—</w:t>
            </w:r>
          </w:p>
        </w:tc>
        <w:tc>
          <w:tcPr>
            <w:tcW w:w="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19"/>
                <w:szCs w:val="19"/>
                <w:color w:val="auto"/>
              </w:rPr>
            </w:pPr>
          </w:p>
        </w:tc>
        <w:tc>
          <w:tcPr>
            <w:tcW w:w="280" w:type="dxa"/>
            <w:vAlign w:val="bottom"/>
            <w:tcBorders>
              <w:top w:val="single" w:sz="8" w:color="auto"/>
              <w:bottom w:val="single" w:sz="8" w:color="EAEAEA"/>
            </w:tcBorders>
            <w:shd w:val="clear" w:color="auto" w:fill="EAEAEA"/>
          </w:tcPr>
          <w:p>
            <w:pPr>
              <w:spacing w:after="0"/>
              <w:rPr>
                <w:sz w:val="19"/>
                <w:szCs w:val="19"/>
                <w:color w:val="auto"/>
              </w:rPr>
            </w:pPr>
          </w:p>
        </w:tc>
        <w:tc>
          <w:tcPr>
            <w:tcW w:w="100" w:type="dxa"/>
            <w:vAlign w:val="bottom"/>
            <w:tcBorders>
              <w:top w:val="single" w:sz="8" w:color="auto"/>
              <w:bottom w:val="single" w:sz="8" w:color="EAEAEA"/>
            </w:tcBorders>
            <w:shd w:val="clear" w:color="auto" w:fill="EAEAEA"/>
          </w:tcPr>
          <w:p>
            <w:pPr>
              <w:jc w:val="center"/>
              <w:spacing w:after="0"/>
              <w:rPr>
                <w:sz w:val="20"/>
                <w:szCs w:val="20"/>
                <w:color w:val="auto"/>
              </w:rPr>
            </w:pPr>
            <w:r>
              <w:rPr>
                <w:rFonts w:ascii="Arial" w:cs="Arial" w:eastAsia="Arial" w:hAnsi="Arial"/>
                <w:sz w:val="16"/>
                <w:szCs w:val="16"/>
                <w:color w:val="auto"/>
                <w:w w:val="89"/>
                <w:shd w:val="clear" w:color="auto" w:fill="EAEAEA"/>
              </w:rPr>
              <w:t>$</w:t>
            </w:r>
          </w:p>
        </w:tc>
        <w:tc>
          <w:tcPr>
            <w:tcW w:w="3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shd w:val="clear" w:color="auto" w:fill="EAEAEA"/>
              </w:rPr>
              <w:t>—</w:t>
            </w:r>
          </w:p>
        </w:tc>
        <w:tc>
          <w:tcPr>
            <w:tcW w:w="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19"/>
                <w:szCs w:val="19"/>
                <w:color w:val="auto"/>
              </w:rPr>
            </w:pPr>
          </w:p>
        </w:tc>
        <w:tc>
          <w:tcPr>
            <w:tcW w:w="280" w:type="dxa"/>
            <w:vAlign w:val="bottom"/>
            <w:tcBorders>
              <w:top w:val="single" w:sz="8" w:color="auto"/>
              <w:bottom w:val="single" w:sz="8" w:color="EAEAEA"/>
            </w:tcBorders>
            <w:shd w:val="clear" w:color="auto" w:fill="EAEAEA"/>
          </w:tcPr>
          <w:p>
            <w:pPr>
              <w:spacing w:after="0"/>
              <w:rPr>
                <w:sz w:val="19"/>
                <w:szCs w:val="19"/>
                <w:color w:val="auto"/>
              </w:rPr>
            </w:pPr>
          </w:p>
        </w:tc>
        <w:tc>
          <w:tcPr>
            <w:tcW w:w="1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shd w:val="clear" w:color="auto" w:fill="EAEAEA"/>
              </w:rPr>
              <w:t>$</w:t>
            </w:r>
          </w:p>
        </w:tc>
        <w:tc>
          <w:tcPr>
            <w:tcW w:w="4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shd w:val="clear" w:color="auto" w:fill="EAEAEA"/>
              </w:rPr>
              <w:t>—</w:t>
            </w: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2"/>
              </w:rPr>
              <w:t>194,950</w:t>
            </w:r>
          </w:p>
        </w:tc>
        <w:tc>
          <w:tcPr>
            <w:tcW w:w="100" w:type="dxa"/>
            <w:vAlign w:val="bottom"/>
            <w:tcBorders>
              <w:top w:val="single" w:sz="8" w:color="auto"/>
              <w:bottom w:val="single" w:sz="8" w:color="EAEAEA"/>
            </w:tcBorders>
            <w:shd w:val="clear" w:color="auto" w:fill="EAEAEA"/>
          </w:tcPr>
          <w:p>
            <w:pPr>
              <w:spacing w:after="0"/>
              <w:rPr>
                <w:sz w:val="19"/>
                <w:szCs w:val="19"/>
                <w:color w:val="auto"/>
              </w:rPr>
            </w:pPr>
          </w:p>
        </w:tc>
        <w:tc>
          <w:tcPr>
            <w:tcW w:w="80" w:type="dxa"/>
            <w:vAlign w:val="bottom"/>
            <w:tcBorders>
              <w:top w:val="single" w:sz="8" w:color="auto"/>
              <w:bottom w:val="single" w:sz="8" w:color="EAEAEA"/>
            </w:tcBorders>
            <w:shd w:val="clear" w:color="auto" w:fill="EAEAEA"/>
          </w:tcPr>
          <w:p>
            <w:pPr>
              <w:spacing w:after="0"/>
              <w:rPr>
                <w:sz w:val="19"/>
                <w:szCs w:val="19"/>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shd w:val="clear" w:color="auto" w:fill="EAEAEA"/>
              </w:rPr>
              <w:t>$</w:t>
            </w:r>
          </w:p>
        </w:tc>
        <w:tc>
          <w:tcPr>
            <w:tcW w:w="4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shd w:val="clear" w:color="auto" w:fill="EAEAEA"/>
              </w:rPr>
              <w:t>—</w:t>
            </w: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19"/>
                <w:szCs w:val="19"/>
                <w:color w:val="auto"/>
              </w:rPr>
            </w:pPr>
          </w:p>
        </w:tc>
        <w:tc>
          <w:tcPr>
            <w:tcW w:w="240" w:type="dxa"/>
            <w:vAlign w:val="bottom"/>
            <w:tcBorders>
              <w:top w:val="single" w:sz="8" w:color="auto"/>
              <w:bottom w:val="single" w:sz="8" w:color="EAEAEA"/>
            </w:tcBorders>
            <w:shd w:val="clear" w:color="auto" w:fill="EAEAEA"/>
          </w:tcPr>
          <w:p>
            <w:pPr>
              <w:spacing w:after="0"/>
              <w:rPr>
                <w:sz w:val="19"/>
                <w:szCs w:val="19"/>
                <w:color w:val="auto"/>
              </w:rPr>
            </w:pPr>
          </w:p>
        </w:tc>
        <w:tc>
          <w:tcPr>
            <w:tcW w:w="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shd w:val="clear" w:color="auto" w:fill="EAEAEA"/>
              </w:rPr>
              <w:t>$</w:t>
            </w:r>
          </w:p>
        </w:tc>
        <w:tc>
          <w:tcPr>
            <w:tcW w:w="5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5"/>
                <w:shd w:val="clear" w:color="auto" w:fill="EAEAEA"/>
              </w:rPr>
              <w:t>38,096</w:t>
            </w:r>
          </w:p>
        </w:tc>
        <w:tc>
          <w:tcPr>
            <w:tcW w:w="0" w:type="dxa"/>
            <w:vAlign w:val="bottom"/>
          </w:tcPr>
          <w:p>
            <w:pPr>
              <w:spacing w:after="0"/>
              <w:rPr>
                <w:sz w:val="1"/>
                <w:szCs w:val="1"/>
                <w:color w:val="auto"/>
              </w:rPr>
            </w:pPr>
          </w:p>
        </w:tc>
      </w:tr>
      <w:tr>
        <w:trPr>
          <w:trHeight w:val="20"/>
        </w:trPr>
        <w:tc>
          <w:tcPr>
            <w:tcW w:w="1580" w:type="dxa"/>
            <w:vAlign w:val="bottom"/>
            <w:shd w:val="clear" w:color="auto" w:fill="0066BA"/>
          </w:tcPr>
          <w:p>
            <w:pPr>
              <w:spacing w:after="0" w:line="20" w:lineRule="exact"/>
              <w:rPr>
                <w:sz w:val="1"/>
                <w:szCs w:val="1"/>
                <w:color w:val="auto"/>
              </w:rPr>
            </w:pPr>
          </w:p>
        </w:tc>
        <w:tc>
          <w:tcPr>
            <w:tcW w:w="100" w:type="dxa"/>
            <w:vAlign w:val="bottom"/>
            <w:shd w:val="clear" w:color="auto" w:fill="0066BA"/>
          </w:tcPr>
          <w:p>
            <w:pPr>
              <w:spacing w:after="0" w:line="20" w:lineRule="exact"/>
              <w:rPr>
                <w:sz w:val="1"/>
                <w:szCs w:val="1"/>
                <w:color w:val="auto"/>
              </w:rPr>
            </w:pPr>
          </w:p>
        </w:tc>
        <w:tc>
          <w:tcPr>
            <w:tcW w:w="40" w:type="dxa"/>
            <w:vAlign w:val="bottom"/>
            <w:shd w:val="clear" w:color="auto" w:fill="0066BA"/>
          </w:tcPr>
          <w:p>
            <w:pPr>
              <w:spacing w:after="0" w:line="20" w:lineRule="exact"/>
              <w:rPr>
                <w:sz w:val="1"/>
                <w:szCs w:val="1"/>
                <w:color w:val="auto"/>
              </w:rPr>
            </w:pPr>
          </w:p>
        </w:tc>
        <w:tc>
          <w:tcPr>
            <w:tcW w:w="360" w:type="dxa"/>
            <w:vAlign w:val="bottom"/>
            <w:shd w:val="clear" w:color="auto" w:fill="0066BA"/>
          </w:tcPr>
          <w:p>
            <w:pPr>
              <w:spacing w:after="0" w:line="20" w:lineRule="exact"/>
              <w:rPr>
                <w:sz w:val="1"/>
                <w:szCs w:val="1"/>
                <w:color w:val="auto"/>
              </w:rPr>
            </w:pPr>
          </w:p>
        </w:tc>
        <w:tc>
          <w:tcPr>
            <w:tcW w:w="60" w:type="dxa"/>
            <w:vAlign w:val="bottom"/>
            <w:shd w:val="clear" w:color="auto" w:fill="0066BA"/>
          </w:tcPr>
          <w:p>
            <w:pPr>
              <w:spacing w:after="0" w:line="20" w:lineRule="exact"/>
              <w:rPr>
                <w:sz w:val="1"/>
                <w:szCs w:val="1"/>
                <w:color w:val="auto"/>
              </w:rPr>
            </w:pPr>
          </w:p>
        </w:tc>
        <w:tc>
          <w:tcPr>
            <w:tcW w:w="900" w:type="dxa"/>
            <w:vAlign w:val="bottom"/>
            <w:shd w:val="clear" w:color="auto" w:fill="0066BA"/>
          </w:tcPr>
          <w:p>
            <w:pPr>
              <w:spacing w:after="0" w:line="20" w:lineRule="exact"/>
              <w:rPr>
                <w:sz w:val="1"/>
                <w:szCs w:val="1"/>
                <w:color w:val="auto"/>
              </w:rPr>
            </w:pPr>
          </w:p>
        </w:tc>
        <w:tc>
          <w:tcPr>
            <w:tcW w:w="80" w:type="dxa"/>
            <w:vAlign w:val="bottom"/>
            <w:shd w:val="clear" w:color="auto" w:fill="0066BA"/>
          </w:tcPr>
          <w:p>
            <w:pPr>
              <w:spacing w:after="0" w:line="20" w:lineRule="exact"/>
              <w:rPr>
                <w:sz w:val="1"/>
                <w:szCs w:val="1"/>
                <w:color w:val="auto"/>
              </w:rPr>
            </w:pPr>
          </w:p>
        </w:tc>
        <w:tc>
          <w:tcPr>
            <w:tcW w:w="240" w:type="dxa"/>
            <w:vAlign w:val="bottom"/>
            <w:shd w:val="clear" w:color="auto" w:fill="0066BA"/>
          </w:tcPr>
          <w:p>
            <w:pPr>
              <w:spacing w:after="0" w:line="20" w:lineRule="exact"/>
              <w:rPr>
                <w:sz w:val="1"/>
                <w:szCs w:val="1"/>
                <w:color w:val="auto"/>
              </w:rPr>
            </w:pPr>
          </w:p>
        </w:tc>
        <w:tc>
          <w:tcPr>
            <w:tcW w:w="80" w:type="dxa"/>
            <w:vAlign w:val="bottom"/>
            <w:shd w:val="clear" w:color="auto" w:fill="0066BA"/>
          </w:tcPr>
          <w:p>
            <w:pPr>
              <w:spacing w:after="0" w:line="20" w:lineRule="exact"/>
              <w:rPr>
                <w:sz w:val="1"/>
                <w:szCs w:val="1"/>
                <w:color w:val="auto"/>
              </w:rPr>
            </w:pPr>
          </w:p>
        </w:tc>
        <w:tc>
          <w:tcPr>
            <w:tcW w:w="360" w:type="dxa"/>
            <w:vAlign w:val="bottom"/>
            <w:shd w:val="clear" w:color="auto" w:fill="0066BA"/>
          </w:tcPr>
          <w:p>
            <w:pPr>
              <w:spacing w:after="0" w:line="20" w:lineRule="exact"/>
              <w:rPr>
                <w:sz w:val="1"/>
                <w:szCs w:val="1"/>
                <w:color w:val="auto"/>
              </w:rPr>
            </w:pPr>
          </w:p>
        </w:tc>
        <w:tc>
          <w:tcPr>
            <w:tcW w:w="40" w:type="dxa"/>
            <w:vAlign w:val="bottom"/>
            <w:shd w:val="clear" w:color="auto" w:fill="0066BA"/>
          </w:tcPr>
          <w:p>
            <w:pPr>
              <w:spacing w:after="0" w:line="20" w:lineRule="exact"/>
              <w:rPr>
                <w:sz w:val="1"/>
                <w:szCs w:val="1"/>
                <w:color w:val="auto"/>
              </w:rPr>
            </w:pPr>
          </w:p>
        </w:tc>
        <w:tc>
          <w:tcPr>
            <w:tcW w:w="340" w:type="dxa"/>
            <w:vAlign w:val="bottom"/>
            <w:shd w:val="clear" w:color="auto" w:fill="0066BA"/>
          </w:tcPr>
          <w:p>
            <w:pPr>
              <w:spacing w:after="0" w:line="20" w:lineRule="exact"/>
              <w:rPr>
                <w:sz w:val="1"/>
                <w:szCs w:val="1"/>
                <w:color w:val="auto"/>
              </w:rPr>
            </w:pPr>
          </w:p>
        </w:tc>
        <w:tc>
          <w:tcPr>
            <w:tcW w:w="360" w:type="dxa"/>
            <w:vAlign w:val="bottom"/>
            <w:shd w:val="clear" w:color="auto" w:fill="0066BA"/>
          </w:tcPr>
          <w:p>
            <w:pPr>
              <w:spacing w:after="0" w:line="20" w:lineRule="exact"/>
              <w:rPr>
                <w:sz w:val="1"/>
                <w:szCs w:val="1"/>
                <w:color w:val="auto"/>
              </w:rPr>
            </w:pPr>
          </w:p>
        </w:tc>
        <w:tc>
          <w:tcPr>
            <w:tcW w:w="80" w:type="dxa"/>
            <w:vAlign w:val="bottom"/>
            <w:shd w:val="clear" w:color="auto" w:fill="0066BA"/>
          </w:tcPr>
          <w:p>
            <w:pPr>
              <w:spacing w:after="0" w:line="20" w:lineRule="exact"/>
              <w:rPr>
                <w:sz w:val="1"/>
                <w:szCs w:val="1"/>
                <w:color w:val="auto"/>
              </w:rPr>
            </w:pPr>
          </w:p>
        </w:tc>
        <w:tc>
          <w:tcPr>
            <w:tcW w:w="280" w:type="dxa"/>
            <w:vAlign w:val="bottom"/>
            <w:shd w:val="clear" w:color="auto" w:fill="0066BA"/>
          </w:tcPr>
          <w:p>
            <w:pPr>
              <w:spacing w:after="0" w:line="20" w:lineRule="exact"/>
              <w:rPr>
                <w:sz w:val="1"/>
                <w:szCs w:val="1"/>
                <w:color w:val="auto"/>
              </w:rPr>
            </w:pPr>
          </w:p>
        </w:tc>
        <w:tc>
          <w:tcPr>
            <w:tcW w:w="100" w:type="dxa"/>
            <w:vAlign w:val="bottom"/>
            <w:shd w:val="clear" w:color="auto" w:fill="0066BA"/>
          </w:tcPr>
          <w:p>
            <w:pPr>
              <w:spacing w:after="0" w:line="20" w:lineRule="exact"/>
              <w:rPr>
                <w:sz w:val="1"/>
                <w:szCs w:val="1"/>
                <w:color w:val="auto"/>
              </w:rPr>
            </w:pPr>
          </w:p>
        </w:tc>
        <w:tc>
          <w:tcPr>
            <w:tcW w:w="340" w:type="dxa"/>
            <w:vAlign w:val="bottom"/>
            <w:shd w:val="clear" w:color="auto" w:fill="0066BA"/>
          </w:tcPr>
          <w:p>
            <w:pPr>
              <w:spacing w:after="0" w:line="20" w:lineRule="exact"/>
              <w:rPr>
                <w:sz w:val="1"/>
                <w:szCs w:val="1"/>
                <w:color w:val="auto"/>
              </w:rPr>
            </w:pPr>
          </w:p>
        </w:tc>
        <w:tc>
          <w:tcPr>
            <w:tcW w:w="60" w:type="dxa"/>
            <w:vAlign w:val="bottom"/>
            <w:shd w:val="clear" w:color="auto" w:fill="0066BA"/>
          </w:tcPr>
          <w:p>
            <w:pPr>
              <w:spacing w:after="0" w:line="20" w:lineRule="exact"/>
              <w:rPr>
                <w:sz w:val="1"/>
                <w:szCs w:val="1"/>
                <w:color w:val="auto"/>
              </w:rPr>
            </w:pPr>
          </w:p>
        </w:tc>
        <w:tc>
          <w:tcPr>
            <w:tcW w:w="380" w:type="dxa"/>
            <w:vAlign w:val="bottom"/>
            <w:shd w:val="clear" w:color="auto" w:fill="0066BA"/>
          </w:tcPr>
          <w:p>
            <w:pPr>
              <w:spacing w:after="0" w:line="20" w:lineRule="exact"/>
              <w:rPr>
                <w:sz w:val="1"/>
                <w:szCs w:val="1"/>
                <w:color w:val="auto"/>
              </w:rPr>
            </w:pPr>
          </w:p>
        </w:tc>
        <w:tc>
          <w:tcPr>
            <w:tcW w:w="500" w:type="dxa"/>
            <w:vAlign w:val="bottom"/>
            <w:shd w:val="clear" w:color="auto" w:fill="0066BA"/>
          </w:tcPr>
          <w:p>
            <w:pPr>
              <w:spacing w:after="0" w:line="20" w:lineRule="exact"/>
              <w:rPr>
                <w:sz w:val="1"/>
                <w:szCs w:val="1"/>
                <w:color w:val="auto"/>
              </w:rPr>
            </w:pPr>
          </w:p>
        </w:tc>
        <w:tc>
          <w:tcPr>
            <w:tcW w:w="100" w:type="dxa"/>
            <w:vAlign w:val="bottom"/>
            <w:shd w:val="clear" w:color="auto" w:fill="0066BA"/>
          </w:tcPr>
          <w:p>
            <w:pPr>
              <w:spacing w:after="0" w:line="20" w:lineRule="exact"/>
              <w:rPr>
                <w:sz w:val="1"/>
                <w:szCs w:val="1"/>
                <w:color w:val="auto"/>
              </w:rPr>
            </w:pPr>
          </w:p>
        </w:tc>
        <w:tc>
          <w:tcPr>
            <w:tcW w:w="280" w:type="dxa"/>
            <w:vAlign w:val="bottom"/>
            <w:shd w:val="clear" w:color="auto" w:fill="0066BA"/>
          </w:tcPr>
          <w:p>
            <w:pPr>
              <w:spacing w:after="0" w:line="20" w:lineRule="exact"/>
              <w:rPr>
                <w:sz w:val="1"/>
                <w:szCs w:val="1"/>
                <w:color w:val="auto"/>
              </w:rPr>
            </w:pPr>
          </w:p>
        </w:tc>
        <w:tc>
          <w:tcPr>
            <w:tcW w:w="100" w:type="dxa"/>
            <w:vAlign w:val="bottom"/>
            <w:shd w:val="clear" w:color="auto" w:fill="0066BA"/>
          </w:tcPr>
          <w:p>
            <w:pPr>
              <w:spacing w:after="0" w:line="20" w:lineRule="exact"/>
              <w:rPr>
                <w:sz w:val="1"/>
                <w:szCs w:val="1"/>
                <w:color w:val="auto"/>
              </w:rPr>
            </w:pPr>
          </w:p>
        </w:tc>
        <w:tc>
          <w:tcPr>
            <w:tcW w:w="420" w:type="dxa"/>
            <w:vAlign w:val="bottom"/>
            <w:shd w:val="clear" w:color="auto" w:fill="0066BA"/>
          </w:tcPr>
          <w:p>
            <w:pPr>
              <w:spacing w:after="0" w:line="20" w:lineRule="exact"/>
              <w:rPr>
                <w:sz w:val="1"/>
                <w:szCs w:val="1"/>
                <w:color w:val="auto"/>
              </w:rPr>
            </w:pPr>
          </w:p>
        </w:tc>
        <w:tc>
          <w:tcPr>
            <w:tcW w:w="60" w:type="dxa"/>
            <w:vAlign w:val="bottom"/>
            <w:shd w:val="clear" w:color="auto" w:fill="0066BA"/>
          </w:tcPr>
          <w:p>
            <w:pPr>
              <w:spacing w:after="0" w:line="20" w:lineRule="exact"/>
              <w:rPr>
                <w:sz w:val="1"/>
                <w:szCs w:val="1"/>
                <w:color w:val="auto"/>
              </w:rPr>
            </w:pPr>
          </w:p>
        </w:tc>
        <w:tc>
          <w:tcPr>
            <w:tcW w:w="140" w:type="dxa"/>
            <w:vAlign w:val="bottom"/>
            <w:shd w:val="clear" w:color="auto" w:fill="0066BA"/>
          </w:tcPr>
          <w:p>
            <w:pPr>
              <w:spacing w:after="0" w:line="20" w:lineRule="exact"/>
              <w:rPr>
                <w:sz w:val="1"/>
                <w:szCs w:val="1"/>
                <w:color w:val="auto"/>
              </w:rPr>
            </w:pPr>
          </w:p>
        </w:tc>
        <w:tc>
          <w:tcPr>
            <w:tcW w:w="500" w:type="dxa"/>
            <w:vAlign w:val="bottom"/>
            <w:shd w:val="clear" w:color="auto" w:fill="0066BA"/>
          </w:tcPr>
          <w:p>
            <w:pPr>
              <w:spacing w:after="0" w:line="20" w:lineRule="exact"/>
              <w:rPr>
                <w:sz w:val="1"/>
                <w:szCs w:val="1"/>
                <w:color w:val="auto"/>
              </w:rPr>
            </w:pPr>
          </w:p>
        </w:tc>
        <w:tc>
          <w:tcPr>
            <w:tcW w:w="100" w:type="dxa"/>
            <w:vAlign w:val="bottom"/>
            <w:shd w:val="clear" w:color="auto" w:fill="0066BA"/>
          </w:tcPr>
          <w:p>
            <w:pPr>
              <w:spacing w:after="0" w:line="20" w:lineRule="exact"/>
              <w:rPr>
                <w:sz w:val="1"/>
                <w:szCs w:val="1"/>
                <w:color w:val="auto"/>
              </w:rPr>
            </w:pPr>
          </w:p>
        </w:tc>
        <w:tc>
          <w:tcPr>
            <w:tcW w:w="80" w:type="dxa"/>
            <w:vAlign w:val="bottom"/>
            <w:shd w:val="clear" w:color="auto" w:fill="0066BA"/>
          </w:tcPr>
          <w:p>
            <w:pPr>
              <w:spacing w:after="0" w:line="20" w:lineRule="exact"/>
              <w:rPr>
                <w:sz w:val="1"/>
                <w:szCs w:val="1"/>
                <w:color w:val="auto"/>
              </w:rPr>
            </w:pPr>
          </w:p>
        </w:tc>
        <w:tc>
          <w:tcPr>
            <w:tcW w:w="80" w:type="dxa"/>
            <w:vAlign w:val="bottom"/>
            <w:shd w:val="clear" w:color="auto" w:fill="0066BA"/>
          </w:tcPr>
          <w:p>
            <w:pPr>
              <w:spacing w:after="0" w:line="20" w:lineRule="exact"/>
              <w:rPr>
                <w:sz w:val="1"/>
                <w:szCs w:val="1"/>
                <w:color w:val="auto"/>
              </w:rPr>
            </w:pPr>
          </w:p>
        </w:tc>
        <w:tc>
          <w:tcPr>
            <w:tcW w:w="420" w:type="dxa"/>
            <w:vAlign w:val="bottom"/>
            <w:shd w:val="clear" w:color="auto" w:fill="0066BA"/>
          </w:tcPr>
          <w:p>
            <w:pPr>
              <w:spacing w:after="0" w:line="20" w:lineRule="exact"/>
              <w:rPr>
                <w:sz w:val="1"/>
                <w:szCs w:val="1"/>
                <w:color w:val="auto"/>
              </w:rPr>
            </w:pPr>
          </w:p>
        </w:tc>
        <w:tc>
          <w:tcPr>
            <w:tcW w:w="60" w:type="dxa"/>
            <w:vAlign w:val="bottom"/>
            <w:shd w:val="clear" w:color="auto" w:fill="0066BA"/>
          </w:tcPr>
          <w:p>
            <w:pPr>
              <w:spacing w:after="0" w:line="20" w:lineRule="exact"/>
              <w:rPr>
                <w:sz w:val="1"/>
                <w:szCs w:val="1"/>
                <w:color w:val="auto"/>
              </w:rPr>
            </w:pPr>
          </w:p>
        </w:tc>
        <w:tc>
          <w:tcPr>
            <w:tcW w:w="320" w:type="dxa"/>
            <w:vAlign w:val="bottom"/>
            <w:shd w:val="clear" w:color="auto" w:fill="0066BA"/>
          </w:tcPr>
          <w:p>
            <w:pPr>
              <w:spacing w:after="0" w:line="20" w:lineRule="exact"/>
              <w:rPr>
                <w:sz w:val="1"/>
                <w:szCs w:val="1"/>
                <w:color w:val="auto"/>
              </w:rPr>
            </w:pPr>
          </w:p>
        </w:tc>
        <w:tc>
          <w:tcPr>
            <w:tcW w:w="420" w:type="dxa"/>
            <w:vAlign w:val="bottom"/>
            <w:shd w:val="clear" w:color="auto" w:fill="0066BA"/>
          </w:tcPr>
          <w:p>
            <w:pPr>
              <w:spacing w:after="0" w:line="20" w:lineRule="exact"/>
              <w:rPr>
                <w:sz w:val="1"/>
                <w:szCs w:val="1"/>
                <w:color w:val="auto"/>
              </w:rPr>
            </w:pPr>
          </w:p>
        </w:tc>
        <w:tc>
          <w:tcPr>
            <w:tcW w:w="100" w:type="dxa"/>
            <w:vAlign w:val="bottom"/>
            <w:shd w:val="clear" w:color="auto" w:fill="0066BA"/>
          </w:tcPr>
          <w:p>
            <w:pPr>
              <w:spacing w:after="0" w:line="20" w:lineRule="exact"/>
              <w:rPr>
                <w:sz w:val="1"/>
                <w:szCs w:val="1"/>
                <w:color w:val="auto"/>
              </w:rPr>
            </w:pPr>
          </w:p>
        </w:tc>
        <w:tc>
          <w:tcPr>
            <w:tcW w:w="240" w:type="dxa"/>
            <w:vAlign w:val="bottom"/>
            <w:shd w:val="clear" w:color="auto" w:fill="0066BA"/>
          </w:tcPr>
          <w:p>
            <w:pPr>
              <w:spacing w:after="0" w:line="20" w:lineRule="exact"/>
              <w:rPr>
                <w:sz w:val="1"/>
                <w:szCs w:val="1"/>
                <w:color w:val="auto"/>
              </w:rPr>
            </w:pPr>
          </w:p>
        </w:tc>
        <w:tc>
          <w:tcPr>
            <w:tcW w:w="80" w:type="dxa"/>
            <w:vAlign w:val="bottom"/>
            <w:shd w:val="clear" w:color="auto" w:fill="0066BA"/>
          </w:tcPr>
          <w:p>
            <w:pPr>
              <w:spacing w:after="0" w:line="20" w:lineRule="exact"/>
              <w:rPr>
                <w:sz w:val="1"/>
                <w:szCs w:val="1"/>
                <w:color w:val="auto"/>
              </w:rPr>
            </w:pPr>
          </w:p>
        </w:tc>
        <w:tc>
          <w:tcPr>
            <w:tcW w:w="500" w:type="dxa"/>
            <w:vAlign w:val="bottom"/>
            <w:shd w:val="clear" w:color="auto" w:fill="0066B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80" w:right="300" w:hanging="305"/>
        <w:spacing w:after="0" w:line="255"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Amounts paid to Messrs. Roche, Mahendra-Rajah, Cotter, Hassett and Pietkiewicz consist of the Company contribution into 401(k) and DCP accounts up to the permissible IRS limit and the taxable Company contribution in excess of IRS limits described under “Retirement and Other Employee Benefits” above.</w:t>
      </w:r>
    </w:p>
    <w:p>
      <w:pPr>
        <w:spacing w:after="0" w:line="1" w:lineRule="exact"/>
        <w:rPr>
          <w:rFonts w:ascii="Arial" w:cs="Arial" w:eastAsia="Arial" w:hAnsi="Arial"/>
          <w:sz w:val="17"/>
          <w:szCs w:val="17"/>
          <w:color w:val="auto"/>
        </w:rPr>
      </w:pPr>
    </w:p>
    <w:p>
      <w:pPr>
        <w:ind w:left="780" w:hanging="305"/>
        <w:spacing w:after="0"/>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Paid in connection with our Employee Service Award Program.</w:t>
      </w:r>
    </w:p>
    <w:p>
      <w:pPr>
        <w:spacing w:after="0" w:line="12" w:lineRule="exact"/>
        <w:rPr>
          <w:rFonts w:ascii="Arial" w:cs="Arial" w:eastAsia="Arial" w:hAnsi="Arial"/>
          <w:sz w:val="17"/>
          <w:szCs w:val="17"/>
          <w:color w:val="auto"/>
        </w:rPr>
      </w:pPr>
    </w:p>
    <w:p>
      <w:pPr>
        <w:ind w:left="780" w:hanging="305"/>
        <w:spacing w:after="0"/>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Amounts paid to Mr. Mahendra-Rajah in connection with his relocation from Belgium to the United States.</w:t>
      </w:r>
    </w:p>
    <w:p>
      <w:pPr>
        <w:spacing w:after="0" w:line="12" w:lineRule="exact"/>
        <w:rPr>
          <w:rFonts w:ascii="Arial" w:cs="Arial" w:eastAsia="Arial" w:hAnsi="Arial"/>
          <w:sz w:val="17"/>
          <w:szCs w:val="17"/>
          <w:color w:val="auto"/>
        </w:rPr>
      </w:pPr>
    </w:p>
    <w:p>
      <w:pPr>
        <w:ind w:left="780" w:hanging="305"/>
        <w:spacing w:after="0"/>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Amounts relate to reimbursement of costs and tax equalization payments associated with an expatriate assignment.</w:t>
      </w:r>
    </w:p>
    <w:p>
      <w:pPr>
        <w:spacing w:after="0" w:line="12" w:lineRule="exact"/>
        <w:rPr>
          <w:rFonts w:ascii="Arial" w:cs="Arial" w:eastAsia="Arial" w:hAnsi="Arial"/>
          <w:sz w:val="17"/>
          <w:szCs w:val="17"/>
          <w:color w:val="auto"/>
        </w:rPr>
      </w:pPr>
    </w:p>
    <w:p>
      <w:pPr>
        <w:ind w:left="780" w:right="660" w:hanging="305"/>
        <w:spacing w:after="0" w:line="255"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Represents payout of accrued unused paid time off and sabbatical pay as part of the integration of the U.S. Benefits programs for eligible legacy Linear Technology U.S. employees effective January 1, 2019.</w:t>
      </w:r>
    </w:p>
    <w:p>
      <w:pPr>
        <w:ind w:left="780" w:hanging="305"/>
        <w:spacing w:after="0"/>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Represents dividends paid on unvested restricted stock awards assumed as part of the Company’s acquisition of Linear Technology.</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0940"/>
          </w:cols>
          <w:pgMar w:left="320" w:top="447" w:right="6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Grants of Plan-Based Awards in Fiscal 2020</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information on plan-based awards granted in fiscal 2020 to our NEOs:</w:t>
      </w:r>
    </w:p>
    <w:p>
      <w:pPr>
        <w:spacing w:after="0" w:line="258" w:lineRule="exact"/>
        <w:rPr>
          <w:sz w:val="20"/>
          <w:szCs w:val="20"/>
          <w:color w:val="auto"/>
        </w:rPr>
      </w:pPr>
    </w:p>
    <w:tbl>
      <w:tblPr>
        <w:tblLayout w:type="fixed"/>
        <w:tblInd w:w="480" w:type="dxa"/>
        <w:tblCellMar>
          <w:top w:w="0" w:type="dxa"/>
          <w:left w:w="0" w:type="dxa"/>
          <w:bottom w:w="0" w:type="dxa"/>
          <w:right w:w="0" w:type="dxa"/>
        </w:tblCellMar>
      </w:tblPr>
      <w:tr>
        <w:trPr>
          <w:trHeight w:val="28"/>
        </w:trPr>
        <w:tc>
          <w:tcPr>
            <w:tcW w:w="1340" w:type="dxa"/>
            <w:vAlign w:val="bottom"/>
            <w:vMerge w:val="restart"/>
            <w:shd w:val="clear" w:color="auto" w:fill="0066BA"/>
          </w:tcPr>
          <w:p>
            <w:pPr>
              <w:ind w:left="60"/>
              <w:spacing w:after="0"/>
              <w:rPr>
                <w:sz w:val="20"/>
                <w:szCs w:val="20"/>
                <w:color w:val="auto"/>
              </w:rPr>
            </w:pPr>
            <w:r>
              <w:rPr>
                <w:rFonts w:ascii="Arial" w:cs="Arial" w:eastAsia="Arial" w:hAnsi="Arial"/>
                <w:sz w:val="12"/>
                <w:szCs w:val="12"/>
                <w:b w:val="1"/>
                <w:bCs w:val="1"/>
                <w:color w:val="FFFFFF"/>
              </w:rPr>
              <w:t>Name</w:t>
            </w:r>
          </w:p>
        </w:tc>
        <w:tc>
          <w:tcPr>
            <w:tcW w:w="80" w:type="dxa"/>
            <w:vAlign w:val="bottom"/>
            <w:shd w:val="clear" w:color="auto" w:fill="0066BA"/>
          </w:tcPr>
          <w:p>
            <w:pPr>
              <w:spacing w:after="0"/>
              <w:rPr>
                <w:sz w:val="2"/>
                <w:szCs w:val="2"/>
                <w:color w:val="auto"/>
              </w:rPr>
            </w:pPr>
          </w:p>
        </w:tc>
        <w:tc>
          <w:tcPr>
            <w:tcW w:w="700" w:type="dxa"/>
            <w:vAlign w:val="bottom"/>
            <w:tcBorders>
              <w:right w:val="single" w:sz="8" w:color="0066BA"/>
            </w:tcBorders>
            <w:vMerge w:val="restart"/>
            <w:shd w:val="clear" w:color="auto" w:fill="0066BA"/>
          </w:tcPr>
          <w:p>
            <w:pPr>
              <w:jc w:val="right"/>
              <w:spacing w:after="0"/>
              <w:rPr>
                <w:sz w:val="20"/>
                <w:szCs w:val="20"/>
                <w:color w:val="auto"/>
              </w:rPr>
            </w:pPr>
            <w:r>
              <w:rPr>
                <w:rFonts w:ascii="Arial" w:cs="Arial" w:eastAsia="Arial" w:hAnsi="Arial"/>
                <w:sz w:val="12"/>
                <w:szCs w:val="12"/>
                <w:b w:val="1"/>
                <w:bCs w:val="1"/>
                <w:color w:val="FFFFFF"/>
              </w:rPr>
              <w:t>Grant</w:t>
            </w:r>
          </w:p>
        </w:tc>
        <w:tc>
          <w:tcPr>
            <w:tcW w:w="40" w:type="dxa"/>
            <w:vAlign w:val="bottom"/>
            <w:shd w:val="clear" w:color="auto" w:fill="0066BA"/>
          </w:tcPr>
          <w:p>
            <w:pPr>
              <w:spacing w:after="0"/>
              <w:rPr>
                <w:sz w:val="2"/>
                <w:szCs w:val="2"/>
                <w:color w:val="auto"/>
              </w:rPr>
            </w:pPr>
          </w:p>
        </w:tc>
        <w:tc>
          <w:tcPr>
            <w:tcW w:w="900" w:type="dxa"/>
            <w:vAlign w:val="bottom"/>
            <w:tcBorders>
              <w:right w:val="single" w:sz="8" w:color="0066BA"/>
            </w:tcBorders>
            <w:shd w:val="clear" w:color="auto" w:fill="0066BA"/>
          </w:tcPr>
          <w:p>
            <w:pPr>
              <w:spacing w:after="0"/>
              <w:rPr>
                <w:sz w:val="2"/>
                <w:szCs w:val="2"/>
                <w:color w:val="auto"/>
              </w:rPr>
            </w:pPr>
          </w:p>
        </w:tc>
        <w:tc>
          <w:tcPr>
            <w:tcW w:w="680" w:type="dxa"/>
            <w:vAlign w:val="bottom"/>
            <w:tcBorders>
              <w:right w:val="single" w:sz="8" w:color="0066BA"/>
            </w:tcBorders>
            <w:shd w:val="clear" w:color="auto" w:fill="0066BA"/>
          </w:tcPr>
          <w:p>
            <w:pPr>
              <w:spacing w:after="0"/>
              <w:rPr>
                <w:sz w:val="2"/>
                <w:szCs w:val="2"/>
                <w:color w:val="auto"/>
              </w:rPr>
            </w:pPr>
          </w:p>
        </w:tc>
        <w:tc>
          <w:tcPr>
            <w:tcW w:w="1060" w:type="dxa"/>
            <w:vAlign w:val="bottom"/>
            <w:tcBorders>
              <w:right w:val="single" w:sz="8" w:color="0066BA"/>
            </w:tcBorders>
            <w:shd w:val="clear" w:color="auto" w:fill="0066BA"/>
          </w:tcPr>
          <w:p>
            <w:pPr>
              <w:spacing w:after="0"/>
              <w:rPr>
                <w:sz w:val="2"/>
                <w:szCs w:val="2"/>
                <w:color w:val="auto"/>
              </w:rPr>
            </w:pPr>
          </w:p>
        </w:tc>
        <w:tc>
          <w:tcPr>
            <w:tcW w:w="140" w:type="dxa"/>
            <w:vAlign w:val="bottom"/>
            <w:shd w:val="clear" w:color="auto" w:fill="0066BA"/>
          </w:tcPr>
          <w:p>
            <w:pPr>
              <w:spacing w:after="0"/>
              <w:rPr>
                <w:sz w:val="2"/>
                <w:szCs w:val="2"/>
                <w:color w:val="auto"/>
              </w:rPr>
            </w:pPr>
          </w:p>
        </w:tc>
        <w:tc>
          <w:tcPr>
            <w:tcW w:w="680" w:type="dxa"/>
            <w:vAlign w:val="bottom"/>
            <w:tcBorders>
              <w:right w:val="single" w:sz="8" w:color="0066BA"/>
            </w:tcBorders>
            <w:shd w:val="clear" w:color="auto" w:fill="0066BA"/>
          </w:tcPr>
          <w:p>
            <w:pPr>
              <w:spacing w:after="0"/>
              <w:rPr>
                <w:sz w:val="2"/>
                <w:szCs w:val="2"/>
                <w:color w:val="auto"/>
              </w:rPr>
            </w:pPr>
          </w:p>
        </w:tc>
        <w:tc>
          <w:tcPr>
            <w:tcW w:w="740" w:type="dxa"/>
            <w:vAlign w:val="bottom"/>
            <w:tcBorders>
              <w:right w:val="single" w:sz="8" w:color="0066BA"/>
            </w:tcBorders>
            <w:shd w:val="clear" w:color="auto" w:fill="0066BA"/>
          </w:tcPr>
          <w:p>
            <w:pPr>
              <w:spacing w:after="0"/>
              <w:rPr>
                <w:sz w:val="2"/>
                <w:szCs w:val="2"/>
                <w:color w:val="auto"/>
              </w:rPr>
            </w:pPr>
          </w:p>
        </w:tc>
        <w:tc>
          <w:tcPr>
            <w:tcW w:w="740" w:type="dxa"/>
            <w:vAlign w:val="bottom"/>
            <w:tcBorders>
              <w:right w:val="single" w:sz="8" w:color="0066BA"/>
            </w:tcBorders>
            <w:shd w:val="clear" w:color="auto" w:fill="0066BA"/>
          </w:tcPr>
          <w:p>
            <w:pPr>
              <w:spacing w:after="0"/>
              <w:rPr>
                <w:sz w:val="2"/>
                <w:szCs w:val="2"/>
                <w:color w:val="auto"/>
              </w:rPr>
            </w:pPr>
          </w:p>
        </w:tc>
        <w:tc>
          <w:tcPr>
            <w:tcW w:w="180" w:type="dxa"/>
            <w:vAlign w:val="bottom"/>
            <w:shd w:val="clear" w:color="auto" w:fill="0066BA"/>
          </w:tcPr>
          <w:p>
            <w:pPr>
              <w:spacing w:after="0"/>
              <w:rPr>
                <w:sz w:val="2"/>
                <w:szCs w:val="2"/>
                <w:color w:val="auto"/>
              </w:rPr>
            </w:pPr>
          </w:p>
        </w:tc>
        <w:tc>
          <w:tcPr>
            <w:tcW w:w="700" w:type="dxa"/>
            <w:vAlign w:val="bottom"/>
            <w:vMerge w:val="restart"/>
            <w:shd w:val="clear" w:color="auto" w:fill="0066BA"/>
          </w:tcPr>
          <w:p>
            <w:pPr>
              <w:jc w:val="right"/>
              <w:spacing w:after="0"/>
              <w:rPr>
                <w:sz w:val="20"/>
                <w:szCs w:val="20"/>
                <w:color w:val="auto"/>
              </w:rPr>
            </w:pPr>
            <w:r>
              <w:rPr>
                <w:rFonts w:ascii="Arial" w:cs="Arial" w:eastAsia="Arial" w:hAnsi="Arial"/>
                <w:sz w:val="12"/>
                <w:szCs w:val="12"/>
                <w:b w:val="1"/>
                <w:bCs w:val="1"/>
                <w:color w:val="FFFFFF"/>
              </w:rPr>
              <w:t>All Other</w:t>
            </w:r>
          </w:p>
        </w:tc>
        <w:tc>
          <w:tcPr>
            <w:tcW w:w="80" w:type="dxa"/>
            <w:vAlign w:val="bottom"/>
            <w:shd w:val="clear" w:color="auto" w:fill="0066BA"/>
          </w:tcPr>
          <w:p>
            <w:pPr>
              <w:spacing w:after="0"/>
              <w:rPr>
                <w:sz w:val="2"/>
                <w:szCs w:val="2"/>
                <w:color w:val="auto"/>
              </w:rPr>
            </w:pPr>
          </w:p>
        </w:tc>
        <w:tc>
          <w:tcPr>
            <w:tcW w:w="660" w:type="dxa"/>
            <w:vAlign w:val="bottom"/>
            <w:tcBorders>
              <w:right w:val="single" w:sz="8" w:color="0066BA"/>
            </w:tcBorders>
            <w:vMerge w:val="restart"/>
            <w:shd w:val="clear" w:color="auto" w:fill="0066BA"/>
          </w:tcPr>
          <w:p>
            <w:pPr>
              <w:jc w:val="right"/>
              <w:spacing w:after="0"/>
              <w:rPr>
                <w:sz w:val="20"/>
                <w:szCs w:val="20"/>
                <w:color w:val="auto"/>
              </w:rPr>
            </w:pPr>
            <w:r>
              <w:rPr>
                <w:rFonts w:ascii="Arial" w:cs="Arial" w:eastAsia="Arial" w:hAnsi="Arial"/>
                <w:sz w:val="12"/>
                <w:szCs w:val="12"/>
                <w:b w:val="1"/>
                <w:bCs w:val="1"/>
                <w:color w:val="FFFFFF"/>
              </w:rPr>
              <w:t>All Other</w:t>
            </w:r>
          </w:p>
        </w:tc>
        <w:tc>
          <w:tcPr>
            <w:tcW w:w="600" w:type="dxa"/>
            <w:vAlign w:val="bottom"/>
            <w:vMerge w:val="restart"/>
            <w:shd w:val="clear" w:color="auto" w:fill="0066BA"/>
          </w:tcPr>
          <w:p>
            <w:pPr>
              <w:jc w:val="right"/>
              <w:spacing w:after="0"/>
              <w:rPr>
                <w:sz w:val="20"/>
                <w:szCs w:val="20"/>
                <w:color w:val="auto"/>
              </w:rPr>
            </w:pPr>
            <w:r>
              <w:rPr>
                <w:rFonts w:ascii="Arial" w:cs="Arial" w:eastAsia="Arial" w:hAnsi="Arial"/>
                <w:sz w:val="12"/>
                <w:szCs w:val="12"/>
                <w:b w:val="1"/>
                <w:bCs w:val="1"/>
                <w:color w:val="FFFFFF"/>
              </w:rPr>
              <w:t>Exercise</w:t>
            </w:r>
          </w:p>
        </w:tc>
        <w:tc>
          <w:tcPr>
            <w:tcW w:w="80" w:type="dxa"/>
            <w:vAlign w:val="bottom"/>
            <w:shd w:val="clear" w:color="auto" w:fill="0066BA"/>
          </w:tcPr>
          <w:p>
            <w:pPr>
              <w:spacing w:after="0"/>
              <w:rPr>
                <w:sz w:val="2"/>
                <w:szCs w:val="2"/>
                <w:color w:val="auto"/>
              </w:rPr>
            </w:pPr>
          </w:p>
        </w:tc>
        <w:tc>
          <w:tcPr>
            <w:tcW w:w="880" w:type="dxa"/>
            <w:vAlign w:val="bottom"/>
            <w:gridSpan w:val="2"/>
            <w:vMerge w:val="restart"/>
            <w:shd w:val="clear" w:color="auto" w:fill="0066BA"/>
          </w:tcPr>
          <w:p>
            <w:pPr>
              <w:jc w:val="right"/>
              <w:spacing w:after="0"/>
              <w:rPr>
                <w:sz w:val="20"/>
                <w:szCs w:val="20"/>
                <w:color w:val="auto"/>
              </w:rPr>
            </w:pPr>
            <w:r>
              <w:rPr>
                <w:rFonts w:ascii="Arial" w:cs="Arial" w:eastAsia="Arial" w:hAnsi="Arial"/>
                <w:sz w:val="12"/>
                <w:szCs w:val="12"/>
                <w:b w:val="1"/>
                <w:bCs w:val="1"/>
                <w:color w:val="FFFFFF"/>
              </w:rPr>
              <w:t>Grant Date</w:t>
            </w:r>
          </w:p>
        </w:tc>
        <w:tc>
          <w:tcPr>
            <w:tcW w:w="0" w:type="dxa"/>
            <w:vAlign w:val="bottom"/>
          </w:tcPr>
          <w:p>
            <w:pPr>
              <w:spacing w:after="0" w:line="20" w:lineRule="exact"/>
              <w:rPr>
                <w:sz w:val="1"/>
                <w:szCs w:val="1"/>
                <w:color w:val="auto"/>
              </w:rPr>
            </w:pPr>
          </w:p>
        </w:tc>
      </w:tr>
      <w:tr>
        <w:trPr>
          <w:trHeight w:val="110"/>
        </w:trPr>
        <w:tc>
          <w:tcPr>
            <w:tcW w:w="1340" w:type="dxa"/>
            <w:vAlign w:val="bottom"/>
            <w:vMerge w:val="continue"/>
            <w:shd w:val="clear" w:color="auto" w:fill="0066BA"/>
          </w:tcPr>
          <w:p>
            <w:pPr>
              <w:spacing w:after="0"/>
              <w:rPr>
                <w:sz w:val="9"/>
                <w:szCs w:val="9"/>
                <w:color w:val="auto"/>
              </w:rPr>
            </w:pPr>
          </w:p>
        </w:tc>
        <w:tc>
          <w:tcPr>
            <w:tcW w:w="80" w:type="dxa"/>
            <w:vAlign w:val="bottom"/>
            <w:shd w:val="clear" w:color="auto" w:fill="0066BA"/>
          </w:tcPr>
          <w:p>
            <w:pPr>
              <w:spacing w:after="0"/>
              <w:rPr>
                <w:sz w:val="9"/>
                <w:szCs w:val="9"/>
                <w:color w:val="auto"/>
              </w:rPr>
            </w:pPr>
          </w:p>
        </w:tc>
        <w:tc>
          <w:tcPr>
            <w:tcW w:w="700" w:type="dxa"/>
            <w:vAlign w:val="bottom"/>
            <w:tcBorders>
              <w:right w:val="single" w:sz="8" w:color="0066BA"/>
            </w:tcBorders>
            <w:vMerge w:val="continue"/>
            <w:shd w:val="clear" w:color="auto" w:fill="0066BA"/>
          </w:tcPr>
          <w:p>
            <w:pPr>
              <w:spacing w:after="0"/>
              <w:rPr>
                <w:sz w:val="9"/>
                <w:szCs w:val="9"/>
                <w:color w:val="auto"/>
              </w:rPr>
            </w:pPr>
          </w:p>
        </w:tc>
        <w:tc>
          <w:tcPr>
            <w:tcW w:w="40" w:type="dxa"/>
            <w:vAlign w:val="bottom"/>
            <w:shd w:val="clear" w:color="auto" w:fill="0066BA"/>
          </w:tcPr>
          <w:p>
            <w:pPr>
              <w:spacing w:after="0"/>
              <w:rPr>
                <w:sz w:val="9"/>
                <w:szCs w:val="9"/>
                <w:color w:val="auto"/>
              </w:rPr>
            </w:pPr>
          </w:p>
        </w:tc>
        <w:tc>
          <w:tcPr>
            <w:tcW w:w="900" w:type="dxa"/>
            <w:vAlign w:val="bottom"/>
            <w:tcBorders>
              <w:right w:val="single" w:sz="8" w:color="0066BA"/>
            </w:tcBorders>
            <w:shd w:val="clear" w:color="auto" w:fill="0066BA"/>
          </w:tcPr>
          <w:p>
            <w:pPr>
              <w:spacing w:after="0"/>
              <w:rPr>
                <w:sz w:val="9"/>
                <w:szCs w:val="9"/>
                <w:color w:val="auto"/>
              </w:rPr>
            </w:pPr>
          </w:p>
        </w:tc>
        <w:tc>
          <w:tcPr>
            <w:tcW w:w="680" w:type="dxa"/>
            <w:vAlign w:val="bottom"/>
            <w:tcBorders>
              <w:right w:val="single" w:sz="8" w:color="0066BA"/>
            </w:tcBorders>
            <w:shd w:val="clear" w:color="auto" w:fill="0066BA"/>
          </w:tcPr>
          <w:p>
            <w:pPr>
              <w:spacing w:after="0"/>
              <w:rPr>
                <w:sz w:val="9"/>
                <w:szCs w:val="9"/>
                <w:color w:val="auto"/>
              </w:rPr>
            </w:pPr>
          </w:p>
        </w:tc>
        <w:tc>
          <w:tcPr>
            <w:tcW w:w="1060" w:type="dxa"/>
            <w:vAlign w:val="bottom"/>
            <w:tcBorders>
              <w:right w:val="single" w:sz="8" w:color="0066BA"/>
            </w:tcBorders>
            <w:shd w:val="clear" w:color="auto" w:fill="0066BA"/>
          </w:tcPr>
          <w:p>
            <w:pPr>
              <w:spacing w:after="0"/>
              <w:rPr>
                <w:sz w:val="9"/>
                <w:szCs w:val="9"/>
                <w:color w:val="auto"/>
              </w:rPr>
            </w:pPr>
          </w:p>
        </w:tc>
        <w:tc>
          <w:tcPr>
            <w:tcW w:w="140" w:type="dxa"/>
            <w:vAlign w:val="bottom"/>
            <w:shd w:val="clear" w:color="auto" w:fill="0066BA"/>
          </w:tcPr>
          <w:p>
            <w:pPr>
              <w:spacing w:after="0"/>
              <w:rPr>
                <w:sz w:val="9"/>
                <w:szCs w:val="9"/>
                <w:color w:val="auto"/>
              </w:rPr>
            </w:pPr>
          </w:p>
        </w:tc>
        <w:tc>
          <w:tcPr>
            <w:tcW w:w="680" w:type="dxa"/>
            <w:vAlign w:val="bottom"/>
            <w:tcBorders>
              <w:right w:val="single" w:sz="8" w:color="0066BA"/>
            </w:tcBorders>
            <w:shd w:val="clear" w:color="auto" w:fill="0066BA"/>
          </w:tcPr>
          <w:p>
            <w:pPr>
              <w:spacing w:after="0"/>
              <w:rPr>
                <w:sz w:val="9"/>
                <w:szCs w:val="9"/>
                <w:color w:val="auto"/>
              </w:rPr>
            </w:pPr>
          </w:p>
        </w:tc>
        <w:tc>
          <w:tcPr>
            <w:tcW w:w="740" w:type="dxa"/>
            <w:vAlign w:val="bottom"/>
            <w:tcBorders>
              <w:right w:val="single" w:sz="8" w:color="0066BA"/>
            </w:tcBorders>
            <w:shd w:val="clear" w:color="auto" w:fill="0066BA"/>
          </w:tcPr>
          <w:p>
            <w:pPr>
              <w:spacing w:after="0"/>
              <w:rPr>
                <w:sz w:val="9"/>
                <w:szCs w:val="9"/>
                <w:color w:val="auto"/>
              </w:rPr>
            </w:pPr>
          </w:p>
        </w:tc>
        <w:tc>
          <w:tcPr>
            <w:tcW w:w="740" w:type="dxa"/>
            <w:vAlign w:val="bottom"/>
            <w:tcBorders>
              <w:right w:val="single" w:sz="8" w:color="0066BA"/>
            </w:tcBorders>
            <w:shd w:val="clear" w:color="auto" w:fill="0066BA"/>
          </w:tcPr>
          <w:p>
            <w:pPr>
              <w:spacing w:after="0"/>
              <w:rPr>
                <w:sz w:val="9"/>
                <w:szCs w:val="9"/>
                <w:color w:val="auto"/>
              </w:rPr>
            </w:pPr>
          </w:p>
        </w:tc>
        <w:tc>
          <w:tcPr>
            <w:tcW w:w="180" w:type="dxa"/>
            <w:vAlign w:val="bottom"/>
            <w:shd w:val="clear" w:color="auto" w:fill="0066BA"/>
          </w:tcPr>
          <w:p>
            <w:pPr>
              <w:spacing w:after="0"/>
              <w:rPr>
                <w:sz w:val="9"/>
                <w:szCs w:val="9"/>
                <w:color w:val="auto"/>
              </w:rPr>
            </w:pPr>
          </w:p>
        </w:tc>
        <w:tc>
          <w:tcPr>
            <w:tcW w:w="700" w:type="dxa"/>
            <w:vAlign w:val="bottom"/>
            <w:vMerge w:val="continue"/>
            <w:shd w:val="clear" w:color="auto" w:fill="0066BA"/>
          </w:tcPr>
          <w:p>
            <w:pPr>
              <w:spacing w:after="0"/>
              <w:rPr>
                <w:sz w:val="9"/>
                <w:szCs w:val="9"/>
                <w:color w:val="auto"/>
              </w:rPr>
            </w:pPr>
          </w:p>
        </w:tc>
        <w:tc>
          <w:tcPr>
            <w:tcW w:w="80" w:type="dxa"/>
            <w:vAlign w:val="bottom"/>
            <w:shd w:val="clear" w:color="auto" w:fill="0066BA"/>
          </w:tcPr>
          <w:p>
            <w:pPr>
              <w:spacing w:after="0"/>
              <w:rPr>
                <w:sz w:val="9"/>
                <w:szCs w:val="9"/>
                <w:color w:val="auto"/>
              </w:rPr>
            </w:pPr>
          </w:p>
        </w:tc>
        <w:tc>
          <w:tcPr>
            <w:tcW w:w="660" w:type="dxa"/>
            <w:vAlign w:val="bottom"/>
            <w:tcBorders>
              <w:right w:val="single" w:sz="8" w:color="0066BA"/>
            </w:tcBorders>
            <w:vMerge w:val="continue"/>
            <w:shd w:val="clear" w:color="auto" w:fill="0066BA"/>
          </w:tcPr>
          <w:p>
            <w:pPr>
              <w:spacing w:after="0"/>
              <w:rPr>
                <w:sz w:val="9"/>
                <w:szCs w:val="9"/>
                <w:color w:val="auto"/>
              </w:rPr>
            </w:pPr>
          </w:p>
        </w:tc>
        <w:tc>
          <w:tcPr>
            <w:tcW w:w="600" w:type="dxa"/>
            <w:vAlign w:val="bottom"/>
            <w:vMerge w:val="continue"/>
            <w:shd w:val="clear" w:color="auto" w:fill="0066BA"/>
          </w:tcPr>
          <w:p>
            <w:pPr>
              <w:spacing w:after="0"/>
              <w:rPr>
                <w:sz w:val="9"/>
                <w:szCs w:val="9"/>
                <w:color w:val="auto"/>
              </w:rPr>
            </w:pPr>
          </w:p>
        </w:tc>
        <w:tc>
          <w:tcPr>
            <w:tcW w:w="80" w:type="dxa"/>
            <w:vAlign w:val="bottom"/>
            <w:shd w:val="clear" w:color="auto" w:fill="0066BA"/>
          </w:tcPr>
          <w:p>
            <w:pPr>
              <w:spacing w:after="0"/>
              <w:rPr>
                <w:sz w:val="9"/>
                <w:szCs w:val="9"/>
                <w:color w:val="auto"/>
              </w:rPr>
            </w:pPr>
          </w:p>
        </w:tc>
        <w:tc>
          <w:tcPr>
            <w:tcW w:w="880" w:type="dxa"/>
            <w:vAlign w:val="bottom"/>
            <w:gridSpan w:val="2"/>
            <w:vMerge w:val="continue"/>
            <w:shd w:val="clear" w:color="auto" w:fill="0066BA"/>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34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00" w:type="dxa"/>
            <w:vAlign w:val="bottom"/>
            <w:tcBorders>
              <w:right w:val="single" w:sz="8" w:color="0066BA"/>
            </w:tcBorders>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Date</w:t>
            </w:r>
          </w:p>
        </w:tc>
        <w:tc>
          <w:tcPr>
            <w:tcW w:w="40" w:type="dxa"/>
            <w:vAlign w:val="bottom"/>
            <w:shd w:val="clear" w:color="auto" w:fill="0066BA"/>
          </w:tcPr>
          <w:p>
            <w:pPr>
              <w:spacing w:after="0"/>
              <w:rPr>
                <w:sz w:val="11"/>
                <w:szCs w:val="11"/>
                <w:color w:val="auto"/>
              </w:rPr>
            </w:pPr>
          </w:p>
        </w:tc>
        <w:tc>
          <w:tcPr>
            <w:tcW w:w="900" w:type="dxa"/>
            <w:vAlign w:val="bottom"/>
            <w:tcBorders>
              <w:right w:val="single" w:sz="8" w:color="0066BA"/>
            </w:tcBorders>
            <w:shd w:val="clear" w:color="auto" w:fill="0066BA"/>
          </w:tcPr>
          <w:p>
            <w:pPr>
              <w:spacing w:after="0"/>
              <w:rPr>
                <w:sz w:val="11"/>
                <w:szCs w:val="11"/>
                <w:color w:val="auto"/>
              </w:rPr>
            </w:pPr>
          </w:p>
        </w:tc>
        <w:tc>
          <w:tcPr>
            <w:tcW w:w="680" w:type="dxa"/>
            <w:vAlign w:val="bottom"/>
            <w:tcBorders>
              <w:right w:val="single" w:sz="8" w:color="0066BA"/>
            </w:tcBorders>
            <w:shd w:val="clear" w:color="auto" w:fill="0066BA"/>
          </w:tcPr>
          <w:p>
            <w:pPr>
              <w:spacing w:after="0"/>
              <w:rPr>
                <w:sz w:val="11"/>
                <w:szCs w:val="11"/>
                <w:color w:val="auto"/>
              </w:rPr>
            </w:pPr>
          </w:p>
        </w:tc>
        <w:tc>
          <w:tcPr>
            <w:tcW w:w="1060" w:type="dxa"/>
            <w:vAlign w:val="bottom"/>
            <w:tcBorders>
              <w:right w:val="single" w:sz="8" w:color="0066BA"/>
            </w:tcBorders>
            <w:shd w:val="clear" w:color="auto" w:fill="0066BA"/>
          </w:tcPr>
          <w:p>
            <w:pPr>
              <w:spacing w:after="0"/>
              <w:rPr>
                <w:sz w:val="11"/>
                <w:szCs w:val="11"/>
                <w:color w:val="auto"/>
              </w:rPr>
            </w:pPr>
          </w:p>
        </w:tc>
        <w:tc>
          <w:tcPr>
            <w:tcW w:w="140" w:type="dxa"/>
            <w:vAlign w:val="bottom"/>
            <w:shd w:val="clear" w:color="auto" w:fill="0066BA"/>
          </w:tcPr>
          <w:p>
            <w:pPr>
              <w:spacing w:after="0"/>
              <w:rPr>
                <w:sz w:val="11"/>
                <w:szCs w:val="11"/>
                <w:color w:val="auto"/>
              </w:rPr>
            </w:pPr>
          </w:p>
        </w:tc>
        <w:tc>
          <w:tcPr>
            <w:tcW w:w="680" w:type="dxa"/>
            <w:vAlign w:val="bottom"/>
            <w:tcBorders>
              <w:right w:val="single" w:sz="8" w:color="0066BA"/>
            </w:tcBorders>
            <w:shd w:val="clear" w:color="auto" w:fill="0066BA"/>
          </w:tcPr>
          <w:p>
            <w:pPr>
              <w:spacing w:after="0"/>
              <w:rPr>
                <w:sz w:val="11"/>
                <w:szCs w:val="11"/>
                <w:color w:val="auto"/>
              </w:rPr>
            </w:pPr>
          </w:p>
        </w:tc>
        <w:tc>
          <w:tcPr>
            <w:tcW w:w="740" w:type="dxa"/>
            <w:vAlign w:val="bottom"/>
            <w:tcBorders>
              <w:right w:val="single" w:sz="8" w:color="0066BA"/>
            </w:tcBorders>
            <w:shd w:val="clear" w:color="auto" w:fill="0066BA"/>
          </w:tcPr>
          <w:p>
            <w:pPr>
              <w:spacing w:after="0"/>
              <w:rPr>
                <w:sz w:val="11"/>
                <w:szCs w:val="11"/>
                <w:color w:val="auto"/>
              </w:rPr>
            </w:pPr>
          </w:p>
        </w:tc>
        <w:tc>
          <w:tcPr>
            <w:tcW w:w="740" w:type="dxa"/>
            <w:vAlign w:val="bottom"/>
            <w:tcBorders>
              <w:right w:val="single" w:sz="8" w:color="0066BA"/>
            </w:tcBorders>
            <w:shd w:val="clear" w:color="auto" w:fill="0066BA"/>
          </w:tcPr>
          <w:p>
            <w:pPr>
              <w:spacing w:after="0"/>
              <w:rPr>
                <w:sz w:val="11"/>
                <w:szCs w:val="11"/>
                <w:color w:val="auto"/>
              </w:rPr>
            </w:pPr>
          </w:p>
        </w:tc>
        <w:tc>
          <w:tcPr>
            <w:tcW w:w="180" w:type="dxa"/>
            <w:vAlign w:val="bottom"/>
            <w:shd w:val="clear" w:color="auto" w:fill="0066BA"/>
          </w:tcPr>
          <w:p>
            <w:pPr>
              <w:spacing w:after="0"/>
              <w:rPr>
                <w:sz w:val="11"/>
                <w:szCs w:val="11"/>
                <w:color w:val="auto"/>
              </w:rPr>
            </w:pPr>
          </w:p>
        </w:tc>
        <w:tc>
          <w:tcPr>
            <w:tcW w:w="70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Stock</w:t>
            </w:r>
          </w:p>
        </w:tc>
        <w:tc>
          <w:tcPr>
            <w:tcW w:w="80" w:type="dxa"/>
            <w:vAlign w:val="bottom"/>
            <w:shd w:val="clear" w:color="auto" w:fill="0066BA"/>
          </w:tcPr>
          <w:p>
            <w:pPr>
              <w:spacing w:after="0"/>
              <w:rPr>
                <w:sz w:val="11"/>
                <w:szCs w:val="11"/>
                <w:color w:val="auto"/>
              </w:rPr>
            </w:pPr>
          </w:p>
        </w:tc>
        <w:tc>
          <w:tcPr>
            <w:tcW w:w="660" w:type="dxa"/>
            <w:vAlign w:val="bottom"/>
            <w:tcBorders>
              <w:right w:val="single" w:sz="8" w:color="0066BA"/>
            </w:tcBorders>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Option</w:t>
            </w:r>
          </w:p>
        </w:tc>
        <w:tc>
          <w:tcPr>
            <w:tcW w:w="60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Price of</w:t>
            </w:r>
          </w:p>
        </w:tc>
        <w:tc>
          <w:tcPr>
            <w:tcW w:w="80" w:type="dxa"/>
            <w:vAlign w:val="bottom"/>
            <w:shd w:val="clear" w:color="auto" w:fill="0066BA"/>
          </w:tcPr>
          <w:p>
            <w:pPr>
              <w:spacing w:after="0"/>
              <w:rPr>
                <w:sz w:val="11"/>
                <w:szCs w:val="11"/>
                <w:color w:val="auto"/>
              </w:rPr>
            </w:pPr>
          </w:p>
        </w:tc>
        <w:tc>
          <w:tcPr>
            <w:tcW w:w="880" w:type="dxa"/>
            <w:vAlign w:val="bottom"/>
            <w:gridSpan w:val="2"/>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Fair Value</w:t>
            </w:r>
          </w:p>
        </w:tc>
        <w:tc>
          <w:tcPr>
            <w:tcW w:w="0" w:type="dxa"/>
            <w:vAlign w:val="bottom"/>
          </w:tcPr>
          <w:p>
            <w:pPr>
              <w:spacing w:after="0"/>
              <w:rPr>
                <w:sz w:val="1"/>
                <w:szCs w:val="1"/>
                <w:color w:val="auto"/>
              </w:rPr>
            </w:pPr>
          </w:p>
        </w:tc>
      </w:tr>
      <w:tr>
        <w:trPr>
          <w:trHeight w:val="130"/>
        </w:trPr>
        <w:tc>
          <w:tcPr>
            <w:tcW w:w="134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00" w:type="dxa"/>
            <w:vAlign w:val="bottom"/>
            <w:tcBorders>
              <w:right w:val="single" w:sz="8" w:color="0066BA"/>
            </w:tcBorders>
            <w:shd w:val="clear" w:color="auto" w:fill="0066BA"/>
          </w:tcPr>
          <w:p>
            <w:pPr>
              <w:spacing w:after="0"/>
              <w:rPr>
                <w:sz w:val="11"/>
                <w:szCs w:val="11"/>
                <w:color w:val="auto"/>
              </w:rPr>
            </w:pPr>
          </w:p>
        </w:tc>
        <w:tc>
          <w:tcPr>
            <w:tcW w:w="40" w:type="dxa"/>
            <w:vAlign w:val="bottom"/>
            <w:shd w:val="clear" w:color="auto" w:fill="0066BA"/>
          </w:tcPr>
          <w:p>
            <w:pPr>
              <w:spacing w:after="0"/>
              <w:rPr>
                <w:sz w:val="11"/>
                <w:szCs w:val="11"/>
                <w:color w:val="auto"/>
              </w:rPr>
            </w:pPr>
          </w:p>
        </w:tc>
        <w:tc>
          <w:tcPr>
            <w:tcW w:w="900" w:type="dxa"/>
            <w:vAlign w:val="bottom"/>
            <w:tcBorders>
              <w:right w:val="single" w:sz="8" w:color="0066BA"/>
            </w:tcBorders>
            <w:shd w:val="clear" w:color="auto" w:fill="0066BA"/>
          </w:tcPr>
          <w:p>
            <w:pPr>
              <w:spacing w:after="0"/>
              <w:rPr>
                <w:sz w:val="11"/>
                <w:szCs w:val="11"/>
                <w:color w:val="auto"/>
              </w:rPr>
            </w:pPr>
          </w:p>
        </w:tc>
        <w:tc>
          <w:tcPr>
            <w:tcW w:w="680" w:type="dxa"/>
            <w:vAlign w:val="bottom"/>
            <w:tcBorders>
              <w:right w:val="single" w:sz="8" w:color="0066BA"/>
            </w:tcBorders>
            <w:shd w:val="clear" w:color="auto" w:fill="0066BA"/>
          </w:tcPr>
          <w:p>
            <w:pPr>
              <w:spacing w:after="0"/>
              <w:rPr>
                <w:sz w:val="11"/>
                <w:szCs w:val="11"/>
                <w:color w:val="auto"/>
              </w:rPr>
            </w:pPr>
          </w:p>
        </w:tc>
        <w:tc>
          <w:tcPr>
            <w:tcW w:w="1060" w:type="dxa"/>
            <w:vAlign w:val="bottom"/>
            <w:tcBorders>
              <w:right w:val="single" w:sz="8" w:color="0066BA"/>
            </w:tcBorders>
            <w:shd w:val="clear" w:color="auto" w:fill="0066BA"/>
          </w:tcPr>
          <w:p>
            <w:pPr>
              <w:spacing w:after="0"/>
              <w:rPr>
                <w:sz w:val="11"/>
                <w:szCs w:val="11"/>
                <w:color w:val="auto"/>
              </w:rPr>
            </w:pPr>
          </w:p>
        </w:tc>
        <w:tc>
          <w:tcPr>
            <w:tcW w:w="140" w:type="dxa"/>
            <w:vAlign w:val="bottom"/>
            <w:shd w:val="clear" w:color="auto" w:fill="0066BA"/>
          </w:tcPr>
          <w:p>
            <w:pPr>
              <w:spacing w:after="0"/>
              <w:rPr>
                <w:sz w:val="11"/>
                <w:szCs w:val="11"/>
                <w:color w:val="auto"/>
              </w:rPr>
            </w:pPr>
          </w:p>
        </w:tc>
        <w:tc>
          <w:tcPr>
            <w:tcW w:w="680" w:type="dxa"/>
            <w:vAlign w:val="bottom"/>
            <w:tcBorders>
              <w:right w:val="single" w:sz="8" w:color="0066BA"/>
            </w:tcBorders>
            <w:shd w:val="clear" w:color="auto" w:fill="0066BA"/>
          </w:tcPr>
          <w:p>
            <w:pPr>
              <w:spacing w:after="0"/>
              <w:rPr>
                <w:sz w:val="11"/>
                <w:szCs w:val="11"/>
                <w:color w:val="auto"/>
              </w:rPr>
            </w:pPr>
          </w:p>
        </w:tc>
        <w:tc>
          <w:tcPr>
            <w:tcW w:w="740" w:type="dxa"/>
            <w:vAlign w:val="bottom"/>
            <w:tcBorders>
              <w:right w:val="single" w:sz="8" w:color="0066BA"/>
            </w:tcBorders>
            <w:shd w:val="clear" w:color="auto" w:fill="0066BA"/>
          </w:tcPr>
          <w:p>
            <w:pPr>
              <w:spacing w:after="0"/>
              <w:rPr>
                <w:sz w:val="11"/>
                <w:szCs w:val="11"/>
                <w:color w:val="auto"/>
              </w:rPr>
            </w:pPr>
          </w:p>
        </w:tc>
        <w:tc>
          <w:tcPr>
            <w:tcW w:w="740" w:type="dxa"/>
            <w:vAlign w:val="bottom"/>
            <w:tcBorders>
              <w:right w:val="single" w:sz="8" w:color="0066BA"/>
            </w:tcBorders>
            <w:shd w:val="clear" w:color="auto" w:fill="0066BA"/>
          </w:tcPr>
          <w:p>
            <w:pPr>
              <w:spacing w:after="0"/>
              <w:rPr>
                <w:sz w:val="11"/>
                <w:szCs w:val="11"/>
                <w:color w:val="auto"/>
              </w:rPr>
            </w:pPr>
          </w:p>
        </w:tc>
        <w:tc>
          <w:tcPr>
            <w:tcW w:w="180" w:type="dxa"/>
            <w:vAlign w:val="bottom"/>
            <w:shd w:val="clear" w:color="auto" w:fill="0066BA"/>
          </w:tcPr>
          <w:p>
            <w:pPr>
              <w:spacing w:after="0"/>
              <w:rPr>
                <w:sz w:val="11"/>
                <w:szCs w:val="11"/>
                <w:color w:val="auto"/>
              </w:rPr>
            </w:pPr>
          </w:p>
        </w:tc>
        <w:tc>
          <w:tcPr>
            <w:tcW w:w="70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Awards:</w:t>
            </w:r>
          </w:p>
        </w:tc>
        <w:tc>
          <w:tcPr>
            <w:tcW w:w="80" w:type="dxa"/>
            <w:vAlign w:val="bottom"/>
            <w:shd w:val="clear" w:color="auto" w:fill="0066BA"/>
          </w:tcPr>
          <w:p>
            <w:pPr>
              <w:spacing w:after="0"/>
              <w:rPr>
                <w:sz w:val="11"/>
                <w:szCs w:val="11"/>
                <w:color w:val="auto"/>
              </w:rPr>
            </w:pPr>
          </w:p>
        </w:tc>
        <w:tc>
          <w:tcPr>
            <w:tcW w:w="660" w:type="dxa"/>
            <w:vAlign w:val="bottom"/>
            <w:tcBorders>
              <w:right w:val="single" w:sz="8" w:color="0066BA"/>
            </w:tcBorders>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Awards:</w:t>
            </w:r>
          </w:p>
        </w:tc>
        <w:tc>
          <w:tcPr>
            <w:tcW w:w="60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Option</w:t>
            </w:r>
          </w:p>
        </w:tc>
        <w:tc>
          <w:tcPr>
            <w:tcW w:w="80" w:type="dxa"/>
            <w:vAlign w:val="bottom"/>
            <w:shd w:val="clear" w:color="auto" w:fill="0066BA"/>
          </w:tcPr>
          <w:p>
            <w:pPr>
              <w:spacing w:after="0"/>
              <w:rPr>
                <w:sz w:val="11"/>
                <w:szCs w:val="11"/>
                <w:color w:val="auto"/>
              </w:rPr>
            </w:pPr>
          </w:p>
        </w:tc>
        <w:tc>
          <w:tcPr>
            <w:tcW w:w="880" w:type="dxa"/>
            <w:vAlign w:val="bottom"/>
            <w:gridSpan w:val="2"/>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of Stock</w:t>
            </w:r>
          </w:p>
        </w:tc>
        <w:tc>
          <w:tcPr>
            <w:tcW w:w="0" w:type="dxa"/>
            <w:vAlign w:val="bottom"/>
          </w:tcPr>
          <w:p>
            <w:pPr>
              <w:spacing w:after="0"/>
              <w:rPr>
                <w:sz w:val="1"/>
                <w:szCs w:val="1"/>
                <w:color w:val="auto"/>
              </w:rPr>
            </w:pPr>
          </w:p>
        </w:tc>
      </w:tr>
      <w:tr>
        <w:trPr>
          <w:trHeight w:val="137"/>
        </w:trPr>
        <w:tc>
          <w:tcPr>
            <w:tcW w:w="134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00" w:type="dxa"/>
            <w:vAlign w:val="bottom"/>
            <w:tcBorders>
              <w:right w:val="single" w:sz="8" w:color="0066BA"/>
            </w:tcBorders>
            <w:shd w:val="clear" w:color="auto" w:fill="0066BA"/>
          </w:tcPr>
          <w:p>
            <w:pPr>
              <w:spacing w:after="0"/>
              <w:rPr>
                <w:sz w:val="11"/>
                <w:szCs w:val="11"/>
                <w:color w:val="auto"/>
              </w:rPr>
            </w:pPr>
          </w:p>
        </w:tc>
        <w:tc>
          <w:tcPr>
            <w:tcW w:w="40" w:type="dxa"/>
            <w:vAlign w:val="bottom"/>
            <w:shd w:val="clear" w:color="auto" w:fill="0066BA"/>
          </w:tcPr>
          <w:p>
            <w:pPr>
              <w:spacing w:after="0"/>
              <w:rPr>
                <w:sz w:val="11"/>
                <w:szCs w:val="11"/>
                <w:color w:val="auto"/>
              </w:rPr>
            </w:pPr>
          </w:p>
        </w:tc>
        <w:tc>
          <w:tcPr>
            <w:tcW w:w="2640" w:type="dxa"/>
            <w:vAlign w:val="bottom"/>
            <w:tcBorders>
              <w:right w:val="single" w:sz="8" w:color="0066BA"/>
            </w:tcBorders>
            <w:gridSpan w:val="3"/>
            <w:shd w:val="clear" w:color="auto" w:fill="0066BA"/>
          </w:tcPr>
          <w:p>
            <w:pPr>
              <w:jc w:val="right"/>
              <w:ind w:right="363"/>
              <w:spacing w:after="0" w:line="137" w:lineRule="exact"/>
              <w:rPr>
                <w:sz w:val="20"/>
                <w:szCs w:val="20"/>
                <w:color w:val="auto"/>
              </w:rPr>
            </w:pPr>
            <w:r>
              <w:rPr>
                <w:rFonts w:ascii="Arial" w:cs="Arial" w:eastAsia="Arial" w:hAnsi="Arial"/>
                <w:sz w:val="12"/>
                <w:szCs w:val="12"/>
                <w:b w:val="1"/>
                <w:bCs w:val="1"/>
                <w:color w:val="FFFFFF"/>
              </w:rPr>
              <w:t>Estimated Possible Payouts Under</w:t>
            </w:r>
          </w:p>
        </w:tc>
        <w:tc>
          <w:tcPr>
            <w:tcW w:w="140" w:type="dxa"/>
            <w:vAlign w:val="bottom"/>
            <w:shd w:val="clear" w:color="auto" w:fill="0066BA"/>
          </w:tcPr>
          <w:p>
            <w:pPr>
              <w:spacing w:after="0"/>
              <w:rPr>
                <w:sz w:val="11"/>
                <w:szCs w:val="11"/>
                <w:color w:val="auto"/>
              </w:rPr>
            </w:pPr>
          </w:p>
        </w:tc>
        <w:tc>
          <w:tcPr>
            <w:tcW w:w="2340" w:type="dxa"/>
            <w:vAlign w:val="bottom"/>
            <w:gridSpan w:val="4"/>
            <w:shd w:val="clear" w:color="auto" w:fill="0066BA"/>
          </w:tcPr>
          <w:p>
            <w:pPr>
              <w:jc w:val="center"/>
              <w:ind w:right="340"/>
              <w:spacing w:after="0" w:line="137" w:lineRule="exact"/>
              <w:rPr>
                <w:sz w:val="20"/>
                <w:szCs w:val="20"/>
                <w:color w:val="auto"/>
              </w:rPr>
            </w:pPr>
            <w:r>
              <w:rPr>
                <w:rFonts w:ascii="Arial" w:cs="Arial" w:eastAsia="Arial" w:hAnsi="Arial"/>
                <w:sz w:val="12"/>
                <w:szCs w:val="12"/>
                <w:b w:val="1"/>
                <w:bCs w:val="1"/>
                <w:color w:val="FFFFFF"/>
              </w:rPr>
              <w:t>Estimated Future Payouts Under</w:t>
            </w:r>
          </w:p>
        </w:tc>
        <w:tc>
          <w:tcPr>
            <w:tcW w:w="700" w:type="dxa"/>
            <w:vAlign w:val="bottom"/>
            <w:shd w:val="clear" w:color="auto" w:fill="0066BA"/>
          </w:tcPr>
          <w:p>
            <w:pPr>
              <w:jc w:val="right"/>
              <w:spacing w:after="0" w:line="137" w:lineRule="exact"/>
              <w:rPr>
                <w:sz w:val="20"/>
                <w:szCs w:val="20"/>
                <w:color w:val="auto"/>
              </w:rPr>
            </w:pPr>
            <w:r>
              <w:rPr>
                <w:rFonts w:ascii="Arial" w:cs="Arial" w:eastAsia="Arial" w:hAnsi="Arial"/>
                <w:sz w:val="12"/>
                <w:szCs w:val="12"/>
                <w:b w:val="1"/>
                <w:bCs w:val="1"/>
                <w:color w:val="FFFFFF"/>
              </w:rPr>
              <w:t>Number of</w:t>
            </w:r>
          </w:p>
        </w:tc>
        <w:tc>
          <w:tcPr>
            <w:tcW w:w="80" w:type="dxa"/>
            <w:vAlign w:val="bottom"/>
            <w:shd w:val="clear" w:color="auto" w:fill="0066BA"/>
          </w:tcPr>
          <w:p>
            <w:pPr>
              <w:spacing w:after="0"/>
              <w:rPr>
                <w:sz w:val="11"/>
                <w:szCs w:val="11"/>
                <w:color w:val="auto"/>
              </w:rPr>
            </w:pPr>
          </w:p>
        </w:tc>
        <w:tc>
          <w:tcPr>
            <w:tcW w:w="660" w:type="dxa"/>
            <w:vAlign w:val="bottom"/>
            <w:tcBorders>
              <w:right w:val="single" w:sz="8" w:color="0066BA"/>
            </w:tcBorders>
            <w:shd w:val="clear" w:color="auto" w:fill="0066BA"/>
          </w:tcPr>
          <w:p>
            <w:pPr>
              <w:jc w:val="right"/>
              <w:spacing w:after="0" w:line="137" w:lineRule="exact"/>
              <w:rPr>
                <w:sz w:val="20"/>
                <w:szCs w:val="20"/>
                <w:color w:val="auto"/>
              </w:rPr>
            </w:pPr>
            <w:r>
              <w:rPr>
                <w:rFonts w:ascii="Arial" w:cs="Arial" w:eastAsia="Arial" w:hAnsi="Arial"/>
                <w:sz w:val="12"/>
                <w:szCs w:val="12"/>
                <w:b w:val="1"/>
                <w:bCs w:val="1"/>
                <w:color w:val="FFFFFF"/>
                <w:w w:val="99"/>
              </w:rPr>
              <w:t>Number of</w:t>
            </w:r>
          </w:p>
        </w:tc>
        <w:tc>
          <w:tcPr>
            <w:tcW w:w="600" w:type="dxa"/>
            <w:vAlign w:val="bottom"/>
            <w:shd w:val="clear" w:color="auto" w:fill="0066BA"/>
          </w:tcPr>
          <w:p>
            <w:pPr>
              <w:jc w:val="right"/>
              <w:spacing w:after="0" w:line="137" w:lineRule="exact"/>
              <w:rPr>
                <w:sz w:val="20"/>
                <w:szCs w:val="20"/>
                <w:color w:val="auto"/>
              </w:rPr>
            </w:pPr>
            <w:r>
              <w:rPr>
                <w:rFonts w:ascii="Arial" w:cs="Arial" w:eastAsia="Arial" w:hAnsi="Arial"/>
                <w:sz w:val="12"/>
                <w:szCs w:val="12"/>
                <w:b w:val="1"/>
                <w:bCs w:val="1"/>
                <w:color w:val="FFFFFF"/>
              </w:rPr>
              <w:t>Awards</w:t>
            </w:r>
          </w:p>
        </w:tc>
        <w:tc>
          <w:tcPr>
            <w:tcW w:w="80" w:type="dxa"/>
            <w:vAlign w:val="bottom"/>
            <w:shd w:val="clear" w:color="auto" w:fill="0066BA"/>
          </w:tcPr>
          <w:p>
            <w:pPr>
              <w:spacing w:after="0"/>
              <w:rPr>
                <w:sz w:val="11"/>
                <w:szCs w:val="11"/>
                <w:color w:val="auto"/>
              </w:rPr>
            </w:pPr>
          </w:p>
        </w:tc>
        <w:tc>
          <w:tcPr>
            <w:tcW w:w="880" w:type="dxa"/>
            <w:vAlign w:val="bottom"/>
            <w:gridSpan w:val="2"/>
            <w:shd w:val="clear" w:color="auto" w:fill="0066BA"/>
          </w:tcPr>
          <w:p>
            <w:pPr>
              <w:jc w:val="right"/>
              <w:spacing w:after="0" w:line="137" w:lineRule="exact"/>
              <w:rPr>
                <w:sz w:val="20"/>
                <w:szCs w:val="20"/>
                <w:color w:val="auto"/>
              </w:rPr>
            </w:pPr>
            <w:r>
              <w:rPr>
                <w:rFonts w:ascii="Arial" w:cs="Arial" w:eastAsia="Arial" w:hAnsi="Arial"/>
                <w:sz w:val="12"/>
                <w:szCs w:val="12"/>
                <w:b w:val="1"/>
                <w:bCs w:val="1"/>
                <w:color w:val="FFFFFF"/>
              </w:rPr>
              <w:t>and Option</w:t>
            </w:r>
          </w:p>
        </w:tc>
        <w:tc>
          <w:tcPr>
            <w:tcW w:w="0" w:type="dxa"/>
            <w:vAlign w:val="bottom"/>
          </w:tcPr>
          <w:p>
            <w:pPr>
              <w:spacing w:after="0"/>
              <w:rPr>
                <w:sz w:val="1"/>
                <w:szCs w:val="1"/>
                <w:color w:val="auto"/>
              </w:rPr>
            </w:pPr>
          </w:p>
        </w:tc>
      </w:tr>
      <w:tr>
        <w:trPr>
          <w:trHeight w:val="130"/>
        </w:trPr>
        <w:tc>
          <w:tcPr>
            <w:tcW w:w="134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00" w:type="dxa"/>
            <w:vAlign w:val="bottom"/>
            <w:tcBorders>
              <w:right w:val="single" w:sz="8" w:color="0066BA"/>
            </w:tcBorders>
            <w:shd w:val="clear" w:color="auto" w:fill="0066BA"/>
          </w:tcPr>
          <w:p>
            <w:pPr>
              <w:spacing w:after="0"/>
              <w:rPr>
                <w:sz w:val="11"/>
                <w:szCs w:val="11"/>
                <w:color w:val="auto"/>
              </w:rPr>
            </w:pPr>
          </w:p>
        </w:tc>
        <w:tc>
          <w:tcPr>
            <w:tcW w:w="40" w:type="dxa"/>
            <w:vAlign w:val="bottom"/>
            <w:shd w:val="clear" w:color="auto" w:fill="0066BA"/>
          </w:tcPr>
          <w:p>
            <w:pPr>
              <w:spacing w:after="0"/>
              <w:rPr>
                <w:sz w:val="11"/>
                <w:szCs w:val="11"/>
                <w:color w:val="auto"/>
              </w:rPr>
            </w:pPr>
          </w:p>
        </w:tc>
        <w:tc>
          <w:tcPr>
            <w:tcW w:w="2640" w:type="dxa"/>
            <w:vAlign w:val="bottom"/>
            <w:tcBorders>
              <w:right w:val="single" w:sz="8" w:color="0066BA"/>
            </w:tcBorders>
            <w:gridSpan w:val="3"/>
            <w:shd w:val="clear" w:color="auto" w:fill="0066BA"/>
          </w:tcPr>
          <w:p>
            <w:pPr>
              <w:jc w:val="right"/>
              <w:ind w:right="303"/>
              <w:spacing w:after="0" w:line="130" w:lineRule="exact"/>
              <w:rPr>
                <w:sz w:val="20"/>
                <w:szCs w:val="20"/>
                <w:color w:val="auto"/>
              </w:rPr>
            </w:pPr>
            <w:r>
              <w:rPr>
                <w:rFonts w:ascii="Arial" w:cs="Arial" w:eastAsia="Arial" w:hAnsi="Arial"/>
                <w:sz w:val="12"/>
                <w:szCs w:val="12"/>
                <w:b w:val="1"/>
                <w:bCs w:val="1"/>
                <w:color w:val="FFFFFF"/>
              </w:rPr>
              <w:t>Non-Equity Incentive Plan Awards (1)</w:t>
            </w:r>
          </w:p>
        </w:tc>
        <w:tc>
          <w:tcPr>
            <w:tcW w:w="140" w:type="dxa"/>
            <w:vAlign w:val="bottom"/>
            <w:shd w:val="clear" w:color="auto" w:fill="0066BA"/>
          </w:tcPr>
          <w:p>
            <w:pPr>
              <w:spacing w:after="0"/>
              <w:rPr>
                <w:sz w:val="11"/>
                <w:szCs w:val="11"/>
                <w:color w:val="auto"/>
              </w:rPr>
            </w:pPr>
          </w:p>
        </w:tc>
        <w:tc>
          <w:tcPr>
            <w:tcW w:w="2340" w:type="dxa"/>
            <w:vAlign w:val="bottom"/>
            <w:gridSpan w:val="4"/>
            <w:shd w:val="clear" w:color="auto" w:fill="0066BA"/>
          </w:tcPr>
          <w:p>
            <w:pPr>
              <w:jc w:val="center"/>
              <w:ind w:right="360"/>
              <w:spacing w:after="0" w:line="130" w:lineRule="exact"/>
              <w:rPr>
                <w:sz w:val="20"/>
                <w:szCs w:val="20"/>
                <w:color w:val="auto"/>
              </w:rPr>
            </w:pPr>
            <w:r>
              <w:rPr>
                <w:rFonts w:ascii="Arial" w:cs="Arial" w:eastAsia="Arial" w:hAnsi="Arial"/>
                <w:sz w:val="12"/>
                <w:szCs w:val="12"/>
                <w:b w:val="1"/>
                <w:bCs w:val="1"/>
                <w:color w:val="FFFFFF"/>
              </w:rPr>
              <w:t>Equity Incentive Plan Awards (2)</w:t>
            </w:r>
          </w:p>
        </w:tc>
        <w:tc>
          <w:tcPr>
            <w:tcW w:w="70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Shares of</w:t>
            </w:r>
          </w:p>
        </w:tc>
        <w:tc>
          <w:tcPr>
            <w:tcW w:w="80" w:type="dxa"/>
            <w:vAlign w:val="bottom"/>
            <w:shd w:val="clear" w:color="auto" w:fill="0066BA"/>
          </w:tcPr>
          <w:p>
            <w:pPr>
              <w:spacing w:after="0"/>
              <w:rPr>
                <w:sz w:val="11"/>
                <w:szCs w:val="11"/>
                <w:color w:val="auto"/>
              </w:rPr>
            </w:pPr>
          </w:p>
        </w:tc>
        <w:tc>
          <w:tcPr>
            <w:tcW w:w="660" w:type="dxa"/>
            <w:vAlign w:val="bottom"/>
            <w:tcBorders>
              <w:right w:val="single" w:sz="8" w:color="0066BA"/>
            </w:tcBorders>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Securities</w:t>
            </w:r>
          </w:p>
        </w:tc>
        <w:tc>
          <w:tcPr>
            <w:tcW w:w="60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 Per</w:t>
            </w:r>
          </w:p>
        </w:tc>
        <w:tc>
          <w:tcPr>
            <w:tcW w:w="80" w:type="dxa"/>
            <w:vAlign w:val="bottom"/>
            <w:shd w:val="clear" w:color="auto" w:fill="0066BA"/>
          </w:tcPr>
          <w:p>
            <w:pPr>
              <w:spacing w:after="0"/>
              <w:rPr>
                <w:sz w:val="11"/>
                <w:szCs w:val="11"/>
                <w:color w:val="auto"/>
              </w:rPr>
            </w:pPr>
          </w:p>
        </w:tc>
        <w:tc>
          <w:tcPr>
            <w:tcW w:w="880" w:type="dxa"/>
            <w:vAlign w:val="bottom"/>
            <w:gridSpan w:val="2"/>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Awards ($)</w:t>
            </w:r>
          </w:p>
        </w:tc>
        <w:tc>
          <w:tcPr>
            <w:tcW w:w="0" w:type="dxa"/>
            <w:vAlign w:val="bottom"/>
          </w:tcPr>
          <w:p>
            <w:pPr>
              <w:spacing w:after="0"/>
              <w:rPr>
                <w:sz w:val="1"/>
                <w:szCs w:val="1"/>
                <w:color w:val="auto"/>
              </w:rPr>
            </w:pPr>
          </w:p>
        </w:tc>
      </w:tr>
      <w:tr>
        <w:trPr>
          <w:trHeight w:val="130"/>
        </w:trPr>
        <w:tc>
          <w:tcPr>
            <w:tcW w:w="134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00" w:type="dxa"/>
            <w:vAlign w:val="bottom"/>
            <w:tcBorders>
              <w:right w:val="single" w:sz="8" w:color="0066BA"/>
            </w:tcBorders>
            <w:shd w:val="clear" w:color="auto" w:fill="0066BA"/>
          </w:tcPr>
          <w:p>
            <w:pPr>
              <w:spacing w:after="0"/>
              <w:rPr>
                <w:sz w:val="11"/>
                <w:szCs w:val="11"/>
                <w:color w:val="auto"/>
              </w:rPr>
            </w:pPr>
          </w:p>
        </w:tc>
        <w:tc>
          <w:tcPr>
            <w:tcW w:w="40" w:type="dxa"/>
            <w:vAlign w:val="bottom"/>
            <w:shd w:val="clear" w:color="auto" w:fill="0066BA"/>
          </w:tcPr>
          <w:p>
            <w:pPr>
              <w:spacing w:after="0"/>
              <w:rPr>
                <w:sz w:val="11"/>
                <w:szCs w:val="11"/>
                <w:color w:val="auto"/>
              </w:rPr>
            </w:pPr>
          </w:p>
        </w:tc>
        <w:tc>
          <w:tcPr>
            <w:tcW w:w="900" w:type="dxa"/>
            <w:vAlign w:val="bottom"/>
            <w:tcBorders>
              <w:right w:val="single" w:sz="8" w:color="0066BA"/>
            </w:tcBorders>
            <w:shd w:val="clear" w:color="auto" w:fill="0066BA"/>
          </w:tcPr>
          <w:p>
            <w:pPr>
              <w:spacing w:after="0"/>
              <w:rPr>
                <w:sz w:val="11"/>
                <w:szCs w:val="11"/>
                <w:color w:val="auto"/>
              </w:rPr>
            </w:pPr>
          </w:p>
        </w:tc>
        <w:tc>
          <w:tcPr>
            <w:tcW w:w="680" w:type="dxa"/>
            <w:vAlign w:val="bottom"/>
            <w:tcBorders>
              <w:right w:val="single" w:sz="8" w:color="0066BA"/>
            </w:tcBorders>
            <w:shd w:val="clear" w:color="auto" w:fill="0066BA"/>
          </w:tcPr>
          <w:p>
            <w:pPr>
              <w:spacing w:after="0"/>
              <w:rPr>
                <w:sz w:val="11"/>
                <w:szCs w:val="11"/>
                <w:color w:val="auto"/>
              </w:rPr>
            </w:pPr>
          </w:p>
        </w:tc>
        <w:tc>
          <w:tcPr>
            <w:tcW w:w="1060" w:type="dxa"/>
            <w:vAlign w:val="bottom"/>
            <w:tcBorders>
              <w:right w:val="single" w:sz="8" w:color="0066BA"/>
            </w:tcBorders>
            <w:shd w:val="clear" w:color="auto" w:fill="0066BA"/>
          </w:tcPr>
          <w:p>
            <w:pPr>
              <w:spacing w:after="0"/>
              <w:rPr>
                <w:sz w:val="11"/>
                <w:szCs w:val="11"/>
                <w:color w:val="auto"/>
              </w:rPr>
            </w:pPr>
          </w:p>
        </w:tc>
        <w:tc>
          <w:tcPr>
            <w:tcW w:w="140" w:type="dxa"/>
            <w:vAlign w:val="bottom"/>
            <w:shd w:val="clear" w:color="auto" w:fill="0066BA"/>
          </w:tcPr>
          <w:p>
            <w:pPr>
              <w:spacing w:after="0"/>
              <w:rPr>
                <w:sz w:val="11"/>
                <w:szCs w:val="11"/>
                <w:color w:val="auto"/>
              </w:rPr>
            </w:pPr>
          </w:p>
        </w:tc>
        <w:tc>
          <w:tcPr>
            <w:tcW w:w="680" w:type="dxa"/>
            <w:vAlign w:val="bottom"/>
            <w:tcBorders>
              <w:right w:val="single" w:sz="8" w:color="0066BA"/>
            </w:tcBorders>
            <w:shd w:val="clear" w:color="auto" w:fill="0066BA"/>
          </w:tcPr>
          <w:p>
            <w:pPr>
              <w:spacing w:after="0"/>
              <w:rPr>
                <w:sz w:val="11"/>
                <w:szCs w:val="11"/>
                <w:color w:val="auto"/>
              </w:rPr>
            </w:pPr>
          </w:p>
        </w:tc>
        <w:tc>
          <w:tcPr>
            <w:tcW w:w="740" w:type="dxa"/>
            <w:vAlign w:val="bottom"/>
            <w:tcBorders>
              <w:right w:val="single" w:sz="8" w:color="0066BA"/>
            </w:tcBorders>
            <w:shd w:val="clear" w:color="auto" w:fill="0066BA"/>
          </w:tcPr>
          <w:p>
            <w:pPr>
              <w:spacing w:after="0"/>
              <w:rPr>
                <w:sz w:val="11"/>
                <w:szCs w:val="11"/>
                <w:color w:val="auto"/>
              </w:rPr>
            </w:pPr>
          </w:p>
        </w:tc>
        <w:tc>
          <w:tcPr>
            <w:tcW w:w="740" w:type="dxa"/>
            <w:vAlign w:val="bottom"/>
            <w:tcBorders>
              <w:right w:val="single" w:sz="8" w:color="0066BA"/>
            </w:tcBorders>
            <w:shd w:val="clear" w:color="auto" w:fill="0066BA"/>
          </w:tcPr>
          <w:p>
            <w:pPr>
              <w:spacing w:after="0"/>
              <w:rPr>
                <w:sz w:val="11"/>
                <w:szCs w:val="11"/>
                <w:color w:val="auto"/>
              </w:rPr>
            </w:pPr>
          </w:p>
        </w:tc>
        <w:tc>
          <w:tcPr>
            <w:tcW w:w="180" w:type="dxa"/>
            <w:vAlign w:val="bottom"/>
            <w:shd w:val="clear" w:color="auto" w:fill="0066BA"/>
          </w:tcPr>
          <w:p>
            <w:pPr>
              <w:spacing w:after="0"/>
              <w:rPr>
                <w:sz w:val="11"/>
                <w:szCs w:val="11"/>
                <w:color w:val="auto"/>
              </w:rPr>
            </w:pPr>
          </w:p>
        </w:tc>
        <w:tc>
          <w:tcPr>
            <w:tcW w:w="70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Stock or</w:t>
            </w:r>
          </w:p>
        </w:tc>
        <w:tc>
          <w:tcPr>
            <w:tcW w:w="740" w:type="dxa"/>
            <w:vAlign w:val="bottom"/>
            <w:tcBorders>
              <w:right w:val="single" w:sz="8" w:color="0066BA"/>
            </w:tcBorders>
            <w:gridSpan w:val="2"/>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Underlying</w:t>
            </w:r>
          </w:p>
        </w:tc>
        <w:tc>
          <w:tcPr>
            <w:tcW w:w="60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Share)</w:t>
            </w:r>
          </w:p>
        </w:tc>
        <w:tc>
          <w:tcPr>
            <w:tcW w:w="80" w:type="dxa"/>
            <w:vAlign w:val="bottom"/>
            <w:shd w:val="clear" w:color="auto" w:fill="0066BA"/>
          </w:tcPr>
          <w:p>
            <w:pPr>
              <w:spacing w:after="0"/>
              <w:rPr>
                <w:sz w:val="11"/>
                <w:szCs w:val="11"/>
                <w:color w:val="auto"/>
              </w:rPr>
            </w:pPr>
          </w:p>
        </w:tc>
        <w:tc>
          <w:tcPr>
            <w:tcW w:w="640" w:type="dxa"/>
            <w:vAlign w:val="bottom"/>
            <w:shd w:val="clear" w:color="auto" w:fill="0066BA"/>
          </w:tcPr>
          <w:p>
            <w:pPr>
              <w:spacing w:after="0"/>
              <w:rPr>
                <w:sz w:val="11"/>
                <w:szCs w:val="11"/>
                <w:color w:val="auto"/>
              </w:rPr>
            </w:pPr>
          </w:p>
        </w:tc>
        <w:tc>
          <w:tcPr>
            <w:tcW w:w="240" w:type="dxa"/>
            <w:vAlign w:val="bottom"/>
            <w:shd w:val="clear" w:color="auto" w:fill="0066BA"/>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340" w:type="dxa"/>
            <w:vAlign w:val="bottom"/>
            <w:shd w:val="clear" w:color="auto" w:fill="0066BA"/>
          </w:tcPr>
          <w:p>
            <w:pPr>
              <w:spacing w:after="0"/>
              <w:rPr>
                <w:sz w:val="13"/>
                <w:szCs w:val="13"/>
                <w:color w:val="auto"/>
              </w:rPr>
            </w:pPr>
          </w:p>
        </w:tc>
        <w:tc>
          <w:tcPr>
            <w:tcW w:w="80" w:type="dxa"/>
            <w:vAlign w:val="bottom"/>
            <w:shd w:val="clear" w:color="auto" w:fill="0066BA"/>
          </w:tcPr>
          <w:p>
            <w:pPr>
              <w:spacing w:after="0"/>
              <w:rPr>
                <w:sz w:val="13"/>
                <w:szCs w:val="13"/>
                <w:color w:val="auto"/>
              </w:rPr>
            </w:pPr>
          </w:p>
        </w:tc>
        <w:tc>
          <w:tcPr>
            <w:tcW w:w="700" w:type="dxa"/>
            <w:vAlign w:val="bottom"/>
            <w:tcBorders>
              <w:right w:val="single" w:sz="8" w:color="0066BA"/>
            </w:tcBorders>
            <w:shd w:val="clear" w:color="auto" w:fill="0066BA"/>
          </w:tcPr>
          <w:p>
            <w:pPr>
              <w:spacing w:after="0"/>
              <w:rPr>
                <w:sz w:val="13"/>
                <w:szCs w:val="13"/>
                <w:color w:val="auto"/>
              </w:rPr>
            </w:pPr>
          </w:p>
        </w:tc>
        <w:tc>
          <w:tcPr>
            <w:tcW w:w="40" w:type="dxa"/>
            <w:vAlign w:val="bottom"/>
            <w:shd w:val="clear" w:color="auto" w:fill="0066BA"/>
          </w:tcPr>
          <w:p>
            <w:pPr>
              <w:spacing w:after="0"/>
              <w:rPr>
                <w:sz w:val="13"/>
                <w:szCs w:val="13"/>
                <w:color w:val="auto"/>
              </w:rPr>
            </w:pPr>
          </w:p>
        </w:tc>
        <w:tc>
          <w:tcPr>
            <w:tcW w:w="1580" w:type="dxa"/>
            <w:vAlign w:val="bottom"/>
            <w:tcBorders>
              <w:right w:val="single" w:sz="8" w:color="0066BA"/>
            </w:tcBorders>
            <w:gridSpan w:val="2"/>
            <w:vMerge w:val="restart"/>
            <w:shd w:val="clear" w:color="auto" w:fill="0066BA"/>
          </w:tcPr>
          <w:p>
            <w:pPr>
              <w:ind w:left="20"/>
              <w:spacing w:after="0"/>
              <w:rPr>
                <w:sz w:val="20"/>
                <w:szCs w:val="20"/>
                <w:color w:val="auto"/>
              </w:rPr>
            </w:pPr>
            <w:r>
              <w:rPr>
                <w:rFonts w:ascii="Arial" w:cs="Arial" w:eastAsia="Arial" w:hAnsi="Arial"/>
                <w:sz w:val="12"/>
                <w:szCs w:val="12"/>
                <w:b w:val="1"/>
                <w:bCs w:val="1"/>
                <w:color w:val="FFFFFF"/>
              </w:rPr>
              <w:t>Threshold ($)   Target ($)</w:t>
            </w:r>
          </w:p>
        </w:tc>
        <w:tc>
          <w:tcPr>
            <w:tcW w:w="1060" w:type="dxa"/>
            <w:vAlign w:val="bottom"/>
            <w:tcBorders>
              <w:right w:val="single" w:sz="8" w:color="0066BA"/>
            </w:tcBorders>
            <w:vMerge w:val="restart"/>
            <w:shd w:val="clear" w:color="auto" w:fill="0066BA"/>
          </w:tcPr>
          <w:p>
            <w:pPr>
              <w:jc w:val="right"/>
              <w:ind w:right="183"/>
              <w:spacing w:after="0"/>
              <w:rPr>
                <w:sz w:val="20"/>
                <w:szCs w:val="20"/>
                <w:color w:val="auto"/>
              </w:rPr>
            </w:pPr>
            <w:r>
              <w:rPr>
                <w:rFonts w:ascii="Arial" w:cs="Arial" w:eastAsia="Arial" w:hAnsi="Arial"/>
                <w:sz w:val="12"/>
                <w:szCs w:val="12"/>
                <w:b w:val="1"/>
                <w:bCs w:val="1"/>
                <w:color w:val="FFFFFF"/>
              </w:rPr>
              <w:t>Maximum ($)</w:t>
            </w:r>
          </w:p>
        </w:tc>
        <w:tc>
          <w:tcPr>
            <w:tcW w:w="820" w:type="dxa"/>
            <w:vAlign w:val="bottom"/>
            <w:tcBorders>
              <w:right w:val="single" w:sz="8" w:color="0066BA"/>
            </w:tcBorders>
            <w:gridSpan w:val="2"/>
            <w:vMerge w:val="restart"/>
            <w:shd w:val="clear" w:color="auto" w:fill="0066BA"/>
          </w:tcPr>
          <w:p>
            <w:pPr>
              <w:jc w:val="right"/>
              <w:spacing w:after="0"/>
              <w:rPr>
                <w:sz w:val="20"/>
                <w:szCs w:val="20"/>
                <w:color w:val="auto"/>
              </w:rPr>
            </w:pPr>
            <w:r>
              <w:rPr>
                <w:rFonts w:ascii="Arial" w:cs="Arial" w:eastAsia="Arial" w:hAnsi="Arial"/>
                <w:sz w:val="12"/>
                <w:szCs w:val="12"/>
                <w:b w:val="1"/>
                <w:bCs w:val="1"/>
                <w:color w:val="FFFFFF"/>
                <w:w w:val="99"/>
              </w:rPr>
              <w:t>Threshold (#)</w:t>
            </w:r>
          </w:p>
        </w:tc>
        <w:tc>
          <w:tcPr>
            <w:tcW w:w="740" w:type="dxa"/>
            <w:vAlign w:val="bottom"/>
            <w:tcBorders>
              <w:right w:val="single" w:sz="8" w:color="0066BA"/>
            </w:tcBorders>
            <w:vMerge w:val="restart"/>
            <w:shd w:val="clear" w:color="auto" w:fill="0066BA"/>
          </w:tcPr>
          <w:p>
            <w:pPr>
              <w:jc w:val="center"/>
              <w:ind w:right="3"/>
              <w:spacing w:after="0"/>
              <w:rPr>
                <w:sz w:val="20"/>
                <w:szCs w:val="20"/>
                <w:color w:val="auto"/>
              </w:rPr>
            </w:pPr>
            <w:r>
              <w:rPr>
                <w:rFonts w:ascii="Arial" w:cs="Arial" w:eastAsia="Arial" w:hAnsi="Arial"/>
                <w:sz w:val="12"/>
                <w:szCs w:val="12"/>
                <w:b w:val="1"/>
                <w:bCs w:val="1"/>
                <w:color w:val="FFFFFF"/>
                <w:w w:val="98"/>
              </w:rPr>
              <w:t>Target (#)</w:t>
            </w:r>
          </w:p>
        </w:tc>
        <w:tc>
          <w:tcPr>
            <w:tcW w:w="920" w:type="dxa"/>
            <w:vAlign w:val="bottom"/>
            <w:gridSpan w:val="2"/>
            <w:vMerge w:val="restart"/>
            <w:shd w:val="clear" w:color="auto" w:fill="0066BA"/>
          </w:tcPr>
          <w:p>
            <w:pPr>
              <w:spacing w:after="0"/>
              <w:rPr>
                <w:sz w:val="20"/>
                <w:szCs w:val="20"/>
                <w:color w:val="auto"/>
              </w:rPr>
            </w:pPr>
            <w:r>
              <w:rPr>
                <w:rFonts w:ascii="Arial" w:cs="Arial" w:eastAsia="Arial" w:hAnsi="Arial"/>
                <w:sz w:val="12"/>
                <w:szCs w:val="12"/>
                <w:b w:val="1"/>
                <w:bCs w:val="1"/>
                <w:color w:val="FFFFFF"/>
              </w:rPr>
              <w:t>Maximum (#)</w:t>
            </w:r>
          </w:p>
        </w:tc>
        <w:tc>
          <w:tcPr>
            <w:tcW w:w="700" w:type="dxa"/>
            <w:vAlign w:val="bottom"/>
            <w:shd w:val="clear" w:color="auto" w:fill="0066BA"/>
          </w:tcPr>
          <w:p>
            <w:pPr>
              <w:jc w:val="right"/>
              <w:spacing w:after="0"/>
              <w:rPr>
                <w:sz w:val="20"/>
                <w:szCs w:val="20"/>
                <w:color w:val="auto"/>
              </w:rPr>
            </w:pPr>
            <w:r>
              <w:rPr>
                <w:rFonts w:ascii="Arial" w:cs="Arial" w:eastAsia="Arial" w:hAnsi="Arial"/>
                <w:sz w:val="12"/>
                <w:szCs w:val="12"/>
                <w:b w:val="1"/>
                <w:bCs w:val="1"/>
                <w:color w:val="FFFFFF"/>
              </w:rPr>
              <w:t>Units (3)</w:t>
            </w:r>
          </w:p>
        </w:tc>
        <w:tc>
          <w:tcPr>
            <w:tcW w:w="740" w:type="dxa"/>
            <w:vAlign w:val="bottom"/>
            <w:tcBorders>
              <w:right w:val="single" w:sz="8" w:color="0066BA"/>
            </w:tcBorders>
            <w:gridSpan w:val="2"/>
            <w:shd w:val="clear" w:color="auto" w:fill="0066BA"/>
          </w:tcPr>
          <w:p>
            <w:pPr>
              <w:jc w:val="right"/>
              <w:spacing w:after="0"/>
              <w:rPr>
                <w:sz w:val="20"/>
                <w:szCs w:val="20"/>
                <w:color w:val="auto"/>
              </w:rPr>
            </w:pPr>
            <w:r>
              <w:rPr>
                <w:rFonts w:ascii="Arial" w:cs="Arial" w:eastAsia="Arial" w:hAnsi="Arial"/>
                <w:sz w:val="12"/>
                <w:szCs w:val="12"/>
                <w:b w:val="1"/>
                <w:bCs w:val="1"/>
                <w:color w:val="FFFFFF"/>
              </w:rPr>
              <w:t>Options (4)</w:t>
            </w:r>
          </w:p>
        </w:tc>
        <w:tc>
          <w:tcPr>
            <w:tcW w:w="600" w:type="dxa"/>
            <w:vAlign w:val="bottom"/>
            <w:shd w:val="clear" w:color="auto" w:fill="0066BA"/>
          </w:tcPr>
          <w:p>
            <w:pPr>
              <w:jc w:val="right"/>
              <w:spacing w:after="0"/>
              <w:rPr>
                <w:sz w:val="20"/>
                <w:szCs w:val="20"/>
                <w:color w:val="auto"/>
              </w:rPr>
            </w:pPr>
            <w:r>
              <w:rPr>
                <w:rFonts w:ascii="Arial" w:cs="Arial" w:eastAsia="Arial" w:hAnsi="Arial"/>
                <w:sz w:val="12"/>
                <w:szCs w:val="12"/>
                <w:b w:val="1"/>
                <w:bCs w:val="1"/>
                <w:color w:val="FFFFFF"/>
              </w:rPr>
              <w:t>(5)</w:t>
            </w:r>
          </w:p>
        </w:tc>
        <w:tc>
          <w:tcPr>
            <w:tcW w:w="80" w:type="dxa"/>
            <w:vAlign w:val="bottom"/>
            <w:shd w:val="clear" w:color="auto" w:fill="0066BA"/>
          </w:tcPr>
          <w:p>
            <w:pPr>
              <w:spacing w:after="0"/>
              <w:rPr>
                <w:sz w:val="13"/>
                <w:szCs w:val="13"/>
                <w:color w:val="auto"/>
              </w:rPr>
            </w:pPr>
          </w:p>
        </w:tc>
        <w:tc>
          <w:tcPr>
            <w:tcW w:w="640" w:type="dxa"/>
            <w:vAlign w:val="bottom"/>
            <w:shd w:val="clear" w:color="auto" w:fill="0066BA"/>
          </w:tcPr>
          <w:p>
            <w:pPr>
              <w:spacing w:after="0"/>
              <w:rPr>
                <w:sz w:val="13"/>
                <w:szCs w:val="13"/>
                <w:color w:val="auto"/>
              </w:rPr>
            </w:pPr>
          </w:p>
        </w:tc>
        <w:tc>
          <w:tcPr>
            <w:tcW w:w="240" w:type="dxa"/>
            <w:vAlign w:val="bottom"/>
            <w:shd w:val="clear" w:color="auto" w:fill="0066BA"/>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1340" w:type="dxa"/>
            <w:vAlign w:val="bottom"/>
            <w:shd w:val="clear" w:color="auto" w:fill="0066BA"/>
          </w:tcPr>
          <w:p>
            <w:pPr>
              <w:spacing w:after="0"/>
              <w:rPr>
                <w:sz w:val="6"/>
                <w:szCs w:val="6"/>
                <w:color w:val="auto"/>
              </w:rPr>
            </w:pPr>
          </w:p>
        </w:tc>
        <w:tc>
          <w:tcPr>
            <w:tcW w:w="80" w:type="dxa"/>
            <w:vAlign w:val="bottom"/>
            <w:shd w:val="clear" w:color="auto" w:fill="0066BA"/>
          </w:tcPr>
          <w:p>
            <w:pPr>
              <w:spacing w:after="0"/>
              <w:rPr>
                <w:sz w:val="6"/>
                <w:szCs w:val="6"/>
                <w:color w:val="auto"/>
              </w:rPr>
            </w:pPr>
          </w:p>
        </w:tc>
        <w:tc>
          <w:tcPr>
            <w:tcW w:w="700" w:type="dxa"/>
            <w:vAlign w:val="bottom"/>
            <w:tcBorders>
              <w:right w:val="single" w:sz="8" w:color="0066BA"/>
            </w:tcBorders>
            <w:shd w:val="clear" w:color="auto" w:fill="0066BA"/>
          </w:tcPr>
          <w:p>
            <w:pPr>
              <w:spacing w:after="0"/>
              <w:rPr>
                <w:sz w:val="6"/>
                <w:szCs w:val="6"/>
                <w:color w:val="auto"/>
              </w:rPr>
            </w:pPr>
          </w:p>
        </w:tc>
        <w:tc>
          <w:tcPr>
            <w:tcW w:w="40" w:type="dxa"/>
            <w:vAlign w:val="bottom"/>
            <w:shd w:val="clear" w:color="auto" w:fill="0066BA"/>
          </w:tcPr>
          <w:p>
            <w:pPr>
              <w:spacing w:after="0"/>
              <w:rPr>
                <w:sz w:val="6"/>
                <w:szCs w:val="6"/>
                <w:color w:val="auto"/>
              </w:rPr>
            </w:pPr>
          </w:p>
        </w:tc>
        <w:tc>
          <w:tcPr>
            <w:tcW w:w="1580" w:type="dxa"/>
            <w:vAlign w:val="bottom"/>
            <w:tcBorders>
              <w:right w:val="single" w:sz="8" w:color="0066BA"/>
            </w:tcBorders>
            <w:gridSpan w:val="2"/>
            <w:vMerge w:val="continue"/>
            <w:shd w:val="clear" w:color="auto" w:fill="0066BA"/>
          </w:tcPr>
          <w:p>
            <w:pPr>
              <w:spacing w:after="0"/>
              <w:rPr>
                <w:sz w:val="6"/>
                <w:szCs w:val="6"/>
                <w:color w:val="auto"/>
              </w:rPr>
            </w:pPr>
          </w:p>
        </w:tc>
        <w:tc>
          <w:tcPr>
            <w:tcW w:w="1060" w:type="dxa"/>
            <w:vAlign w:val="bottom"/>
            <w:tcBorders>
              <w:right w:val="single" w:sz="8" w:color="0066BA"/>
            </w:tcBorders>
            <w:vMerge w:val="continue"/>
            <w:shd w:val="clear" w:color="auto" w:fill="0066BA"/>
          </w:tcPr>
          <w:p>
            <w:pPr>
              <w:spacing w:after="0"/>
              <w:rPr>
                <w:sz w:val="6"/>
                <w:szCs w:val="6"/>
                <w:color w:val="auto"/>
              </w:rPr>
            </w:pPr>
          </w:p>
        </w:tc>
        <w:tc>
          <w:tcPr>
            <w:tcW w:w="820" w:type="dxa"/>
            <w:vAlign w:val="bottom"/>
            <w:tcBorders>
              <w:right w:val="single" w:sz="8" w:color="0066BA"/>
            </w:tcBorders>
            <w:gridSpan w:val="2"/>
            <w:vMerge w:val="continue"/>
            <w:shd w:val="clear" w:color="auto" w:fill="0066BA"/>
          </w:tcPr>
          <w:p>
            <w:pPr>
              <w:spacing w:after="0"/>
              <w:rPr>
                <w:sz w:val="6"/>
                <w:szCs w:val="6"/>
                <w:color w:val="auto"/>
              </w:rPr>
            </w:pPr>
          </w:p>
        </w:tc>
        <w:tc>
          <w:tcPr>
            <w:tcW w:w="740" w:type="dxa"/>
            <w:vAlign w:val="bottom"/>
            <w:tcBorders>
              <w:right w:val="single" w:sz="8" w:color="0066BA"/>
            </w:tcBorders>
            <w:vMerge w:val="continue"/>
            <w:shd w:val="clear" w:color="auto" w:fill="0066BA"/>
          </w:tcPr>
          <w:p>
            <w:pPr>
              <w:spacing w:after="0"/>
              <w:rPr>
                <w:sz w:val="6"/>
                <w:szCs w:val="6"/>
                <w:color w:val="auto"/>
              </w:rPr>
            </w:pPr>
          </w:p>
        </w:tc>
        <w:tc>
          <w:tcPr>
            <w:tcW w:w="920" w:type="dxa"/>
            <w:vAlign w:val="bottom"/>
            <w:gridSpan w:val="2"/>
            <w:vMerge w:val="continue"/>
            <w:shd w:val="clear" w:color="auto" w:fill="0066BA"/>
          </w:tcPr>
          <w:p>
            <w:pPr>
              <w:spacing w:after="0"/>
              <w:rPr>
                <w:sz w:val="6"/>
                <w:szCs w:val="6"/>
                <w:color w:val="auto"/>
              </w:rPr>
            </w:pPr>
          </w:p>
        </w:tc>
        <w:tc>
          <w:tcPr>
            <w:tcW w:w="700" w:type="dxa"/>
            <w:vAlign w:val="bottom"/>
            <w:shd w:val="clear" w:color="auto" w:fill="0066BA"/>
          </w:tcPr>
          <w:p>
            <w:pPr>
              <w:spacing w:after="0"/>
              <w:rPr>
                <w:sz w:val="6"/>
                <w:szCs w:val="6"/>
                <w:color w:val="auto"/>
              </w:rPr>
            </w:pPr>
          </w:p>
        </w:tc>
        <w:tc>
          <w:tcPr>
            <w:tcW w:w="80" w:type="dxa"/>
            <w:vAlign w:val="bottom"/>
            <w:shd w:val="clear" w:color="auto" w:fill="0066BA"/>
          </w:tcPr>
          <w:p>
            <w:pPr>
              <w:spacing w:after="0"/>
              <w:rPr>
                <w:sz w:val="6"/>
                <w:szCs w:val="6"/>
                <w:color w:val="auto"/>
              </w:rPr>
            </w:pPr>
          </w:p>
        </w:tc>
        <w:tc>
          <w:tcPr>
            <w:tcW w:w="660" w:type="dxa"/>
            <w:vAlign w:val="bottom"/>
            <w:tcBorders>
              <w:right w:val="single" w:sz="8" w:color="0066BA"/>
            </w:tcBorders>
            <w:shd w:val="clear" w:color="auto" w:fill="0066BA"/>
          </w:tcPr>
          <w:p>
            <w:pPr>
              <w:spacing w:after="0"/>
              <w:rPr>
                <w:sz w:val="6"/>
                <w:szCs w:val="6"/>
                <w:color w:val="auto"/>
              </w:rPr>
            </w:pPr>
          </w:p>
        </w:tc>
        <w:tc>
          <w:tcPr>
            <w:tcW w:w="600" w:type="dxa"/>
            <w:vAlign w:val="bottom"/>
            <w:shd w:val="clear" w:color="auto" w:fill="0066BA"/>
          </w:tcPr>
          <w:p>
            <w:pPr>
              <w:spacing w:after="0"/>
              <w:rPr>
                <w:sz w:val="6"/>
                <w:szCs w:val="6"/>
                <w:color w:val="auto"/>
              </w:rPr>
            </w:pPr>
          </w:p>
        </w:tc>
        <w:tc>
          <w:tcPr>
            <w:tcW w:w="80" w:type="dxa"/>
            <w:vAlign w:val="bottom"/>
            <w:shd w:val="clear" w:color="auto" w:fill="0066BA"/>
          </w:tcPr>
          <w:p>
            <w:pPr>
              <w:spacing w:after="0"/>
              <w:rPr>
                <w:sz w:val="6"/>
                <w:szCs w:val="6"/>
                <w:color w:val="auto"/>
              </w:rPr>
            </w:pPr>
          </w:p>
        </w:tc>
        <w:tc>
          <w:tcPr>
            <w:tcW w:w="640" w:type="dxa"/>
            <w:vAlign w:val="bottom"/>
            <w:shd w:val="clear" w:color="auto" w:fill="0066BA"/>
          </w:tcPr>
          <w:p>
            <w:pPr>
              <w:spacing w:after="0"/>
              <w:rPr>
                <w:sz w:val="6"/>
                <w:szCs w:val="6"/>
                <w:color w:val="auto"/>
              </w:rPr>
            </w:pPr>
          </w:p>
        </w:tc>
        <w:tc>
          <w:tcPr>
            <w:tcW w:w="240" w:type="dxa"/>
            <w:vAlign w:val="bottom"/>
            <w:shd w:val="clear" w:color="auto" w:fill="0066BA"/>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340" w:type="dxa"/>
            <w:vAlign w:val="bottom"/>
            <w:shd w:val="clear" w:color="auto" w:fill="0066BA"/>
          </w:tcPr>
          <w:p>
            <w:pPr>
              <w:spacing w:after="0"/>
              <w:rPr>
                <w:sz w:val="9"/>
                <w:szCs w:val="9"/>
                <w:color w:val="auto"/>
              </w:rPr>
            </w:pPr>
          </w:p>
        </w:tc>
        <w:tc>
          <w:tcPr>
            <w:tcW w:w="80" w:type="dxa"/>
            <w:vAlign w:val="bottom"/>
            <w:tcBorders>
              <w:bottom w:val="single" w:sz="8" w:color="EAEAEA"/>
            </w:tcBorders>
            <w:shd w:val="clear" w:color="auto" w:fill="0066BA"/>
          </w:tcPr>
          <w:p>
            <w:pPr>
              <w:spacing w:after="0"/>
              <w:rPr>
                <w:sz w:val="9"/>
                <w:szCs w:val="9"/>
                <w:color w:val="auto"/>
              </w:rPr>
            </w:pPr>
          </w:p>
        </w:tc>
        <w:tc>
          <w:tcPr>
            <w:tcW w:w="700" w:type="dxa"/>
            <w:vAlign w:val="bottom"/>
            <w:tcBorders>
              <w:bottom w:val="single" w:sz="8" w:color="EAEAEA"/>
              <w:right w:val="single" w:sz="8" w:color="0066BA"/>
            </w:tcBorders>
            <w:shd w:val="clear" w:color="auto" w:fill="0066BA"/>
          </w:tcPr>
          <w:p>
            <w:pPr>
              <w:spacing w:after="0"/>
              <w:rPr>
                <w:sz w:val="9"/>
                <w:szCs w:val="9"/>
                <w:color w:val="auto"/>
              </w:rPr>
            </w:pPr>
          </w:p>
        </w:tc>
        <w:tc>
          <w:tcPr>
            <w:tcW w:w="40" w:type="dxa"/>
            <w:vAlign w:val="bottom"/>
            <w:shd w:val="clear" w:color="auto" w:fill="0066BA"/>
          </w:tcPr>
          <w:p>
            <w:pPr>
              <w:spacing w:after="0"/>
              <w:rPr>
                <w:sz w:val="9"/>
                <w:szCs w:val="9"/>
                <w:color w:val="auto"/>
              </w:rPr>
            </w:pPr>
          </w:p>
        </w:tc>
        <w:tc>
          <w:tcPr>
            <w:tcW w:w="900" w:type="dxa"/>
            <w:vAlign w:val="bottom"/>
            <w:tcBorders>
              <w:right w:val="single" w:sz="8" w:color="0066BA"/>
            </w:tcBorders>
            <w:shd w:val="clear" w:color="auto" w:fill="0066BA"/>
          </w:tcPr>
          <w:p>
            <w:pPr>
              <w:spacing w:after="0"/>
              <w:rPr>
                <w:sz w:val="9"/>
                <w:szCs w:val="9"/>
                <w:color w:val="auto"/>
              </w:rPr>
            </w:pPr>
          </w:p>
        </w:tc>
        <w:tc>
          <w:tcPr>
            <w:tcW w:w="680" w:type="dxa"/>
            <w:vAlign w:val="bottom"/>
            <w:tcBorders>
              <w:bottom w:val="single" w:sz="8" w:color="EAEAEA"/>
              <w:right w:val="single" w:sz="8" w:color="0066BA"/>
            </w:tcBorders>
            <w:shd w:val="clear" w:color="auto" w:fill="0066BA"/>
          </w:tcPr>
          <w:p>
            <w:pPr>
              <w:spacing w:after="0"/>
              <w:rPr>
                <w:sz w:val="9"/>
                <w:szCs w:val="9"/>
                <w:color w:val="auto"/>
              </w:rPr>
            </w:pPr>
          </w:p>
        </w:tc>
        <w:tc>
          <w:tcPr>
            <w:tcW w:w="1060" w:type="dxa"/>
            <w:vAlign w:val="bottom"/>
            <w:tcBorders>
              <w:right w:val="single" w:sz="8" w:color="0066BA"/>
            </w:tcBorders>
            <w:shd w:val="clear" w:color="auto" w:fill="0066BA"/>
          </w:tcPr>
          <w:p>
            <w:pPr>
              <w:spacing w:after="0"/>
              <w:rPr>
                <w:sz w:val="9"/>
                <w:szCs w:val="9"/>
                <w:color w:val="auto"/>
              </w:rPr>
            </w:pPr>
          </w:p>
        </w:tc>
        <w:tc>
          <w:tcPr>
            <w:tcW w:w="140" w:type="dxa"/>
            <w:vAlign w:val="bottom"/>
            <w:tcBorders>
              <w:bottom w:val="single" w:sz="8" w:color="EAEAEA"/>
            </w:tcBorders>
            <w:shd w:val="clear" w:color="auto" w:fill="0066BA"/>
          </w:tcPr>
          <w:p>
            <w:pPr>
              <w:spacing w:after="0"/>
              <w:rPr>
                <w:sz w:val="9"/>
                <w:szCs w:val="9"/>
                <w:color w:val="auto"/>
              </w:rPr>
            </w:pPr>
          </w:p>
        </w:tc>
        <w:tc>
          <w:tcPr>
            <w:tcW w:w="680" w:type="dxa"/>
            <w:vAlign w:val="bottom"/>
            <w:tcBorders>
              <w:bottom w:val="single" w:sz="8" w:color="EAEAEA"/>
              <w:right w:val="single" w:sz="8" w:color="0066BA"/>
            </w:tcBorders>
            <w:shd w:val="clear" w:color="auto" w:fill="0066BA"/>
          </w:tcPr>
          <w:p>
            <w:pPr>
              <w:spacing w:after="0"/>
              <w:rPr>
                <w:sz w:val="9"/>
                <w:szCs w:val="9"/>
                <w:color w:val="auto"/>
              </w:rPr>
            </w:pPr>
          </w:p>
        </w:tc>
        <w:tc>
          <w:tcPr>
            <w:tcW w:w="740" w:type="dxa"/>
            <w:vAlign w:val="bottom"/>
            <w:tcBorders>
              <w:right w:val="single" w:sz="8" w:color="0066BA"/>
            </w:tcBorders>
            <w:shd w:val="clear" w:color="auto" w:fill="0066BA"/>
          </w:tcPr>
          <w:p>
            <w:pPr>
              <w:spacing w:after="0"/>
              <w:rPr>
                <w:sz w:val="9"/>
                <w:szCs w:val="9"/>
                <w:color w:val="auto"/>
              </w:rPr>
            </w:pPr>
          </w:p>
        </w:tc>
        <w:tc>
          <w:tcPr>
            <w:tcW w:w="740" w:type="dxa"/>
            <w:vAlign w:val="bottom"/>
            <w:tcBorders>
              <w:bottom w:val="single" w:sz="8" w:color="EAEAEA"/>
              <w:right w:val="single" w:sz="8" w:color="0066BA"/>
            </w:tcBorders>
            <w:shd w:val="clear" w:color="auto" w:fill="0066BA"/>
          </w:tcPr>
          <w:p>
            <w:pPr>
              <w:spacing w:after="0"/>
              <w:rPr>
                <w:sz w:val="9"/>
                <w:szCs w:val="9"/>
                <w:color w:val="auto"/>
              </w:rPr>
            </w:pPr>
          </w:p>
        </w:tc>
        <w:tc>
          <w:tcPr>
            <w:tcW w:w="180" w:type="dxa"/>
            <w:vAlign w:val="bottom"/>
            <w:shd w:val="clear" w:color="auto" w:fill="0066BA"/>
          </w:tcPr>
          <w:p>
            <w:pPr>
              <w:spacing w:after="0"/>
              <w:rPr>
                <w:sz w:val="9"/>
                <w:szCs w:val="9"/>
                <w:color w:val="auto"/>
              </w:rPr>
            </w:pPr>
          </w:p>
        </w:tc>
        <w:tc>
          <w:tcPr>
            <w:tcW w:w="700" w:type="dxa"/>
            <w:vAlign w:val="bottom"/>
            <w:shd w:val="clear" w:color="auto" w:fill="0066BA"/>
          </w:tcPr>
          <w:p>
            <w:pPr>
              <w:spacing w:after="0"/>
              <w:rPr>
                <w:sz w:val="9"/>
                <w:szCs w:val="9"/>
                <w:color w:val="auto"/>
              </w:rPr>
            </w:pPr>
          </w:p>
        </w:tc>
        <w:tc>
          <w:tcPr>
            <w:tcW w:w="80" w:type="dxa"/>
            <w:vAlign w:val="bottom"/>
            <w:tcBorders>
              <w:bottom w:val="single" w:sz="8" w:color="EAEAEA"/>
            </w:tcBorders>
            <w:shd w:val="clear" w:color="auto" w:fill="0066BA"/>
          </w:tcPr>
          <w:p>
            <w:pPr>
              <w:spacing w:after="0"/>
              <w:rPr>
                <w:sz w:val="9"/>
                <w:szCs w:val="9"/>
                <w:color w:val="auto"/>
              </w:rPr>
            </w:pPr>
          </w:p>
        </w:tc>
        <w:tc>
          <w:tcPr>
            <w:tcW w:w="660" w:type="dxa"/>
            <w:vAlign w:val="bottom"/>
            <w:tcBorders>
              <w:bottom w:val="single" w:sz="8" w:color="EAEAEA"/>
              <w:right w:val="single" w:sz="8" w:color="0066BA"/>
            </w:tcBorders>
            <w:shd w:val="clear" w:color="auto" w:fill="0066BA"/>
          </w:tcPr>
          <w:p>
            <w:pPr>
              <w:spacing w:after="0"/>
              <w:rPr>
                <w:sz w:val="9"/>
                <w:szCs w:val="9"/>
                <w:color w:val="auto"/>
              </w:rPr>
            </w:pPr>
          </w:p>
        </w:tc>
        <w:tc>
          <w:tcPr>
            <w:tcW w:w="600" w:type="dxa"/>
            <w:vAlign w:val="bottom"/>
            <w:shd w:val="clear" w:color="auto" w:fill="0066BA"/>
          </w:tcPr>
          <w:p>
            <w:pPr>
              <w:spacing w:after="0"/>
              <w:rPr>
                <w:sz w:val="9"/>
                <w:szCs w:val="9"/>
                <w:color w:val="auto"/>
              </w:rPr>
            </w:pPr>
          </w:p>
        </w:tc>
        <w:tc>
          <w:tcPr>
            <w:tcW w:w="80" w:type="dxa"/>
            <w:vAlign w:val="bottom"/>
            <w:tcBorders>
              <w:bottom w:val="single" w:sz="8" w:color="EAEAEA"/>
            </w:tcBorders>
            <w:shd w:val="clear" w:color="auto" w:fill="0066BA"/>
          </w:tcPr>
          <w:p>
            <w:pPr>
              <w:spacing w:after="0"/>
              <w:rPr>
                <w:sz w:val="9"/>
                <w:szCs w:val="9"/>
                <w:color w:val="auto"/>
              </w:rPr>
            </w:pPr>
          </w:p>
        </w:tc>
        <w:tc>
          <w:tcPr>
            <w:tcW w:w="640" w:type="dxa"/>
            <w:vAlign w:val="bottom"/>
            <w:tcBorders>
              <w:bottom w:val="single" w:sz="8" w:color="EAEAEA"/>
            </w:tcBorders>
            <w:shd w:val="clear" w:color="auto" w:fill="0066BA"/>
          </w:tcPr>
          <w:p>
            <w:pPr>
              <w:spacing w:after="0"/>
              <w:rPr>
                <w:sz w:val="9"/>
                <w:szCs w:val="9"/>
                <w:color w:val="auto"/>
              </w:rPr>
            </w:pPr>
          </w:p>
        </w:tc>
        <w:tc>
          <w:tcPr>
            <w:tcW w:w="240" w:type="dxa"/>
            <w:vAlign w:val="bottom"/>
            <w:tcBorders>
              <w:bottom w:val="single" w:sz="8" w:color="EAEAEA"/>
            </w:tcBorders>
            <w:shd w:val="clear" w:color="auto" w:fill="0066BA"/>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1340" w:type="dxa"/>
            <w:vAlign w:val="bottom"/>
          </w:tcPr>
          <w:p>
            <w:pPr>
              <w:spacing w:after="0"/>
              <w:rPr>
                <w:sz w:val="21"/>
                <w:szCs w:val="21"/>
                <w:color w:val="auto"/>
              </w:rPr>
            </w:pPr>
          </w:p>
        </w:tc>
        <w:tc>
          <w:tcPr>
            <w:tcW w:w="80" w:type="dxa"/>
            <w:vAlign w:val="bottom"/>
            <w:tcBorders>
              <w:bottom w:val="single" w:sz="8" w:color="EAEAEA"/>
            </w:tcBorders>
            <w:shd w:val="clear" w:color="auto" w:fill="EAEAEA"/>
          </w:tcPr>
          <w:p>
            <w:pPr>
              <w:spacing w:after="0"/>
              <w:rPr>
                <w:sz w:val="21"/>
                <w:szCs w:val="21"/>
                <w:color w:val="auto"/>
              </w:rPr>
            </w:pPr>
          </w:p>
        </w:tc>
        <w:tc>
          <w:tcPr>
            <w:tcW w:w="700" w:type="dxa"/>
            <w:vAlign w:val="bottom"/>
            <w:tcBorders>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21"/>
                <w:szCs w:val="21"/>
                <w:color w:val="auto"/>
              </w:rPr>
            </w:pPr>
          </w:p>
        </w:tc>
        <w:tc>
          <w:tcPr>
            <w:tcW w:w="900" w:type="dxa"/>
            <w:vAlign w:val="bottom"/>
            <w:tcBorders>
              <w:right w:val="single" w:sz="8" w:color="EAEAEA"/>
            </w:tcBorders>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shd w:val="clear" w:color="auto" w:fill="EAEAEA"/>
              </w:rPr>
              <w:t>1,575,000</w:t>
            </w:r>
          </w:p>
        </w:tc>
        <w:tc>
          <w:tcPr>
            <w:tcW w:w="1060" w:type="dxa"/>
            <w:vAlign w:val="bottom"/>
            <w:tcBorders>
              <w:right w:val="single" w:sz="8" w:color="EAEAEA"/>
            </w:tcBorders>
          </w:tcPr>
          <w:p>
            <w:pPr>
              <w:jc w:val="right"/>
              <w:ind w:right="183"/>
              <w:spacing w:after="0"/>
              <w:rPr>
                <w:sz w:val="20"/>
                <w:szCs w:val="20"/>
                <w:color w:val="auto"/>
              </w:rPr>
            </w:pPr>
            <w:r>
              <w:rPr>
                <w:rFonts w:ascii="Arial" w:cs="Arial" w:eastAsia="Arial" w:hAnsi="Arial"/>
                <w:sz w:val="16"/>
                <w:szCs w:val="16"/>
                <w:color w:val="auto"/>
              </w:rPr>
              <w:t>4,725,000</w:t>
            </w:r>
          </w:p>
        </w:tc>
        <w:tc>
          <w:tcPr>
            <w:tcW w:w="140" w:type="dxa"/>
            <w:vAlign w:val="bottom"/>
            <w:tcBorders>
              <w:bottom w:val="single" w:sz="8" w:color="EAEAEA"/>
            </w:tcBorders>
            <w:shd w:val="clear" w:color="auto" w:fill="EAEAEA"/>
          </w:tcPr>
          <w:p>
            <w:pPr>
              <w:spacing w:after="0"/>
              <w:rPr>
                <w:sz w:val="21"/>
                <w:szCs w:val="21"/>
                <w:color w:val="auto"/>
              </w:rPr>
            </w:pPr>
          </w:p>
        </w:tc>
        <w:tc>
          <w:tcPr>
            <w:tcW w:w="680" w:type="dxa"/>
            <w:vAlign w:val="bottom"/>
            <w:tcBorders>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EAEAEA"/>
            </w:tcBorders>
          </w:tcPr>
          <w:p>
            <w:pPr>
              <w:jc w:val="right"/>
              <w:ind w:right="63"/>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21"/>
                <w:szCs w:val="21"/>
                <w:color w:val="auto"/>
              </w:rPr>
            </w:pPr>
          </w:p>
        </w:tc>
        <w:tc>
          <w:tcPr>
            <w:tcW w:w="660" w:type="dxa"/>
            <w:vAlign w:val="bottom"/>
            <w:tcBorders>
              <w:bottom w:val="single" w:sz="8" w:color="EAEAEA"/>
              <w:right w:val="single" w:sz="8" w:color="EAEAEA"/>
            </w:tcBorders>
            <w:shd w:val="clear" w:color="auto" w:fill="EAEAEA"/>
          </w:tcPr>
          <w:p>
            <w:pPr>
              <w:ind w:left="460"/>
              <w:spacing w:after="0"/>
              <w:rPr>
                <w:sz w:val="20"/>
                <w:szCs w:val="20"/>
                <w:color w:val="auto"/>
              </w:rPr>
            </w:pPr>
            <w:r>
              <w:rPr>
                <w:rFonts w:ascii="Arial" w:cs="Arial" w:eastAsia="Arial" w:hAnsi="Arial"/>
                <w:sz w:val="16"/>
                <w:szCs w:val="16"/>
                <w:color w:val="auto"/>
                <w:w w:val="9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21"/>
                <w:szCs w:val="21"/>
                <w:color w:val="auto"/>
              </w:rPr>
            </w:pPr>
          </w:p>
        </w:tc>
        <w:tc>
          <w:tcPr>
            <w:tcW w:w="6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34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Vincent</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700" w:type="dxa"/>
            <w:vAlign w:val="bottom"/>
            <w:tcBorders>
              <w:top w:val="single" w:sz="8" w:color="auto"/>
              <w:bottom w:val="single" w:sz="8" w:color="EAEAEA"/>
              <w:right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w w:val="89"/>
                <w:shd w:val="clear" w:color="auto" w:fill="EAEAEA"/>
              </w:rPr>
              <w:t>3/11/2020</w:t>
            </w:r>
          </w:p>
        </w:tc>
        <w:tc>
          <w:tcPr>
            <w:tcW w:w="4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EAEAEA"/>
            </w:tcBorders>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EAEAEA"/>
              <w:right w:val="single" w:sz="8" w:color="EAEAEA"/>
            </w:tcBorders>
            <w:shd w:val="clear" w:color="auto" w:fill="EAEAEA"/>
          </w:tcPr>
          <w:p>
            <w:pPr>
              <w:ind w:left="480"/>
              <w:spacing w:after="0"/>
              <w:rPr>
                <w:sz w:val="20"/>
                <w:szCs w:val="20"/>
                <w:color w:val="auto"/>
              </w:rPr>
            </w:pPr>
            <w:r>
              <w:rPr>
                <w:rFonts w:ascii="Arial" w:cs="Arial" w:eastAsia="Arial" w:hAnsi="Arial"/>
                <w:sz w:val="16"/>
                <w:szCs w:val="16"/>
                <w:color w:val="auto"/>
                <w:w w:val="99"/>
              </w:rPr>
              <w:t>—</w:t>
            </w:r>
          </w:p>
        </w:tc>
        <w:tc>
          <w:tcPr>
            <w:tcW w:w="1060" w:type="dxa"/>
            <w:vAlign w:val="bottom"/>
            <w:tcBorders>
              <w:top w:val="single" w:sz="8" w:color="auto"/>
              <w:right w:val="single" w:sz="8" w:color="EAEAEA"/>
            </w:tcBorders>
          </w:tcPr>
          <w:p>
            <w:pPr>
              <w:jc w:val="right"/>
              <w:ind w:right="18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EAEAEA"/>
            </w:tcBorders>
            <w:shd w:val="clear" w:color="auto" w:fill="EAEAEA"/>
          </w:tcPr>
          <w:p>
            <w:pPr>
              <w:spacing w:after="0"/>
              <w:rPr>
                <w:sz w:val="20"/>
                <w:szCs w:val="20"/>
                <w:color w:val="auto"/>
              </w:rPr>
            </w:pPr>
          </w:p>
        </w:tc>
        <w:tc>
          <w:tcPr>
            <w:tcW w:w="68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right w:val="single" w:sz="8" w:color="EAEAEA"/>
            </w:tcBorders>
          </w:tcPr>
          <w:p>
            <w:pPr>
              <w:jc w:val="right"/>
              <w:ind w:right="63"/>
              <w:spacing w:after="0"/>
              <w:rPr>
                <w:sz w:val="20"/>
                <w:szCs w:val="20"/>
                <w:color w:val="auto"/>
              </w:rPr>
            </w:pPr>
            <w:r>
              <w:rPr>
                <w:rFonts w:ascii="Arial" w:cs="Arial" w:eastAsia="Arial" w:hAnsi="Arial"/>
                <w:sz w:val="16"/>
                <w:szCs w:val="16"/>
                <w:color w:val="auto"/>
              </w:rPr>
              <w:t>27,368</w:t>
            </w:r>
          </w:p>
        </w:tc>
        <w:tc>
          <w:tcPr>
            <w:tcW w:w="74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54,736</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60" w:type="dxa"/>
            <w:vAlign w:val="bottom"/>
            <w:tcBorders>
              <w:top w:val="single" w:sz="8" w:color="auto"/>
              <w:bottom w:val="single" w:sz="8" w:color="EAEAEA"/>
              <w:right w:val="single" w:sz="8" w:color="EAEAEA"/>
            </w:tcBorders>
            <w:shd w:val="clear" w:color="auto" w:fill="EAEAEA"/>
          </w:tcPr>
          <w:p>
            <w:pPr>
              <w:ind w:left="460"/>
              <w:spacing w:after="0"/>
              <w:rPr>
                <w:sz w:val="20"/>
                <w:szCs w:val="20"/>
                <w:color w:val="auto"/>
              </w:rPr>
            </w:pPr>
            <w:r>
              <w:rPr>
                <w:rFonts w:ascii="Arial" w:cs="Arial" w:eastAsia="Arial" w:hAnsi="Arial"/>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4"/>
                <w:shd w:val="clear" w:color="auto" w:fill="EAEAEA"/>
              </w:rPr>
              <w:t>2,674,127</w:t>
            </w:r>
          </w:p>
        </w:tc>
        <w:tc>
          <w:tcPr>
            <w:tcW w:w="2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1"/>
                <w:shd w:val="clear" w:color="auto" w:fill="EAEAEA"/>
              </w:rPr>
              <w:t>(6)</w:t>
            </w:r>
          </w:p>
        </w:tc>
        <w:tc>
          <w:tcPr>
            <w:tcW w:w="0" w:type="dxa"/>
            <w:vAlign w:val="bottom"/>
          </w:tcPr>
          <w:p>
            <w:pPr>
              <w:spacing w:after="0"/>
              <w:rPr>
                <w:sz w:val="1"/>
                <w:szCs w:val="1"/>
                <w:color w:val="auto"/>
              </w:rPr>
            </w:pPr>
          </w:p>
        </w:tc>
      </w:tr>
      <w:tr>
        <w:trPr>
          <w:trHeight w:val="70"/>
        </w:trPr>
        <w:tc>
          <w:tcPr>
            <w:tcW w:w="1340" w:type="dxa"/>
            <w:vAlign w:val="bottom"/>
            <w:vMerge w:val="continue"/>
          </w:tcPr>
          <w:p>
            <w:pPr>
              <w:spacing w:after="0"/>
              <w:rPr>
                <w:sz w:val="6"/>
                <w:szCs w:val="6"/>
                <w:color w:val="auto"/>
              </w:rPr>
            </w:pPr>
          </w:p>
        </w:tc>
        <w:tc>
          <w:tcPr>
            <w:tcW w:w="80" w:type="dxa"/>
            <w:vAlign w:val="bottom"/>
            <w:tcBorders>
              <w:top w:val="single" w:sz="8" w:color="auto"/>
            </w:tcBorders>
            <w:shd w:val="clear" w:color="auto" w:fill="EAEAEA"/>
          </w:tcPr>
          <w:p>
            <w:pPr>
              <w:spacing w:after="0"/>
              <w:rPr>
                <w:sz w:val="6"/>
                <w:szCs w:val="6"/>
                <w:color w:val="auto"/>
              </w:rPr>
            </w:pPr>
          </w:p>
        </w:tc>
        <w:tc>
          <w:tcPr>
            <w:tcW w:w="700" w:type="dxa"/>
            <w:vAlign w:val="bottom"/>
            <w:tcBorders>
              <w:top w:val="single" w:sz="8" w:color="auto"/>
              <w:right w:val="single" w:sz="8" w:color="EAEAEA"/>
            </w:tcBorders>
            <w:vMerge w:val="restart"/>
            <w:shd w:val="clear" w:color="auto" w:fill="EAEAEA"/>
          </w:tcPr>
          <w:p>
            <w:pPr>
              <w:ind w:left="20"/>
              <w:spacing w:after="0"/>
              <w:rPr>
                <w:sz w:val="20"/>
                <w:szCs w:val="20"/>
                <w:color w:val="auto"/>
              </w:rPr>
            </w:pPr>
            <w:r>
              <w:rPr>
                <w:rFonts w:ascii="Arial" w:cs="Arial" w:eastAsia="Arial" w:hAnsi="Arial"/>
                <w:sz w:val="16"/>
                <w:szCs w:val="16"/>
                <w:color w:val="auto"/>
                <w:w w:val="89"/>
                <w:shd w:val="clear" w:color="auto" w:fill="EAEAEA"/>
              </w:rPr>
              <w:t>3/11/2020</w:t>
            </w:r>
          </w:p>
        </w:tc>
        <w:tc>
          <w:tcPr>
            <w:tcW w:w="40" w:type="dxa"/>
            <w:vAlign w:val="bottom"/>
            <w:tcBorders>
              <w:top w:val="single" w:sz="8" w:color="auto"/>
            </w:tcBorders>
          </w:tcPr>
          <w:p>
            <w:pPr>
              <w:spacing w:after="0"/>
              <w:rPr>
                <w:sz w:val="6"/>
                <w:szCs w:val="6"/>
                <w:color w:val="auto"/>
              </w:rPr>
            </w:pPr>
          </w:p>
        </w:tc>
        <w:tc>
          <w:tcPr>
            <w:tcW w:w="900" w:type="dxa"/>
            <w:vAlign w:val="bottom"/>
            <w:tcBorders>
              <w:top w:val="single" w:sz="8" w:color="auto"/>
              <w:right w:val="single" w:sz="8" w:color="EAEAEA"/>
            </w:tcBorders>
            <w:vMerge w:val="restart"/>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right w:val="single" w:sz="8" w:color="EAEAEA"/>
            </w:tcBorders>
            <w:vMerge w:val="restart"/>
            <w:shd w:val="clear" w:color="auto" w:fill="EAEAEA"/>
          </w:tcPr>
          <w:p>
            <w:pPr>
              <w:ind w:left="480"/>
              <w:spacing w:after="0"/>
              <w:rPr>
                <w:sz w:val="20"/>
                <w:szCs w:val="20"/>
                <w:color w:val="auto"/>
              </w:rPr>
            </w:pPr>
            <w:r>
              <w:rPr>
                <w:rFonts w:ascii="Arial" w:cs="Arial" w:eastAsia="Arial" w:hAnsi="Arial"/>
                <w:sz w:val="16"/>
                <w:szCs w:val="16"/>
                <w:color w:val="auto"/>
                <w:w w:val="99"/>
              </w:rPr>
              <w:t>—</w:t>
            </w:r>
          </w:p>
        </w:tc>
        <w:tc>
          <w:tcPr>
            <w:tcW w:w="1060" w:type="dxa"/>
            <w:vAlign w:val="bottom"/>
            <w:tcBorders>
              <w:top w:val="single" w:sz="8" w:color="auto"/>
              <w:right w:val="single" w:sz="8" w:color="EAEAEA"/>
            </w:tcBorders>
            <w:vMerge w:val="restart"/>
          </w:tcPr>
          <w:p>
            <w:pPr>
              <w:jc w:val="right"/>
              <w:ind w:right="18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shd w:val="clear" w:color="auto" w:fill="EAEAEA"/>
          </w:tcPr>
          <w:p>
            <w:pPr>
              <w:spacing w:after="0"/>
              <w:rPr>
                <w:sz w:val="6"/>
                <w:szCs w:val="6"/>
                <w:color w:val="auto"/>
              </w:rPr>
            </w:pPr>
          </w:p>
        </w:tc>
        <w:tc>
          <w:tcPr>
            <w:tcW w:w="680" w:type="dxa"/>
            <w:vAlign w:val="bottom"/>
            <w:tcBorders>
              <w:top w:val="single" w:sz="8" w:color="auto"/>
              <w:right w:val="single" w:sz="8" w:color="EAEAEA"/>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right w:val="single" w:sz="8" w:color="EAEAEA"/>
            </w:tcBorders>
            <w:vMerge w:val="restart"/>
          </w:tcPr>
          <w:p>
            <w:pPr>
              <w:jc w:val="right"/>
              <w:ind w:right="63"/>
              <w:spacing w:after="0"/>
              <w:rPr>
                <w:sz w:val="20"/>
                <w:szCs w:val="20"/>
                <w:color w:val="auto"/>
              </w:rPr>
            </w:pPr>
            <w:r>
              <w:rPr>
                <w:rFonts w:ascii="Arial" w:cs="Arial" w:eastAsia="Arial" w:hAnsi="Arial"/>
                <w:sz w:val="16"/>
                <w:szCs w:val="16"/>
                <w:color w:val="auto"/>
              </w:rPr>
              <w:t>27,368</w:t>
            </w:r>
          </w:p>
        </w:tc>
        <w:tc>
          <w:tcPr>
            <w:tcW w:w="740" w:type="dxa"/>
            <w:vAlign w:val="bottom"/>
            <w:tcBorders>
              <w:top w:val="single" w:sz="8" w:color="auto"/>
              <w:right w:val="single" w:sz="8" w:color="EAEAEA"/>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54,736</w:t>
            </w:r>
          </w:p>
        </w:tc>
        <w:tc>
          <w:tcPr>
            <w:tcW w:w="1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6"/>
                <w:szCs w:val="6"/>
                <w:color w:val="auto"/>
              </w:rPr>
            </w:pPr>
          </w:p>
        </w:tc>
        <w:tc>
          <w:tcPr>
            <w:tcW w:w="660" w:type="dxa"/>
            <w:vAlign w:val="bottom"/>
            <w:tcBorders>
              <w:top w:val="single" w:sz="8" w:color="auto"/>
              <w:right w:val="single" w:sz="8" w:color="EAEAEA"/>
            </w:tcBorders>
            <w:vMerge w:val="restart"/>
            <w:shd w:val="clear" w:color="auto" w:fill="EAEAEA"/>
          </w:tcPr>
          <w:p>
            <w:pPr>
              <w:ind w:left="460"/>
              <w:spacing w:after="0"/>
              <w:rPr>
                <w:sz w:val="20"/>
                <w:szCs w:val="20"/>
                <w:color w:val="auto"/>
              </w:rPr>
            </w:pPr>
            <w:r>
              <w:rPr>
                <w:rFonts w:ascii="Arial" w:cs="Arial" w:eastAsia="Arial" w:hAnsi="Arial"/>
                <w:sz w:val="16"/>
                <w:szCs w:val="16"/>
                <w:color w:val="auto"/>
                <w:w w:val="99"/>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6"/>
                <w:szCs w:val="6"/>
                <w:color w:val="auto"/>
              </w:rPr>
            </w:pPr>
          </w:p>
        </w:tc>
        <w:tc>
          <w:tcPr>
            <w:tcW w:w="640" w:type="dxa"/>
            <w:vAlign w:val="bottom"/>
            <w:tcBorders>
              <w:top w:val="single" w:sz="8" w:color="auto"/>
            </w:tcBorders>
            <w:vMerge w:val="restart"/>
            <w:shd w:val="clear" w:color="auto" w:fill="EAEAEA"/>
          </w:tcPr>
          <w:p>
            <w:pPr>
              <w:spacing w:after="0"/>
              <w:rPr>
                <w:sz w:val="20"/>
                <w:szCs w:val="20"/>
                <w:color w:val="auto"/>
              </w:rPr>
            </w:pPr>
            <w:r>
              <w:rPr>
                <w:rFonts w:ascii="Arial" w:cs="Arial" w:eastAsia="Arial" w:hAnsi="Arial"/>
                <w:sz w:val="16"/>
                <w:szCs w:val="16"/>
                <w:color w:val="auto"/>
                <w:w w:val="87"/>
                <w:shd w:val="clear" w:color="auto" w:fill="EAEAEA"/>
              </w:rPr>
              <w:t>2,415,936</w:t>
            </w:r>
          </w:p>
        </w:tc>
        <w:tc>
          <w:tcPr>
            <w:tcW w:w="24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91"/>
                <w:shd w:val="clear" w:color="auto" w:fill="EAEAEA"/>
              </w:rPr>
              <w:t>(6)</w:t>
            </w:r>
          </w:p>
        </w:tc>
        <w:tc>
          <w:tcPr>
            <w:tcW w:w="0" w:type="dxa"/>
            <w:vAlign w:val="bottom"/>
          </w:tcPr>
          <w:p>
            <w:pPr>
              <w:spacing w:after="0"/>
              <w:rPr>
                <w:sz w:val="1"/>
                <w:szCs w:val="1"/>
                <w:color w:val="auto"/>
              </w:rPr>
            </w:pPr>
          </w:p>
        </w:tc>
      </w:tr>
      <w:tr>
        <w:trPr>
          <w:trHeight w:val="170"/>
        </w:trPr>
        <w:tc>
          <w:tcPr>
            <w:tcW w:w="1340" w:type="dxa"/>
            <w:vAlign w:val="bottom"/>
          </w:tcPr>
          <w:p>
            <w:pPr>
              <w:ind w:left="60"/>
              <w:spacing w:after="0" w:line="170" w:lineRule="exact"/>
              <w:rPr>
                <w:sz w:val="20"/>
                <w:szCs w:val="20"/>
                <w:color w:val="auto"/>
              </w:rPr>
            </w:pPr>
            <w:r>
              <w:rPr>
                <w:rFonts w:ascii="Arial" w:cs="Arial" w:eastAsia="Arial" w:hAnsi="Arial"/>
                <w:sz w:val="16"/>
                <w:szCs w:val="16"/>
                <w:b w:val="1"/>
                <w:bCs w:val="1"/>
                <w:color w:val="0066BA"/>
              </w:rPr>
              <w:t>Roche</w:t>
            </w:r>
          </w:p>
        </w:tc>
        <w:tc>
          <w:tcPr>
            <w:tcW w:w="80" w:type="dxa"/>
            <w:vAlign w:val="bottom"/>
            <w:tcBorders>
              <w:bottom w:val="single" w:sz="8" w:color="EAEAEA"/>
            </w:tcBorders>
            <w:shd w:val="clear" w:color="auto" w:fill="EAEAEA"/>
          </w:tcPr>
          <w:p>
            <w:pPr>
              <w:spacing w:after="0"/>
              <w:rPr>
                <w:sz w:val="14"/>
                <w:szCs w:val="14"/>
                <w:color w:val="auto"/>
              </w:rPr>
            </w:pPr>
          </w:p>
        </w:tc>
        <w:tc>
          <w:tcPr>
            <w:tcW w:w="700" w:type="dxa"/>
            <w:vAlign w:val="bottom"/>
            <w:tcBorders>
              <w:bottom w:val="single" w:sz="8" w:color="EAEAEA"/>
              <w:right w:val="single" w:sz="8" w:color="EAEAEA"/>
            </w:tcBorders>
            <w:vMerge w:val="continue"/>
            <w:shd w:val="clear" w:color="auto" w:fill="EAEAEA"/>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right w:val="single" w:sz="8" w:color="EAEAEA"/>
            </w:tcBorders>
            <w:vMerge w:val="continue"/>
          </w:tcPr>
          <w:p>
            <w:pPr>
              <w:spacing w:after="0"/>
              <w:rPr>
                <w:sz w:val="14"/>
                <w:szCs w:val="14"/>
                <w:color w:val="auto"/>
              </w:rPr>
            </w:pPr>
          </w:p>
        </w:tc>
        <w:tc>
          <w:tcPr>
            <w:tcW w:w="680" w:type="dxa"/>
            <w:vAlign w:val="bottom"/>
            <w:tcBorders>
              <w:bottom w:val="single" w:sz="8" w:color="EAEAEA"/>
              <w:right w:val="single" w:sz="8" w:color="EAEAEA"/>
            </w:tcBorders>
            <w:vMerge w:val="continue"/>
            <w:shd w:val="clear" w:color="auto" w:fill="EAEAEA"/>
          </w:tcPr>
          <w:p>
            <w:pPr>
              <w:spacing w:after="0"/>
              <w:rPr>
                <w:sz w:val="14"/>
                <w:szCs w:val="14"/>
                <w:color w:val="auto"/>
              </w:rPr>
            </w:pPr>
          </w:p>
        </w:tc>
        <w:tc>
          <w:tcPr>
            <w:tcW w:w="1060" w:type="dxa"/>
            <w:vAlign w:val="bottom"/>
            <w:tcBorders>
              <w:right w:val="single" w:sz="8" w:color="EAEAEA"/>
            </w:tcBorders>
            <w:vMerge w:val="continue"/>
          </w:tcPr>
          <w:p>
            <w:pPr>
              <w:spacing w:after="0"/>
              <w:rPr>
                <w:sz w:val="14"/>
                <w:szCs w:val="14"/>
                <w:color w:val="auto"/>
              </w:rPr>
            </w:pPr>
          </w:p>
        </w:tc>
        <w:tc>
          <w:tcPr>
            <w:tcW w:w="140" w:type="dxa"/>
            <w:vAlign w:val="bottom"/>
            <w:tcBorders>
              <w:bottom w:val="single" w:sz="8" w:color="EAEAEA"/>
            </w:tcBorders>
            <w:shd w:val="clear" w:color="auto" w:fill="EAEAEA"/>
          </w:tcPr>
          <w:p>
            <w:pPr>
              <w:spacing w:after="0"/>
              <w:rPr>
                <w:sz w:val="14"/>
                <w:szCs w:val="14"/>
                <w:color w:val="auto"/>
              </w:rPr>
            </w:pPr>
          </w:p>
        </w:tc>
        <w:tc>
          <w:tcPr>
            <w:tcW w:w="680" w:type="dxa"/>
            <w:vAlign w:val="bottom"/>
            <w:tcBorders>
              <w:bottom w:val="single" w:sz="8" w:color="EAEAEA"/>
              <w:right w:val="single" w:sz="8" w:color="EAEAEA"/>
            </w:tcBorders>
            <w:vMerge w:val="continue"/>
            <w:shd w:val="clear" w:color="auto" w:fill="EAEAEA"/>
          </w:tcPr>
          <w:p>
            <w:pPr>
              <w:spacing w:after="0"/>
              <w:rPr>
                <w:sz w:val="14"/>
                <w:szCs w:val="14"/>
                <w:color w:val="auto"/>
              </w:rPr>
            </w:pPr>
          </w:p>
        </w:tc>
        <w:tc>
          <w:tcPr>
            <w:tcW w:w="740" w:type="dxa"/>
            <w:vAlign w:val="bottom"/>
            <w:tcBorders>
              <w:right w:val="single" w:sz="8" w:color="EAEAEA"/>
            </w:tcBorders>
            <w:vMerge w:val="continue"/>
          </w:tcPr>
          <w:p>
            <w:pPr>
              <w:spacing w:after="0"/>
              <w:rPr>
                <w:sz w:val="14"/>
                <w:szCs w:val="14"/>
                <w:color w:val="auto"/>
              </w:rPr>
            </w:pPr>
          </w:p>
        </w:tc>
        <w:tc>
          <w:tcPr>
            <w:tcW w:w="740" w:type="dxa"/>
            <w:vAlign w:val="bottom"/>
            <w:tcBorders>
              <w:bottom w:val="single" w:sz="8" w:color="EAEAEA"/>
              <w:right w:val="single" w:sz="8" w:color="EAEAEA"/>
            </w:tcBorders>
            <w:vMerge w:val="continue"/>
            <w:shd w:val="clear" w:color="auto" w:fill="EAEAEA"/>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Borders>
              <w:bottom w:val="single" w:sz="8" w:color="EAEAEA"/>
            </w:tcBorders>
            <w:shd w:val="clear" w:color="auto" w:fill="EAEAEA"/>
          </w:tcPr>
          <w:p>
            <w:pPr>
              <w:spacing w:after="0"/>
              <w:rPr>
                <w:sz w:val="14"/>
                <w:szCs w:val="14"/>
                <w:color w:val="auto"/>
              </w:rPr>
            </w:pPr>
          </w:p>
        </w:tc>
        <w:tc>
          <w:tcPr>
            <w:tcW w:w="660" w:type="dxa"/>
            <w:vAlign w:val="bottom"/>
            <w:tcBorders>
              <w:bottom w:val="single" w:sz="8" w:color="EAEAEA"/>
              <w:right w:val="single" w:sz="8" w:color="EAEAEA"/>
            </w:tcBorders>
            <w:vMerge w:val="continue"/>
            <w:shd w:val="clear" w:color="auto" w:fill="EAEAEA"/>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Borders>
              <w:bottom w:val="single" w:sz="8" w:color="EAEAEA"/>
            </w:tcBorders>
            <w:shd w:val="clear" w:color="auto" w:fill="EAEAEA"/>
          </w:tcPr>
          <w:p>
            <w:pPr>
              <w:spacing w:after="0"/>
              <w:rPr>
                <w:sz w:val="14"/>
                <w:szCs w:val="14"/>
                <w:color w:val="auto"/>
              </w:rPr>
            </w:pPr>
          </w:p>
        </w:tc>
        <w:tc>
          <w:tcPr>
            <w:tcW w:w="640" w:type="dxa"/>
            <w:vAlign w:val="bottom"/>
            <w:tcBorders>
              <w:bottom w:val="single" w:sz="8" w:color="EAEAEA"/>
            </w:tcBorders>
            <w:vMerge w:val="continue"/>
            <w:shd w:val="clear" w:color="auto" w:fill="EAEAEA"/>
          </w:tcPr>
          <w:p>
            <w:pPr>
              <w:spacing w:after="0"/>
              <w:rPr>
                <w:sz w:val="14"/>
                <w:szCs w:val="14"/>
                <w:color w:val="auto"/>
              </w:rPr>
            </w:pPr>
          </w:p>
        </w:tc>
        <w:tc>
          <w:tcPr>
            <w:tcW w:w="240" w:type="dxa"/>
            <w:vAlign w:val="bottom"/>
            <w:tcBorders>
              <w:bottom w:val="single" w:sz="8" w:color="EAEAEA"/>
            </w:tcBorders>
            <w:vMerge w:val="continue"/>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340" w:type="dxa"/>
            <w:vAlign w:val="bottom"/>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700" w:type="dxa"/>
            <w:vAlign w:val="bottom"/>
            <w:tcBorders>
              <w:top w:val="single" w:sz="8" w:color="auto"/>
              <w:bottom w:val="single" w:sz="8" w:color="EAEAEA"/>
              <w:right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w w:val="89"/>
              </w:rPr>
              <w:t>3/11/2020</w:t>
            </w:r>
          </w:p>
        </w:tc>
        <w:tc>
          <w:tcPr>
            <w:tcW w:w="4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EAEAEA"/>
            </w:tcBorders>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EAEAEA"/>
              <w:right w:val="single" w:sz="8" w:color="EAEAEA"/>
            </w:tcBorders>
            <w:shd w:val="clear" w:color="auto" w:fill="EAEAEA"/>
          </w:tcPr>
          <w:p>
            <w:pPr>
              <w:ind w:left="480"/>
              <w:spacing w:after="0"/>
              <w:rPr>
                <w:sz w:val="20"/>
                <w:szCs w:val="20"/>
                <w:color w:val="auto"/>
              </w:rPr>
            </w:pPr>
            <w:r>
              <w:rPr>
                <w:rFonts w:ascii="Arial" w:cs="Arial" w:eastAsia="Arial" w:hAnsi="Arial"/>
                <w:sz w:val="16"/>
                <w:szCs w:val="16"/>
                <w:color w:val="auto"/>
                <w:w w:val="99"/>
              </w:rPr>
              <w:t>—</w:t>
            </w:r>
          </w:p>
        </w:tc>
        <w:tc>
          <w:tcPr>
            <w:tcW w:w="1060" w:type="dxa"/>
            <w:vAlign w:val="bottom"/>
            <w:tcBorders>
              <w:top w:val="single" w:sz="8" w:color="auto"/>
              <w:right w:val="single" w:sz="8" w:color="EAEAEA"/>
            </w:tcBorders>
          </w:tcPr>
          <w:p>
            <w:pPr>
              <w:jc w:val="right"/>
              <w:ind w:right="18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EAEAEA"/>
            </w:tcBorders>
            <w:shd w:val="clear" w:color="auto" w:fill="EAEAEA"/>
          </w:tcPr>
          <w:p>
            <w:pPr>
              <w:spacing w:after="0"/>
              <w:rPr>
                <w:sz w:val="20"/>
                <w:szCs w:val="20"/>
                <w:color w:val="auto"/>
              </w:rPr>
            </w:pPr>
          </w:p>
        </w:tc>
        <w:tc>
          <w:tcPr>
            <w:tcW w:w="68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right w:val="single" w:sz="8" w:color="EAEAEA"/>
            </w:tcBorders>
          </w:tcPr>
          <w:p>
            <w:pPr>
              <w:jc w:val="right"/>
              <w:ind w:right="63"/>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27,368</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60" w:type="dxa"/>
            <w:vAlign w:val="bottom"/>
            <w:tcBorders>
              <w:top w:val="single" w:sz="8" w:color="auto"/>
              <w:bottom w:val="single" w:sz="8" w:color="EAEAEA"/>
              <w:right w:val="single" w:sz="8" w:color="EAEAEA"/>
            </w:tcBorders>
            <w:shd w:val="clear" w:color="auto" w:fill="EAEAEA"/>
          </w:tcPr>
          <w:p>
            <w:pPr>
              <w:ind w:left="460"/>
              <w:spacing w:after="0"/>
              <w:rPr>
                <w:sz w:val="20"/>
                <w:szCs w:val="20"/>
                <w:color w:val="auto"/>
              </w:rPr>
            </w:pPr>
            <w:r>
              <w:rPr>
                <w:rFonts w:ascii="Arial" w:cs="Arial" w:eastAsia="Arial" w:hAnsi="Arial"/>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40" w:type="dxa"/>
            <w:vAlign w:val="bottom"/>
            <w:tcBorders>
              <w:top w:val="single" w:sz="8" w:color="auto"/>
              <w:bottom w:val="single" w:sz="8" w:color="EAEAEA"/>
            </w:tcBorders>
            <w:shd w:val="clear" w:color="auto" w:fill="EAEAEA"/>
          </w:tcPr>
          <w:p>
            <w:pPr>
              <w:spacing w:after="0"/>
              <w:rPr>
                <w:sz w:val="20"/>
                <w:szCs w:val="20"/>
                <w:color w:val="auto"/>
              </w:rPr>
            </w:pPr>
            <w:r>
              <w:rPr>
                <w:rFonts w:ascii="Arial" w:cs="Arial" w:eastAsia="Arial" w:hAnsi="Arial"/>
                <w:sz w:val="16"/>
                <w:szCs w:val="16"/>
                <w:color w:val="auto"/>
                <w:w w:val="87"/>
              </w:rPr>
              <w:t>2,415,936</w:t>
            </w:r>
          </w:p>
        </w:tc>
        <w:tc>
          <w:tcPr>
            <w:tcW w:w="2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1"/>
              </w:rPr>
              <w:t>(7)</w:t>
            </w:r>
          </w:p>
        </w:tc>
        <w:tc>
          <w:tcPr>
            <w:tcW w:w="0" w:type="dxa"/>
            <w:vAlign w:val="bottom"/>
          </w:tcPr>
          <w:p>
            <w:pPr>
              <w:spacing w:after="0"/>
              <w:rPr>
                <w:sz w:val="1"/>
                <w:szCs w:val="1"/>
                <w:color w:val="auto"/>
              </w:rPr>
            </w:pPr>
          </w:p>
        </w:tc>
      </w:tr>
      <w:tr>
        <w:trPr>
          <w:trHeight w:val="240"/>
        </w:trPr>
        <w:tc>
          <w:tcPr>
            <w:tcW w:w="1340" w:type="dxa"/>
            <w:vAlign w:val="bottom"/>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700" w:type="dxa"/>
            <w:vAlign w:val="bottom"/>
            <w:tcBorders>
              <w:top w:val="single" w:sz="8" w:color="auto"/>
              <w:bottom w:val="single" w:sz="8" w:color="EAEAEA"/>
              <w:right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w w:val="89"/>
              </w:rPr>
              <w:t>3/11/2020</w:t>
            </w:r>
          </w:p>
        </w:tc>
        <w:tc>
          <w:tcPr>
            <w:tcW w:w="4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EAEAEA"/>
            </w:tcBorders>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EAEAEA"/>
              <w:right w:val="single" w:sz="8" w:color="EAEAEA"/>
            </w:tcBorders>
            <w:shd w:val="clear" w:color="auto" w:fill="EAEAEA"/>
          </w:tcPr>
          <w:p>
            <w:pPr>
              <w:ind w:left="480"/>
              <w:spacing w:after="0"/>
              <w:rPr>
                <w:sz w:val="20"/>
                <w:szCs w:val="20"/>
                <w:color w:val="auto"/>
              </w:rPr>
            </w:pPr>
            <w:r>
              <w:rPr>
                <w:rFonts w:ascii="Arial" w:cs="Arial" w:eastAsia="Arial" w:hAnsi="Arial"/>
                <w:sz w:val="16"/>
                <w:szCs w:val="16"/>
                <w:color w:val="auto"/>
                <w:w w:val="99"/>
              </w:rPr>
              <w:t>—</w:t>
            </w:r>
          </w:p>
        </w:tc>
        <w:tc>
          <w:tcPr>
            <w:tcW w:w="1060" w:type="dxa"/>
            <w:vAlign w:val="bottom"/>
            <w:tcBorders>
              <w:top w:val="single" w:sz="8" w:color="auto"/>
              <w:right w:val="single" w:sz="8" w:color="EAEAEA"/>
            </w:tcBorders>
          </w:tcPr>
          <w:p>
            <w:pPr>
              <w:jc w:val="right"/>
              <w:ind w:right="18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EAEAEA"/>
            </w:tcBorders>
            <w:shd w:val="clear" w:color="auto" w:fill="EAEAEA"/>
          </w:tcPr>
          <w:p>
            <w:pPr>
              <w:spacing w:after="0"/>
              <w:rPr>
                <w:sz w:val="20"/>
                <w:szCs w:val="20"/>
                <w:color w:val="auto"/>
              </w:rPr>
            </w:pPr>
          </w:p>
        </w:tc>
        <w:tc>
          <w:tcPr>
            <w:tcW w:w="68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right w:val="single" w:sz="8" w:color="EAEAEA"/>
            </w:tcBorders>
          </w:tcPr>
          <w:p>
            <w:pPr>
              <w:jc w:val="right"/>
              <w:ind w:right="63"/>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6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134,620</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94.41</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40" w:type="dxa"/>
            <w:vAlign w:val="bottom"/>
            <w:tcBorders>
              <w:top w:val="single" w:sz="8" w:color="auto"/>
              <w:bottom w:val="single" w:sz="8" w:color="EAEAEA"/>
            </w:tcBorders>
            <w:shd w:val="clear" w:color="auto" w:fill="EAEAEA"/>
          </w:tcPr>
          <w:p>
            <w:pPr>
              <w:spacing w:after="0"/>
              <w:rPr>
                <w:sz w:val="20"/>
                <w:szCs w:val="20"/>
                <w:color w:val="auto"/>
              </w:rPr>
            </w:pPr>
            <w:r>
              <w:rPr>
                <w:rFonts w:ascii="Arial" w:cs="Arial" w:eastAsia="Arial" w:hAnsi="Arial"/>
                <w:sz w:val="16"/>
                <w:szCs w:val="16"/>
                <w:color w:val="auto"/>
                <w:w w:val="87"/>
              </w:rPr>
              <w:t>2,484,988</w:t>
            </w:r>
          </w:p>
        </w:tc>
        <w:tc>
          <w:tcPr>
            <w:tcW w:w="2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1"/>
              </w:rPr>
              <w:t>(8)</w:t>
            </w:r>
          </w:p>
        </w:tc>
        <w:tc>
          <w:tcPr>
            <w:tcW w:w="0" w:type="dxa"/>
            <w:vAlign w:val="bottom"/>
          </w:tcPr>
          <w:p>
            <w:pPr>
              <w:spacing w:after="0"/>
              <w:rPr>
                <w:sz w:val="1"/>
                <w:szCs w:val="1"/>
                <w:color w:val="auto"/>
              </w:rPr>
            </w:pPr>
          </w:p>
        </w:tc>
      </w:tr>
      <w:tr>
        <w:trPr>
          <w:trHeight w:val="253"/>
        </w:trPr>
        <w:tc>
          <w:tcPr>
            <w:tcW w:w="1340" w:type="dxa"/>
            <w:vAlign w:val="bottom"/>
            <w:tcBorders>
              <w:top w:val="single" w:sz="8" w:color="0066BA"/>
            </w:tcBorders>
          </w:tcPr>
          <w:p>
            <w:pPr>
              <w:spacing w:after="0"/>
              <w:rPr>
                <w:sz w:val="22"/>
                <w:szCs w:val="22"/>
                <w:color w:val="auto"/>
              </w:rPr>
            </w:pP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700" w:type="dxa"/>
            <w:vAlign w:val="bottom"/>
            <w:tcBorders>
              <w:top w:val="single" w:sz="8" w:color="0066BA"/>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N/A</w:t>
            </w:r>
          </w:p>
        </w:tc>
        <w:tc>
          <w:tcPr>
            <w:tcW w:w="40" w:type="dxa"/>
            <w:vAlign w:val="bottom"/>
            <w:tcBorders>
              <w:top w:val="single" w:sz="8" w:color="0066BA"/>
            </w:tcBorders>
          </w:tcPr>
          <w:p>
            <w:pPr>
              <w:spacing w:after="0"/>
              <w:rPr>
                <w:sz w:val="22"/>
                <w:szCs w:val="22"/>
                <w:color w:val="auto"/>
              </w:rPr>
            </w:pPr>
          </w:p>
        </w:tc>
        <w:tc>
          <w:tcPr>
            <w:tcW w:w="900" w:type="dxa"/>
            <w:vAlign w:val="bottom"/>
            <w:tcBorders>
              <w:top w:val="single" w:sz="8" w:color="0066BA"/>
              <w:right w:val="single" w:sz="8" w:color="EAEAEA"/>
            </w:tcBorders>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0066BA"/>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575,000</w:t>
            </w:r>
          </w:p>
        </w:tc>
        <w:tc>
          <w:tcPr>
            <w:tcW w:w="1060" w:type="dxa"/>
            <w:vAlign w:val="bottom"/>
            <w:tcBorders>
              <w:top w:val="single" w:sz="8" w:color="0066BA"/>
              <w:right w:val="single" w:sz="8" w:color="EAEAEA"/>
            </w:tcBorders>
          </w:tcPr>
          <w:p>
            <w:pPr>
              <w:jc w:val="right"/>
              <w:ind w:right="183"/>
              <w:spacing w:after="0"/>
              <w:rPr>
                <w:sz w:val="20"/>
                <w:szCs w:val="20"/>
                <w:color w:val="auto"/>
              </w:rPr>
            </w:pPr>
            <w:r>
              <w:rPr>
                <w:rFonts w:ascii="Arial" w:cs="Arial" w:eastAsia="Arial" w:hAnsi="Arial"/>
                <w:sz w:val="16"/>
                <w:szCs w:val="16"/>
                <w:color w:val="auto"/>
              </w:rPr>
              <w:t>1,725,000</w:t>
            </w:r>
          </w:p>
        </w:tc>
        <w:tc>
          <w:tcPr>
            <w:tcW w:w="140" w:type="dxa"/>
            <w:vAlign w:val="bottom"/>
            <w:tcBorders>
              <w:top w:val="single" w:sz="8" w:color="0066BA"/>
              <w:bottom w:val="single" w:sz="8" w:color="EAEAEA"/>
            </w:tcBorders>
            <w:shd w:val="clear" w:color="auto" w:fill="EAEAEA"/>
          </w:tcPr>
          <w:p>
            <w:pPr>
              <w:spacing w:after="0"/>
              <w:rPr>
                <w:sz w:val="22"/>
                <w:szCs w:val="22"/>
                <w:color w:val="auto"/>
              </w:rPr>
            </w:pPr>
          </w:p>
        </w:tc>
        <w:tc>
          <w:tcPr>
            <w:tcW w:w="680" w:type="dxa"/>
            <w:vAlign w:val="bottom"/>
            <w:tcBorders>
              <w:top w:val="single" w:sz="8" w:color="0066BA"/>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0066BA"/>
              <w:right w:val="single" w:sz="8" w:color="EAEAEA"/>
            </w:tcBorders>
          </w:tcPr>
          <w:p>
            <w:pPr>
              <w:jc w:val="right"/>
              <w:ind w:right="63"/>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0066BA"/>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0066BA"/>
            </w:tcBorders>
          </w:tcPr>
          <w:p>
            <w:pPr>
              <w:spacing w:after="0"/>
              <w:rPr>
                <w:sz w:val="22"/>
                <w:szCs w:val="22"/>
                <w:color w:val="auto"/>
              </w:rPr>
            </w:pPr>
          </w:p>
        </w:tc>
        <w:tc>
          <w:tcPr>
            <w:tcW w:w="70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660" w:type="dxa"/>
            <w:vAlign w:val="bottom"/>
            <w:tcBorders>
              <w:top w:val="single" w:sz="8" w:color="0066BA"/>
              <w:bottom w:val="single" w:sz="8" w:color="EAEAEA"/>
              <w:right w:val="single" w:sz="8" w:color="EAEAEA"/>
            </w:tcBorders>
            <w:shd w:val="clear" w:color="auto" w:fill="EAEAEA"/>
          </w:tcPr>
          <w:p>
            <w:pPr>
              <w:ind w:left="460"/>
              <w:spacing w:after="0"/>
              <w:rPr>
                <w:sz w:val="20"/>
                <w:szCs w:val="20"/>
                <w:color w:val="auto"/>
              </w:rPr>
            </w:pPr>
            <w:r>
              <w:rPr>
                <w:rFonts w:ascii="Arial" w:cs="Arial" w:eastAsia="Arial" w:hAnsi="Arial"/>
                <w:sz w:val="16"/>
                <w:szCs w:val="16"/>
                <w:color w:val="auto"/>
                <w:w w:val="99"/>
              </w:rPr>
              <w:t>—</w:t>
            </w:r>
          </w:p>
        </w:tc>
        <w:tc>
          <w:tcPr>
            <w:tcW w:w="60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64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0066BA"/>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340" w:type="dxa"/>
            <w:vAlign w:val="bottom"/>
          </w:tcPr>
          <w:p>
            <w:pPr>
              <w:ind w:left="60"/>
              <w:spacing w:after="0"/>
              <w:rPr>
                <w:sz w:val="20"/>
                <w:szCs w:val="20"/>
                <w:color w:val="auto"/>
              </w:rPr>
            </w:pPr>
            <w:r>
              <w:rPr>
                <w:rFonts w:ascii="Arial" w:cs="Arial" w:eastAsia="Arial" w:hAnsi="Arial"/>
                <w:sz w:val="16"/>
                <w:szCs w:val="16"/>
                <w:b w:val="1"/>
                <w:bCs w:val="1"/>
                <w:color w:val="0066BA"/>
              </w:rPr>
              <w:t>Prashanth</w:t>
            </w:r>
          </w:p>
        </w:tc>
        <w:tc>
          <w:tcPr>
            <w:tcW w:w="80" w:type="dxa"/>
            <w:vAlign w:val="bottom"/>
            <w:tcBorders>
              <w:top w:val="single" w:sz="8" w:color="auto"/>
              <w:bottom w:val="single" w:sz="8" w:color="auto"/>
            </w:tcBorders>
            <w:shd w:val="clear" w:color="auto" w:fill="EAEAEA"/>
          </w:tcPr>
          <w:p>
            <w:pPr>
              <w:spacing w:after="0"/>
              <w:rPr>
                <w:sz w:val="20"/>
                <w:szCs w:val="20"/>
                <w:color w:val="auto"/>
              </w:rPr>
            </w:pPr>
          </w:p>
        </w:tc>
        <w:tc>
          <w:tcPr>
            <w:tcW w:w="700" w:type="dxa"/>
            <w:vAlign w:val="bottom"/>
            <w:tcBorders>
              <w:top w:val="single" w:sz="8" w:color="auto"/>
              <w:bottom w:val="single" w:sz="8" w:color="auto"/>
              <w:right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w w:val="89"/>
                <w:shd w:val="clear" w:color="auto" w:fill="EAEAEA"/>
              </w:rPr>
              <w:t>3/11/2020</w:t>
            </w:r>
          </w:p>
        </w:tc>
        <w:tc>
          <w:tcPr>
            <w:tcW w:w="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right w:val="single" w:sz="8" w:color="EAEAEA"/>
            </w:tcBorders>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right w:val="single" w:sz="8" w:color="EAEAEA"/>
            </w:tcBorders>
            <w:shd w:val="clear" w:color="auto" w:fill="EAEAEA"/>
          </w:tcPr>
          <w:p>
            <w:pPr>
              <w:ind w:left="480"/>
              <w:spacing w:after="0"/>
              <w:rPr>
                <w:sz w:val="20"/>
                <w:szCs w:val="20"/>
                <w:color w:val="auto"/>
              </w:rPr>
            </w:pPr>
            <w:r>
              <w:rPr>
                <w:rFonts w:ascii="Arial" w:cs="Arial" w:eastAsia="Arial" w:hAnsi="Arial"/>
                <w:sz w:val="16"/>
                <w:szCs w:val="16"/>
                <w:color w:val="auto"/>
                <w:w w:val="99"/>
              </w:rPr>
              <w:t>—</w:t>
            </w:r>
          </w:p>
        </w:tc>
        <w:tc>
          <w:tcPr>
            <w:tcW w:w="1060" w:type="dxa"/>
            <w:vAlign w:val="bottom"/>
            <w:tcBorders>
              <w:top w:val="single" w:sz="8" w:color="auto"/>
              <w:bottom w:val="single" w:sz="8" w:color="auto"/>
              <w:right w:val="single" w:sz="8" w:color="EAEAEA"/>
            </w:tcBorders>
          </w:tcPr>
          <w:p>
            <w:pPr>
              <w:jc w:val="right"/>
              <w:ind w:right="18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auto"/>
            </w:tcBorders>
            <w:shd w:val="clear" w:color="auto" w:fill="EAEAEA"/>
          </w:tcPr>
          <w:p>
            <w:pPr>
              <w:spacing w:after="0"/>
              <w:rPr>
                <w:sz w:val="20"/>
                <w:szCs w:val="20"/>
                <w:color w:val="auto"/>
              </w:rPr>
            </w:pPr>
          </w:p>
        </w:tc>
        <w:tc>
          <w:tcPr>
            <w:tcW w:w="680" w:type="dxa"/>
            <w:vAlign w:val="bottom"/>
            <w:tcBorders>
              <w:top w:val="single" w:sz="8" w:color="auto"/>
              <w:bottom w:val="single" w:sz="8" w:color="auto"/>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right w:val="single" w:sz="8" w:color="EAEAEA"/>
            </w:tcBorders>
          </w:tcPr>
          <w:p>
            <w:pPr>
              <w:jc w:val="right"/>
              <w:ind w:right="63"/>
              <w:spacing w:after="0"/>
              <w:rPr>
                <w:sz w:val="20"/>
                <w:szCs w:val="20"/>
                <w:color w:val="auto"/>
              </w:rPr>
            </w:pPr>
            <w:r>
              <w:rPr>
                <w:rFonts w:ascii="Arial" w:cs="Arial" w:eastAsia="Arial" w:hAnsi="Arial"/>
                <w:sz w:val="16"/>
                <w:szCs w:val="16"/>
                <w:color w:val="auto"/>
              </w:rPr>
              <w:t>7,116</w:t>
            </w:r>
          </w:p>
        </w:tc>
        <w:tc>
          <w:tcPr>
            <w:tcW w:w="740" w:type="dxa"/>
            <w:vAlign w:val="bottom"/>
            <w:tcBorders>
              <w:top w:val="single" w:sz="8" w:color="auto"/>
              <w:bottom w:val="single" w:sz="8" w:color="auto"/>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14,232</w:t>
            </w: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20"/>
                <w:szCs w:val="20"/>
                <w:color w:val="auto"/>
              </w:rPr>
            </w:pPr>
          </w:p>
        </w:tc>
        <w:tc>
          <w:tcPr>
            <w:tcW w:w="660" w:type="dxa"/>
            <w:vAlign w:val="bottom"/>
            <w:tcBorders>
              <w:top w:val="single" w:sz="8" w:color="auto"/>
              <w:bottom w:val="single" w:sz="8" w:color="auto"/>
              <w:right w:val="single" w:sz="8" w:color="EAEAEA"/>
            </w:tcBorders>
            <w:shd w:val="clear" w:color="auto" w:fill="EAEAEA"/>
          </w:tcPr>
          <w:p>
            <w:pPr>
              <w:ind w:left="460"/>
              <w:spacing w:after="0"/>
              <w:rPr>
                <w:sz w:val="20"/>
                <w:szCs w:val="20"/>
                <w:color w:val="auto"/>
              </w:rPr>
            </w:pPr>
            <w:r>
              <w:rPr>
                <w:rFonts w:ascii="Arial" w:cs="Arial" w:eastAsia="Arial" w:hAnsi="Arial"/>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20"/>
                <w:szCs w:val="20"/>
                <w:color w:val="auto"/>
              </w:rPr>
            </w:pPr>
          </w:p>
        </w:tc>
        <w:tc>
          <w:tcPr>
            <w:tcW w:w="640" w:type="dxa"/>
            <w:vAlign w:val="bottom"/>
            <w:tcBorders>
              <w:top w:val="single" w:sz="8" w:color="auto"/>
              <w:bottom w:val="single" w:sz="8" w:color="auto"/>
            </w:tcBorders>
            <w:shd w:val="clear" w:color="auto" w:fill="EAEAEA"/>
          </w:tcPr>
          <w:p>
            <w:pPr>
              <w:ind w:left="120"/>
              <w:spacing w:after="0"/>
              <w:rPr>
                <w:sz w:val="20"/>
                <w:szCs w:val="20"/>
                <w:color w:val="auto"/>
              </w:rPr>
            </w:pPr>
            <w:r>
              <w:rPr>
                <w:rFonts w:ascii="Arial" w:cs="Arial" w:eastAsia="Arial" w:hAnsi="Arial"/>
                <w:sz w:val="16"/>
                <w:szCs w:val="16"/>
                <w:color w:val="auto"/>
                <w:w w:val="86"/>
              </w:rPr>
              <w:t>695,304</w:t>
            </w:r>
          </w:p>
        </w:tc>
        <w:tc>
          <w:tcPr>
            <w:tcW w:w="2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167"/>
        </w:trPr>
        <w:tc>
          <w:tcPr>
            <w:tcW w:w="1340" w:type="dxa"/>
            <w:vAlign w:val="bottom"/>
          </w:tcPr>
          <w:p>
            <w:pPr>
              <w:ind w:left="60"/>
              <w:spacing w:after="0" w:line="168" w:lineRule="exact"/>
              <w:rPr>
                <w:sz w:val="20"/>
                <w:szCs w:val="20"/>
                <w:color w:val="auto"/>
              </w:rPr>
            </w:pPr>
            <w:r>
              <w:rPr>
                <w:rFonts w:ascii="Arial" w:cs="Arial" w:eastAsia="Arial" w:hAnsi="Arial"/>
                <w:sz w:val="16"/>
                <w:szCs w:val="16"/>
                <w:b w:val="1"/>
                <w:bCs w:val="1"/>
                <w:color w:val="0066BA"/>
              </w:rPr>
              <w:t>Mahendra-</w:t>
            </w:r>
          </w:p>
        </w:tc>
        <w:tc>
          <w:tcPr>
            <w:tcW w:w="80" w:type="dxa"/>
            <w:vAlign w:val="bottom"/>
            <w:shd w:val="clear" w:color="auto" w:fill="EAEAEA"/>
          </w:tcPr>
          <w:p>
            <w:pPr>
              <w:spacing w:after="0"/>
              <w:rPr>
                <w:sz w:val="14"/>
                <w:szCs w:val="14"/>
                <w:color w:val="auto"/>
              </w:rPr>
            </w:pPr>
          </w:p>
        </w:tc>
        <w:tc>
          <w:tcPr>
            <w:tcW w:w="700" w:type="dxa"/>
            <w:vAlign w:val="bottom"/>
            <w:tcBorders>
              <w:right w:val="single" w:sz="8" w:color="EAEAEA"/>
            </w:tcBorders>
            <w:shd w:val="clear" w:color="auto" w:fill="EAEAEA"/>
          </w:tcPr>
          <w:p>
            <w:pPr>
              <w:ind w:left="20"/>
              <w:spacing w:after="0" w:line="168" w:lineRule="exact"/>
              <w:rPr>
                <w:sz w:val="20"/>
                <w:szCs w:val="20"/>
                <w:color w:val="auto"/>
              </w:rPr>
            </w:pPr>
            <w:r>
              <w:rPr>
                <w:rFonts w:ascii="Arial" w:cs="Arial" w:eastAsia="Arial" w:hAnsi="Arial"/>
                <w:sz w:val="16"/>
                <w:szCs w:val="16"/>
                <w:color w:val="auto"/>
                <w:w w:val="89"/>
                <w:shd w:val="clear" w:color="auto" w:fill="EAEAEA"/>
              </w:rPr>
              <w:t>3/11/2020</w:t>
            </w:r>
          </w:p>
        </w:tc>
        <w:tc>
          <w:tcPr>
            <w:tcW w:w="40" w:type="dxa"/>
            <w:vAlign w:val="bottom"/>
          </w:tcPr>
          <w:p>
            <w:pPr>
              <w:spacing w:after="0"/>
              <w:rPr>
                <w:sz w:val="14"/>
                <w:szCs w:val="14"/>
                <w:color w:val="auto"/>
              </w:rPr>
            </w:pPr>
          </w:p>
        </w:tc>
        <w:tc>
          <w:tcPr>
            <w:tcW w:w="900" w:type="dxa"/>
            <w:vAlign w:val="bottom"/>
            <w:tcBorders>
              <w:right w:val="single" w:sz="8" w:color="EAEAEA"/>
            </w:tcBorders>
          </w:tcPr>
          <w:p>
            <w:pPr>
              <w:ind w:left="620"/>
              <w:spacing w:after="0" w:line="168" w:lineRule="exact"/>
              <w:rPr>
                <w:sz w:val="20"/>
                <w:szCs w:val="20"/>
                <w:color w:val="auto"/>
              </w:rPr>
            </w:pPr>
            <w:r>
              <w:rPr>
                <w:rFonts w:ascii="Arial" w:cs="Arial" w:eastAsia="Arial" w:hAnsi="Arial"/>
                <w:sz w:val="16"/>
                <w:szCs w:val="16"/>
                <w:color w:val="auto"/>
              </w:rPr>
              <w:t>—</w:t>
            </w:r>
          </w:p>
        </w:tc>
        <w:tc>
          <w:tcPr>
            <w:tcW w:w="680" w:type="dxa"/>
            <w:vAlign w:val="bottom"/>
            <w:tcBorders>
              <w:right w:val="single" w:sz="8" w:color="EAEAEA"/>
            </w:tcBorders>
            <w:shd w:val="clear" w:color="auto" w:fill="EAEAEA"/>
          </w:tcPr>
          <w:p>
            <w:pPr>
              <w:ind w:left="480"/>
              <w:spacing w:after="0" w:line="168" w:lineRule="exact"/>
              <w:rPr>
                <w:sz w:val="20"/>
                <w:szCs w:val="20"/>
                <w:color w:val="auto"/>
              </w:rPr>
            </w:pPr>
            <w:r>
              <w:rPr>
                <w:rFonts w:ascii="Arial" w:cs="Arial" w:eastAsia="Arial" w:hAnsi="Arial"/>
                <w:sz w:val="16"/>
                <w:szCs w:val="16"/>
                <w:color w:val="auto"/>
                <w:w w:val="99"/>
              </w:rPr>
              <w:t>—</w:t>
            </w:r>
          </w:p>
        </w:tc>
        <w:tc>
          <w:tcPr>
            <w:tcW w:w="1060" w:type="dxa"/>
            <w:vAlign w:val="bottom"/>
            <w:tcBorders>
              <w:right w:val="single" w:sz="8" w:color="EAEAEA"/>
            </w:tcBorders>
          </w:tcPr>
          <w:p>
            <w:pPr>
              <w:jc w:val="right"/>
              <w:ind w:right="183"/>
              <w:spacing w:after="0" w:line="168" w:lineRule="exact"/>
              <w:rPr>
                <w:sz w:val="20"/>
                <w:szCs w:val="20"/>
                <w:color w:val="auto"/>
              </w:rPr>
            </w:pPr>
            <w:r>
              <w:rPr>
                <w:rFonts w:ascii="Arial" w:cs="Arial" w:eastAsia="Arial" w:hAnsi="Arial"/>
                <w:sz w:val="16"/>
                <w:szCs w:val="16"/>
                <w:color w:val="auto"/>
              </w:rPr>
              <w:t>—</w:t>
            </w:r>
          </w:p>
        </w:tc>
        <w:tc>
          <w:tcPr>
            <w:tcW w:w="140" w:type="dxa"/>
            <w:vAlign w:val="bottom"/>
            <w:shd w:val="clear" w:color="auto" w:fill="EAEAEA"/>
          </w:tcPr>
          <w:p>
            <w:pPr>
              <w:spacing w:after="0"/>
              <w:rPr>
                <w:sz w:val="14"/>
                <w:szCs w:val="14"/>
                <w:color w:val="auto"/>
              </w:rPr>
            </w:pPr>
          </w:p>
        </w:tc>
        <w:tc>
          <w:tcPr>
            <w:tcW w:w="680" w:type="dxa"/>
            <w:vAlign w:val="bottom"/>
            <w:tcBorders>
              <w:right w:val="single" w:sz="8" w:color="EAEAEA"/>
            </w:tcBorders>
            <w:shd w:val="clear" w:color="auto" w:fill="EAEAEA"/>
          </w:tcPr>
          <w:p>
            <w:pPr>
              <w:jc w:val="right"/>
              <w:spacing w:after="0" w:line="168" w:lineRule="exact"/>
              <w:rPr>
                <w:sz w:val="20"/>
                <w:szCs w:val="20"/>
                <w:color w:val="auto"/>
              </w:rPr>
            </w:pPr>
            <w:r>
              <w:rPr>
                <w:rFonts w:ascii="Arial" w:cs="Arial" w:eastAsia="Arial" w:hAnsi="Arial"/>
                <w:sz w:val="16"/>
                <w:szCs w:val="16"/>
                <w:color w:val="auto"/>
              </w:rPr>
              <w:t>—</w:t>
            </w:r>
          </w:p>
        </w:tc>
        <w:tc>
          <w:tcPr>
            <w:tcW w:w="740" w:type="dxa"/>
            <w:vAlign w:val="bottom"/>
            <w:tcBorders>
              <w:right w:val="single" w:sz="8" w:color="EAEAEA"/>
            </w:tcBorders>
          </w:tcPr>
          <w:p>
            <w:pPr>
              <w:jc w:val="right"/>
              <w:ind w:right="63"/>
              <w:spacing w:after="0" w:line="168" w:lineRule="exact"/>
              <w:rPr>
                <w:sz w:val="20"/>
                <w:szCs w:val="20"/>
                <w:color w:val="auto"/>
              </w:rPr>
            </w:pPr>
            <w:r>
              <w:rPr>
                <w:rFonts w:ascii="Arial" w:cs="Arial" w:eastAsia="Arial" w:hAnsi="Arial"/>
                <w:sz w:val="16"/>
                <w:szCs w:val="16"/>
                <w:color w:val="auto"/>
              </w:rPr>
              <w:t>7,116</w:t>
            </w:r>
          </w:p>
        </w:tc>
        <w:tc>
          <w:tcPr>
            <w:tcW w:w="740" w:type="dxa"/>
            <w:vAlign w:val="bottom"/>
            <w:tcBorders>
              <w:right w:val="single" w:sz="8" w:color="EAEAEA"/>
            </w:tcBorders>
            <w:shd w:val="clear" w:color="auto" w:fill="EAEAEA"/>
          </w:tcPr>
          <w:p>
            <w:pPr>
              <w:jc w:val="right"/>
              <w:spacing w:after="0" w:line="168" w:lineRule="exact"/>
              <w:rPr>
                <w:sz w:val="20"/>
                <w:szCs w:val="20"/>
                <w:color w:val="auto"/>
              </w:rPr>
            </w:pPr>
            <w:r>
              <w:rPr>
                <w:rFonts w:ascii="Arial" w:cs="Arial" w:eastAsia="Arial" w:hAnsi="Arial"/>
                <w:sz w:val="16"/>
                <w:szCs w:val="16"/>
                <w:color w:val="auto"/>
              </w:rPr>
              <w:t>14,232</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4"/>
                <w:szCs w:val="14"/>
                <w:color w:val="auto"/>
              </w:rPr>
            </w:pPr>
          </w:p>
        </w:tc>
        <w:tc>
          <w:tcPr>
            <w:tcW w:w="660" w:type="dxa"/>
            <w:vAlign w:val="bottom"/>
            <w:tcBorders>
              <w:right w:val="single" w:sz="8" w:color="EAEAEA"/>
            </w:tcBorders>
            <w:shd w:val="clear" w:color="auto" w:fill="EAEAEA"/>
          </w:tcPr>
          <w:p>
            <w:pPr>
              <w:ind w:left="460"/>
              <w:spacing w:after="0" w:line="168" w:lineRule="exact"/>
              <w:rPr>
                <w:sz w:val="20"/>
                <w:szCs w:val="20"/>
                <w:color w:val="auto"/>
              </w:rPr>
            </w:pPr>
            <w:r>
              <w:rPr>
                <w:rFonts w:ascii="Arial" w:cs="Arial" w:eastAsia="Arial" w:hAnsi="Arial"/>
                <w:sz w:val="16"/>
                <w:szCs w:val="16"/>
                <w:color w:val="auto"/>
                <w:w w:val="99"/>
              </w:rPr>
              <w:t>—</w:t>
            </w:r>
          </w:p>
        </w:tc>
        <w:tc>
          <w:tcPr>
            <w:tcW w:w="6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4"/>
                <w:szCs w:val="14"/>
                <w:color w:val="auto"/>
              </w:rPr>
            </w:pPr>
          </w:p>
        </w:tc>
        <w:tc>
          <w:tcPr>
            <w:tcW w:w="640" w:type="dxa"/>
            <w:vAlign w:val="bottom"/>
            <w:shd w:val="clear" w:color="auto" w:fill="EAEAEA"/>
          </w:tcPr>
          <w:p>
            <w:pPr>
              <w:ind w:left="120"/>
              <w:spacing w:after="0" w:line="168" w:lineRule="exact"/>
              <w:rPr>
                <w:sz w:val="20"/>
                <w:szCs w:val="20"/>
                <w:color w:val="auto"/>
              </w:rPr>
            </w:pPr>
            <w:r>
              <w:rPr>
                <w:rFonts w:ascii="Arial" w:cs="Arial" w:eastAsia="Arial" w:hAnsi="Arial"/>
                <w:sz w:val="16"/>
                <w:szCs w:val="16"/>
                <w:color w:val="auto"/>
                <w:w w:val="86"/>
              </w:rPr>
              <w:t>628,172</w:t>
            </w:r>
          </w:p>
        </w:tc>
        <w:tc>
          <w:tcPr>
            <w:tcW w:w="240" w:type="dxa"/>
            <w:vAlign w:val="bottom"/>
            <w:shd w:val="clear" w:color="auto" w:fill="EAEAEA"/>
          </w:tcPr>
          <w:p>
            <w:pPr>
              <w:jc w:val="right"/>
              <w:spacing w:after="0" w:line="168" w:lineRule="exact"/>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79"/>
        </w:trPr>
        <w:tc>
          <w:tcPr>
            <w:tcW w:w="134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Rajah</w:t>
            </w:r>
          </w:p>
        </w:tc>
        <w:tc>
          <w:tcPr>
            <w:tcW w:w="80" w:type="dxa"/>
            <w:vAlign w:val="bottom"/>
            <w:tcBorders>
              <w:bottom w:val="single" w:sz="8" w:color="auto"/>
            </w:tcBorders>
            <w:shd w:val="clear" w:color="auto" w:fill="EAEAEA"/>
          </w:tcPr>
          <w:p>
            <w:pPr>
              <w:spacing w:after="0"/>
              <w:rPr>
                <w:sz w:val="6"/>
                <w:szCs w:val="6"/>
                <w:color w:val="auto"/>
              </w:rPr>
            </w:pPr>
          </w:p>
        </w:tc>
        <w:tc>
          <w:tcPr>
            <w:tcW w:w="700" w:type="dxa"/>
            <w:vAlign w:val="bottom"/>
            <w:tcBorders>
              <w:bottom w:val="single" w:sz="8" w:color="auto"/>
              <w:right w:val="single" w:sz="8" w:color="EAEAEA"/>
            </w:tcBorders>
            <w:shd w:val="clear" w:color="auto" w:fill="EAEAEA"/>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EAEAEA"/>
            </w:tcBorders>
          </w:tcPr>
          <w:p>
            <w:pPr>
              <w:spacing w:after="0"/>
              <w:rPr>
                <w:sz w:val="6"/>
                <w:szCs w:val="6"/>
                <w:color w:val="auto"/>
              </w:rPr>
            </w:pPr>
          </w:p>
        </w:tc>
        <w:tc>
          <w:tcPr>
            <w:tcW w:w="680" w:type="dxa"/>
            <w:vAlign w:val="bottom"/>
            <w:tcBorders>
              <w:bottom w:val="single" w:sz="8" w:color="auto"/>
              <w:right w:val="single" w:sz="8" w:color="EAEAEA"/>
            </w:tcBorders>
            <w:shd w:val="clear" w:color="auto" w:fill="EAEAEA"/>
          </w:tcPr>
          <w:p>
            <w:pPr>
              <w:spacing w:after="0"/>
              <w:rPr>
                <w:sz w:val="6"/>
                <w:szCs w:val="6"/>
                <w:color w:val="auto"/>
              </w:rPr>
            </w:pPr>
          </w:p>
        </w:tc>
        <w:tc>
          <w:tcPr>
            <w:tcW w:w="1060" w:type="dxa"/>
            <w:vAlign w:val="bottom"/>
            <w:tcBorders>
              <w:bottom w:val="single" w:sz="8" w:color="auto"/>
              <w:right w:val="single" w:sz="8" w:color="EAEAEA"/>
            </w:tcBorders>
          </w:tcPr>
          <w:p>
            <w:pPr>
              <w:spacing w:after="0"/>
              <w:rPr>
                <w:sz w:val="6"/>
                <w:szCs w:val="6"/>
                <w:color w:val="auto"/>
              </w:rPr>
            </w:pPr>
          </w:p>
        </w:tc>
        <w:tc>
          <w:tcPr>
            <w:tcW w:w="140" w:type="dxa"/>
            <w:vAlign w:val="bottom"/>
            <w:tcBorders>
              <w:bottom w:val="single" w:sz="8" w:color="auto"/>
            </w:tcBorders>
            <w:shd w:val="clear" w:color="auto" w:fill="EAEAEA"/>
          </w:tcPr>
          <w:p>
            <w:pPr>
              <w:spacing w:after="0"/>
              <w:rPr>
                <w:sz w:val="6"/>
                <w:szCs w:val="6"/>
                <w:color w:val="auto"/>
              </w:rPr>
            </w:pPr>
          </w:p>
        </w:tc>
        <w:tc>
          <w:tcPr>
            <w:tcW w:w="680" w:type="dxa"/>
            <w:vAlign w:val="bottom"/>
            <w:tcBorders>
              <w:bottom w:val="single" w:sz="8" w:color="auto"/>
              <w:right w:val="single" w:sz="8" w:color="EAEAEA"/>
            </w:tcBorders>
            <w:shd w:val="clear" w:color="auto" w:fill="EAEAEA"/>
          </w:tcPr>
          <w:p>
            <w:pPr>
              <w:spacing w:after="0"/>
              <w:rPr>
                <w:sz w:val="6"/>
                <w:szCs w:val="6"/>
                <w:color w:val="auto"/>
              </w:rPr>
            </w:pPr>
          </w:p>
        </w:tc>
        <w:tc>
          <w:tcPr>
            <w:tcW w:w="740" w:type="dxa"/>
            <w:vAlign w:val="bottom"/>
            <w:tcBorders>
              <w:bottom w:val="single" w:sz="8" w:color="auto"/>
              <w:right w:val="single" w:sz="8" w:color="EAEAEA"/>
            </w:tcBorders>
          </w:tcPr>
          <w:p>
            <w:pPr>
              <w:spacing w:after="0"/>
              <w:rPr>
                <w:sz w:val="6"/>
                <w:szCs w:val="6"/>
                <w:color w:val="auto"/>
              </w:rPr>
            </w:pPr>
          </w:p>
        </w:tc>
        <w:tc>
          <w:tcPr>
            <w:tcW w:w="740" w:type="dxa"/>
            <w:vAlign w:val="bottom"/>
            <w:tcBorders>
              <w:bottom w:val="single" w:sz="8" w:color="auto"/>
              <w:right w:val="single" w:sz="8" w:color="EAEAEA"/>
            </w:tcBorders>
            <w:shd w:val="clear" w:color="auto" w:fill="EAEAEA"/>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660" w:type="dxa"/>
            <w:vAlign w:val="bottom"/>
            <w:tcBorders>
              <w:bottom w:val="single" w:sz="8" w:color="auto"/>
              <w:right w:val="single" w:sz="8" w:color="EAEAEA"/>
            </w:tcBorders>
            <w:shd w:val="clear" w:color="auto" w:fill="EAEAEA"/>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shd w:val="clear" w:color="auto" w:fill="EAEAEA"/>
          </w:tcPr>
          <w:p>
            <w:pPr>
              <w:spacing w:after="0"/>
              <w:rPr>
                <w:sz w:val="6"/>
                <w:szCs w:val="6"/>
                <w:color w:val="auto"/>
              </w:rPr>
            </w:pPr>
          </w:p>
        </w:tc>
        <w:tc>
          <w:tcPr>
            <w:tcW w:w="640" w:type="dxa"/>
            <w:vAlign w:val="bottom"/>
            <w:tcBorders>
              <w:bottom w:val="single" w:sz="8" w:color="auto"/>
            </w:tcBorders>
            <w:shd w:val="clear" w:color="auto" w:fill="EAEAEA"/>
          </w:tcPr>
          <w:p>
            <w:pPr>
              <w:spacing w:after="0"/>
              <w:rPr>
                <w:sz w:val="6"/>
                <w:szCs w:val="6"/>
                <w:color w:val="auto"/>
              </w:rPr>
            </w:pPr>
          </w:p>
        </w:tc>
        <w:tc>
          <w:tcPr>
            <w:tcW w:w="24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40" w:type="dxa"/>
            <w:vAlign w:val="bottom"/>
            <w:vMerge w:val="continue"/>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700" w:type="dxa"/>
            <w:vAlign w:val="bottom"/>
            <w:tcBorders>
              <w:right w:val="single" w:sz="8" w:color="EAEAEA"/>
            </w:tcBorders>
            <w:vMerge w:val="restart"/>
            <w:shd w:val="clear" w:color="auto" w:fill="EAEAEA"/>
          </w:tcPr>
          <w:p>
            <w:pPr>
              <w:ind w:left="20"/>
              <w:spacing w:after="0"/>
              <w:rPr>
                <w:sz w:val="20"/>
                <w:szCs w:val="20"/>
                <w:color w:val="auto"/>
              </w:rPr>
            </w:pPr>
            <w:r>
              <w:rPr>
                <w:rFonts w:ascii="Arial" w:cs="Arial" w:eastAsia="Arial" w:hAnsi="Arial"/>
                <w:sz w:val="16"/>
                <w:szCs w:val="16"/>
                <w:color w:val="auto"/>
                <w:w w:val="89"/>
              </w:rPr>
              <w:t>3/11/2020</w:t>
            </w:r>
          </w:p>
        </w:tc>
        <w:tc>
          <w:tcPr>
            <w:tcW w:w="40" w:type="dxa"/>
            <w:vAlign w:val="bottom"/>
          </w:tcPr>
          <w:p>
            <w:pPr>
              <w:spacing w:after="0"/>
              <w:rPr>
                <w:sz w:val="9"/>
                <w:szCs w:val="9"/>
                <w:color w:val="auto"/>
              </w:rPr>
            </w:pPr>
          </w:p>
        </w:tc>
        <w:tc>
          <w:tcPr>
            <w:tcW w:w="900" w:type="dxa"/>
            <w:vAlign w:val="bottom"/>
            <w:tcBorders>
              <w:right w:val="single" w:sz="8" w:color="EAEAEA"/>
            </w:tcBorders>
            <w:vMerge w:val="restart"/>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EAEAEA"/>
            </w:tcBorders>
            <w:vMerge w:val="restart"/>
            <w:shd w:val="clear" w:color="auto" w:fill="EAEAEA"/>
          </w:tcPr>
          <w:p>
            <w:pPr>
              <w:ind w:left="480"/>
              <w:spacing w:after="0"/>
              <w:rPr>
                <w:sz w:val="20"/>
                <w:szCs w:val="20"/>
                <w:color w:val="auto"/>
              </w:rPr>
            </w:pPr>
            <w:r>
              <w:rPr>
                <w:rFonts w:ascii="Arial" w:cs="Arial" w:eastAsia="Arial" w:hAnsi="Arial"/>
                <w:sz w:val="16"/>
                <w:szCs w:val="16"/>
                <w:color w:val="auto"/>
                <w:w w:val="99"/>
              </w:rPr>
              <w:t>—</w:t>
            </w:r>
          </w:p>
        </w:tc>
        <w:tc>
          <w:tcPr>
            <w:tcW w:w="1060" w:type="dxa"/>
            <w:vAlign w:val="bottom"/>
            <w:tcBorders>
              <w:right w:val="single" w:sz="8" w:color="EAEAEA"/>
            </w:tcBorders>
            <w:vMerge w:val="restart"/>
          </w:tcPr>
          <w:p>
            <w:pPr>
              <w:jc w:val="right"/>
              <w:ind w:right="183"/>
              <w:spacing w:after="0"/>
              <w:rPr>
                <w:sz w:val="20"/>
                <w:szCs w:val="20"/>
                <w:color w:val="auto"/>
              </w:rPr>
            </w:pPr>
            <w:r>
              <w:rPr>
                <w:rFonts w:ascii="Arial" w:cs="Arial" w:eastAsia="Arial" w:hAnsi="Arial"/>
                <w:sz w:val="16"/>
                <w:szCs w:val="16"/>
                <w:color w:val="auto"/>
              </w:rPr>
              <w:t>—</w:t>
            </w:r>
          </w:p>
        </w:tc>
        <w:tc>
          <w:tcPr>
            <w:tcW w:w="140" w:type="dxa"/>
            <w:vAlign w:val="bottom"/>
            <w:shd w:val="clear" w:color="auto" w:fill="EAEAEA"/>
          </w:tcPr>
          <w:p>
            <w:pPr>
              <w:spacing w:after="0"/>
              <w:rPr>
                <w:sz w:val="9"/>
                <w:szCs w:val="9"/>
                <w:color w:val="auto"/>
              </w:rPr>
            </w:pPr>
          </w:p>
        </w:tc>
        <w:tc>
          <w:tcPr>
            <w:tcW w:w="680" w:type="dxa"/>
            <w:vAlign w:val="bottom"/>
            <w:tcBorders>
              <w:right w:val="single" w:sz="8" w:color="EAEAEA"/>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EAEAEA"/>
            </w:tcBorders>
            <w:vMerge w:val="restart"/>
          </w:tcPr>
          <w:p>
            <w:pPr>
              <w:jc w:val="right"/>
              <w:ind w:right="63"/>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EAEAEA"/>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7,116</w:t>
            </w:r>
          </w:p>
        </w:tc>
        <w:tc>
          <w:tcPr>
            <w:tcW w:w="80" w:type="dxa"/>
            <w:vAlign w:val="bottom"/>
            <w:shd w:val="clear" w:color="auto" w:fill="EAEAEA"/>
          </w:tcPr>
          <w:p>
            <w:pPr>
              <w:spacing w:after="0"/>
              <w:rPr>
                <w:sz w:val="9"/>
                <w:szCs w:val="9"/>
                <w:color w:val="auto"/>
              </w:rPr>
            </w:pPr>
          </w:p>
        </w:tc>
        <w:tc>
          <w:tcPr>
            <w:tcW w:w="660" w:type="dxa"/>
            <w:vAlign w:val="bottom"/>
            <w:tcBorders>
              <w:right w:val="single" w:sz="8" w:color="EAEAEA"/>
            </w:tcBorders>
            <w:vMerge w:val="restart"/>
            <w:shd w:val="clear" w:color="auto" w:fill="EAEAEA"/>
          </w:tcPr>
          <w:p>
            <w:pPr>
              <w:ind w:left="460"/>
              <w:spacing w:after="0"/>
              <w:rPr>
                <w:sz w:val="20"/>
                <w:szCs w:val="20"/>
                <w:color w:val="auto"/>
              </w:rPr>
            </w:pPr>
            <w:r>
              <w:rPr>
                <w:rFonts w:ascii="Arial" w:cs="Arial" w:eastAsia="Arial" w:hAnsi="Arial"/>
                <w:sz w:val="16"/>
                <w:szCs w:val="16"/>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9"/>
                <w:szCs w:val="9"/>
                <w:color w:val="auto"/>
              </w:rPr>
            </w:pPr>
          </w:p>
        </w:tc>
        <w:tc>
          <w:tcPr>
            <w:tcW w:w="640" w:type="dxa"/>
            <w:vAlign w:val="bottom"/>
            <w:vMerge w:val="restart"/>
            <w:shd w:val="clear" w:color="auto" w:fill="EAEAEA"/>
          </w:tcPr>
          <w:p>
            <w:pPr>
              <w:ind w:left="120"/>
              <w:spacing w:after="0"/>
              <w:rPr>
                <w:sz w:val="20"/>
                <w:szCs w:val="20"/>
                <w:color w:val="auto"/>
              </w:rPr>
            </w:pPr>
            <w:r>
              <w:rPr>
                <w:rFonts w:ascii="Arial" w:cs="Arial" w:eastAsia="Arial" w:hAnsi="Arial"/>
                <w:sz w:val="16"/>
                <w:szCs w:val="16"/>
                <w:color w:val="auto"/>
                <w:w w:val="86"/>
              </w:rPr>
              <w:t>628,172</w:t>
            </w:r>
          </w:p>
        </w:tc>
        <w:tc>
          <w:tcPr>
            <w:tcW w:w="24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w w:val="91"/>
              </w:rPr>
              <w:t>(7)</w:t>
            </w:r>
          </w:p>
        </w:tc>
        <w:tc>
          <w:tcPr>
            <w:tcW w:w="0" w:type="dxa"/>
            <w:vAlign w:val="bottom"/>
          </w:tcPr>
          <w:p>
            <w:pPr>
              <w:spacing w:after="0"/>
              <w:rPr>
                <w:sz w:val="1"/>
                <w:szCs w:val="1"/>
                <w:color w:val="auto"/>
              </w:rPr>
            </w:pPr>
          </w:p>
        </w:tc>
      </w:tr>
      <w:tr>
        <w:trPr>
          <w:trHeight w:val="136"/>
        </w:trPr>
        <w:tc>
          <w:tcPr>
            <w:tcW w:w="1340" w:type="dxa"/>
            <w:vAlign w:val="bottom"/>
          </w:tcPr>
          <w:p>
            <w:pPr>
              <w:spacing w:after="0"/>
              <w:rPr>
                <w:sz w:val="11"/>
                <w:szCs w:val="11"/>
                <w:color w:val="auto"/>
              </w:rPr>
            </w:pPr>
          </w:p>
        </w:tc>
        <w:tc>
          <w:tcPr>
            <w:tcW w:w="80" w:type="dxa"/>
            <w:vAlign w:val="bottom"/>
            <w:tcBorders>
              <w:bottom w:val="single" w:sz="8" w:color="EAEAEA"/>
            </w:tcBorders>
            <w:shd w:val="clear" w:color="auto" w:fill="EAEAEA"/>
          </w:tcPr>
          <w:p>
            <w:pPr>
              <w:spacing w:after="0"/>
              <w:rPr>
                <w:sz w:val="11"/>
                <w:szCs w:val="11"/>
                <w:color w:val="auto"/>
              </w:rPr>
            </w:pPr>
          </w:p>
        </w:tc>
        <w:tc>
          <w:tcPr>
            <w:tcW w:w="700" w:type="dxa"/>
            <w:vAlign w:val="bottom"/>
            <w:tcBorders>
              <w:bottom w:val="single" w:sz="8" w:color="EAEAEA"/>
              <w:right w:val="single" w:sz="8" w:color="EAEAEA"/>
            </w:tcBorders>
            <w:vMerge w:val="continue"/>
            <w:shd w:val="clear" w:color="auto" w:fill="EAEAEA"/>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Borders>
              <w:right w:val="single" w:sz="8" w:color="EAEAEA"/>
            </w:tcBorders>
            <w:vMerge w:val="continue"/>
          </w:tcPr>
          <w:p>
            <w:pPr>
              <w:spacing w:after="0"/>
              <w:rPr>
                <w:sz w:val="11"/>
                <w:szCs w:val="11"/>
                <w:color w:val="auto"/>
              </w:rPr>
            </w:pPr>
          </w:p>
        </w:tc>
        <w:tc>
          <w:tcPr>
            <w:tcW w:w="680" w:type="dxa"/>
            <w:vAlign w:val="bottom"/>
            <w:tcBorders>
              <w:bottom w:val="single" w:sz="8" w:color="EAEAEA"/>
              <w:right w:val="single" w:sz="8" w:color="EAEAEA"/>
            </w:tcBorders>
            <w:vMerge w:val="continue"/>
            <w:shd w:val="clear" w:color="auto" w:fill="EAEAEA"/>
          </w:tcPr>
          <w:p>
            <w:pPr>
              <w:spacing w:after="0"/>
              <w:rPr>
                <w:sz w:val="11"/>
                <w:szCs w:val="11"/>
                <w:color w:val="auto"/>
              </w:rPr>
            </w:pPr>
          </w:p>
        </w:tc>
        <w:tc>
          <w:tcPr>
            <w:tcW w:w="1060" w:type="dxa"/>
            <w:vAlign w:val="bottom"/>
            <w:tcBorders>
              <w:right w:val="single" w:sz="8" w:color="EAEAEA"/>
            </w:tcBorders>
            <w:vMerge w:val="continue"/>
          </w:tcPr>
          <w:p>
            <w:pPr>
              <w:spacing w:after="0"/>
              <w:rPr>
                <w:sz w:val="11"/>
                <w:szCs w:val="11"/>
                <w:color w:val="auto"/>
              </w:rPr>
            </w:pPr>
          </w:p>
        </w:tc>
        <w:tc>
          <w:tcPr>
            <w:tcW w:w="140" w:type="dxa"/>
            <w:vAlign w:val="bottom"/>
            <w:tcBorders>
              <w:bottom w:val="single" w:sz="8" w:color="EAEAEA"/>
            </w:tcBorders>
            <w:shd w:val="clear" w:color="auto" w:fill="EAEAEA"/>
          </w:tcPr>
          <w:p>
            <w:pPr>
              <w:spacing w:after="0"/>
              <w:rPr>
                <w:sz w:val="11"/>
                <w:szCs w:val="11"/>
                <w:color w:val="auto"/>
              </w:rPr>
            </w:pPr>
          </w:p>
        </w:tc>
        <w:tc>
          <w:tcPr>
            <w:tcW w:w="680" w:type="dxa"/>
            <w:vAlign w:val="bottom"/>
            <w:tcBorders>
              <w:bottom w:val="single" w:sz="8" w:color="EAEAEA"/>
              <w:right w:val="single" w:sz="8" w:color="EAEAEA"/>
            </w:tcBorders>
            <w:vMerge w:val="continue"/>
            <w:shd w:val="clear" w:color="auto" w:fill="EAEAEA"/>
          </w:tcPr>
          <w:p>
            <w:pPr>
              <w:spacing w:after="0"/>
              <w:rPr>
                <w:sz w:val="11"/>
                <w:szCs w:val="11"/>
                <w:color w:val="auto"/>
              </w:rPr>
            </w:pPr>
          </w:p>
        </w:tc>
        <w:tc>
          <w:tcPr>
            <w:tcW w:w="740" w:type="dxa"/>
            <w:vAlign w:val="bottom"/>
            <w:tcBorders>
              <w:right w:val="single" w:sz="8" w:color="EAEAEA"/>
            </w:tcBorders>
            <w:vMerge w:val="continue"/>
          </w:tcPr>
          <w:p>
            <w:pPr>
              <w:spacing w:after="0"/>
              <w:rPr>
                <w:sz w:val="11"/>
                <w:szCs w:val="11"/>
                <w:color w:val="auto"/>
              </w:rPr>
            </w:pPr>
          </w:p>
        </w:tc>
        <w:tc>
          <w:tcPr>
            <w:tcW w:w="740" w:type="dxa"/>
            <w:vAlign w:val="bottom"/>
            <w:tcBorders>
              <w:bottom w:val="single" w:sz="8" w:color="EAEAEA"/>
              <w:right w:val="single" w:sz="8" w:color="EAEAEA"/>
            </w:tcBorders>
            <w:vMerge w:val="continue"/>
            <w:shd w:val="clear" w:color="auto" w:fill="EAEAEA"/>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Borders>
              <w:bottom w:val="single" w:sz="8" w:color="EAEAEA"/>
            </w:tcBorders>
            <w:shd w:val="clear" w:color="auto" w:fill="EAEAEA"/>
          </w:tcPr>
          <w:p>
            <w:pPr>
              <w:spacing w:after="0"/>
              <w:rPr>
                <w:sz w:val="11"/>
                <w:szCs w:val="11"/>
                <w:color w:val="auto"/>
              </w:rPr>
            </w:pPr>
          </w:p>
        </w:tc>
        <w:tc>
          <w:tcPr>
            <w:tcW w:w="660" w:type="dxa"/>
            <w:vAlign w:val="bottom"/>
            <w:tcBorders>
              <w:bottom w:val="single" w:sz="8" w:color="EAEAEA"/>
              <w:right w:val="single" w:sz="8" w:color="EAEAEA"/>
            </w:tcBorders>
            <w:vMerge w:val="continue"/>
            <w:shd w:val="clear" w:color="auto" w:fill="EAEAEA"/>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Borders>
              <w:bottom w:val="single" w:sz="8" w:color="EAEAEA"/>
            </w:tcBorders>
            <w:shd w:val="clear" w:color="auto" w:fill="EAEAEA"/>
          </w:tcPr>
          <w:p>
            <w:pPr>
              <w:spacing w:after="0"/>
              <w:rPr>
                <w:sz w:val="11"/>
                <w:szCs w:val="11"/>
                <w:color w:val="auto"/>
              </w:rPr>
            </w:pPr>
          </w:p>
        </w:tc>
        <w:tc>
          <w:tcPr>
            <w:tcW w:w="640" w:type="dxa"/>
            <w:vAlign w:val="bottom"/>
            <w:tcBorders>
              <w:bottom w:val="single" w:sz="8" w:color="EAEAEA"/>
            </w:tcBorders>
            <w:vMerge w:val="continue"/>
            <w:shd w:val="clear" w:color="auto" w:fill="EAEAEA"/>
          </w:tcPr>
          <w:p>
            <w:pPr>
              <w:spacing w:after="0"/>
              <w:rPr>
                <w:sz w:val="11"/>
                <w:szCs w:val="11"/>
                <w:color w:val="auto"/>
              </w:rPr>
            </w:pPr>
          </w:p>
        </w:tc>
        <w:tc>
          <w:tcPr>
            <w:tcW w:w="240" w:type="dxa"/>
            <w:vAlign w:val="bottom"/>
            <w:tcBorders>
              <w:bottom w:val="single" w:sz="8" w:color="EAEAEA"/>
            </w:tcBorders>
            <w:vMerge w:val="continue"/>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1340" w:type="dxa"/>
            <w:vAlign w:val="bottom"/>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700" w:type="dxa"/>
            <w:vAlign w:val="bottom"/>
            <w:tcBorders>
              <w:top w:val="single" w:sz="8" w:color="auto"/>
              <w:bottom w:val="single" w:sz="8" w:color="EAEAEA"/>
              <w:right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w w:val="89"/>
              </w:rPr>
              <w:t>3/11/2020</w:t>
            </w:r>
          </w:p>
        </w:tc>
        <w:tc>
          <w:tcPr>
            <w:tcW w:w="4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EAEAEA"/>
            </w:tcBorders>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EAEAEA"/>
              <w:right w:val="single" w:sz="8" w:color="EAEAEA"/>
            </w:tcBorders>
            <w:shd w:val="clear" w:color="auto" w:fill="EAEAEA"/>
          </w:tcPr>
          <w:p>
            <w:pPr>
              <w:ind w:left="480"/>
              <w:spacing w:after="0"/>
              <w:rPr>
                <w:sz w:val="20"/>
                <w:szCs w:val="20"/>
                <w:color w:val="auto"/>
              </w:rPr>
            </w:pPr>
            <w:r>
              <w:rPr>
                <w:rFonts w:ascii="Arial" w:cs="Arial" w:eastAsia="Arial" w:hAnsi="Arial"/>
                <w:sz w:val="16"/>
                <w:szCs w:val="16"/>
                <w:color w:val="auto"/>
                <w:w w:val="99"/>
              </w:rPr>
              <w:t>—</w:t>
            </w:r>
          </w:p>
        </w:tc>
        <w:tc>
          <w:tcPr>
            <w:tcW w:w="1060" w:type="dxa"/>
            <w:vAlign w:val="bottom"/>
            <w:tcBorders>
              <w:top w:val="single" w:sz="8" w:color="auto"/>
              <w:right w:val="single" w:sz="8" w:color="EAEAEA"/>
            </w:tcBorders>
          </w:tcPr>
          <w:p>
            <w:pPr>
              <w:jc w:val="right"/>
              <w:ind w:right="18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EAEAEA"/>
            </w:tcBorders>
            <w:shd w:val="clear" w:color="auto" w:fill="EAEAEA"/>
          </w:tcPr>
          <w:p>
            <w:pPr>
              <w:spacing w:after="0"/>
              <w:rPr>
                <w:sz w:val="20"/>
                <w:szCs w:val="20"/>
                <w:color w:val="auto"/>
              </w:rPr>
            </w:pPr>
          </w:p>
        </w:tc>
        <w:tc>
          <w:tcPr>
            <w:tcW w:w="680" w:type="dxa"/>
            <w:vAlign w:val="bottom"/>
            <w:tcBorders>
              <w:top w:val="single" w:sz="8" w:color="auto"/>
              <w:bottom w:val="single" w:sz="8" w:color="EAEAEA"/>
              <w:right w:val="single" w:sz="8" w:color="EAEAEA"/>
            </w:tcBorders>
            <w:shd w:val="clear" w:color="auto" w:fill="EAEAEA"/>
          </w:tcPr>
          <w:p>
            <w:pPr>
              <w:spacing w:after="0"/>
              <w:rPr>
                <w:sz w:val="20"/>
                <w:szCs w:val="20"/>
                <w:color w:val="auto"/>
              </w:rPr>
            </w:pPr>
          </w:p>
        </w:tc>
        <w:tc>
          <w:tcPr>
            <w:tcW w:w="740" w:type="dxa"/>
            <w:vAlign w:val="bottom"/>
            <w:tcBorders>
              <w:top w:val="single" w:sz="8" w:color="auto"/>
              <w:right w:val="single" w:sz="8" w:color="EAEAEA"/>
            </w:tcBorders>
          </w:tcPr>
          <w:p>
            <w:pPr>
              <w:spacing w:after="0"/>
              <w:rPr>
                <w:sz w:val="20"/>
                <w:szCs w:val="20"/>
                <w:color w:val="auto"/>
              </w:rPr>
            </w:pPr>
          </w:p>
        </w:tc>
        <w:tc>
          <w:tcPr>
            <w:tcW w:w="740" w:type="dxa"/>
            <w:vAlign w:val="bottom"/>
            <w:tcBorders>
              <w:top w:val="single" w:sz="8" w:color="auto"/>
              <w:bottom w:val="single" w:sz="8" w:color="EAEAEA"/>
              <w:right w:val="single" w:sz="8" w:color="EAEAEA"/>
            </w:tcBorders>
            <w:shd w:val="clear" w:color="auto" w:fill="EAEAEA"/>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6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35,001</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94.41</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40" w:type="dxa"/>
            <w:vAlign w:val="bottom"/>
            <w:tcBorders>
              <w:top w:val="single" w:sz="8" w:color="auto"/>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w w:val="86"/>
              </w:rPr>
              <w:t>646,903</w:t>
            </w:r>
          </w:p>
        </w:tc>
        <w:tc>
          <w:tcPr>
            <w:tcW w:w="2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1"/>
              </w:rPr>
              <w:t>(8)</w:t>
            </w:r>
          </w:p>
        </w:tc>
        <w:tc>
          <w:tcPr>
            <w:tcW w:w="0" w:type="dxa"/>
            <w:vAlign w:val="bottom"/>
          </w:tcPr>
          <w:p>
            <w:pPr>
              <w:spacing w:after="0"/>
              <w:rPr>
                <w:sz w:val="1"/>
                <w:szCs w:val="1"/>
                <w:color w:val="auto"/>
              </w:rPr>
            </w:pPr>
          </w:p>
        </w:tc>
      </w:tr>
      <w:tr>
        <w:trPr>
          <w:trHeight w:val="253"/>
        </w:trPr>
        <w:tc>
          <w:tcPr>
            <w:tcW w:w="1340" w:type="dxa"/>
            <w:vAlign w:val="bottom"/>
            <w:tcBorders>
              <w:top w:val="single" w:sz="8" w:color="0066BA"/>
            </w:tcBorders>
          </w:tcPr>
          <w:p>
            <w:pPr>
              <w:spacing w:after="0"/>
              <w:rPr>
                <w:sz w:val="22"/>
                <w:szCs w:val="22"/>
                <w:color w:val="auto"/>
              </w:rPr>
            </w:pP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700" w:type="dxa"/>
            <w:vAlign w:val="bottom"/>
            <w:tcBorders>
              <w:top w:val="single" w:sz="8" w:color="0066BA"/>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N/A</w:t>
            </w:r>
          </w:p>
        </w:tc>
        <w:tc>
          <w:tcPr>
            <w:tcW w:w="40" w:type="dxa"/>
            <w:vAlign w:val="bottom"/>
            <w:tcBorders>
              <w:top w:val="single" w:sz="8" w:color="0066BA"/>
            </w:tcBorders>
          </w:tcPr>
          <w:p>
            <w:pPr>
              <w:spacing w:after="0"/>
              <w:rPr>
                <w:sz w:val="22"/>
                <w:szCs w:val="22"/>
                <w:color w:val="auto"/>
              </w:rPr>
            </w:pPr>
          </w:p>
        </w:tc>
        <w:tc>
          <w:tcPr>
            <w:tcW w:w="900" w:type="dxa"/>
            <w:vAlign w:val="bottom"/>
            <w:tcBorders>
              <w:top w:val="single" w:sz="8" w:color="0066BA"/>
              <w:right w:val="single" w:sz="8" w:color="EAEAEA"/>
            </w:tcBorders>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0066BA"/>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460,000</w:t>
            </w:r>
          </w:p>
        </w:tc>
        <w:tc>
          <w:tcPr>
            <w:tcW w:w="1060" w:type="dxa"/>
            <w:vAlign w:val="bottom"/>
            <w:tcBorders>
              <w:top w:val="single" w:sz="8" w:color="0066BA"/>
              <w:right w:val="single" w:sz="8" w:color="EAEAEA"/>
            </w:tcBorders>
          </w:tcPr>
          <w:p>
            <w:pPr>
              <w:jc w:val="right"/>
              <w:ind w:right="183"/>
              <w:spacing w:after="0"/>
              <w:rPr>
                <w:sz w:val="20"/>
                <w:szCs w:val="20"/>
                <w:color w:val="auto"/>
              </w:rPr>
            </w:pPr>
            <w:r>
              <w:rPr>
                <w:rFonts w:ascii="Arial" w:cs="Arial" w:eastAsia="Arial" w:hAnsi="Arial"/>
                <w:sz w:val="16"/>
                <w:szCs w:val="16"/>
                <w:color w:val="auto"/>
              </w:rPr>
              <w:t>1,380,000</w:t>
            </w:r>
          </w:p>
        </w:tc>
        <w:tc>
          <w:tcPr>
            <w:tcW w:w="140" w:type="dxa"/>
            <w:vAlign w:val="bottom"/>
            <w:tcBorders>
              <w:top w:val="single" w:sz="8" w:color="0066BA"/>
              <w:bottom w:val="single" w:sz="8" w:color="EAEAEA"/>
            </w:tcBorders>
            <w:shd w:val="clear" w:color="auto" w:fill="EAEAEA"/>
          </w:tcPr>
          <w:p>
            <w:pPr>
              <w:spacing w:after="0"/>
              <w:rPr>
                <w:sz w:val="22"/>
                <w:szCs w:val="22"/>
                <w:color w:val="auto"/>
              </w:rPr>
            </w:pPr>
          </w:p>
        </w:tc>
        <w:tc>
          <w:tcPr>
            <w:tcW w:w="680" w:type="dxa"/>
            <w:vAlign w:val="bottom"/>
            <w:tcBorders>
              <w:top w:val="single" w:sz="8" w:color="0066BA"/>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0066BA"/>
              <w:right w:val="single" w:sz="8" w:color="EAEAEA"/>
            </w:tcBorders>
          </w:tcPr>
          <w:p>
            <w:pPr>
              <w:jc w:val="right"/>
              <w:ind w:right="63"/>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0066BA"/>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0066BA"/>
            </w:tcBorders>
          </w:tcPr>
          <w:p>
            <w:pPr>
              <w:spacing w:after="0"/>
              <w:rPr>
                <w:sz w:val="22"/>
                <w:szCs w:val="22"/>
                <w:color w:val="auto"/>
              </w:rPr>
            </w:pPr>
          </w:p>
        </w:tc>
        <w:tc>
          <w:tcPr>
            <w:tcW w:w="70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660" w:type="dxa"/>
            <w:vAlign w:val="bottom"/>
            <w:tcBorders>
              <w:top w:val="single" w:sz="8" w:color="0066BA"/>
              <w:bottom w:val="single" w:sz="8" w:color="EAEAEA"/>
              <w:right w:val="single" w:sz="8" w:color="EAEAEA"/>
            </w:tcBorders>
            <w:shd w:val="clear" w:color="auto" w:fill="EAEAEA"/>
          </w:tcPr>
          <w:p>
            <w:pPr>
              <w:ind w:left="460"/>
              <w:spacing w:after="0"/>
              <w:rPr>
                <w:sz w:val="20"/>
                <w:szCs w:val="20"/>
                <w:color w:val="auto"/>
              </w:rPr>
            </w:pPr>
            <w:r>
              <w:rPr>
                <w:rFonts w:ascii="Arial" w:cs="Arial" w:eastAsia="Arial" w:hAnsi="Arial"/>
                <w:sz w:val="16"/>
                <w:szCs w:val="16"/>
                <w:color w:val="auto"/>
                <w:w w:val="99"/>
              </w:rPr>
              <w:t>—</w:t>
            </w:r>
          </w:p>
        </w:tc>
        <w:tc>
          <w:tcPr>
            <w:tcW w:w="60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64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0066BA"/>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134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Martin</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700" w:type="dxa"/>
            <w:vAlign w:val="bottom"/>
            <w:tcBorders>
              <w:top w:val="single" w:sz="8" w:color="auto"/>
              <w:bottom w:val="single" w:sz="8" w:color="EAEAEA"/>
              <w:right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w w:val="89"/>
                <w:shd w:val="clear" w:color="auto" w:fill="EAEAEA"/>
              </w:rPr>
              <w:t>3/11/2020</w:t>
            </w:r>
          </w:p>
        </w:tc>
        <w:tc>
          <w:tcPr>
            <w:tcW w:w="4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EAEAEA"/>
            </w:tcBorders>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EAEAEA"/>
              <w:right w:val="single" w:sz="8" w:color="EAEAEA"/>
            </w:tcBorders>
            <w:shd w:val="clear" w:color="auto" w:fill="EAEAEA"/>
          </w:tcPr>
          <w:p>
            <w:pPr>
              <w:ind w:left="480"/>
              <w:spacing w:after="0"/>
              <w:rPr>
                <w:sz w:val="20"/>
                <w:szCs w:val="20"/>
                <w:color w:val="auto"/>
              </w:rPr>
            </w:pPr>
            <w:r>
              <w:rPr>
                <w:rFonts w:ascii="Arial" w:cs="Arial" w:eastAsia="Arial" w:hAnsi="Arial"/>
                <w:sz w:val="16"/>
                <w:szCs w:val="16"/>
                <w:color w:val="auto"/>
                <w:w w:val="99"/>
              </w:rPr>
              <w:t>—</w:t>
            </w:r>
          </w:p>
        </w:tc>
        <w:tc>
          <w:tcPr>
            <w:tcW w:w="1060" w:type="dxa"/>
            <w:vAlign w:val="bottom"/>
            <w:tcBorders>
              <w:top w:val="single" w:sz="8" w:color="auto"/>
              <w:right w:val="single" w:sz="8" w:color="EAEAEA"/>
            </w:tcBorders>
          </w:tcPr>
          <w:p>
            <w:pPr>
              <w:jc w:val="right"/>
              <w:ind w:right="18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EAEAEA"/>
            </w:tcBorders>
            <w:shd w:val="clear" w:color="auto" w:fill="EAEAEA"/>
          </w:tcPr>
          <w:p>
            <w:pPr>
              <w:spacing w:after="0"/>
              <w:rPr>
                <w:sz w:val="20"/>
                <w:szCs w:val="20"/>
                <w:color w:val="auto"/>
              </w:rPr>
            </w:pPr>
          </w:p>
        </w:tc>
        <w:tc>
          <w:tcPr>
            <w:tcW w:w="68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right w:val="single" w:sz="8" w:color="EAEAEA"/>
            </w:tcBorders>
          </w:tcPr>
          <w:p>
            <w:pPr>
              <w:jc w:val="right"/>
              <w:ind w:right="63"/>
              <w:spacing w:after="0"/>
              <w:rPr>
                <w:sz w:val="20"/>
                <w:szCs w:val="20"/>
                <w:color w:val="auto"/>
              </w:rPr>
            </w:pPr>
            <w:r>
              <w:rPr>
                <w:rFonts w:ascii="Arial" w:cs="Arial" w:eastAsia="Arial" w:hAnsi="Arial"/>
                <w:sz w:val="16"/>
                <w:szCs w:val="16"/>
                <w:color w:val="auto"/>
              </w:rPr>
              <w:t>4,927</w:t>
            </w:r>
          </w:p>
        </w:tc>
        <w:tc>
          <w:tcPr>
            <w:tcW w:w="74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9,854</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60" w:type="dxa"/>
            <w:vAlign w:val="bottom"/>
            <w:tcBorders>
              <w:top w:val="single" w:sz="8" w:color="auto"/>
              <w:bottom w:val="single" w:sz="8" w:color="EAEAEA"/>
              <w:right w:val="single" w:sz="8" w:color="EAEAEA"/>
            </w:tcBorders>
            <w:shd w:val="clear" w:color="auto" w:fill="EAEAEA"/>
          </w:tcPr>
          <w:p>
            <w:pPr>
              <w:ind w:left="460"/>
              <w:spacing w:after="0"/>
              <w:rPr>
                <w:sz w:val="20"/>
                <w:szCs w:val="20"/>
                <w:color w:val="auto"/>
              </w:rPr>
            </w:pPr>
            <w:r>
              <w:rPr>
                <w:rFonts w:ascii="Arial" w:cs="Arial" w:eastAsia="Arial" w:hAnsi="Arial"/>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40" w:type="dxa"/>
            <w:vAlign w:val="bottom"/>
            <w:tcBorders>
              <w:top w:val="single" w:sz="8" w:color="auto"/>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w w:val="86"/>
              </w:rPr>
              <w:t>481,417</w:t>
            </w:r>
          </w:p>
        </w:tc>
        <w:tc>
          <w:tcPr>
            <w:tcW w:w="2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70"/>
        </w:trPr>
        <w:tc>
          <w:tcPr>
            <w:tcW w:w="1340" w:type="dxa"/>
            <w:vAlign w:val="bottom"/>
            <w:vMerge w:val="continue"/>
          </w:tcPr>
          <w:p>
            <w:pPr>
              <w:spacing w:after="0"/>
              <w:rPr>
                <w:sz w:val="6"/>
                <w:szCs w:val="6"/>
                <w:color w:val="auto"/>
              </w:rPr>
            </w:pPr>
          </w:p>
        </w:tc>
        <w:tc>
          <w:tcPr>
            <w:tcW w:w="80" w:type="dxa"/>
            <w:vAlign w:val="bottom"/>
            <w:tcBorders>
              <w:top w:val="single" w:sz="8" w:color="auto"/>
            </w:tcBorders>
            <w:shd w:val="clear" w:color="auto" w:fill="EAEAEA"/>
          </w:tcPr>
          <w:p>
            <w:pPr>
              <w:spacing w:after="0"/>
              <w:rPr>
                <w:sz w:val="6"/>
                <w:szCs w:val="6"/>
                <w:color w:val="auto"/>
              </w:rPr>
            </w:pPr>
          </w:p>
        </w:tc>
        <w:tc>
          <w:tcPr>
            <w:tcW w:w="700" w:type="dxa"/>
            <w:vAlign w:val="bottom"/>
            <w:tcBorders>
              <w:top w:val="single" w:sz="8" w:color="auto"/>
              <w:right w:val="single" w:sz="8" w:color="EAEAEA"/>
            </w:tcBorders>
            <w:vMerge w:val="restart"/>
            <w:shd w:val="clear" w:color="auto" w:fill="EAEAEA"/>
          </w:tcPr>
          <w:p>
            <w:pPr>
              <w:ind w:left="20"/>
              <w:spacing w:after="0"/>
              <w:rPr>
                <w:sz w:val="20"/>
                <w:szCs w:val="20"/>
                <w:color w:val="auto"/>
              </w:rPr>
            </w:pPr>
            <w:r>
              <w:rPr>
                <w:rFonts w:ascii="Arial" w:cs="Arial" w:eastAsia="Arial" w:hAnsi="Arial"/>
                <w:sz w:val="16"/>
                <w:szCs w:val="16"/>
                <w:color w:val="auto"/>
                <w:w w:val="89"/>
                <w:shd w:val="clear" w:color="auto" w:fill="EAEAEA"/>
              </w:rPr>
              <w:t>3/11/2020</w:t>
            </w:r>
          </w:p>
        </w:tc>
        <w:tc>
          <w:tcPr>
            <w:tcW w:w="40" w:type="dxa"/>
            <w:vAlign w:val="bottom"/>
            <w:tcBorders>
              <w:top w:val="single" w:sz="8" w:color="auto"/>
            </w:tcBorders>
          </w:tcPr>
          <w:p>
            <w:pPr>
              <w:spacing w:after="0"/>
              <w:rPr>
                <w:sz w:val="6"/>
                <w:szCs w:val="6"/>
                <w:color w:val="auto"/>
              </w:rPr>
            </w:pPr>
          </w:p>
        </w:tc>
        <w:tc>
          <w:tcPr>
            <w:tcW w:w="900" w:type="dxa"/>
            <w:vAlign w:val="bottom"/>
            <w:tcBorders>
              <w:top w:val="single" w:sz="8" w:color="auto"/>
              <w:right w:val="single" w:sz="8" w:color="EAEAEA"/>
            </w:tcBorders>
            <w:vMerge w:val="restart"/>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right w:val="single" w:sz="8" w:color="EAEAEA"/>
            </w:tcBorders>
            <w:vMerge w:val="restart"/>
            <w:shd w:val="clear" w:color="auto" w:fill="EAEAEA"/>
          </w:tcPr>
          <w:p>
            <w:pPr>
              <w:ind w:left="480"/>
              <w:spacing w:after="0"/>
              <w:rPr>
                <w:sz w:val="20"/>
                <w:szCs w:val="20"/>
                <w:color w:val="auto"/>
              </w:rPr>
            </w:pPr>
            <w:r>
              <w:rPr>
                <w:rFonts w:ascii="Arial" w:cs="Arial" w:eastAsia="Arial" w:hAnsi="Arial"/>
                <w:sz w:val="16"/>
                <w:szCs w:val="16"/>
                <w:color w:val="auto"/>
                <w:w w:val="99"/>
              </w:rPr>
              <w:t>—</w:t>
            </w:r>
          </w:p>
        </w:tc>
        <w:tc>
          <w:tcPr>
            <w:tcW w:w="1060" w:type="dxa"/>
            <w:vAlign w:val="bottom"/>
            <w:tcBorders>
              <w:top w:val="single" w:sz="8" w:color="auto"/>
              <w:right w:val="single" w:sz="8" w:color="EAEAEA"/>
            </w:tcBorders>
            <w:vMerge w:val="restart"/>
          </w:tcPr>
          <w:p>
            <w:pPr>
              <w:jc w:val="right"/>
              <w:ind w:right="18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shd w:val="clear" w:color="auto" w:fill="EAEAEA"/>
          </w:tcPr>
          <w:p>
            <w:pPr>
              <w:spacing w:after="0"/>
              <w:rPr>
                <w:sz w:val="6"/>
                <w:szCs w:val="6"/>
                <w:color w:val="auto"/>
              </w:rPr>
            </w:pPr>
          </w:p>
        </w:tc>
        <w:tc>
          <w:tcPr>
            <w:tcW w:w="680" w:type="dxa"/>
            <w:vAlign w:val="bottom"/>
            <w:tcBorders>
              <w:top w:val="single" w:sz="8" w:color="auto"/>
              <w:right w:val="single" w:sz="8" w:color="EAEAEA"/>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right w:val="single" w:sz="8" w:color="EAEAEA"/>
            </w:tcBorders>
            <w:vMerge w:val="restart"/>
          </w:tcPr>
          <w:p>
            <w:pPr>
              <w:jc w:val="right"/>
              <w:ind w:right="63"/>
              <w:spacing w:after="0"/>
              <w:rPr>
                <w:sz w:val="20"/>
                <w:szCs w:val="20"/>
                <w:color w:val="auto"/>
              </w:rPr>
            </w:pPr>
            <w:r>
              <w:rPr>
                <w:rFonts w:ascii="Arial" w:cs="Arial" w:eastAsia="Arial" w:hAnsi="Arial"/>
                <w:sz w:val="16"/>
                <w:szCs w:val="16"/>
                <w:color w:val="auto"/>
              </w:rPr>
              <w:t>4,927</w:t>
            </w:r>
          </w:p>
        </w:tc>
        <w:tc>
          <w:tcPr>
            <w:tcW w:w="740" w:type="dxa"/>
            <w:vAlign w:val="bottom"/>
            <w:tcBorders>
              <w:top w:val="single" w:sz="8" w:color="auto"/>
              <w:right w:val="single" w:sz="8" w:color="EAEAEA"/>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9,854</w:t>
            </w:r>
          </w:p>
        </w:tc>
        <w:tc>
          <w:tcPr>
            <w:tcW w:w="1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6"/>
                <w:szCs w:val="6"/>
                <w:color w:val="auto"/>
              </w:rPr>
            </w:pPr>
          </w:p>
        </w:tc>
        <w:tc>
          <w:tcPr>
            <w:tcW w:w="660" w:type="dxa"/>
            <w:vAlign w:val="bottom"/>
            <w:tcBorders>
              <w:top w:val="single" w:sz="8" w:color="auto"/>
              <w:right w:val="single" w:sz="8" w:color="EAEAEA"/>
            </w:tcBorders>
            <w:vMerge w:val="restart"/>
            <w:shd w:val="clear" w:color="auto" w:fill="EAEAEA"/>
          </w:tcPr>
          <w:p>
            <w:pPr>
              <w:ind w:left="460"/>
              <w:spacing w:after="0"/>
              <w:rPr>
                <w:sz w:val="20"/>
                <w:szCs w:val="20"/>
                <w:color w:val="auto"/>
              </w:rPr>
            </w:pPr>
            <w:r>
              <w:rPr>
                <w:rFonts w:ascii="Arial" w:cs="Arial" w:eastAsia="Arial" w:hAnsi="Arial"/>
                <w:sz w:val="16"/>
                <w:szCs w:val="16"/>
                <w:color w:val="auto"/>
                <w:w w:val="99"/>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6"/>
                <w:szCs w:val="6"/>
                <w:color w:val="auto"/>
              </w:rPr>
            </w:pPr>
          </w:p>
        </w:tc>
        <w:tc>
          <w:tcPr>
            <w:tcW w:w="640" w:type="dxa"/>
            <w:vAlign w:val="bottom"/>
            <w:tcBorders>
              <w:top w:val="single" w:sz="8" w:color="auto"/>
            </w:tcBorders>
            <w:vMerge w:val="restart"/>
            <w:shd w:val="clear" w:color="auto" w:fill="EAEAEA"/>
          </w:tcPr>
          <w:p>
            <w:pPr>
              <w:ind w:left="120"/>
              <w:spacing w:after="0"/>
              <w:rPr>
                <w:sz w:val="20"/>
                <w:szCs w:val="20"/>
                <w:color w:val="auto"/>
              </w:rPr>
            </w:pPr>
            <w:r>
              <w:rPr>
                <w:rFonts w:ascii="Arial" w:cs="Arial" w:eastAsia="Arial" w:hAnsi="Arial"/>
                <w:sz w:val="16"/>
                <w:szCs w:val="16"/>
                <w:color w:val="auto"/>
                <w:w w:val="86"/>
              </w:rPr>
              <w:t>434,936</w:t>
            </w:r>
          </w:p>
        </w:tc>
        <w:tc>
          <w:tcPr>
            <w:tcW w:w="24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170"/>
        </w:trPr>
        <w:tc>
          <w:tcPr>
            <w:tcW w:w="1340" w:type="dxa"/>
            <w:vAlign w:val="bottom"/>
          </w:tcPr>
          <w:p>
            <w:pPr>
              <w:ind w:left="60"/>
              <w:spacing w:after="0" w:line="170" w:lineRule="exact"/>
              <w:rPr>
                <w:sz w:val="20"/>
                <w:szCs w:val="20"/>
                <w:color w:val="auto"/>
              </w:rPr>
            </w:pPr>
            <w:r>
              <w:rPr>
                <w:rFonts w:ascii="Arial" w:cs="Arial" w:eastAsia="Arial" w:hAnsi="Arial"/>
                <w:sz w:val="16"/>
                <w:szCs w:val="16"/>
                <w:b w:val="1"/>
                <w:bCs w:val="1"/>
                <w:color w:val="0066BA"/>
              </w:rPr>
              <w:t>Cotter</w:t>
            </w:r>
          </w:p>
        </w:tc>
        <w:tc>
          <w:tcPr>
            <w:tcW w:w="80" w:type="dxa"/>
            <w:vAlign w:val="bottom"/>
            <w:tcBorders>
              <w:bottom w:val="single" w:sz="8" w:color="EAEAEA"/>
            </w:tcBorders>
            <w:shd w:val="clear" w:color="auto" w:fill="EAEAEA"/>
          </w:tcPr>
          <w:p>
            <w:pPr>
              <w:spacing w:after="0"/>
              <w:rPr>
                <w:sz w:val="14"/>
                <w:szCs w:val="14"/>
                <w:color w:val="auto"/>
              </w:rPr>
            </w:pPr>
          </w:p>
        </w:tc>
        <w:tc>
          <w:tcPr>
            <w:tcW w:w="700" w:type="dxa"/>
            <w:vAlign w:val="bottom"/>
            <w:tcBorders>
              <w:bottom w:val="single" w:sz="8" w:color="EAEAEA"/>
              <w:right w:val="single" w:sz="8" w:color="EAEAEA"/>
            </w:tcBorders>
            <w:vMerge w:val="continue"/>
            <w:shd w:val="clear" w:color="auto" w:fill="EAEAEA"/>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right w:val="single" w:sz="8" w:color="EAEAEA"/>
            </w:tcBorders>
            <w:vMerge w:val="continue"/>
          </w:tcPr>
          <w:p>
            <w:pPr>
              <w:spacing w:after="0"/>
              <w:rPr>
                <w:sz w:val="14"/>
                <w:szCs w:val="14"/>
                <w:color w:val="auto"/>
              </w:rPr>
            </w:pPr>
          </w:p>
        </w:tc>
        <w:tc>
          <w:tcPr>
            <w:tcW w:w="680" w:type="dxa"/>
            <w:vAlign w:val="bottom"/>
            <w:tcBorders>
              <w:bottom w:val="single" w:sz="8" w:color="EAEAEA"/>
              <w:right w:val="single" w:sz="8" w:color="EAEAEA"/>
            </w:tcBorders>
            <w:vMerge w:val="continue"/>
            <w:shd w:val="clear" w:color="auto" w:fill="EAEAEA"/>
          </w:tcPr>
          <w:p>
            <w:pPr>
              <w:spacing w:after="0"/>
              <w:rPr>
                <w:sz w:val="14"/>
                <w:szCs w:val="14"/>
                <w:color w:val="auto"/>
              </w:rPr>
            </w:pPr>
          </w:p>
        </w:tc>
        <w:tc>
          <w:tcPr>
            <w:tcW w:w="1060" w:type="dxa"/>
            <w:vAlign w:val="bottom"/>
            <w:tcBorders>
              <w:right w:val="single" w:sz="8" w:color="EAEAEA"/>
            </w:tcBorders>
            <w:vMerge w:val="continue"/>
          </w:tcPr>
          <w:p>
            <w:pPr>
              <w:spacing w:after="0"/>
              <w:rPr>
                <w:sz w:val="14"/>
                <w:szCs w:val="14"/>
                <w:color w:val="auto"/>
              </w:rPr>
            </w:pPr>
          </w:p>
        </w:tc>
        <w:tc>
          <w:tcPr>
            <w:tcW w:w="140" w:type="dxa"/>
            <w:vAlign w:val="bottom"/>
            <w:tcBorders>
              <w:bottom w:val="single" w:sz="8" w:color="EAEAEA"/>
            </w:tcBorders>
            <w:shd w:val="clear" w:color="auto" w:fill="EAEAEA"/>
          </w:tcPr>
          <w:p>
            <w:pPr>
              <w:spacing w:after="0"/>
              <w:rPr>
                <w:sz w:val="14"/>
                <w:szCs w:val="14"/>
                <w:color w:val="auto"/>
              </w:rPr>
            </w:pPr>
          </w:p>
        </w:tc>
        <w:tc>
          <w:tcPr>
            <w:tcW w:w="680" w:type="dxa"/>
            <w:vAlign w:val="bottom"/>
            <w:tcBorders>
              <w:bottom w:val="single" w:sz="8" w:color="EAEAEA"/>
              <w:right w:val="single" w:sz="8" w:color="EAEAEA"/>
            </w:tcBorders>
            <w:vMerge w:val="continue"/>
            <w:shd w:val="clear" w:color="auto" w:fill="EAEAEA"/>
          </w:tcPr>
          <w:p>
            <w:pPr>
              <w:spacing w:after="0"/>
              <w:rPr>
                <w:sz w:val="14"/>
                <w:szCs w:val="14"/>
                <w:color w:val="auto"/>
              </w:rPr>
            </w:pPr>
          </w:p>
        </w:tc>
        <w:tc>
          <w:tcPr>
            <w:tcW w:w="740" w:type="dxa"/>
            <w:vAlign w:val="bottom"/>
            <w:tcBorders>
              <w:right w:val="single" w:sz="8" w:color="EAEAEA"/>
            </w:tcBorders>
            <w:vMerge w:val="continue"/>
          </w:tcPr>
          <w:p>
            <w:pPr>
              <w:spacing w:after="0"/>
              <w:rPr>
                <w:sz w:val="14"/>
                <w:szCs w:val="14"/>
                <w:color w:val="auto"/>
              </w:rPr>
            </w:pPr>
          </w:p>
        </w:tc>
        <w:tc>
          <w:tcPr>
            <w:tcW w:w="740" w:type="dxa"/>
            <w:vAlign w:val="bottom"/>
            <w:tcBorders>
              <w:bottom w:val="single" w:sz="8" w:color="EAEAEA"/>
              <w:right w:val="single" w:sz="8" w:color="EAEAEA"/>
            </w:tcBorders>
            <w:vMerge w:val="continue"/>
            <w:shd w:val="clear" w:color="auto" w:fill="EAEAEA"/>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Borders>
              <w:bottom w:val="single" w:sz="8" w:color="EAEAEA"/>
            </w:tcBorders>
            <w:shd w:val="clear" w:color="auto" w:fill="EAEAEA"/>
          </w:tcPr>
          <w:p>
            <w:pPr>
              <w:spacing w:after="0"/>
              <w:rPr>
                <w:sz w:val="14"/>
                <w:szCs w:val="14"/>
                <w:color w:val="auto"/>
              </w:rPr>
            </w:pPr>
          </w:p>
        </w:tc>
        <w:tc>
          <w:tcPr>
            <w:tcW w:w="660" w:type="dxa"/>
            <w:vAlign w:val="bottom"/>
            <w:tcBorders>
              <w:bottom w:val="single" w:sz="8" w:color="EAEAEA"/>
              <w:right w:val="single" w:sz="8" w:color="EAEAEA"/>
            </w:tcBorders>
            <w:vMerge w:val="continue"/>
            <w:shd w:val="clear" w:color="auto" w:fill="EAEAEA"/>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Borders>
              <w:bottom w:val="single" w:sz="8" w:color="EAEAEA"/>
            </w:tcBorders>
            <w:shd w:val="clear" w:color="auto" w:fill="EAEAEA"/>
          </w:tcPr>
          <w:p>
            <w:pPr>
              <w:spacing w:after="0"/>
              <w:rPr>
                <w:sz w:val="14"/>
                <w:szCs w:val="14"/>
                <w:color w:val="auto"/>
              </w:rPr>
            </w:pPr>
          </w:p>
        </w:tc>
        <w:tc>
          <w:tcPr>
            <w:tcW w:w="640" w:type="dxa"/>
            <w:vAlign w:val="bottom"/>
            <w:tcBorders>
              <w:bottom w:val="single" w:sz="8" w:color="EAEAEA"/>
            </w:tcBorders>
            <w:vMerge w:val="continue"/>
            <w:shd w:val="clear" w:color="auto" w:fill="EAEAEA"/>
          </w:tcPr>
          <w:p>
            <w:pPr>
              <w:spacing w:after="0"/>
              <w:rPr>
                <w:sz w:val="14"/>
                <w:szCs w:val="14"/>
                <w:color w:val="auto"/>
              </w:rPr>
            </w:pPr>
          </w:p>
        </w:tc>
        <w:tc>
          <w:tcPr>
            <w:tcW w:w="240" w:type="dxa"/>
            <w:vAlign w:val="bottom"/>
            <w:tcBorders>
              <w:bottom w:val="single" w:sz="8" w:color="EAEAEA"/>
            </w:tcBorders>
            <w:vMerge w:val="continue"/>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340" w:type="dxa"/>
            <w:vAlign w:val="bottom"/>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700" w:type="dxa"/>
            <w:vAlign w:val="bottom"/>
            <w:tcBorders>
              <w:top w:val="single" w:sz="8" w:color="auto"/>
              <w:bottom w:val="single" w:sz="8" w:color="EAEAEA"/>
              <w:right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w w:val="89"/>
              </w:rPr>
              <w:t>3/11/2020</w:t>
            </w:r>
          </w:p>
        </w:tc>
        <w:tc>
          <w:tcPr>
            <w:tcW w:w="4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EAEAEA"/>
            </w:tcBorders>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EAEAEA"/>
              <w:right w:val="single" w:sz="8" w:color="EAEAEA"/>
            </w:tcBorders>
            <w:shd w:val="clear" w:color="auto" w:fill="EAEAEA"/>
          </w:tcPr>
          <w:p>
            <w:pPr>
              <w:ind w:left="480"/>
              <w:spacing w:after="0"/>
              <w:rPr>
                <w:sz w:val="20"/>
                <w:szCs w:val="20"/>
                <w:color w:val="auto"/>
              </w:rPr>
            </w:pPr>
            <w:r>
              <w:rPr>
                <w:rFonts w:ascii="Arial" w:cs="Arial" w:eastAsia="Arial" w:hAnsi="Arial"/>
                <w:sz w:val="16"/>
                <w:szCs w:val="16"/>
                <w:color w:val="auto"/>
                <w:w w:val="99"/>
              </w:rPr>
              <w:t>—</w:t>
            </w:r>
          </w:p>
        </w:tc>
        <w:tc>
          <w:tcPr>
            <w:tcW w:w="1060" w:type="dxa"/>
            <w:vAlign w:val="bottom"/>
            <w:tcBorders>
              <w:top w:val="single" w:sz="8" w:color="auto"/>
              <w:right w:val="single" w:sz="8" w:color="EAEAEA"/>
            </w:tcBorders>
          </w:tcPr>
          <w:p>
            <w:pPr>
              <w:jc w:val="right"/>
              <w:ind w:right="18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EAEAEA"/>
            </w:tcBorders>
            <w:shd w:val="clear" w:color="auto" w:fill="EAEAEA"/>
          </w:tcPr>
          <w:p>
            <w:pPr>
              <w:spacing w:after="0"/>
              <w:rPr>
                <w:sz w:val="20"/>
                <w:szCs w:val="20"/>
                <w:color w:val="auto"/>
              </w:rPr>
            </w:pPr>
          </w:p>
        </w:tc>
        <w:tc>
          <w:tcPr>
            <w:tcW w:w="68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right w:val="single" w:sz="8" w:color="EAEAEA"/>
            </w:tcBorders>
          </w:tcPr>
          <w:p>
            <w:pPr>
              <w:jc w:val="right"/>
              <w:ind w:right="63"/>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4,927</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60" w:type="dxa"/>
            <w:vAlign w:val="bottom"/>
            <w:tcBorders>
              <w:top w:val="single" w:sz="8" w:color="auto"/>
              <w:bottom w:val="single" w:sz="8" w:color="EAEAEA"/>
              <w:right w:val="single" w:sz="8" w:color="EAEAEA"/>
            </w:tcBorders>
            <w:shd w:val="clear" w:color="auto" w:fill="EAEAEA"/>
          </w:tcPr>
          <w:p>
            <w:pPr>
              <w:ind w:left="460"/>
              <w:spacing w:after="0"/>
              <w:rPr>
                <w:sz w:val="20"/>
                <w:szCs w:val="20"/>
                <w:color w:val="auto"/>
              </w:rPr>
            </w:pPr>
            <w:r>
              <w:rPr>
                <w:rFonts w:ascii="Arial" w:cs="Arial" w:eastAsia="Arial" w:hAnsi="Arial"/>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40" w:type="dxa"/>
            <w:vAlign w:val="bottom"/>
            <w:tcBorders>
              <w:top w:val="single" w:sz="8" w:color="auto"/>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w w:val="86"/>
              </w:rPr>
              <w:t>434,936</w:t>
            </w:r>
          </w:p>
        </w:tc>
        <w:tc>
          <w:tcPr>
            <w:tcW w:w="2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1"/>
              </w:rPr>
              <w:t>(7)</w:t>
            </w:r>
          </w:p>
        </w:tc>
        <w:tc>
          <w:tcPr>
            <w:tcW w:w="0" w:type="dxa"/>
            <w:vAlign w:val="bottom"/>
          </w:tcPr>
          <w:p>
            <w:pPr>
              <w:spacing w:after="0"/>
              <w:rPr>
                <w:sz w:val="1"/>
                <w:szCs w:val="1"/>
                <w:color w:val="auto"/>
              </w:rPr>
            </w:pPr>
          </w:p>
        </w:tc>
      </w:tr>
      <w:tr>
        <w:trPr>
          <w:trHeight w:val="240"/>
        </w:trPr>
        <w:tc>
          <w:tcPr>
            <w:tcW w:w="1340" w:type="dxa"/>
            <w:vAlign w:val="bottom"/>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700" w:type="dxa"/>
            <w:vAlign w:val="bottom"/>
            <w:tcBorders>
              <w:top w:val="single" w:sz="8" w:color="auto"/>
              <w:bottom w:val="single" w:sz="8" w:color="EAEAEA"/>
              <w:right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w w:val="89"/>
              </w:rPr>
              <w:t>3/11/2020</w:t>
            </w:r>
          </w:p>
        </w:tc>
        <w:tc>
          <w:tcPr>
            <w:tcW w:w="4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EAEAEA"/>
            </w:tcBorders>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EAEAEA"/>
              <w:right w:val="single" w:sz="8" w:color="EAEAEA"/>
            </w:tcBorders>
            <w:shd w:val="clear" w:color="auto" w:fill="EAEAEA"/>
          </w:tcPr>
          <w:p>
            <w:pPr>
              <w:ind w:left="480"/>
              <w:spacing w:after="0"/>
              <w:rPr>
                <w:sz w:val="20"/>
                <w:szCs w:val="20"/>
                <w:color w:val="auto"/>
              </w:rPr>
            </w:pPr>
            <w:r>
              <w:rPr>
                <w:rFonts w:ascii="Arial" w:cs="Arial" w:eastAsia="Arial" w:hAnsi="Arial"/>
                <w:sz w:val="16"/>
                <w:szCs w:val="16"/>
                <w:color w:val="auto"/>
                <w:w w:val="99"/>
              </w:rPr>
              <w:t>—</w:t>
            </w:r>
          </w:p>
        </w:tc>
        <w:tc>
          <w:tcPr>
            <w:tcW w:w="1060" w:type="dxa"/>
            <w:vAlign w:val="bottom"/>
            <w:tcBorders>
              <w:top w:val="single" w:sz="8" w:color="auto"/>
              <w:right w:val="single" w:sz="8" w:color="EAEAEA"/>
            </w:tcBorders>
          </w:tcPr>
          <w:p>
            <w:pPr>
              <w:jc w:val="right"/>
              <w:ind w:right="18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EAEAEA"/>
            </w:tcBorders>
            <w:shd w:val="clear" w:color="auto" w:fill="EAEAEA"/>
          </w:tcPr>
          <w:p>
            <w:pPr>
              <w:spacing w:after="0"/>
              <w:rPr>
                <w:sz w:val="20"/>
                <w:szCs w:val="20"/>
                <w:color w:val="auto"/>
              </w:rPr>
            </w:pPr>
          </w:p>
        </w:tc>
        <w:tc>
          <w:tcPr>
            <w:tcW w:w="68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right w:val="single" w:sz="8" w:color="EAEAEA"/>
            </w:tcBorders>
          </w:tcPr>
          <w:p>
            <w:pPr>
              <w:jc w:val="right"/>
              <w:ind w:right="63"/>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6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24,232</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94.41</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40" w:type="dxa"/>
            <w:vAlign w:val="bottom"/>
            <w:tcBorders>
              <w:top w:val="single" w:sz="8" w:color="auto"/>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w w:val="86"/>
              </w:rPr>
              <w:t>447,305</w:t>
            </w:r>
          </w:p>
        </w:tc>
        <w:tc>
          <w:tcPr>
            <w:tcW w:w="2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1"/>
              </w:rPr>
              <w:t>(8)</w:t>
            </w:r>
          </w:p>
        </w:tc>
        <w:tc>
          <w:tcPr>
            <w:tcW w:w="0" w:type="dxa"/>
            <w:vAlign w:val="bottom"/>
          </w:tcPr>
          <w:p>
            <w:pPr>
              <w:spacing w:after="0"/>
              <w:rPr>
                <w:sz w:val="1"/>
                <w:szCs w:val="1"/>
                <w:color w:val="auto"/>
              </w:rPr>
            </w:pPr>
          </w:p>
        </w:tc>
      </w:tr>
      <w:tr>
        <w:trPr>
          <w:trHeight w:val="253"/>
        </w:trPr>
        <w:tc>
          <w:tcPr>
            <w:tcW w:w="1340" w:type="dxa"/>
            <w:vAlign w:val="bottom"/>
            <w:tcBorders>
              <w:top w:val="single" w:sz="8" w:color="0066BA"/>
            </w:tcBorders>
          </w:tcPr>
          <w:p>
            <w:pPr>
              <w:spacing w:after="0"/>
              <w:rPr>
                <w:sz w:val="22"/>
                <w:szCs w:val="22"/>
                <w:color w:val="auto"/>
              </w:rPr>
            </w:pP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700" w:type="dxa"/>
            <w:vAlign w:val="bottom"/>
            <w:tcBorders>
              <w:top w:val="single" w:sz="8" w:color="0066BA"/>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N/A</w:t>
            </w:r>
          </w:p>
        </w:tc>
        <w:tc>
          <w:tcPr>
            <w:tcW w:w="40" w:type="dxa"/>
            <w:vAlign w:val="bottom"/>
            <w:tcBorders>
              <w:top w:val="single" w:sz="8" w:color="0066BA"/>
            </w:tcBorders>
          </w:tcPr>
          <w:p>
            <w:pPr>
              <w:spacing w:after="0"/>
              <w:rPr>
                <w:sz w:val="22"/>
                <w:szCs w:val="22"/>
                <w:color w:val="auto"/>
              </w:rPr>
            </w:pPr>
          </w:p>
        </w:tc>
        <w:tc>
          <w:tcPr>
            <w:tcW w:w="900" w:type="dxa"/>
            <w:vAlign w:val="bottom"/>
            <w:tcBorders>
              <w:top w:val="single" w:sz="8" w:color="0066BA"/>
              <w:right w:val="single" w:sz="8" w:color="EAEAEA"/>
            </w:tcBorders>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0066BA"/>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475,000</w:t>
            </w:r>
          </w:p>
        </w:tc>
        <w:tc>
          <w:tcPr>
            <w:tcW w:w="1060" w:type="dxa"/>
            <w:vAlign w:val="bottom"/>
            <w:tcBorders>
              <w:top w:val="single" w:sz="8" w:color="0066BA"/>
              <w:right w:val="single" w:sz="8" w:color="EAEAEA"/>
            </w:tcBorders>
          </w:tcPr>
          <w:p>
            <w:pPr>
              <w:jc w:val="right"/>
              <w:ind w:right="183"/>
              <w:spacing w:after="0"/>
              <w:rPr>
                <w:sz w:val="20"/>
                <w:szCs w:val="20"/>
                <w:color w:val="auto"/>
              </w:rPr>
            </w:pPr>
            <w:r>
              <w:rPr>
                <w:rFonts w:ascii="Arial" w:cs="Arial" w:eastAsia="Arial" w:hAnsi="Arial"/>
                <w:sz w:val="16"/>
                <w:szCs w:val="16"/>
                <w:color w:val="auto"/>
              </w:rPr>
              <w:t>1,425,000</w:t>
            </w:r>
          </w:p>
        </w:tc>
        <w:tc>
          <w:tcPr>
            <w:tcW w:w="140" w:type="dxa"/>
            <w:vAlign w:val="bottom"/>
            <w:tcBorders>
              <w:top w:val="single" w:sz="8" w:color="0066BA"/>
              <w:bottom w:val="single" w:sz="8" w:color="EAEAEA"/>
            </w:tcBorders>
            <w:shd w:val="clear" w:color="auto" w:fill="EAEAEA"/>
          </w:tcPr>
          <w:p>
            <w:pPr>
              <w:spacing w:after="0"/>
              <w:rPr>
                <w:sz w:val="22"/>
                <w:szCs w:val="22"/>
                <w:color w:val="auto"/>
              </w:rPr>
            </w:pPr>
          </w:p>
        </w:tc>
        <w:tc>
          <w:tcPr>
            <w:tcW w:w="680" w:type="dxa"/>
            <w:vAlign w:val="bottom"/>
            <w:tcBorders>
              <w:top w:val="single" w:sz="8" w:color="0066BA"/>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0066BA"/>
              <w:right w:val="single" w:sz="8" w:color="EAEAEA"/>
            </w:tcBorders>
          </w:tcPr>
          <w:p>
            <w:pPr>
              <w:jc w:val="right"/>
              <w:ind w:right="63"/>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0066BA"/>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0066BA"/>
            </w:tcBorders>
          </w:tcPr>
          <w:p>
            <w:pPr>
              <w:spacing w:after="0"/>
              <w:rPr>
                <w:sz w:val="22"/>
                <w:szCs w:val="22"/>
                <w:color w:val="auto"/>
              </w:rPr>
            </w:pPr>
          </w:p>
        </w:tc>
        <w:tc>
          <w:tcPr>
            <w:tcW w:w="70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660" w:type="dxa"/>
            <w:vAlign w:val="bottom"/>
            <w:tcBorders>
              <w:top w:val="single" w:sz="8" w:color="0066BA"/>
              <w:bottom w:val="single" w:sz="8" w:color="EAEAEA"/>
              <w:right w:val="single" w:sz="8" w:color="EAEAEA"/>
            </w:tcBorders>
            <w:shd w:val="clear" w:color="auto" w:fill="EAEAEA"/>
          </w:tcPr>
          <w:p>
            <w:pPr>
              <w:ind w:left="460"/>
              <w:spacing w:after="0"/>
              <w:rPr>
                <w:sz w:val="20"/>
                <w:szCs w:val="20"/>
                <w:color w:val="auto"/>
              </w:rPr>
            </w:pPr>
            <w:r>
              <w:rPr>
                <w:rFonts w:ascii="Arial" w:cs="Arial" w:eastAsia="Arial" w:hAnsi="Arial"/>
                <w:sz w:val="16"/>
                <w:szCs w:val="16"/>
                <w:color w:val="auto"/>
                <w:w w:val="99"/>
              </w:rPr>
              <w:t>—</w:t>
            </w:r>
          </w:p>
        </w:tc>
        <w:tc>
          <w:tcPr>
            <w:tcW w:w="60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64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0066BA"/>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134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John</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700" w:type="dxa"/>
            <w:vAlign w:val="bottom"/>
            <w:tcBorders>
              <w:top w:val="single" w:sz="8" w:color="auto"/>
              <w:bottom w:val="single" w:sz="8" w:color="EAEAEA"/>
              <w:right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w w:val="89"/>
                <w:shd w:val="clear" w:color="auto" w:fill="EAEAEA"/>
              </w:rPr>
              <w:t>3/11/2020</w:t>
            </w:r>
          </w:p>
        </w:tc>
        <w:tc>
          <w:tcPr>
            <w:tcW w:w="4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EAEAEA"/>
            </w:tcBorders>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EAEAEA"/>
              <w:right w:val="single" w:sz="8" w:color="EAEAEA"/>
            </w:tcBorders>
            <w:shd w:val="clear" w:color="auto" w:fill="EAEAEA"/>
          </w:tcPr>
          <w:p>
            <w:pPr>
              <w:ind w:left="480"/>
              <w:spacing w:after="0"/>
              <w:rPr>
                <w:sz w:val="20"/>
                <w:szCs w:val="20"/>
                <w:color w:val="auto"/>
              </w:rPr>
            </w:pPr>
            <w:r>
              <w:rPr>
                <w:rFonts w:ascii="Arial" w:cs="Arial" w:eastAsia="Arial" w:hAnsi="Arial"/>
                <w:sz w:val="16"/>
                <w:szCs w:val="16"/>
                <w:color w:val="auto"/>
                <w:w w:val="99"/>
              </w:rPr>
              <w:t>—</w:t>
            </w:r>
          </w:p>
        </w:tc>
        <w:tc>
          <w:tcPr>
            <w:tcW w:w="1060" w:type="dxa"/>
            <w:vAlign w:val="bottom"/>
            <w:tcBorders>
              <w:top w:val="single" w:sz="8" w:color="auto"/>
              <w:right w:val="single" w:sz="8" w:color="EAEAEA"/>
            </w:tcBorders>
          </w:tcPr>
          <w:p>
            <w:pPr>
              <w:jc w:val="right"/>
              <w:ind w:right="18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EAEAEA"/>
            </w:tcBorders>
            <w:shd w:val="clear" w:color="auto" w:fill="EAEAEA"/>
          </w:tcPr>
          <w:p>
            <w:pPr>
              <w:spacing w:after="0"/>
              <w:rPr>
                <w:sz w:val="20"/>
                <w:szCs w:val="20"/>
                <w:color w:val="auto"/>
              </w:rPr>
            </w:pPr>
          </w:p>
        </w:tc>
        <w:tc>
          <w:tcPr>
            <w:tcW w:w="68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right w:val="single" w:sz="8" w:color="EAEAEA"/>
            </w:tcBorders>
          </w:tcPr>
          <w:p>
            <w:pPr>
              <w:jc w:val="right"/>
              <w:ind w:right="63"/>
              <w:spacing w:after="0"/>
              <w:rPr>
                <w:sz w:val="20"/>
                <w:szCs w:val="20"/>
                <w:color w:val="auto"/>
              </w:rPr>
            </w:pPr>
            <w:r>
              <w:rPr>
                <w:rFonts w:ascii="Arial" w:cs="Arial" w:eastAsia="Arial" w:hAnsi="Arial"/>
                <w:sz w:val="16"/>
                <w:szCs w:val="16"/>
                <w:color w:val="auto"/>
              </w:rPr>
              <w:t>4,927</w:t>
            </w:r>
          </w:p>
        </w:tc>
        <w:tc>
          <w:tcPr>
            <w:tcW w:w="74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9,854</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60" w:type="dxa"/>
            <w:vAlign w:val="bottom"/>
            <w:tcBorders>
              <w:top w:val="single" w:sz="8" w:color="auto"/>
              <w:bottom w:val="single" w:sz="8" w:color="EAEAEA"/>
              <w:right w:val="single" w:sz="8" w:color="EAEAEA"/>
            </w:tcBorders>
            <w:shd w:val="clear" w:color="auto" w:fill="EAEAEA"/>
          </w:tcPr>
          <w:p>
            <w:pPr>
              <w:ind w:left="460"/>
              <w:spacing w:after="0"/>
              <w:rPr>
                <w:sz w:val="20"/>
                <w:szCs w:val="20"/>
                <w:color w:val="auto"/>
              </w:rPr>
            </w:pPr>
            <w:r>
              <w:rPr>
                <w:rFonts w:ascii="Arial" w:cs="Arial" w:eastAsia="Arial" w:hAnsi="Arial"/>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40" w:type="dxa"/>
            <w:vAlign w:val="bottom"/>
            <w:tcBorders>
              <w:top w:val="single" w:sz="8" w:color="auto"/>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w w:val="86"/>
              </w:rPr>
              <w:t>481,417</w:t>
            </w:r>
          </w:p>
        </w:tc>
        <w:tc>
          <w:tcPr>
            <w:tcW w:w="2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70"/>
        </w:trPr>
        <w:tc>
          <w:tcPr>
            <w:tcW w:w="1340" w:type="dxa"/>
            <w:vAlign w:val="bottom"/>
            <w:vMerge w:val="continue"/>
          </w:tcPr>
          <w:p>
            <w:pPr>
              <w:spacing w:after="0"/>
              <w:rPr>
                <w:sz w:val="6"/>
                <w:szCs w:val="6"/>
                <w:color w:val="auto"/>
              </w:rPr>
            </w:pPr>
          </w:p>
        </w:tc>
        <w:tc>
          <w:tcPr>
            <w:tcW w:w="80" w:type="dxa"/>
            <w:vAlign w:val="bottom"/>
            <w:tcBorders>
              <w:top w:val="single" w:sz="8" w:color="auto"/>
            </w:tcBorders>
            <w:shd w:val="clear" w:color="auto" w:fill="EAEAEA"/>
          </w:tcPr>
          <w:p>
            <w:pPr>
              <w:spacing w:after="0"/>
              <w:rPr>
                <w:sz w:val="6"/>
                <w:szCs w:val="6"/>
                <w:color w:val="auto"/>
              </w:rPr>
            </w:pPr>
          </w:p>
        </w:tc>
        <w:tc>
          <w:tcPr>
            <w:tcW w:w="700" w:type="dxa"/>
            <w:vAlign w:val="bottom"/>
            <w:tcBorders>
              <w:top w:val="single" w:sz="8" w:color="auto"/>
              <w:right w:val="single" w:sz="8" w:color="EAEAEA"/>
            </w:tcBorders>
            <w:vMerge w:val="restart"/>
            <w:shd w:val="clear" w:color="auto" w:fill="EAEAEA"/>
          </w:tcPr>
          <w:p>
            <w:pPr>
              <w:ind w:left="20"/>
              <w:spacing w:after="0"/>
              <w:rPr>
                <w:sz w:val="20"/>
                <w:szCs w:val="20"/>
                <w:color w:val="auto"/>
              </w:rPr>
            </w:pPr>
            <w:r>
              <w:rPr>
                <w:rFonts w:ascii="Arial" w:cs="Arial" w:eastAsia="Arial" w:hAnsi="Arial"/>
                <w:sz w:val="16"/>
                <w:szCs w:val="16"/>
                <w:color w:val="auto"/>
                <w:w w:val="89"/>
                <w:shd w:val="clear" w:color="auto" w:fill="EAEAEA"/>
              </w:rPr>
              <w:t>3/11/2020</w:t>
            </w:r>
          </w:p>
        </w:tc>
        <w:tc>
          <w:tcPr>
            <w:tcW w:w="40" w:type="dxa"/>
            <w:vAlign w:val="bottom"/>
            <w:tcBorders>
              <w:top w:val="single" w:sz="8" w:color="auto"/>
            </w:tcBorders>
          </w:tcPr>
          <w:p>
            <w:pPr>
              <w:spacing w:after="0"/>
              <w:rPr>
                <w:sz w:val="6"/>
                <w:szCs w:val="6"/>
                <w:color w:val="auto"/>
              </w:rPr>
            </w:pPr>
          </w:p>
        </w:tc>
        <w:tc>
          <w:tcPr>
            <w:tcW w:w="900" w:type="dxa"/>
            <w:vAlign w:val="bottom"/>
            <w:tcBorders>
              <w:top w:val="single" w:sz="8" w:color="auto"/>
              <w:right w:val="single" w:sz="8" w:color="EAEAEA"/>
            </w:tcBorders>
            <w:vMerge w:val="restart"/>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right w:val="single" w:sz="8" w:color="EAEAEA"/>
            </w:tcBorders>
            <w:vMerge w:val="restart"/>
            <w:shd w:val="clear" w:color="auto" w:fill="EAEAEA"/>
          </w:tcPr>
          <w:p>
            <w:pPr>
              <w:ind w:left="480"/>
              <w:spacing w:after="0"/>
              <w:rPr>
                <w:sz w:val="20"/>
                <w:szCs w:val="20"/>
                <w:color w:val="auto"/>
              </w:rPr>
            </w:pPr>
            <w:r>
              <w:rPr>
                <w:rFonts w:ascii="Arial" w:cs="Arial" w:eastAsia="Arial" w:hAnsi="Arial"/>
                <w:sz w:val="16"/>
                <w:szCs w:val="16"/>
                <w:color w:val="auto"/>
                <w:w w:val="99"/>
              </w:rPr>
              <w:t>—</w:t>
            </w:r>
          </w:p>
        </w:tc>
        <w:tc>
          <w:tcPr>
            <w:tcW w:w="1060" w:type="dxa"/>
            <w:vAlign w:val="bottom"/>
            <w:tcBorders>
              <w:top w:val="single" w:sz="8" w:color="auto"/>
              <w:right w:val="single" w:sz="8" w:color="EAEAEA"/>
            </w:tcBorders>
            <w:vMerge w:val="restart"/>
          </w:tcPr>
          <w:p>
            <w:pPr>
              <w:jc w:val="right"/>
              <w:ind w:right="18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shd w:val="clear" w:color="auto" w:fill="EAEAEA"/>
          </w:tcPr>
          <w:p>
            <w:pPr>
              <w:spacing w:after="0"/>
              <w:rPr>
                <w:sz w:val="6"/>
                <w:szCs w:val="6"/>
                <w:color w:val="auto"/>
              </w:rPr>
            </w:pPr>
          </w:p>
        </w:tc>
        <w:tc>
          <w:tcPr>
            <w:tcW w:w="680" w:type="dxa"/>
            <w:vAlign w:val="bottom"/>
            <w:tcBorders>
              <w:top w:val="single" w:sz="8" w:color="auto"/>
              <w:right w:val="single" w:sz="8" w:color="EAEAEA"/>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right w:val="single" w:sz="8" w:color="EAEAEA"/>
            </w:tcBorders>
            <w:vMerge w:val="restart"/>
          </w:tcPr>
          <w:p>
            <w:pPr>
              <w:jc w:val="right"/>
              <w:ind w:right="63"/>
              <w:spacing w:after="0"/>
              <w:rPr>
                <w:sz w:val="20"/>
                <w:szCs w:val="20"/>
                <w:color w:val="auto"/>
              </w:rPr>
            </w:pPr>
            <w:r>
              <w:rPr>
                <w:rFonts w:ascii="Arial" w:cs="Arial" w:eastAsia="Arial" w:hAnsi="Arial"/>
                <w:sz w:val="16"/>
                <w:szCs w:val="16"/>
                <w:color w:val="auto"/>
              </w:rPr>
              <w:t>4,927</w:t>
            </w:r>
          </w:p>
        </w:tc>
        <w:tc>
          <w:tcPr>
            <w:tcW w:w="740" w:type="dxa"/>
            <w:vAlign w:val="bottom"/>
            <w:tcBorders>
              <w:top w:val="single" w:sz="8" w:color="auto"/>
              <w:right w:val="single" w:sz="8" w:color="EAEAEA"/>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9,854</w:t>
            </w:r>
          </w:p>
        </w:tc>
        <w:tc>
          <w:tcPr>
            <w:tcW w:w="1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6"/>
                <w:szCs w:val="6"/>
                <w:color w:val="auto"/>
              </w:rPr>
            </w:pPr>
          </w:p>
        </w:tc>
        <w:tc>
          <w:tcPr>
            <w:tcW w:w="660" w:type="dxa"/>
            <w:vAlign w:val="bottom"/>
            <w:tcBorders>
              <w:top w:val="single" w:sz="8" w:color="auto"/>
              <w:right w:val="single" w:sz="8" w:color="EAEAEA"/>
            </w:tcBorders>
            <w:vMerge w:val="restart"/>
            <w:shd w:val="clear" w:color="auto" w:fill="EAEAEA"/>
          </w:tcPr>
          <w:p>
            <w:pPr>
              <w:ind w:left="460"/>
              <w:spacing w:after="0"/>
              <w:rPr>
                <w:sz w:val="20"/>
                <w:szCs w:val="20"/>
                <w:color w:val="auto"/>
              </w:rPr>
            </w:pPr>
            <w:r>
              <w:rPr>
                <w:rFonts w:ascii="Arial" w:cs="Arial" w:eastAsia="Arial" w:hAnsi="Arial"/>
                <w:sz w:val="16"/>
                <w:szCs w:val="16"/>
                <w:color w:val="auto"/>
                <w:w w:val="99"/>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6"/>
                <w:szCs w:val="6"/>
                <w:color w:val="auto"/>
              </w:rPr>
            </w:pPr>
          </w:p>
        </w:tc>
        <w:tc>
          <w:tcPr>
            <w:tcW w:w="640" w:type="dxa"/>
            <w:vAlign w:val="bottom"/>
            <w:tcBorders>
              <w:top w:val="single" w:sz="8" w:color="auto"/>
            </w:tcBorders>
            <w:vMerge w:val="restart"/>
            <w:shd w:val="clear" w:color="auto" w:fill="EAEAEA"/>
          </w:tcPr>
          <w:p>
            <w:pPr>
              <w:ind w:left="120"/>
              <w:spacing w:after="0"/>
              <w:rPr>
                <w:sz w:val="20"/>
                <w:szCs w:val="20"/>
                <w:color w:val="auto"/>
              </w:rPr>
            </w:pPr>
            <w:r>
              <w:rPr>
                <w:rFonts w:ascii="Arial" w:cs="Arial" w:eastAsia="Arial" w:hAnsi="Arial"/>
                <w:sz w:val="16"/>
                <w:szCs w:val="16"/>
                <w:color w:val="auto"/>
                <w:w w:val="86"/>
              </w:rPr>
              <w:t>434,936</w:t>
            </w:r>
          </w:p>
        </w:tc>
        <w:tc>
          <w:tcPr>
            <w:tcW w:w="24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170"/>
        </w:trPr>
        <w:tc>
          <w:tcPr>
            <w:tcW w:w="1340" w:type="dxa"/>
            <w:vAlign w:val="bottom"/>
          </w:tcPr>
          <w:p>
            <w:pPr>
              <w:ind w:left="60"/>
              <w:spacing w:after="0" w:line="170" w:lineRule="exact"/>
              <w:rPr>
                <w:sz w:val="20"/>
                <w:szCs w:val="20"/>
                <w:color w:val="auto"/>
              </w:rPr>
            </w:pPr>
            <w:r>
              <w:rPr>
                <w:rFonts w:ascii="Arial" w:cs="Arial" w:eastAsia="Arial" w:hAnsi="Arial"/>
                <w:sz w:val="16"/>
                <w:szCs w:val="16"/>
                <w:b w:val="1"/>
                <w:bCs w:val="1"/>
                <w:color w:val="0066BA"/>
              </w:rPr>
              <w:t>Hassett</w:t>
            </w:r>
          </w:p>
        </w:tc>
        <w:tc>
          <w:tcPr>
            <w:tcW w:w="80" w:type="dxa"/>
            <w:vAlign w:val="bottom"/>
            <w:tcBorders>
              <w:bottom w:val="single" w:sz="8" w:color="EAEAEA"/>
            </w:tcBorders>
            <w:shd w:val="clear" w:color="auto" w:fill="EAEAEA"/>
          </w:tcPr>
          <w:p>
            <w:pPr>
              <w:spacing w:after="0"/>
              <w:rPr>
                <w:sz w:val="14"/>
                <w:szCs w:val="14"/>
                <w:color w:val="auto"/>
              </w:rPr>
            </w:pPr>
          </w:p>
        </w:tc>
        <w:tc>
          <w:tcPr>
            <w:tcW w:w="700" w:type="dxa"/>
            <w:vAlign w:val="bottom"/>
            <w:tcBorders>
              <w:bottom w:val="single" w:sz="8" w:color="EAEAEA"/>
              <w:right w:val="single" w:sz="8" w:color="EAEAEA"/>
            </w:tcBorders>
            <w:vMerge w:val="continue"/>
            <w:shd w:val="clear" w:color="auto" w:fill="EAEAEA"/>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right w:val="single" w:sz="8" w:color="EAEAEA"/>
            </w:tcBorders>
            <w:vMerge w:val="continue"/>
          </w:tcPr>
          <w:p>
            <w:pPr>
              <w:spacing w:after="0"/>
              <w:rPr>
                <w:sz w:val="14"/>
                <w:szCs w:val="14"/>
                <w:color w:val="auto"/>
              </w:rPr>
            </w:pPr>
          </w:p>
        </w:tc>
        <w:tc>
          <w:tcPr>
            <w:tcW w:w="680" w:type="dxa"/>
            <w:vAlign w:val="bottom"/>
            <w:tcBorders>
              <w:bottom w:val="single" w:sz="8" w:color="EAEAEA"/>
              <w:right w:val="single" w:sz="8" w:color="EAEAEA"/>
            </w:tcBorders>
            <w:vMerge w:val="continue"/>
            <w:shd w:val="clear" w:color="auto" w:fill="EAEAEA"/>
          </w:tcPr>
          <w:p>
            <w:pPr>
              <w:spacing w:after="0"/>
              <w:rPr>
                <w:sz w:val="14"/>
                <w:szCs w:val="14"/>
                <w:color w:val="auto"/>
              </w:rPr>
            </w:pPr>
          </w:p>
        </w:tc>
        <w:tc>
          <w:tcPr>
            <w:tcW w:w="1060" w:type="dxa"/>
            <w:vAlign w:val="bottom"/>
            <w:tcBorders>
              <w:right w:val="single" w:sz="8" w:color="EAEAEA"/>
            </w:tcBorders>
            <w:vMerge w:val="continue"/>
          </w:tcPr>
          <w:p>
            <w:pPr>
              <w:spacing w:after="0"/>
              <w:rPr>
                <w:sz w:val="14"/>
                <w:szCs w:val="14"/>
                <w:color w:val="auto"/>
              </w:rPr>
            </w:pPr>
          </w:p>
        </w:tc>
        <w:tc>
          <w:tcPr>
            <w:tcW w:w="140" w:type="dxa"/>
            <w:vAlign w:val="bottom"/>
            <w:tcBorders>
              <w:bottom w:val="single" w:sz="8" w:color="EAEAEA"/>
            </w:tcBorders>
            <w:shd w:val="clear" w:color="auto" w:fill="EAEAEA"/>
          </w:tcPr>
          <w:p>
            <w:pPr>
              <w:spacing w:after="0"/>
              <w:rPr>
                <w:sz w:val="14"/>
                <w:szCs w:val="14"/>
                <w:color w:val="auto"/>
              </w:rPr>
            </w:pPr>
          </w:p>
        </w:tc>
        <w:tc>
          <w:tcPr>
            <w:tcW w:w="680" w:type="dxa"/>
            <w:vAlign w:val="bottom"/>
            <w:tcBorders>
              <w:bottom w:val="single" w:sz="8" w:color="EAEAEA"/>
              <w:right w:val="single" w:sz="8" w:color="EAEAEA"/>
            </w:tcBorders>
            <w:vMerge w:val="continue"/>
            <w:shd w:val="clear" w:color="auto" w:fill="EAEAEA"/>
          </w:tcPr>
          <w:p>
            <w:pPr>
              <w:spacing w:after="0"/>
              <w:rPr>
                <w:sz w:val="14"/>
                <w:szCs w:val="14"/>
                <w:color w:val="auto"/>
              </w:rPr>
            </w:pPr>
          </w:p>
        </w:tc>
        <w:tc>
          <w:tcPr>
            <w:tcW w:w="740" w:type="dxa"/>
            <w:vAlign w:val="bottom"/>
            <w:tcBorders>
              <w:right w:val="single" w:sz="8" w:color="EAEAEA"/>
            </w:tcBorders>
            <w:vMerge w:val="continue"/>
          </w:tcPr>
          <w:p>
            <w:pPr>
              <w:spacing w:after="0"/>
              <w:rPr>
                <w:sz w:val="14"/>
                <w:szCs w:val="14"/>
                <w:color w:val="auto"/>
              </w:rPr>
            </w:pPr>
          </w:p>
        </w:tc>
        <w:tc>
          <w:tcPr>
            <w:tcW w:w="740" w:type="dxa"/>
            <w:vAlign w:val="bottom"/>
            <w:tcBorders>
              <w:bottom w:val="single" w:sz="8" w:color="EAEAEA"/>
              <w:right w:val="single" w:sz="8" w:color="EAEAEA"/>
            </w:tcBorders>
            <w:vMerge w:val="continue"/>
            <w:shd w:val="clear" w:color="auto" w:fill="EAEAEA"/>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Borders>
              <w:bottom w:val="single" w:sz="8" w:color="EAEAEA"/>
            </w:tcBorders>
            <w:shd w:val="clear" w:color="auto" w:fill="EAEAEA"/>
          </w:tcPr>
          <w:p>
            <w:pPr>
              <w:spacing w:after="0"/>
              <w:rPr>
                <w:sz w:val="14"/>
                <w:szCs w:val="14"/>
                <w:color w:val="auto"/>
              </w:rPr>
            </w:pPr>
          </w:p>
        </w:tc>
        <w:tc>
          <w:tcPr>
            <w:tcW w:w="660" w:type="dxa"/>
            <w:vAlign w:val="bottom"/>
            <w:tcBorders>
              <w:bottom w:val="single" w:sz="8" w:color="EAEAEA"/>
              <w:right w:val="single" w:sz="8" w:color="EAEAEA"/>
            </w:tcBorders>
            <w:vMerge w:val="continue"/>
            <w:shd w:val="clear" w:color="auto" w:fill="EAEAEA"/>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Borders>
              <w:bottom w:val="single" w:sz="8" w:color="EAEAEA"/>
            </w:tcBorders>
            <w:shd w:val="clear" w:color="auto" w:fill="EAEAEA"/>
          </w:tcPr>
          <w:p>
            <w:pPr>
              <w:spacing w:after="0"/>
              <w:rPr>
                <w:sz w:val="14"/>
                <w:szCs w:val="14"/>
                <w:color w:val="auto"/>
              </w:rPr>
            </w:pPr>
          </w:p>
        </w:tc>
        <w:tc>
          <w:tcPr>
            <w:tcW w:w="640" w:type="dxa"/>
            <w:vAlign w:val="bottom"/>
            <w:tcBorders>
              <w:bottom w:val="single" w:sz="8" w:color="EAEAEA"/>
            </w:tcBorders>
            <w:vMerge w:val="continue"/>
            <w:shd w:val="clear" w:color="auto" w:fill="EAEAEA"/>
          </w:tcPr>
          <w:p>
            <w:pPr>
              <w:spacing w:after="0"/>
              <w:rPr>
                <w:sz w:val="14"/>
                <w:szCs w:val="14"/>
                <w:color w:val="auto"/>
              </w:rPr>
            </w:pPr>
          </w:p>
        </w:tc>
        <w:tc>
          <w:tcPr>
            <w:tcW w:w="240" w:type="dxa"/>
            <w:vAlign w:val="bottom"/>
            <w:tcBorders>
              <w:bottom w:val="single" w:sz="8" w:color="EAEAEA"/>
            </w:tcBorders>
            <w:vMerge w:val="continue"/>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340" w:type="dxa"/>
            <w:vAlign w:val="bottom"/>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700" w:type="dxa"/>
            <w:vAlign w:val="bottom"/>
            <w:tcBorders>
              <w:top w:val="single" w:sz="8" w:color="auto"/>
              <w:bottom w:val="single" w:sz="8" w:color="EAEAEA"/>
              <w:right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w w:val="89"/>
              </w:rPr>
              <w:t>3/11/2020</w:t>
            </w:r>
          </w:p>
        </w:tc>
        <w:tc>
          <w:tcPr>
            <w:tcW w:w="4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EAEAEA"/>
            </w:tcBorders>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EAEAEA"/>
              <w:right w:val="single" w:sz="8" w:color="EAEAEA"/>
            </w:tcBorders>
            <w:shd w:val="clear" w:color="auto" w:fill="EAEAEA"/>
          </w:tcPr>
          <w:p>
            <w:pPr>
              <w:ind w:left="480"/>
              <w:spacing w:after="0"/>
              <w:rPr>
                <w:sz w:val="20"/>
                <w:szCs w:val="20"/>
                <w:color w:val="auto"/>
              </w:rPr>
            </w:pPr>
            <w:r>
              <w:rPr>
                <w:rFonts w:ascii="Arial" w:cs="Arial" w:eastAsia="Arial" w:hAnsi="Arial"/>
                <w:sz w:val="16"/>
                <w:szCs w:val="16"/>
                <w:color w:val="auto"/>
                <w:w w:val="99"/>
              </w:rPr>
              <w:t>—</w:t>
            </w:r>
          </w:p>
        </w:tc>
        <w:tc>
          <w:tcPr>
            <w:tcW w:w="1060" w:type="dxa"/>
            <w:vAlign w:val="bottom"/>
            <w:tcBorders>
              <w:top w:val="single" w:sz="8" w:color="auto"/>
              <w:right w:val="single" w:sz="8" w:color="EAEAEA"/>
            </w:tcBorders>
          </w:tcPr>
          <w:p>
            <w:pPr>
              <w:jc w:val="right"/>
              <w:ind w:right="18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EAEAEA"/>
            </w:tcBorders>
            <w:shd w:val="clear" w:color="auto" w:fill="EAEAEA"/>
          </w:tcPr>
          <w:p>
            <w:pPr>
              <w:spacing w:after="0"/>
              <w:rPr>
                <w:sz w:val="20"/>
                <w:szCs w:val="20"/>
                <w:color w:val="auto"/>
              </w:rPr>
            </w:pPr>
          </w:p>
        </w:tc>
        <w:tc>
          <w:tcPr>
            <w:tcW w:w="68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right w:val="single" w:sz="8" w:color="EAEAEA"/>
            </w:tcBorders>
          </w:tcPr>
          <w:p>
            <w:pPr>
              <w:jc w:val="right"/>
              <w:ind w:right="63"/>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4,927</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60" w:type="dxa"/>
            <w:vAlign w:val="bottom"/>
            <w:tcBorders>
              <w:top w:val="single" w:sz="8" w:color="auto"/>
              <w:bottom w:val="single" w:sz="8" w:color="EAEAEA"/>
              <w:right w:val="single" w:sz="8" w:color="EAEAEA"/>
            </w:tcBorders>
            <w:shd w:val="clear" w:color="auto" w:fill="EAEAEA"/>
          </w:tcPr>
          <w:p>
            <w:pPr>
              <w:ind w:left="460"/>
              <w:spacing w:after="0"/>
              <w:rPr>
                <w:sz w:val="20"/>
                <w:szCs w:val="20"/>
                <w:color w:val="auto"/>
              </w:rPr>
            </w:pPr>
            <w:r>
              <w:rPr>
                <w:rFonts w:ascii="Arial" w:cs="Arial" w:eastAsia="Arial" w:hAnsi="Arial"/>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40" w:type="dxa"/>
            <w:vAlign w:val="bottom"/>
            <w:tcBorders>
              <w:top w:val="single" w:sz="8" w:color="auto"/>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w w:val="86"/>
              </w:rPr>
              <w:t>434,936</w:t>
            </w:r>
          </w:p>
        </w:tc>
        <w:tc>
          <w:tcPr>
            <w:tcW w:w="2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1"/>
              </w:rPr>
              <w:t>(7)</w:t>
            </w:r>
          </w:p>
        </w:tc>
        <w:tc>
          <w:tcPr>
            <w:tcW w:w="0" w:type="dxa"/>
            <w:vAlign w:val="bottom"/>
          </w:tcPr>
          <w:p>
            <w:pPr>
              <w:spacing w:after="0"/>
              <w:rPr>
                <w:sz w:val="1"/>
                <w:szCs w:val="1"/>
                <w:color w:val="auto"/>
              </w:rPr>
            </w:pPr>
          </w:p>
        </w:tc>
      </w:tr>
      <w:tr>
        <w:trPr>
          <w:trHeight w:val="240"/>
        </w:trPr>
        <w:tc>
          <w:tcPr>
            <w:tcW w:w="1340" w:type="dxa"/>
            <w:vAlign w:val="bottom"/>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700" w:type="dxa"/>
            <w:vAlign w:val="bottom"/>
            <w:tcBorders>
              <w:top w:val="single" w:sz="8" w:color="auto"/>
              <w:bottom w:val="single" w:sz="8" w:color="EAEAEA"/>
              <w:right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w w:val="89"/>
              </w:rPr>
              <w:t>3/11/2020</w:t>
            </w:r>
          </w:p>
        </w:tc>
        <w:tc>
          <w:tcPr>
            <w:tcW w:w="4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EAEAEA"/>
            </w:tcBorders>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EAEAEA"/>
              <w:right w:val="single" w:sz="8" w:color="EAEAEA"/>
            </w:tcBorders>
            <w:shd w:val="clear" w:color="auto" w:fill="EAEAEA"/>
          </w:tcPr>
          <w:p>
            <w:pPr>
              <w:ind w:left="480"/>
              <w:spacing w:after="0"/>
              <w:rPr>
                <w:sz w:val="20"/>
                <w:szCs w:val="20"/>
                <w:color w:val="auto"/>
              </w:rPr>
            </w:pPr>
            <w:r>
              <w:rPr>
                <w:rFonts w:ascii="Arial" w:cs="Arial" w:eastAsia="Arial" w:hAnsi="Arial"/>
                <w:sz w:val="16"/>
                <w:szCs w:val="16"/>
                <w:color w:val="auto"/>
                <w:w w:val="99"/>
              </w:rPr>
              <w:t>—</w:t>
            </w:r>
          </w:p>
        </w:tc>
        <w:tc>
          <w:tcPr>
            <w:tcW w:w="1060" w:type="dxa"/>
            <w:vAlign w:val="bottom"/>
            <w:tcBorders>
              <w:top w:val="single" w:sz="8" w:color="auto"/>
              <w:right w:val="single" w:sz="8" w:color="EAEAEA"/>
            </w:tcBorders>
          </w:tcPr>
          <w:p>
            <w:pPr>
              <w:jc w:val="right"/>
              <w:ind w:right="18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EAEAEA"/>
            </w:tcBorders>
            <w:shd w:val="clear" w:color="auto" w:fill="EAEAEA"/>
          </w:tcPr>
          <w:p>
            <w:pPr>
              <w:spacing w:after="0"/>
              <w:rPr>
                <w:sz w:val="20"/>
                <w:szCs w:val="20"/>
                <w:color w:val="auto"/>
              </w:rPr>
            </w:pPr>
          </w:p>
        </w:tc>
        <w:tc>
          <w:tcPr>
            <w:tcW w:w="68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right w:val="single" w:sz="8" w:color="EAEAEA"/>
            </w:tcBorders>
          </w:tcPr>
          <w:p>
            <w:pPr>
              <w:jc w:val="right"/>
              <w:ind w:right="63"/>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6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24,232</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94.41</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40" w:type="dxa"/>
            <w:vAlign w:val="bottom"/>
            <w:tcBorders>
              <w:top w:val="single" w:sz="8" w:color="auto"/>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w w:val="86"/>
              </w:rPr>
              <w:t>447,305</w:t>
            </w:r>
          </w:p>
        </w:tc>
        <w:tc>
          <w:tcPr>
            <w:tcW w:w="2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1"/>
              </w:rPr>
              <w:t>(8)</w:t>
            </w:r>
          </w:p>
        </w:tc>
        <w:tc>
          <w:tcPr>
            <w:tcW w:w="0" w:type="dxa"/>
            <w:vAlign w:val="bottom"/>
          </w:tcPr>
          <w:p>
            <w:pPr>
              <w:spacing w:after="0"/>
              <w:rPr>
                <w:sz w:val="1"/>
                <w:szCs w:val="1"/>
                <w:color w:val="auto"/>
              </w:rPr>
            </w:pPr>
          </w:p>
        </w:tc>
      </w:tr>
      <w:tr>
        <w:trPr>
          <w:trHeight w:val="253"/>
        </w:trPr>
        <w:tc>
          <w:tcPr>
            <w:tcW w:w="1340" w:type="dxa"/>
            <w:vAlign w:val="bottom"/>
            <w:tcBorders>
              <w:top w:val="single" w:sz="8" w:color="0066BA"/>
            </w:tcBorders>
          </w:tcPr>
          <w:p>
            <w:pPr>
              <w:spacing w:after="0"/>
              <w:rPr>
                <w:sz w:val="22"/>
                <w:szCs w:val="22"/>
                <w:color w:val="auto"/>
              </w:rPr>
            </w:pP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700" w:type="dxa"/>
            <w:vAlign w:val="bottom"/>
            <w:tcBorders>
              <w:top w:val="single" w:sz="8" w:color="0066BA"/>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N/A</w:t>
            </w:r>
          </w:p>
        </w:tc>
        <w:tc>
          <w:tcPr>
            <w:tcW w:w="40" w:type="dxa"/>
            <w:vAlign w:val="bottom"/>
            <w:tcBorders>
              <w:top w:val="single" w:sz="8" w:color="0066BA"/>
            </w:tcBorders>
          </w:tcPr>
          <w:p>
            <w:pPr>
              <w:spacing w:after="0"/>
              <w:rPr>
                <w:sz w:val="22"/>
                <w:szCs w:val="22"/>
                <w:color w:val="auto"/>
              </w:rPr>
            </w:pPr>
          </w:p>
        </w:tc>
        <w:tc>
          <w:tcPr>
            <w:tcW w:w="900" w:type="dxa"/>
            <w:vAlign w:val="bottom"/>
            <w:tcBorders>
              <w:top w:val="single" w:sz="8" w:color="0066BA"/>
              <w:right w:val="single" w:sz="8" w:color="EAEAEA"/>
            </w:tcBorders>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0066BA"/>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450,000</w:t>
            </w:r>
          </w:p>
        </w:tc>
        <w:tc>
          <w:tcPr>
            <w:tcW w:w="1060" w:type="dxa"/>
            <w:vAlign w:val="bottom"/>
            <w:tcBorders>
              <w:top w:val="single" w:sz="8" w:color="0066BA"/>
              <w:right w:val="single" w:sz="8" w:color="EAEAEA"/>
            </w:tcBorders>
          </w:tcPr>
          <w:p>
            <w:pPr>
              <w:jc w:val="right"/>
              <w:ind w:right="183"/>
              <w:spacing w:after="0"/>
              <w:rPr>
                <w:sz w:val="20"/>
                <w:szCs w:val="20"/>
                <w:color w:val="auto"/>
              </w:rPr>
            </w:pPr>
            <w:r>
              <w:rPr>
                <w:rFonts w:ascii="Arial" w:cs="Arial" w:eastAsia="Arial" w:hAnsi="Arial"/>
                <w:sz w:val="16"/>
                <w:szCs w:val="16"/>
                <w:color w:val="auto"/>
              </w:rPr>
              <w:t>1,350,000</w:t>
            </w:r>
          </w:p>
        </w:tc>
        <w:tc>
          <w:tcPr>
            <w:tcW w:w="140" w:type="dxa"/>
            <w:vAlign w:val="bottom"/>
            <w:tcBorders>
              <w:top w:val="single" w:sz="8" w:color="0066BA"/>
              <w:bottom w:val="single" w:sz="8" w:color="EAEAEA"/>
            </w:tcBorders>
            <w:shd w:val="clear" w:color="auto" w:fill="EAEAEA"/>
          </w:tcPr>
          <w:p>
            <w:pPr>
              <w:spacing w:after="0"/>
              <w:rPr>
                <w:sz w:val="22"/>
                <w:szCs w:val="22"/>
                <w:color w:val="auto"/>
              </w:rPr>
            </w:pPr>
          </w:p>
        </w:tc>
        <w:tc>
          <w:tcPr>
            <w:tcW w:w="680" w:type="dxa"/>
            <w:vAlign w:val="bottom"/>
            <w:tcBorders>
              <w:top w:val="single" w:sz="8" w:color="0066BA"/>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0066BA"/>
              <w:right w:val="single" w:sz="8" w:color="EAEAEA"/>
            </w:tcBorders>
          </w:tcPr>
          <w:p>
            <w:pPr>
              <w:jc w:val="right"/>
              <w:ind w:right="63"/>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0066BA"/>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0066BA"/>
            </w:tcBorders>
          </w:tcPr>
          <w:p>
            <w:pPr>
              <w:spacing w:after="0"/>
              <w:rPr>
                <w:sz w:val="22"/>
                <w:szCs w:val="22"/>
                <w:color w:val="auto"/>
              </w:rPr>
            </w:pPr>
          </w:p>
        </w:tc>
        <w:tc>
          <w:tcPr>
            <w:tcW w:w="70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660" w:type="dxa"/>
            <w:vAlign w:val="bottom"/>
            <w:tcBorders>
              <w:top w:val="single" w:sz="8" w:color="0066BA"/>
              <w:bottom w:val="single" w:sz="8" w:color="EAEAEA"/>
              <w:right w:val="single" w:sz="8" w:color="EAEAEA"/>
            </w:tcBorders>
            <w:shd w:val="clear" w:color="auto" w:fill="EAEAEA"/>
          </w:tcPr>
          <w:p>
            <w:pPr>
              <w:ind w:left="460"/>
              <w:spacing w:after="0"/>
              <w:rPr>
                <w:sz w:val="20"/>
                <w:szCs w:val="20"/>
                <w:color w:val="auto"/>
              </w:rPr>
            </w:pPr>
            <w:r>
              <w:rPr>
                <w:rFonts w:ascii="Arial" w:cs="Arial" w:eastAsia="Arial" w:hAnsi="Arial"/>
                <w:sz w:val="16"/>
                <w:szCs w:val="16"/>
                <w:color w:val="auto"/>
                <w:w w:val="99"/>
              </w:rPr>
              <w:t>—</w:t>
            </w:r>
          </w:p>
        </w:tc>
        <w:tc>
          <w:tcPr>
            <w:tcW w:w="60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64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0066BA"/>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134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Steve</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700" w:type="dxa"/>
            <w:vAlign w:val="bottom"/>
            <w:tcBorders>
              <w:top w:val="single" w:sz="8" w:color="auto"/>
              <w:bottom w:val="single" w:sz="8" w:color="EAEAEA"/>
              <w:right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w w:val="89"/>
                <w:shd w:val="clear" w:color="auto" w:fill="EAEAEA"/>
              </w:rPr>
              <w:t>3/11/2020</w:t>
            </w:r>
          </w:p>
        </w:tc>
        <w:tc>
          <w:tcPr>
            <w:tcW w:w="4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EAEAEA"/>
            </w:tcBorders>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EAEAEA"/>
              <w:right w:val="single" w:sz="8" w:color="EAEAEA"/>
            </w:tcBorders>
            <w:shd w:val="clear" w:color="auto" w:fill="EAEAEA"/>
          </w:tcPr>
          <w:p>
            <w:pPr>
              <w:ind w:left="480"/>
              <w:spacing w:after="0"/>
              <w:rPr>
                <w:sz w:val="20"/>
                <w:szCs w:val="20"/>
                <w:color w:val="auto"/>
              </w:rPr>
            </w:pPr>
            <w:r>
              <w:rPr>
                <w:rFonts w:ascii="Arial" w:cs="Arial" w:eastAsia="Arial" w:hAnsi="Arial"/>
                <w:sz w:val="16"/>
                <w:szCs w:val="16"/>
                <w:color w:val="auto"/>
                <w:w w:val="99"/>
              </w:rPr>
              <w:t>—</w:t>
            </w:r>
          </w:p>
        </w:tc>
        <w:tc>
          <w:tcPr>
            <w:tcW w:w="1060" w:type="dxa"/>
            <w:vAlign w:val="bottom"/>
            <w:tcBorders>
              <w:top w:val="single" w:sz="8" w:color="auto"/>
              <w:right w:val="single" w:sz="8" w:color="EAEAEA"/>
            </w:tcBorders>
          </w:tcPr>
          <w:p>
            <w:pPr>
              <w:jc w:val="right"/>
              <w:ind w:right="18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EAEAEA"/>
            </w:tcBorders>
            <w:shd w:val="clear" w:color="auto" w:fill="EAEAEA"/>
          </w:tcPr>
          <w:p>
            <w:pPr>
              <w:spacing w:after="0"/>
              <w:rPr>
                <w:sz w:val="20"/>
                <w:szCs w:val="20"/>
                <w:color w:val="auto"/>
              </w:rPr>
            </w:pPr>
          </w:p>
        </w:tc>
        <w:tc>
          <w:tcPr>
            <w:tcW w:w="68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right w:val="single" w:sz="8" w:color="EAEAEA"/>
            </w:tcBorders>
          </w:tcPr>
          <w:p>
            <w:pPr>
              <w:jc w:val="right"/>
              <w:ind w:right="63"/>
              <w:spacing w:after="0"/>
              <w:rPr>
                <w:sz w:val="20"/>
                <w:szCs w:val="20"/>
                <w:color w:val="auto"/>
              </w:rPr>
            </w:pPr>
            <w:r>
              <w:rPr>
                <w:rFonts w:ascii="Arial" w:cs="Arial" w:eastAsia="Arial" w:hAnsi="Arial"/>
                <w:sz w:val="16"/>
                <w:szCs w:val="16"/>
                <w:color w:val="auto"/>
              </w:rPr>
              <w:t>4,927</w:t>
            </w:r>
          </w:p>
        </w:tc>
        <w:tc>
          <w:tcPr>
            <w:tcW w:w="74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9,854</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60" w:type="dxa"/>
            <w:vAlign w:val="bottom"/>
            <w:tcBorders>
              <w:top w:val="single" w:sz="8" w:color="auto"/>
              <w:bottom w:val="single" w:sz="8" w:color="EAEAEA"/>
              <w:right w:val="single" w:sz="8" w:color="EAEAEA"/>
            </w:tcBorders>
            <w:shd w:val="clear" w:color="auto" w:fill="EAEAEA"/>
          </w:tcPr>
          <w:p>
            <w:pPr>
              <w:ind w:left="460"/>
              <w:spacing w:after="0"/>
              <w:rPr>
                <w:sz w:val="20"/>
                <w:szCs w:val="20"/>
                <w:color w:val="auto"/>
              </w:rPr>
            </w:pPr>
            <w:r>
              <w:rPr>
                <w:rFonts w:ascii="Arial" w:cs="Arial" w:eastAsia="Arial" w:hAnsi="Arial"/>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40" w:type="dxa"/>
            <w:vAlign w:val="bottom"/>
            <w:tcBorders>
              <w:top w:val="single" w:sz="8" w:color="auto"/>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w w:val="86"/>
              </w:rPr>
              <w:t>481,417</w:t>
            </w:r>
          </w:p>
        </w:tc>
        <w:tc>
          <w:tcPr>
            <w:tcW w:w="2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70"/>
        </w:trPr>
        <w:tc>
          <w:tcPr>
            <w:tcW w:w="1340" w:type="dxa"/>
            <w:vAlign w:val="bottom"/>
            <w:vMerge w:val="continue"/>
          </w:tcPr>
          <w:p>
            <w:pPr>
              <w:spacing w:after="0"/>
              <w:rPr>
                <w:sz w:val="6"/>
                <w:szCs w:val="6"/>
                <w:color w:val="auto"/>
              </w:rPr>
            </w:pPr>
          </w:p>
        </w:tc>
        <w:tc>
          <w:tcPr>
            <w:tcW w:w="80" w:type="dxa"/>
            <w:vAlign w:val="bottom"/>
            <w:tcBorders>
              <w:top w:val="single" w:sz="8" w:color="auto"/>
            </w:tcBorders>
            <w:shd w:val="clear" w:color="auto" w:fill="EAEAEA"/>
          </w:tcPr>
          <w:p>
            <w:pPr>
              <w:spacing w:after="0"/>
              <w:rPr>
                <w:sz w:val="6"/>
                <w:szCs w:val="6"/>
                <w:color w:val="auto"/>
              </w:rPr>
            </w:pPr>
          </w:p>
        </w:tc>
        <w:tc>
          <w:tcPr>
            <w:tcW w:w="700" w:type="dxa"/>
            <w:vAlign w:val="bottom"/>
            <w:tcBorders>
              <w:top w:val="single" w:sz="8" w:color="auto"/>
              <w:right w:val="single" w:sz="8" w:color="EAEAEA"/>
            </w:tcBorders>
            <w:vMerge w:val="restart"/>
            <w:shd w:val="clear" w:color="auto" w:fill="EAEAEA"/>
          </w:tcPr>
          <w:p>
            <w:pPr>
              <w:ind w:left="20"/>
              <w:spacing w:after="0"/>
              <w:rPr>
                <w:sz w:val="20"/>
                <w:szCs w:val="20"/>
                <w:color w:val="auto"/>
              </w:rPr>
            </w:pPr>
            <w:r>
              <w:rPr>
                <w:rFonts w:ascii="Arial" w:cs="Arial" w:eastAsia="Arial" w:hAnsi="Arial"/>
                <w:sz w:val="16"/>
                <w:szCs w:val="16"/>
                <w:color w:val="auto"/>
                <w:w w:val="89"/>
                <w:shd w:val="clear" w:color="auto" w:fill="EAEAEA"/>
              </w:rPr>
              <w:t>3/11/2020</w:t>
            </w:r>
          </w:p>
        </w:tc>
        <w:tc>
          <w:tcPr>
            <w:tcW w:w="40" w:type="dxa"/>
            <w:vAlign w:val="bottom"/>
            <w:tcBorders>
              <w:top w:val="single" w:sz="8" w:color="auto"/>
            </w:tcBorders>
          </w:tcPr>
          <w:p>
            <w:pPr>
              <w:spacing w:after="0"/>
              <w:rPr>
                <w:sz w:val="6"/>
                <w:szCs w:val="6"/>
                <w:color w:val="auto"/>
              </w:rPr>
            </w:pPr>
          </w:p>
        </w:tc>
        <w:tc>
          <w:tcPr>
            <w:tcW w:w="900" w:type="dxa"/>
            <w:vAlign w:val="bottom"/>
            <w:tcBorders>
              <w:top w:val="single" w:sz="8" w:color="auto"/>
              <w:right w:val="single" w:sz="8" w:color="EAEAEA"/>
            </w:tcBorders>
            <w:vMerge w:val="restart"/>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right w:val="single" w:sz="8" w:color="EAEAEA"/>
            </w:tcBorders>
            <w:vMerge w:val="restart"/>
            <w:shd w:val="clear" w:color="auto" w:fill="EAEAEA"/>
          </w:tcPr>
          <w:p>
            <w:pPr>
              <w:ind w:left="480"/>
              <w:spacing w:after="0"/>
              <w:rPr>
                <w:sz w:val="20"/>
                <w:szCs w:val="20"/>
                <w:color w:val="auto"/>
              </w:rPr>
            </w:pPr>
            <w:r>
              <w:rPr>
                <w:rFonts w:ascii="Arial" w:cs="Arial" w:eastAsia="Arial" w:hAnsi="Arial"/>
                <w:sz w:val="16"/>
                <w:szCs w:val="16"/>
                <w:color w:val="auto"/>
                <w:w w:val="99"/>
              </w:rPr>
              <w:t>—</w:t>
            </w:r>
          </w:p>
        </w:tc>
        <w:tc>
          <w:tcPr>
            <w:tcW w:w="1060" w:type="dxa"/>
            <w:vAlign w:val="bottom"/>
            <w:tcBorders>
              <w:top w:val="single" w:sz="8" w:color="auto"/>
              <w:right w:val="single" w:sz="8" w:color="EAEAEA"/>
            </w:tcBorders>
            <w:vMerge w:val="restart"/>
          </w:tcPr>
          <w:p>
            <w:pPr>
              <w:jc w:val="right"/>
              <w:ind w:right="18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shd w:val="clear" w:color="auto" w:fill="EAEAEA"/>
          </w:tcPr>
          <w:p>
            <w:pPr>
              <w:spacing w:after="0"/>
              <w:rPr>
                <w:sz w:val="6"/>
                <w:szCs w:val="6"/>
                <w:color w:val="auto"/>
              </w:rPr>
            </w:pPr>
          </w:p>
        </w:tc>
        <w:tc>
          <w:tcPr>
            <w:tcW w:w="680" w:type="dxa"/>
            <w:vAlign w:val="bottom"/>
            <w:tcBorders>
              <w:top w:val="single" w:sz="8" w:color="auto"/>
              <w:right w:val="single" w:sz="8" w:color="EAEAEA"/>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right w:val="single" w:sz="8" w:color="EAEAEA"/>
            </w:tcBorders>
            <w:vMerge w:val="restart"/>
          </w:tcPr>
          <w:p>
            <w:pPr>
              <w:jc w:val="right"/>
              <w:ind w:right="63"/>
              <w:spacing w:after="0"/>
              <w:rPr>
                <w:sz w:val="20"/>
                <w:szCs w:val="20"/>
                <w:color w:val="auto"/>
              </w:rPr>
            </w:pPr>
            <w:r>
              <w:rPr>
                <w:rFonts w:ascii="Arial" w:cs="Arial" w:eastAsia="Arial" w:hAnsi="Arial"/>
                <w:sz w:val="16"/>
                <w:szCs w:val="16"/>
                <w:color w:val="auto"/>
              </w:rPr>
              <w:t>4,927</w:t>
            </w:r>
          </w:p>
        </w:tc>
        <w:tc>
          <w:tcPr>
            <w:tcW w:w="740" w:type="dxa"/>
            <w:vAlign w:val="bottom"/>
            <w:tcBorders>
              <w:top w:val="single" w:sz="8" w:color="auto"/>
              <w:right w:val="single" w:sz="8" w:color="EAEAEA"/>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9,854</w:t>
            </w:r>
          </w:p>
        </w:tc>
        <w:tc>
          <w:tcPr>
            <w:tcW w:w="1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6"/>
                <w:szCs w:val="6"/>
                <w:color w:val="auto"/>
              </w:rPr>
            </w:pPr>
          </w:p>
        </w:tc>
        <w:tc>
          <w:tcPr>
            <w:tcW w:w="660" w:type="dxa"/>
            <w:vAlign w:val="bottom"/>
            <w:tcBorders>
              <w:top w:val="single" w:sz="8" w:color="auto"/>
              <w:right w:val="single" w:sz="8" w:color="EAEAEA"/>
            </w:tcBorders>
            <w:vMerge w:val="restart"/>
            <w:shd w:val="clear" w:color="auto" w:fill="EAEAEA"/>
          </w:tcPr>
          <w:p>
            <w:pPr>
              <w:ind w:left="460"/>
              <w:spacing w:after="0"/>
              <w:rPr>
                <w:sz w:val="20"/>
                <w:szCs w:val="20"/>
                <w:color w:val="auto"/>
              </w:rPr>
            </w:pPr>
            <w:r>
              <w:rPr>
                <w:rFonts w:ascii="Arial" w:cs="Arial" w:eastAsia="Arial" w:hAnsi="Arial"/>
                <w:sz w:val="16"/>
                <w:szCs w:val="16"/>
                <w:color w:val="auto"/>
                <w:w w:val="99"/>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6"/>
                <w:szCs w:val="6"/>
                <w:color w:val="auto"/>
              </w:rPr>
            </w:pPr>
          </w:p>
        </w:tc>
        <w:tc>
          <w:tcPr>
            <w:tcW w:w="640" w:type="dxa"/>
            <w:vAlign w:val="bottom"/>
            <w:tcBorders>
              <w:top w:val="single" w:sz="8" w:color="auto"/>
            </w:tcBorders>
            <w:vMerge w:val="restart"/>
            <w:shd w:val="clear" w:color="auto" w:fill="EAEAEA"/>
          </w:tcPr>
          <w:p>
            <w:pPr>
              <w:ind w:left="120"/>
              <w:spacing w:after="0"/>
              <w:rPr>
                <w:sz w:val="20"/>
                <w:szCs w:val="20"/>
                <w:color w:val="auto"/>
              </w:rPr>
            </w:pPr>
            <w:r>
              <w:rPr>
                <w:rFonts w:ascii="Arial" w:cs="Arial" w:eastAsia="Arial" w:hAnsi="Arial"/>
                <w:sz w:val="16"/>
                <w:szCs w:val="16"/>
                <w:color w:val="auto"/>
                <w:w w:val="86"/>
              </w:rPr>
              <w:t>434,936</w:t>
            </w:r>
          </w:p>
        </w:tc>
        <w:tc>
          <w:tcPr>
            <w:tcW w:w="24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170"/>
        </w:trPr>
        <w:tc>
          <w:tcPr>
            <w:tcW w:w="1340" w:type="dxa"/>
            <w:vAlign w:val="bottom"/>
          </w:tcPr>
          <w:p>
            <w:pPr>
              <w:ind w:left="60"/>
              <w:spacing w:after="0" w:line="170" w:lineRule="exact"/>
              <w:rPr>
                <w:sz w:val="20"/>
                <w:szCs w:val="20"/>
                <w:color w:val="auto"/>
              </w:rPr>
            </w:pPr>
            <w:r>
              <w:rPr>
                <w:rFonts w:ascii="Arial" w:cs="Arial" w:eastAsia="Arial" w:hAnsi="Arial"/>
                <w:sz w:val="16"/>
                <w:szCs w:val="16"/>
                <w:b w:val="1"/>
                <w:bCs w:val="1"/>
                <w:color w:val="0066BA"/>
              </w:rPr>
              <w:t>Pietkiewicz</w:t>
            </w:r>
          </w:p>
        </w:tc>
        <w:tc>
          <w:tcPr>
            <w:tcW w:w="80" w:type="dxa"/>
            <w:vAlign w:val="bottom"/>
            <w:tcBorders>
              <w:bottom w:val="single" w:sz="8" w:color="EAEAEA"/>
            </w:tcBorders>
            <w:shd w:val="clear" w:color="auto" w:fill="EAEAEA"/>
          </w:tcPr>
          <w:p>
            <w:pPr>
              <w:spacing w:after="0"/>
              <w:rPr>
                <w:sz w:val="14"/>
                <w:szCs w:val="14"/>
                <w:color w:val="auto"/>
              </w:rPr>
            </w:pPr>
          </w:p>
        </w:tc>
        <w:tc>
          <w:tcPr>
            <w:tcW w:w="700" w:type="dxa"/>
            <w:vAlign w:val="bottom"/>
            <w:tcBorders>
              <w:bottom w:val="single" w:sz="8" w:color="EAEAEA"/>
              <w:right w:val="single" w:sz="8" w:color="EAEAEA"/>
            </w:tcBorders>
            <w:vMerge w:val="continue"/>
            <w:shd w:val="clear" w:color="auto" w:fill="EAEAEA"/>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right w:val="single" w:sz="8" w:color="EAEAEA"/>
            </w:tcBorders>
            <w:vMerge w:val="continue"/>
          </w:tcPr>
          <w:p>
            <w:pPr>
              <w:spacing w:after="0"/>
              <w:rPr>
                <w:sz w:val="14"/>
                <w:szCs w:val="14"/>
                <w:color w:val="auto"/>
              </w:rPr>
            </w:pPr>
          </w:p>
        </w:tc>
        <w:tc>
          <w:tcPr>
            <w:tcW w:w="680" w:type="dxa"/>
            <w:vAlign w:val="bottom"/>
            <w:tcBorders>
              <w:bottom w:val="single" w:sz="8" w:color="EAEAEA"/>
              <w:right w:val="single" w:sz="8" w:color="EAEAEA"/>
            </w:tcBorders>
            <w:vMerge w:val="continue"/>
            <w:shd w:val="clear" w:color="auto" w:fill="EAEAEA"/>
          </w:tcPr>
          <w:p>
            <w:pPr>
              <w:spacing w:after="0"/>
              <w:rPr>
                <w:sz w:val="14"/>
                <w:szCs w:val="14"/>
                <w:color w:val="auto"/>
              </w:rPr>
            </w:pPr>
          </w:p>
        </w:tc>
        <w:tc>
          <w:tcPr>
            <w:tcW w:w="1060" w:type="dxa"/>
            <w:vAlign w:val="bottom"/>
            <w:tcBorders>
              <w:right w:val="single" w:sz="8" w:color="EAEAEA"/>
            </w:tcBorders>
            <w:vMerge w:val="continue"/>
          </w:tcPr>
          <w:p>
            <w:pPr>
              <w:spacing w:after="0"/>
              <w:rPr>
                <w:sz w:val="14"/>
                <w:szCs w:val="14"/>
                <w:color w:val="auto"/>
              </w:rPr>
            </w:pPr>
          </w:p>
        </w:tc>
        <w:tc>
          <w:tcPr>
            <w:tcW w:w="140" w:type="dxa"/>
            <w:vAlign w:val="bottom"/>
            <w:tcBorders>
              <w:bottom w:val="single" w:sz="8" w:color="EAEAEA"/>
            </w:tcBorders>
            <w:shd w:val="clear" w:color="auto" w:fill="EAEAEA"/>
          </w:tcPr>
          <w:p>
            <w:pPr>
              <w:spacing w:after="0"/>
              <w:rPr>
                <w:sz w:val="14"/>
                <w:szCs w:val="14"/>
                <w:color w:val="auto"/>
              </w:rPr>
            </w:pPr>
          </w:p>
        </w:tc>
        <w:tc>
          <w:tcPr>
            <w:tcW w:w="680" w:type="dxa"/>
            <w:vAlign w:val="bottom"/>
            <w:tcBorders>
              <w:bottom w:val="single" w:sz="8" w:color="EAEAEA"/>
              <w:right w:val="single" w:sz="8" w:color="EAEAEA"/>
            </w:tcBorders>
            <w:vMerge w:val="continue"/>
            <w:shd w:val="clear" w:color="auto" w:fill="EAEAEA"/>
          </w:tcPr>
          <w:p>
            <w:pPr>
              <w:spacing w:after="0"/>
              <w:rPr>
                <w:sz w:val="14"/>
                <w:szCs w:val="14"/>
                <w:color w:val="auto"/>
              </w:rPr>
            </w:pPr>
          </w:p>
        </w:tc>
        <w:tc>
          <w:tcPr>
            <w:tcW w:w="740" w:type="dxa"/>
            <w:vAlign w:val="bottom"/>
            <w:tcBorders>
              <w:right w:val="single" w:sz="8" w:color="EAEAEA"/>
            </w:tcBorders>
            <w:vMerge w:val="continue"/>
          </w:tcPr>
          <w:p>
            <w:pPr>
              <w:spacing w:after="0"/>
              <w:rPr>
                <w:sz w:val="14"/>
                <w:szCs w:val="14"/>
                <w:color w:val="auto"/>
              </w:rPr>
            </w:pPr>
          </w:p>
        </w:tc>
        <w:tc>
          <w:tcPr>
            <w:tcW w:w="740" w:type="dxa"/>
            <w:vAlign w:val="bottom"/>
            <w:tcBorders>
              <w:bottom w:val="single" w:sz="8" w:color="EAEAEA"/>
              <w:right w:val="single" w:sz="8" w:color="EAEAEA"/>
            </w:tcBorders>
            <w:vMerge w:val="continue"/>
            <w:shd w:val="clear" w:color="auto" w:fill="EAEAEA"/>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Borders>
              <w:bottom w:val="single" w:sz="8" w:color="EAEAEA"/>
            </w:tcBorders>
            <w:shd w:val="clear" w:color="auto" w:fill="EAEAEA"/>
          </w:tcPr>
          <w:p>
            <w:pPr>
              <w:spacing w:after="0"/>
              <w:rPr>
                <w:sz w:val="14"/>
                <w:szCs w:val="14"/>
                <w:color w:val="auto"/>
              </w:rPr>
            </w:pPr>
          </w:p>
        </w:tc>
        <w:tc>
          <w:tcPr>
            <w:tcW w:w="660" w:type="dxa"/>
            <w:vAlign w:val="bottom"/>
            <w:tcBorders>
              <w:bottom w:val="single" w:sz="8" w:color="EAEAEA"/>
              <w:right w:val="single" w:sz="8" w:color="EAEAEA"/>
            </w:tcBorders>
            <w:vMerge w:val="continue"/>
            <w:shd w:val="clear" w:color="auto" w:fill="EAEAEA"/>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Borders>
              <w:bottom w:val="single" w:sz="8" w:color="EAEAEA"/>
            </w:tcBorders>
            <w:shd w:val="clear" w:color="auto" w:fill="EAEAEA"/>
          </w:tcPr>
          <w:p>
            <w:pPr>
              <w:spacing w:after="0"/>
              <w:rPr>
                <w:sz w:val="14"/>
                <w:szCs w:val="14"/>
                <w:color w:val="auto"/>
              </w:rPr>
            </w:pPr>
          </w:p>
        </w:tc>
        <w:tc>
          <w:tcPr>
            <w:tcW w:w="640" w:type="dxa"/>
            <w:vAlign w:val="bottom"/>
            <w:tcBorders>
              <w:bottom w:val="single" w:sz="8" w:color="EAEAEA"/>
            </w:tcBorders>
            <w:vMerge w:val="continue"/>
            <w:shd w:val="clear" w:color="auto" w:fill="EAEAEA"/>
          </w:tcPr>
          <w:p>
            <w:pPr>
              <w:spacing w:after="0"/>
              <w:rPr>
                <w:sz w:val="14"/>
                <w:szCs w:val="14"/>
                <w:color w:val="auto"/>
              </w:rPr>
            </w:pPr>
          </w:p>
        </w:tc>
        <w:tc>
          <w:tcPr>
            <w:tcW w:w="240" w:type="dxa"/>
            <w:vAlign w:val="bottom"/>
            <w:tcBorders>
              <w:bottom w:val="single" w:sz="8" w:color="EAEAEA"/>
            </w:tcBorders>
            <w:vMerge w:val="continue"/>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340" w:type="dxa"/>
            <w:vAlign w:val="bottom"/>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700" w:type="dxa"/>
            <w:vAlign w:val="bottom"/>
            <w:tcBorders>
              <w:top w:val="single" w:sz="8" w:color="auto"/>
              <w:bottom w:val="single" w:sz="8" w:color="EAEAEA"/>
              <w:right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w w:val="89"/>
              </w:rPr>
              <w:t>3/11/2020</w:t>
            </w:r>
          </w:p>
        </w:tc>
        <w:tc>
          <w:tcPr>
            <w:tcW w:w="4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EAEAEA"/>
            </w:tcBorders>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EAEAEA"/>
              <w:right w:val="single" w:sz="8" w:color="EAEAEA"/>
            </w:tcBorders>
            <w:shd w:val="clear" w:color="auto" w:fill="EAEAEA"/>
          </w:tcPr>
          <w:p>
            <w:pPr>
              <w:ind w:left="480"/>
              <w:spacing w:after="0"/>
              <w:rPr>
                <w:sz w:val="20"/>
                <w:szCs w:val="20"/>
                <w:color w:val="auto"/>
              </w:rPr>
            </w:pPr>
            <w:r>
              <w:rPr>
                <w:rFonts w:ascii="Arial" w:cs="Arial" w:eastAsia="Arial" w:hAnsi="Arial"/>
                <w:sz w:val="16"/>
                <w:szCs w:val="16"/>
                <w:color w:val="auto"/>
                <w:w w:val="99"/>
              </w:rPr>
              <w:t>—</w:t>
            </w:r>
          </w:p>
        </w:tc>
        <w:tc>
          <w:tcPr>
            <w:tcW w:w="1060" w:type="dxa"/>
            <w:vAlign w:val="bottom"/>
            <w:tcBorders>
              <w:top w:val="single" w:sz="8" w:color="auto"/>
              <w:right w:val="single" w:sz="8" w:color="EAEAEA"/>
            </w:tcBorders>
          </w:tcPr>
          <w:p>
            <w:pPr>
              <w:jc w:val="right"/>
              <w:ind w:right="18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EAEAEA"/>
            </w:tcBorders>
            <w:shd w:val="clear" w:color="auto" w:fill="EAEAEA"/>
          </w:tcPr>
          <w:p>
            <w:pPr>
              <w:spacing w:after="0"/>
              <w:rPr>
                <w:sz w:val="20"/>
                <w:szCs w:val="20"/>
                <w:color w:val="auto"/>
              </w:rPr>
            </w:pPr>
          </w:p>
        </w:tc>
        <w:tc>
          <w:tcPr>
            <w:tcW w:w="68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right w:val="single" w:sz="8" w:color="EAEAEA"/>
            </w:tcBorders>
          </w:tcPr>
          <w:p>
            <w:pPr>
              <w:jc w:val="right"/>
              <w:ind w:right="63"/>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4,927</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60" w:type="dxa"/>
            <w:vAlign w:val="bottom"/>
            <w:tcBorders>
              <w:top w:val="single" w:sz="8" w:color="auto"/>
              <w:bottom w:val="single" w:sz="8" w:color="EAEAEA"/>
              <w:right w:val="single" w:sz="8" w:color="EAEAEA"/>
            </w:tcBorders>
            <w:shd w:val="clear" w:color="auto" w:fill="EAEAEA"/>
          </w:tcPr>
          <w:p>
            <w:pPr>
              <w:ind w:left="460"/>
              <w:spacing w:after="0"/>
              <w:rPr>
                <w:sz w:val="20"/>
                <w:szCs w:val="20"/>
                <w:color w:val="auto"/>
              </w:rPr>
            </w:pPr>
            <w:r>
              <w:rPr>
                <w:rFonts w:ascii="Arial" w:cs="Arial" w:eastAsia="Arial" w:hAnsi="Arial"/>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640" w:type="dxa"/>
            <w:vAlign w:val="bottom"/>
            <w:tcBorders>
              <w:top w:val="single" w:sz="8" w:color="auto"/>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w w:val="86"/>
              </w:rPr>
              <w:t>434,936</w:t>
            </w:r>
          </w:p>
        </w:tc>
        <w:tc>
          <w:tcPr>
            <w:tcW w:w="2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1"/>
              </w:rPr>
              <w:t>(7)</w:t>
            </w:r>
          </w:p>
        </w:tc>
        <w:tc>
          <w:tcPr>
            <w:tcW w:w="0" w:type="dxa"/>
            <w:vAlign w:val="bottom"/>
          </w:tcPr>
          <w:p>
            <w:pPr>
              <w:spacing w:after="0"/>
              <w:rPr>
                <w:sz w:val="1"/>
                <w:szCs w:val="1"/>
                <w:color w:val="auto"/>
              </w:rPr>
            </w:pPr>
          </w:p>
        </w:tc>
      </w:tr>
      <w:tr>
        <w:trPr>
          <w:trHeight w:val="220"/>
        </w:trPr>
        <w:tc>
          <w:tcPr>
            <w:tcW w:w="1340" w:type="dxa"/>
            <w:vAlign w:val="bottom"/>
          </w:tcPr>
          <w:p>
            <w:pPr>
              <w:spacing w:after="0"/>
              <w:rPr>
                <w:sz w:val="19"/>
                <w:szCs w:val="19"/>
                <w:color w:val="auto"/>
              </w:rPr>
            </w:pPr>
          </w:p>
        </w:tc>
        <w:tc>
          <w:tcPr>
            <w:tcW w:w="80" w:type="dxa"/>
            <w:vAlign w:val="bottom"/>
            <w:tcBorders>
              <w:top w:val="single" w:sz="8" w:color="auto"/>
              <w:bottom w:val="single" w:sz="8" w:color="EAEAEA"/>
            </w:tcBorders>
            <w:shd w:val="clear" w:color="auto" w:fill="EAEAEA"/>
          </w:tcPr>
          <w:p>
            <w:pPr>
              <w:spacing w:after="0"/>
              <w:rPr>
                <w:sz w:val="19"/>
                <w:szCs w:val="19"/>
                <w:color w:val="auto"/>
              </w:rPr>
            </w:pPr>
          </w:p>
        </w:tc>
        <w:tc>
          <w:tcPr>
            <w:tcW w:w="700" w:type="dxa"/>
            <w:vAlign w:val="bottom"/>
            <w:tcBorders>
              <w:top w:val="single" w:sz="8" w:color="auto"/>
              <w:bottom w:val="single" w:sz="8" w:color="EAEAEA"/>
              <w:right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w w:val="89"/>
              </w:rPr>
              <w:t>3/11/2020</w:t>
            </w:r>
          </w:p>
        </w:tc>
        <w:tc>
          <w:tcPr>
            <w:tcW w:w="40" w:type="dxa"/>
            <w:vAlign w:val="bottom"/>
            <w:tcBorders>
              <w:top w:val="single" w:sz="8" w:color="auto"/>
            </w:tcBorders>
          </w:tcPr>
          <w:p>
            <w:pPr>
              <w:spacing w:after="0"/>
              <w:rPr>
                <w:sz w:val="19"/>
                <w:szCs w:val="19"/>
                <w:color w:val="auto"/>
              </w:rPr>
            </w:pPr>
          </w:p>
        </w:tc>
        <w:tc>
          <w:tcPr>
            <w:tcW w:w="900" w:type="dxa"/>
            <w:vAlign w:val="bottom"/>
            <w:tcBorders>
              <w:top w:val="single" w:sz="8" w:color="auto"/>
              <w:right w:val="single" w:sz="8" w:color="EAEAEA"/>
            </w:tcBorders>
          </w:tcPr>
          <w:p>
            <w:pPr>
              <w:ind w:left="6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EAEAEA"/>
              <w:right w:val="single" w:sz="8" w:color="EAEAEA"/>
            </w:tcBorders>
            <w:shd w:val="clear" w:color="auto" w:fill="EAEAEA"/>
          </w:tcPr>
          <w:p>
            <w:pPr>
              <w:ind w:left="480"/>
              <w:spacing w:after="0"/>
              <w:rPr>
                <w:sz w:val="20"/>
                <w:szCs w:val="20"/>
                <w:color w:val="auto"/>
              </w:rPr>
            </w:pPr>
            <w:r>
              <w:rPr>
                <w:rFonts w:ascii="Arial" w:cs="Arial" w:eastAsia="Arial" w:hAnsi="Arial"/>
                <w:sz w:val="16"/>
                <w:szCs w:val="16"/>
                <w:color w:val="auto"/>
                <w:w w:val="99"/>
              </w:rPr>
              <w:t>—</w:t>
            </w:r>
          </w:p>
        </w:tc>
        <w:tc>
          <w:tcPr>
            <w:tcW w:w="1060" w:type="dxa"/>
            <w:vAlign w:val="bottom"/>
            <w:tcBorders>
              <w:top w:val="single" w:sz="8" w:color="auto"/>
              <w:right w:val="single" w:sz="8" w:color="EAEAEA"/>
            </w:tcBorders>
          </w:tcPr>
          <w:p>
            <w:pPr>
              <w:jc w:val="right"/>
              <w:ind w:right="18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EAEAEA"/>
            </w:tcBorders>
            <w:shd w:val="clear" w:color="auto" w:fill="EAEAEA"/>
          </w:tcPr>
          <w:p>
            <w:pPr>
              <w:spacing w:after="0"/>
              <w:rPr>
                <w:sz w:val="19"/>
                <w:szCs w:val="19"/>
                <w:color w:val="auto"/>
              </w:rPr>
            </w:pPr>
          </w:p>
        </w:tc>
        <w:tc>
          <w:tcPr>
            <w:tcW w:w="68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right w:val="single" w:sz="8" w:color="EAEAEA"/>
            </w:tcBorders>
          </w:tcPr>
          <w:p>
            <w:pPr>
              <w:jc w:val="right"/>
              <w:ind w:right="63"/>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19"/>
                <w:szCs w:val="19"/>
                <w:color w:val="auto"/>
              </w:rPr>
            </w:pPr>
          </w:p>
        </w:tc>
        <w:tc>
          <w:tcPr>
            <w:tcW w:w="660" w:type="dxa"/>
            <w:vAlign w:val="bottom"/>
            <w:tcBorders>
              <w:top w:val="single" w:sz="8" w:color="auto"/>
              <w:bottom w:val="single" w:sz="8" w:color="EAEAEA"/>
              <w:right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24,232</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94.41</w:t>
            </w:r>
          </w:p>
        </w:tc>
        <w:tc>
          <w:tcPr>
            <w:tcW w:w="80" w:type="dxa"/>
            <w:vAlign w:val="bottom"/>
            <w:tcBorders>
              <w:top w:val="single" w:sz="8" w:color="auto"/>
              <w:bottom w:val="single" w:sz="8" w:color="EAEAEA"/>
            </w:tcBorders>
            <w:shd w:val="clear" w:color="auto" w:fill="EAEAEA"/>
          </w:tcPr>
          <w:p>
            <w:pPr>
              <w:spacing w:after="0"/>
              <w:rPr>
                <w:sz w:val="19"/>
                <w:szCs w:val="19"/>
                <w:color w:val="auto"/>
              </w:rPr>
            </w:pPr>
          </w:p>
        </w:tc>
        <w:tc>
          <w:tcPr>
            <w:tcW w:w="640" w:type="dxa"/>
            <w:vAlign w:val="bottom"/>
            <w:tcBorders>
              <w:top w:val="single" w:sz="8" w:color="auto"/>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w w:val="86"/>
              </w:rPr>
              <w:t>447,305</w:t>
            </w:r>
          </w:p>
        </w:tc>
        <w:tc>
          <w:tcPr>
            <w:tcW w:w="2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1"/>
              </w:rPr>
              <w:t>(8)</w:t>
            </w:r>
          </w:p>
        </w:tc>
        <w:tc>
          <w:tcPr>
            <w:tcW w:w="0" w:type="dxa"/>
            <w:vAlign w:val="bottom"/>
          </w:tcPr>
          <w:p>
            <w:pPr>
              <w:spacing w:after="0"/>
              <w:rPr>
                <w:sz w:val="1"/>
                <w:szCs w:val="1"/>
                <w:color w:val="auto"/>
              </w:rPr>
            </w:pPr>
          </w:p>
        </w:tc>
      </w:tr>
      <w:tr>
        <w:trPr>
          <w:trHeight w:val="20"/>
        </w:trPr>
        <w:tc>
          <w:tcPr>
            <w:tcW w:w="1340" w:type="dxa"/>
            <w:vAlign w:val="bottom"/>
            <w:shd w:val="clear" w:color="auto" w:fill="0066BA"/>
          </w:tcPr>
          <w:p>
            <w:pPr>
              <w:spacing w:after="0" w:line="20" w:lineRule="exact"/>
              <w:rPr>
                <w:sz w:val="1"/>
                <w:szCs w:val="1"/>
                <w:color w:val="auto"/>
              </w:rPr>
            </w:pPr>
          </w:p>
        </w:tc>
        <w:tc>
          <w:tcPr>
            <w:tcW w:w="80" w:type="dxa"/>
            <w:vAlign w:val="bottom"/>
            <w:shd w:val="clear" w:color="auto" w:fill="0066BA"/>
          </w:tcPr>
          <w:p>
            <w:pPr>
              <w:spacing w:after="0" w:line="20" w:lineRule="exact"/>
              <w:rPr>
                <w:sz w:val="1"/>
                <w:szCs w:val="1"/>
                <w:color w:val="auto"/>
              </w:rPr>
            </w:pPr>
          </w:p>
        </w:tc>
        <w:tc>
          <w:tcPr>
            <w:tcW w:w="700" w:type="dxa"/>
            <w:vAlign w:val="bottom"/>
            <w:tcBorders>
              <w:right w:val="single" w:sz="8" w:color="0066BA"/>
            </w:tcBorders>
            <w:shd w:val="clear" w:color="auto" w:fill="0066BA"/>
          </w:tcPr>
          <w:p>
            <w:pPr>
              <w:spacing w:after="0" w:line="20" w:lineRule="exact"/>
              <w:rPr>
                <w:sz w:val="1"/>
                <w:szCs w:val="1"/>
                <w:color w:val="auto"/>
              </w:rPr>
            </w:pPr>
          </w:p>
        </w:tc>
        <w:tc>
          <w:tcPr>
            <w:tcW w:w="40" w:type="dxa"/>
            <w:vAlign w:val="bottom"/>
            <w:shd w:val="clear" w:color="auto" w:fill="0066BA"/>
          </w:tcPr>
          <w:p>
            <w:pPr>
              <w:spacing w:after="0" w:line="20" w:lineRule="exact"/>
              <w:rPr>
                <w:sz w:val="1"/>
                <w:szCs w:val="1"/>
                <w:color w:val="auto"/>
              </w:rPr>
            </w:pPr>
          </w:p>
        </w:tc>
        <w:tc>
          <w:tcPr>
            <w:tcW w:w="900" w:type="dxa"/>
            <w:vAlign w:val="bottom"/>
            <w:tcBorders>
              <w:right w:val="single" w:sz="8" w:color="0066BA"/>
            </w:tcBorders>
            <w:shd w:val="clear" w:color="auto" w:fill="0066BA"/>
          </w:tcPr>
          <w:p>
            <w:pPr>
              <w:spacing w:after="0" w:line="20" w:lineRule="exact"/>
              <w:rPr>
                <w:sz w:val="1"/>
                <w:szCs w:val="1"/>
                <w:color w:val="auto"/>
              </w:rPr>
            </w:pPr>
          </w:p>
        </w:tc>
        <w:tc>
          <w:tcPr>
            <w:tcW w:w="680" w:type="dxa"/>
            <w:vAlign w:val="bottom"/>
            <w:tcBorders>
              <w:right w:val="single" w:sz="8" w:color="0066BA"/>
            </w:tcBorders>
            <w:shd w:val="clear" w:color="auto" w:fill="0066BA"/>
          </w:tcPr>
          <w:p>
            <w:pPr>
              <w:spacing w:after="0" w:line="20" w:lineRule="exact"/>
              <w:rPr>
                <w:sz w:val="1"/>
                <w:szCs w:val="1"/>
                <w:color w:val="auto"/>
              </w:rPr>
            </w:pPr>
          </w:p>
        </w:tc>
        <w:tc>
          <w:tcPr>
            <w:tcW w:w="1060" w:type="dxa"/>
            <w:vAlign w:val="bottom"/>
            <w:tcBorders>
              <w:right w:val="single" w:sz="8" w:color="0066BA"/>
            </w:tcBorders>
            <w:shd w:val="clear" w:color="auto" w:fill="0066BA"/>
          </w:tcPr>
          <w:p>
            <w:pPr>
              <w:spacing w:after="0" w:line="20" w:lineRule="exact"/>
              <w:rPr>
                <w:sz w:val="1"/>
                <w:szCs w:val="1"/>
                <w:color w:val="auto"/>
              </w:rPr>
            </w:pPr>
          </w:p>
        </w:tc>
        <w:tc>
          <w:tcPr>
            <w:tcW w:w="140" w:type="dxa"/>
            <w:vAlign w:val="bottom"/>
            <w:shd w:val="clear" w:color="auto" w:fill="0066BA"/>
          </w:tcPr>
          <w:p>
            <w:pPr>
              <w:spacing w:after="0" w:line="20" w:lineRule="exact"/>
              <w:rPr>
                <w:sz w:val="1"/>
                <w:szCs w:val="1"/>
                <w:color w:val="auto"/>
              </w:rPr>
            </w:pPr>
          </w:p>
        </w:tc>
        <w:tc>
          <w:tcPr>
            <w:tcW w:w="680" w:type="dxa"/>
            <w:vAlign w:val="bottom"/>
            <w:tcBorders>
              <w:right w:val="single" w:sz="8" w:color="0066BA"/>
            </w:tcBorders>
            <w:shd w:val="clear" w:color="auto" w:fill="0066BA"/>
          </w:tcPr>
          <w:p>
            <w:pPr>
              <w:spacing w:after="0" w:line="20" w:lineRule="exact"/>
              <w:rPr>
                <w:sz w:val="1"/>
                <w:szCs w:val="1"/>
                <w:color w:val="auto"/>
              </w:rPr>
            </w:pPr>
          </w:p>
        </w:tc>
        <w:tc>
          <w:tcPr>
            <w:tcW w:w="740" w:type="dxa"/>
            <w:vAlign w:val="bottom"/>
            <w:tcBorders>
              <w:right w:val="single" w:sz="8" w:color="0066BA"/>
            </w:tcBorders>
            <w:shd w:val="clear" w:color="auto" w:fill="0066BA"/>
          </w:tcPr>
          <w:p>
            <w:pPr>
              <w:spacing w:after="0" w:line="20" w:lineRule="exact"/>
              <w:rPr>
                <w:sz w:val="1"/>
                <w:szCs w:val="1"/>
                <w:color w:val="auto"/>
              </w:rPr>
            </w:pPr>
          </w:p>
        </w:tc>
        <w:tc>
          <w:tcPr>
            <w:tcW w:w="740" w:type="dxa"/>
            <w:vAlign w:val="bottom"/>
            <w:tcBorders>
              <w:right w:val="single" w:sz="8" w:color="0066BA"/>
            </w:tcBorders>
            <w:shd w:val="clear" w:color="auto" w:fill="0066BA"/>
          </w:tcPr>
          <w:p>
            <w:pPr>
              <w:spacing w:after="0" w:line="20" w:lineRule="exact"/>
              <w:rPr>
                <w:sz w:val="1"/>
                <w:szCs w:val="1"/>
                <w:color w:val="auto"/>
              </w:rPr>
            </w:pPr>
          </w:p>
        </w:tc>
        <w:tc>
          <w:tcPr>
            <w:tcW w:w="180" w:type="dxa"/>
            <w:vAlign w:val="bottom"/>
            <w:shd w:val="clear" w:color="auto" w:fill="0066BA"/>
          </w:tcPr>
          <w:p>
            <w:pPr>
              <w:spacing w:after="0" w:line="20" w:lineRule="exact"/>
              <w:rPr>
                <w:sz w:val="1"/>
                <w:szCs w:val="1"/>
                <w:color w:val="auto"/>
              </w:rPr>
            </w:pPr>
          </w:p>
        </w:tc>
        <w:tc>
          <w:tcPr>
            <w:tcW w:w="700" w:type="dxa"/>
            <w:vAlign w:val="bottom"/>
            <w:shd w:val="clear" w:color="auto" w:fill="0066BA"/>
          </w:tcPr>
          <w:p>
            <w:pPr>
              <w:spacing w:after="0" w:line="20" w:lineRule="exact"/>
              <w:rPr>
                <w:sz w:val="1"/>
                <w:szCs w:val="1"/>
                <w:color w:val="auto"/>
              </w:rPr>
            </w:pPr>
          </w:p>
        </w:tc>
        <w:tc>
          <w:tcPr>
            <w:tcW w:w="80" w:type="dxa"/>
            <w:vAlign w:val="bottom"/>
            <w:shd w:val="clear" w:color="auto" w:fill="0066BA"/>
          </w:tcPr>
          <w:p>
            <w:pPr>
              <w:spacing w:after="0" w:line="20" w:lineRule="exact"/>
              <w:rPr>
                <w:sz w:val="1"/>
                <w:szCs w:val="1"/>
                <w:color w:val="auto"/>
              </w:rPr>
            </w:pPr>
          </w:p>
        </w:tc>
        <w:tc>
          <w:tcPr>
            <w:tcW w:w="660" w:type="dxa"/>
            <w:vAlign w:val="bottom"/>
            <w:tcBorders>
              <w:right w:val="single" w:sz="8" w:color="0066BA"/>
            </w:tcBorders>
            <w:shd w:val="clear" w:color="auto" w:fill="0066BA"/>
          </w:tcPr>
          <w:p>
            <w:pPr>
              <w:spacing w:after="0" w:line="20" w:lineRule="exact"/>
              <w:rPr>
                <w:sz w:val="1"/>
                <w:szCs w:val="1"/>
                <w:color w:val="auto"/>
              </w:rPr>
            </w:pPr>
          </w:p>
        </w:tc>
        <w:tc>
          <w:tcPr>
            <w:tcW w:w="600" w:type="dxa"/>
            <w:vAlign w:val="bottom"/>
            <w:shd w:val="clear" w:color="auto" w:fill="0066BA"/>
          </w:tcPr>
          <w:p>
            <w:pPr>
              <w:spacing w:after="0" w:line="20" w:lineRule="exact"/>
              <w:rPr>
                <w:sz w:val="1"/>
                <w:szCs w:val="1"/>
                <w:color w:val="auto"/>
              </w:rPr>
            </w:pPr>
          </w:p>
        </w:tc>
        <w:tc>
          <w:tcPr>
            <w:tcW w:w="80" w:type="dxa"/>
            <w:vAlign w:val="bottom"/>
            <w:shd w:val="clear" w:color="auto" w:fill="0066BA"/>
          </w:tcPr>
          <w:p>
            <w:pPr>
              <w:spacing w:after="0" w:line="20" w:lineRule="exact"/>
              <w:rPr>
                <w:sz w:val="1"/>
                <w:szCs w:val="1"/>
                <w:color w:val="auto"/>
              </w:rPr>
            </w:pPr>
          </w:p>
        </w:tc>
        <w:tc>
          <w:tcPr>
            <w:tcW w:w="640" w:type="dxa"/>
            <w:vAlign w:val="bottom"/>
            <w:shd w:val="clear" w:color="auto" w:fill="0066BA"/>
          </w:tcPr>
          <w:p>
            <w:pPr>
              <w:spacing w:after="0" w:line="20" w:lineRule="exact"/>
              <w:rPr>
                <w:sz w:val="1"/>
                <w:szCs w:val="1"/>
                <w:color w:val="auto"/>
              </w:rPr>
            </w:pPr>
          </w:p>
        </w:tc>
        <w:tc>
          <w:tcPr>
            <w:tcW w:w="240" w:type="dxa"/>
            <w:vAlign w:val="bottom"/>
            <w:shd w:val="clear" w:color="auto" w:fill="0066B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200" w:right="1560" w:hanging="294"/>
        <w:spacing w:after="0" w:line="258" w:lineRule="auto"/>
        <w:tabs>
          <w:tab w:leader="none" w:pos="22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amounts shown for Messrs. Roche, Mahendra-Rajah, Cotter, Hassett and Pietkiewicz in the threshold, target and maximum columns reflect the minimum, target and maximum amounts payable under our executive performance incentive plan, respectively. Amounts in the maximum column above reflect 300% of the executive’s target bonus, which is the cap under the plan. The actual amounts earned in fiscal 2020 are reflected in the Summary Compensation Table above and were as follows:</w:t>
      </w:r>
    </w:p>
    <w:p>
      <w:pPr>
        <w:spacing w:after="0" w:line="222" w:lineRule="exact"/>
        <w:rPr>
          <w:sz w:val="20"/>
          <w:szCs w:val="20"/>
          <w:color w:val="auto"/>
        </w:rPr>
      </w:pPr>
    </w:p>
    <w:tbl>
      <w:tblPr>
        <w:tblLayout w:type="fixed"/>
        <w:tblInd w:w="1780" w:type="dxa"/>
        <w:tblCellMar>
          <w:top w:w="0" w:type="dxa"/>
          <w:left w:w="0" w:type="dxa"/>
          <w:bottom w:w="0" w:type="dxa"/>
          <w:right w:w="0" w:type="dxa"/>
        </w:tblCellMar>
      </w:tblPr>
      <w:tr>
        <w:trPr>
          <w:trHeight w:val="223"/>
        </w:trPr>
        <w:tc>
          <w:tcPr>
            <w:tcW w:w="372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Name</w:t>
            </w:r>
          </w:p>
        </w:tc>
        <w:tc>
          <w:tcPr>
            <w:tcW w:w="3980" w:type="dxa"/>
            <w:vAlign w:val="bottom"/>
            <w:gridSpan w:val="2"/>
            <w:shd w:val="clear" w:color="auto" w:fill="0066BA"/>
          </w:tcPr>
          <w:p>
            <w:pPr>
              <w:jc w:val="right"/>
              <w:spacing w:after="0"/>
              <w:rPr>
                <w:sz w:val="20"/>
                <w:szCs w:val="20"/>
                <w:color w:val="auto"/>
              </w:rPr>
            </w:pPr>
            <w:r>
              <w:rPr>
                <w:rFonts w:ascii="Arial" w:cs="Arial" w:eastAsia="Arial" w:hAnsi="Arial"/>
                <w:sz w:val="14"/>
                <w:szCs w:val="14"/>
                <w:b w:val="1"/>
                <w:bCs w:val="1"/>
                <w:color w:val="FFFFFF"/>
              </w:rPr>
              <w:t>Actual Payout under Non-Equity</w:t>
            </w:r>
          </w:p>
        </w:tc>
      </w:tr>
      <w:tr>
        <w:trPr>
          <w:trHeight w:val="182"/>
        </w:trPr>
        <w:tc>
          <w:tcPr>
            <w:tcW w:w="3720" w:type="dxa"/>
            <w:vAlign w:val="bottom"/>
            <w:shd w:val="clear" w:color="auto" w:fill="0066BA"/>
          </w:tcPr>
          <w:p>
            <w:pPr>
              <w:spacing w:after="0"/>
              <w:rPr>
                <w:sz w:val="15"/>
                <w:szCs w:val="15"/>
                <w:color w:val="auto"/>
              </w:rPr>
            </w:pPr>
          </w:p>
        </w:tc>
        <w:tc>
          <w:tcPr>
            <w:tcW w:w="3980" w:type="dxa"/>
            <w:vAlign w:val="bottom"/>
            <w:gridSpan w:val="2"/>
            <w:shd w:val="clear" w:color="auto" w:fill="0066BA"/>
          </w:tcPr>
          <w:p>
            <w:pPr>
              <w:jc w:val="right"/>
              <w:spacing w:after="0"/>
              <w:rPr>
                <w:sz w:val="20"/>
                <w:szCs w:val="20"/>
                <w:color w:val="auto"/>
              </w:rPr>
            </w:pPr>
            <w:r>
              <w:rPr>
                <w:rFonts w:ascii="Arial" w:cs="Arial" w:eastAsia="Arial" w:hAnsi="Arial"/>
                <w:sz w:val="14"/>
                <w:szCs w:val="14"/>
                <w:b w:val="1"/>
                <w:bCs w:val="1"/>
                <w:color w:val="FFFFFF"/>
              </w:rPr>
              <w:t>Incentive Plans for Fiscal 2020</w:t>
            </w:r>
          </w:p>
        </w:tc>
      </w:tr>
      <w:tr>
        <w:trPr>
          <w:trHeight w:val="103"/>
        </w:trPr>
        <w:tc>
          <w:tcPr>
            <w:tcW w:w="3720" w:type="dxa"/>
            <w:vAlign w:val="bottom"/>
            <w:shd w:val="clear" w:color="auto" w:fill="0066BA"/>
          </w:tcPr>
          <w:p>
            <w:pPr>
              <w:spacing w:after="0"/>
              <w:rPr>
                <w:sz w:val="8"/>
                <w:szCs w:val="8"/>
                <w:color w:val="auto"/>
              </w:rPr>
            </w:pPr>
          </w:p>
        </w:tc>
        <w:tc>
          <w:tcPr>
            <w:tcW w:w="3980" w:type="dxa"/>
            <w:vAlign w:val="bottom"/>
            <w:gridSpan w:val="2"/>
            <w:shd w:val="clear" w:color="auto" w:fill="0066BA"/>
          </w:tcPr>
          <w:p>
            <w:pPr>
              <w:spacing w:after="0"/>
              <w:rPr>
                <w:sz w:val="8"/>
                <w:szCs w:val="8"/>
                <w:color w:val="auto"/>
              </w:rPr>
            </w:pPr>
          </w:p>
        </w:tc>
      </w:tr>
      <w:tr>
        <w:trPr>
          <w:trHeight w:val="273"/>
        </w:trPr>
        <w:tc>
          <w:tcPr>
            <w:tcW w:w="3720" w:type="dxa"/>
            <w:vAlign w:val="bottom"/>
          </w:tcPr>
          <w:p>
            <w:pPr>
              <w:ind w:left="60"/>
              <w:spacing w:after="0"/>
              <w:rPr>
                <w:sz w:val="20"/>
                <w:szCs w:val="20"/>
                <w:color w:val="auto"/>
              </w:rPr>
            </w:pPr>
            <w:r>
              <w:rPr>
                <w:rFonts w:ascii="Arial" w:cs="Arial" w:eastAsia="Arial" w:hAnsi="Arial"/>
                <w:sz w:val="17"/>
                <w:szCs w:val="17"/>
                <w:color w:val="auto"/>
              </w:rPr>
              <w:t>Vincent Roche</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$1,229,106</w:t>
            </w:r>
          </w:p>
        </w:tc>
      </w:tr>
      <w:tr>
        <w:trPr>
          <w:trHeight w:val="52"/>
        </w:trPr>
        <w:tc>
          <w:tcPr>
            <w:tcW w:w="372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53"/>
        </w:trPr>
        <w:tc>
          <w:tcPr>
            <w:tcW w:w="3720" w:type="dxa"/>
            <w:vAlign w:val="bottom"/>
          </w:tcPr>
          <w:p>
            <w:pPr>
              <w:ind w:left="60"/>
              <w:spacing w:after="0"/>
              <w:rPr>
                <w:sz w:val="20"/>
                <w:szCs w:val="20"/>
                <w:color w:val="auto"/>
              </w:rPr>
            </w:pPr>
            <w:r>
              <w:rPr>
                <w:rFonts w:ascii="Arial" w:cs="Arial" w:eastAsia="Arial" w:hAnsi="Arial"/>
                <w:sz w:val="17"/>
                <w:szCs w:val="17"/>
                <w:color w:val="auto"/>
              </w:rPr>
              <w:t>Prashanth Mahendra-Rajah</w:t>
            </w:r>
          </w:p>
        </w:tc>
        <w:tc>
          <w:tcPr>
            <w:tcW w:w="330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4"/>
              </w:rPr>
              <w:t>448,721</w:t>
            </w:r>
          </w:p>
        </w:tc>
      </w:tr>
      <w:tr>
        <w:trPr>
          <w:trHeight w:val="52"/>
        </w:trPr>
        <w:tc>
          <w:tcPr>
            <w:tcW w:w="372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53"/>
        </w:trPr>
        <w:tc>
          <w:tcPr>
            <w:tcW w:w="3720" w:type="dxa"/>
            <w:vAlign w:val="bottom"/>
          </w:tcPr>
          <w:p>
            <w:pPr>
              <w:ind w:left="60"/>
              <w:spacing w:after="0"/>
              <w:rPr>
                <w:sz w:val="20"/>
                <w:szCs w:val="20"/>
                <w:color w:val="auto"/>
              </w:rPr>
            </w:pPr>
            <w:r>
              <w:rPr>
                <w:rFonts w:ascii="Arial" w:cs="Arial" w:eastAsia="Arial" w:hAnsi="Arial"/>
                <w:sz w:val="17"/>
                <w:szCs w:val="17"/>
                <w:color w:val="auto"/>
              </w:rPr>
              <w:t>Martin Cotter</w:t>
            </w:r>
          </w:p>
        </w:tc>
        <w:tc>
          <w:tcPr>
            <w:tcW w:w="330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4"/>
              </w:rPr>
              <w:t>358,977</w:t>
            </w:r>
          </w:p>
        </w:tc>
      </w:tr>
      <w:tr>
        <w:trPr>
          <w:trHeight w:val="52"/>
        </w:trPr>
        <w:tc>
          <w:tcPr>
            <w:tcW w:w="372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53"/>
        </w:trPr>
        <w:tc>
          <w:tcPr>
            <w:tcW w:w="3720" w:type="dxa"/>
            <w:vAlign w:val="bottom"/>
          </w:tcPr>
          <w:p>
            <w:pPr>
              <w:ind w:left="60"/>
              <w:spacing w:after="0"/>
              <w:rPr>
                <w:sz w:val="20"/>
                <w:szCs w:val="20"/>
                <w:color w:val="auto"/>
              </w:rPr>
            </w:pPr>
            <w:r>
              <w:rPr>
                <w:rFonts w:ascii="Arial" w:cs="Arial" w:eastAsia="Arial" w:hAnsi="Arial"/>
                <w:sz w:val="17"/>
                <w:szCs w:val="17"/>
                <w:color w:val="auto"/>
              </w:rPr>
              <w:t>John Hassett</w:t>
            </w:r>
          </w:p>
        </w:tc>
        <w:tc>
          <w:tcPr>
            <w:tcW w:w="330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4"/>
              </w:rPr>
              <w:t>370,683</w:t>
            </w:r>
          </w:p>
        </w:tc>
      </w:tr>
      <w:tr>
        <w:trPr>
          <w:trHeight w:val="52"/>
        </w:trPr>
        <w:tc>
          <w:tcPr>
            <w:tcW w:w="372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53"/>
        </w:trPr>
        <w:tc>
          <w:tcPr>
            <w:tcW w:w="3720" w:type="dxa"/>
            <w:vAlign w:val="bottom"/>
          </w:tcPr>
          <w:p>
            <w:pPr>
              <w:ind w:left="60"/>
              <w:spacing w:after="0"/>
              <w:rPr>
                <w:sz w:val="20"/>
                <w:szCs w:val="20"/>
                <w:color w:val="auto"/>
              </w:rPr>
            </w:pPr>
            <w:r>
              <w:rPr>
                <w:rFonts w:ascii="Arial" w:cs="Arial" w:eastAsia="Arial" w:hAnsi="Arial"/>
                <w:sz w:val="17"/>
                <w:szCs w:val="17"/>
                <w:color w:val="auto"/>
              </w:rPr>
              <w:t>Steve Pietkiewicz</w:t>
            </w:r>
          </w:p>
        </w:tc>
        <w:tc>
          <w:tcPr>
            <w:tcW w:w="330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4"/>
              </w:rPr>
              <w:t>345,496</w:t>
            </w:r>
          </w:p>
        </w:tc>
      </w:tr>
      <w:tr>
        <w:trPr>
          <w:trHeight w:val="52"/>
        </w:trPr>
        <w:tc>
          <w:tcPr>
            <w:tcW w:w="372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bl>
    <w:p>
      <w:pPr>
        <w:spacing w:after="0" w:line="105" w:lineRule="exact"/>
        <w:rPr>
          <w:sz w:val="20"/>
          <w:szCs w:val="20"/>
          <w:color w:val="auto"/>
        </w:rPr>
      </w:pPr>
    </w:p>
    <w:p>
      <w:pPr>
        <w:ind w:left="2200" w:right="1620"/>
        <w:spacing w:after="0" w:line="263" w:lineRule="auto"/>
        <w:rPr>
          <w:sz w:val="20"/>
          <w:szCs w:val="20"/>
          <w:color w:val="auto"/>
        </w:rPr>
      </w:pPr>
      <w:r>
        <w:rPr>
          <w:rFonts w:ascii="Arial" w:cs="Arial" w:eastAsia="Arial" w:hAnsi="Arial"/>
          <w:sz w:val="17"/>
          <w:szCs w:val="17"/>
          <w:color w:val="auto"/>
        </w:rPr>
        <w:t>See “— Compensation Discussion and Analysis” above for a discussion of how these amounts were determined under our executive performance incentive plan.</w:t>
      </w:r>
    </w:p>
    <w:p>
      <w:pPr>
        <w:ind w:left="2200" w:right="1440" w:hanging="294"/>
        <w:spacing w:after="0" w:line="260" w:lineRule="auto"/>
        <w:tabs>
          <w:tab w:leader="none" w:pos="22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Represents PRSUs granted under our 2020 Plan. The relative TSR PRSUs have both a market condition and a service condition, while the financial metric PRSUs have a performance condition and a service condition, and vest, so long as the executive continues to be employed with us, after the applicable three-year</w:t>
      </w:r>
    </w:p>
    <w:p>
      <w:pPr>
        <w:sectPr>
          <w:pgSz w:w="11900" w:h="16838" w:orient="portrait"/>
          <w:cols w:equalWidth="0" w:num="1">
            <w:col w:w="10760"/>
          </w:cols>
          <w:pgMar w:left="320" w:top="447" w:right="819" w:bottom="1076" w:gutter="0" w:footer="0" w:header="0"/>
        </w:sectPr>
      </w:pPr>
    </w:p>
    <w:p>
      <w:pPr>
        <w:spacing w:after="0" w:line="200" w:lineRule="exact"/>
        <w:rPr>
          <w:sz w:val="20"/>
          <w:szCs w:val="20"/>
          <w:color w:val="auto"/>
        </w:rPr>
      </w:pPr>
    </w:p>
    <w:p>
      <w:pPr>
        <w:spacing w:after="0" w:line="30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0760"/>
          </w:cols>
          <w:pgMar w:left="320" w:top="447" w:right="819" w:bottom="1076" w:gutter="0" w:footer="0" w:header="0"/>
          <w:type w:val="continuous"/>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780" w:right="280"/>
        <w:spacing w:after="0" w:line="274" w:lineRule="auto"/>
        <w:rPr>
          <w:sz w:val="20"/>
          <w:szCs w:val="20"/>
          <w:color w:val="auto"/>
        </w:rPr>
      </w:pPr>
      <w:r>
        <w:rPr>
          <w:rFonts w:ascii="Arial" w:cs="Arial" w:eastAsia="Arial" w:hAnsi="Arial"/>
          <w:sz w:val="16"/>
          <w:szCs w:val="16"/>
          <w:color w:val="auto"/>
        </w:rPr>
        <w:t>performance period. The number of shares of the Company’s common stock to be issued upon vesting of the relative TSR PRSUs will range from 0% to 200% of the target amount, based on the comparison of the Company’s TSR to the median TSR of a specified peer group over a three-year period. The number of shares of the Company’s common stock to be issued upon vesting of the financial metric PRSUs on the third anniversary of the grant date will range from 0% to 200% of the target amount, based on the Company’s attainment of one-year, two-year cumulative and three-year cumulative operating profit dollar targets set by the Compensation Committee.</w:t>
      </w:r>
    </w:p>
    <w:p>
      <w:pPr>
        <w:spacing w:after="0" w:line="3" w:lineRule="exact"/>
        <w:rPr>
          <w:sz w:val="20"/>
          <w:szCs w:val="20"/>
          <w:color w:val="auto"/>
        </w:rPr>
      </w:pPr>
    </w:p>
    <w:p>
      <w:pPr>
        <w:ind w:left="780" w:right="280" w:hanging="305"/>
        <w:spacing w:after="0" w:line="255" w:lineRule="auto"/>
        <w:tabs>
          <w:tab w:leader="none" w:pos="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Represents time-based RSUs granted under our 2020 Plan. The time-based RSUs vest, so long as the executive continues to be employed with us, in four equal installments on each of the first, second, third and fourth anniversaries of the grant date. Dividends are not payable on unvested RSUs.</w:t>
      </w:r>
    </w:p>
    <w:p>
      <w:pPr>
        <w:spacing w:after="0" w:line="1" w:lineRule="exact"/>
        <w:rPr>
          <w:rFonts w:ascii="Arial" w:cs="Arial" w:eastAsia="Arial" w:hAnsi="Arial"/>
          <w:sz w:val="17"/>
          <w:szCs w:val="17"/>
          <w:color w:val="auto"/>
        </w:rPr>
      </w:pPr>
    </w:p>
    <w:p>
      <w:pPr>
        <w:ind w:left="780" w:right="400" w:hanging="305"/>
        <w:spacing w:after="0" w:line="271"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Represents stock options granted under our 2020 Plan. These options become exercisable, so long as the executive continues to be employed with us, in four equal annual installments on each of the first, second, third and fourth anniversaries of the grant date.</w:t>
      </w:r>
    </w:p>
    <w:p>
      <w:pPr>
        <w:ind w:left="780" w:hanging="305"/>
        <w:spacing w:after="0"/>
        <w:tabs>
          <w:tab w:leader="none" w:pos="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exercise price per share is equal to the closing price per share of our common stock on the date of grant.</w:t>
      </w:r>
    </w:p>
    <w:p>
      <w:pPr>
        <w:spacing w:after="0" w:line="12" w:lineRule="exact"/>
        <w:rPr>
          <w:rFonts w:ascii="Arial" w:cs="Arial" w:eastAsia="Arial" w:hAnsi="Arial"/>
          <w:sz w:val="17"/>
          <w:szCs w:val="17"/>
          <w:color w:val="auto"/>
        </w:rPr>
      </w:pPr>
    </w:p>
    <w:p>
      <w:pPr>
        <w:ind w:left="780" w:right="200" w:hanging="305"/>
        <w:spacing w:after="0" w:line="271"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amount does not represent the actual amount paid to or realized by the executives for these awards during the fiscal year. This amount represents the grant date fair value of the PRSUs. The grant date fair value of the relative TSR PRSUs was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per share of the relative TSR PRSU awards granted to Messrs. Roche, Mahendra-Rajah, Cotter, Hassett and Pietkiewicz on March 11, 2020 was $97.71. The grant date fair value of financial metric PRSUs represents the value at the grant date based upon the probable outcome of the performance conditions at the date of grant.</w:t>
      </w:r>
    </w:p>
    <w:p>
      <w:pPr>
        <w:spacing w:after="0" w:line="3" w:lineRule="exact"/>
        <w:rPr>
          <w:rFonts w:ascii="Arial" w:cs="Arial" w:eastAsia="Arial" w:hAnsi="Arial"/>
          <w:sz w:val="16"/>
          <w:szCs w:val="16"/>
          <w:color w:val="auto"/>
        </w:rPr>
      </w:pPr>
    </w:p>
    <w:p>
      <w:pPr>
        <w:ind w:left="780" w:right="520" w:hanging="305"/>
        <w:spacing w:after="0" w:line="271" w:lineRule="auto"/>
        <w:tabs>
          <w:tab w:leader="none" w:pos="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This amount does not represent the actual amount paid to or realized by the executives for these awards during the fiscal year. This amount represents the grant date fair value of the time-based RSUs.</w:t>
      </w:r>
    </w:p>
    <w:p>
      <w:pPr>
        <w:spacing w:after="0" w:line="79"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6"/>
          <w:szCs w:val="16"/>
          <w:color w:val="auto"/>
        </w:rPr>
        <w:t>The following table includes the assumptions, rounded to the nearest hundredth, which we used to calculate the grant date fair value amounts:</w:t>
      </w:r>
    </w:p>
    <w:p>
      <w:pPr>
        <w:spacing w:after="0" w:line="271" w:lineRule="exact"/>
        <w:rPr>
          <w:sz w:val="20"/>
          <w:szCs w:val="20"/>
          <w:color w:val="auto"/>
        </w:rPr>
      </w:pPr>
    </w:p>
    <w:tbl>
      <w:tblPr>
        <w:tblLayout w:type="fixed"/>
        <w:tblInd w:w="700" w:type="dxa"/>
        <w:tblCellMar>
          <w:top w:w="0" w:type="dxa"/>
          <w:left w:w="0" w:type="dxa"/>
          <w:bottom w:w="0" w:type="dxa"/>
          <w:right w:w="0" w:type="dxa"/>
        </w:tblCellMar>
      </w:tblPr>
      <w:tr>
        <w:trPr>
          <w:trHeight w:val="235"/>
        </w:trPr>
        <w:tc>
          <w:tcPr>
            <w:tcW w:w="416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Grant Date</w:t>
            </w:r>
          </w:p>
        </w:tc>
        <w:tc>
          <w:tcPr>
            <w:tcW w:w="2460" w:type="dxa"/>
            <w:vAlign w:val="bottom"/>
            <w:gridSpan w:val="2"/>
            <w:shd w:val="clear" w:color="auto" w:fill="0066BA"/>
          </w:tcPr>
          <w:p>
            <w:pPr>
              <w:ind w:left="1440"/>
              <w:spacing w:after="0"/>
              <w:rPr>
                <w:sz w:val="20"/>
                <w:szCs w:val="20"/>
                <w:color w:val="auto"/>
              </w:rPr>
            </w:pPr>
            <w:r>
              <w:rPr>
                <w:rFonts w:ascii="Arial" w:cs="Arial" w:eastAsia="Arial" w:hAnsi="Arial"/>
                <w:sz w:val="14"/>
                <w:szCs w:val="14"/>
                <w:b w:val="1"/>
                <w:bCs w:val="1"/>
                <w:color w:val="FFFFFF"/>
              </w:rPr>
              <w:t>Assumptions</w:t>
            </w:r>
          </w:p>
        </w:tc>
        <w:tc>
          <w:tcPr>
            <w:tcW w:w="1080" w:type="dxa"/>
            <w:vAlign w:val="bottom"/>
            <w:shd w:val="clear" w:color="auto" w:fill="0066BA"/>
          </w:tcPr>
          <w:p>
            <w:pPr>
              <w:spacing w:after="0"/>
              <w:rPr>
                <w:sz w:val="20"/>
                <w:szCs w:val="20"/>
                <w:color w:val="auto"/>
              </w:rPr>
            </w:pPr>
          </w:p>
        </w:tc>
        <w:tc>
          <w:tcPr>
            <w:tcW w:w="2380" w:type="dxa"/>
            <w:vAlign w:val="bottom"/>
            <w:shd w:val="clear" w:color="auto" w:fill="0066BA"/>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160" w:type="dxa"/>
            <w:vAlign w:val="bottom"/>
            <w:shd w:val="clear" w:color="auto" w:fill="0066BA"/>
          </w:tcPr>
          <w:p>
            <w:pPr>
              <w:spacing w:after="0"/>
              <w:rPr>
                <w:sz w:val="8"/>
                <w:szCs w:val="8"/>
                <w:color w:val="auto"/>
              </w:rPr>
            </w:pPr>
          </w:p>
        </w:tc>
        <w:tc>
          <w:tcPr>
            <w:tcW w:w="1980" w:type="dxa"/>
            <w:vAlign w:val="bottom"/>
            <w:shd w:val="clear" w:color="auto" w:fill="0066BA"/>
          </w:tcPr>
          <w:p>
            <w:pPr>
              <w:spacing w:after="0"/>
              <w:rPr>
                <w:sz w:val="8"/>
                <w:szCs w:val="8"/>
                <w:color w:val="auto"/>
              </w:rPr>
            </w:pPr>
          </w:p>
        </w:tc>
        <w:tc>
          <w:tcPr>
            <w:tcW w:w="480" w:type="dxa"/>
            <w:vAlign w:val="bottom"/>
            <w:shd w:val="clear" w:color="auto" w:fill="0066BA"/>
          </w:tcPr>
          <w:p>
            <w:pPr>
              <w:spacing w:after="0"/>
              <w:rPr>
                <w:sz w:val="8"/>
                <w:szCs w:val="8"/>
                <w:color w:val="auto"/>
              </w:rPr>
            </w:pPr>
          </w:p>
        </w:tc>
        <w:tc>
          <w:tcPr>
            <w:tcW w:w="1080" w:type="dxa"/>
            <w:vAlign w:val="bottom"/>
            <w:shd w:val="clear" w:color="auto" w:fill="0066BA"/>
          </w:tcPr>
          <w:p>
            <w:pPr>
              <w:spacing w:after="0"/>
              <w:rPr>
                <w:sz w:val="8"/>
                <w:szCs w:val="8"/>
                <w:color w:val="auto"/>
              </w:rPr>
            </w:pPr>
          </w:p>
        </w:tc>
        <w:tc>
          <w:tcPr>
            <w:tcW w:w="2380" w:type="dxa"/>
            <w:vAlign w:val="bottom"/>
            <w:vMerge w:val="restart"/>
            <w:shd w:val="clear" w:color="auto" w:fill="0066BA"/>
          </w:tcPr>
          <w:p>
            <w:pPr>
              <w:jc w:val="right"/>
              <w:ind w:right="265"/>
              <w:spacing w:after="0"/>
              <w:rPr>
                <w:sz w:val="20"/>
                <w:szCs w:val="20"/>
                <w:color w:val="auto"/>
              </w:rPr>
            </w:pPr>
            <w:r>
              <w:rPr>
                <w:rFonts w:ascii="Arial" w:cs="Arial" w:eastAsia="Arial" w:hAnsi="Arial"/>
                <w:sz w:val="14"/>
                <w:szCs w:val="14"/>
                <w:b w:val="1"/>
                <w:bCs w:val="1"/>
                <w:color w:val="FFFFFF"/>
              </w:rPr>
              <w:t>Grant Date Fair Value</w:t>
            </w:r>
          </w:p>
        </w:tc>
        <w:tc>
          <w:tcPr>
            <w:tcW w:w="0" w:type="dxa"/>
            <w:vAlign w:val="bottom"/>
          </w:tcPr>
          <w:p>
            <w:pPr>
              <w:spacing w:after="0"/>
              <w:rPr>
                <w:sz w:val="1"/>
                <w:szCs w:val="1"/>
                <w:color w:val="auto"/>
              </w:rPr>
            </w:pPr>
          </w:p>
        </w:tc>
      </w:tr>
      <w:tr>
        <w:trPr>
          <w:trHeight w:val="216"/>
        </w:trPr>
        <w:tc>
          <w:tcPr>
            <w:tcW w:w="4160" w:type="dxa"/>
            <w:vAlign w:val="bottom"/>
            <w:shd w:val="clear" w:color="auto" w:fill="0066BA"/>
          </w:tcPr>
          <w:p>
            <w:pPr>
              <w:spacing w:after="0"/>
              <w:rPr>
                <w:sz w:val="18"/>
                <w:szCs w:val="18"/>
                <w:color w:val="auto"/>
              </w:rPr>
            </w:pPr>
          </w:p>
        </w:tc>
        <w:tc>
          <w:tcPr>
            <w:tcW w:w="2460" w:type="dxa"/>
            <w:vAlign w:val="bottom"/>
            <w:gridSpan w:val="2"/>
            <w:shd w:val="clear" w:color="auto" w:fill="0066BA"/>
          </w:tcPr>
          <w:p>
            <w:pPr>
              <w:jc w:val="right"/>
              <w:ind w:right="800"/>
              <w:spacing w:after="0"/>
              <w:rPr>
                <w:sz w:val="20"/>
                <w:szCs w:val="20"/>
                <w:color w:val="auto"/>
              </w:rPr>
            </w:pPr>
            <w:r>
              <w:rPr>
                <w:rFonts w:ascii="Arial" w:cs="Arial" w:eastAsia="Arial" w:hAnsi="Arial"/>
                <w:sz w:val="14"/>
                <w:szCs w:val="14"/>
                <w:b w:val="1"/>
                <w:bCs w:val="1"/>
                <w:color w:val="FFFFFF"/>
              </w:rPr>
              <w:t>Risk-Free</w:t>
            </w:r>
          </w:p>
        </w:tc>
        <w:tc>
          <w:tcPr>
            <w:tcW w:w="1080" w:type="dxa"/>
            <w:vAlign w:val="bottom"/>
            <w:shd w:val="clear" w:color="auto" w:fill="0066BA"/>
          </w:tcPr>
          <w:p>
            <w:pPr>
              <w:jc w:val="right"/>
              <w:ind w:right="265"/>
              <w:spacing w:after="0"/>
              <w:rPr>
                <w:sz w:val="20"/>
                <w:szCs w:val="20"/>
                <w:color w:val="auto"/>
              </w:rPr>
            </w:pPr>
            <w:r>
              <w:rPr>
                <w:rFonts w:ascii="Arial" w:cs="Arial" w:eastAsia="Arial" w:hAnsi="Arial"/>
                <w:sz w:val="14"/>
                <w:szCs w:val="14"/>
                <w:b w:val="1"/>
                <w:bCs w:val="1"/>
                <w:color w:val="FFFFFF"/>
              </w:rPr>
              <w:t>Dividend</w:t>
            </w:r>
          </w:p>
        </w:tc>
        <w:tc>
          <w:tcPr>
            <w:tcW w:w="2380" w:type="dxa"/>
            <w:vAlign w:val="bottom"/>
            <w:vMerge w:val="continue"/>
            <w:shd w:val="clear" w:color="auto" w:fill="0066BA"/>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60" w:type="dxa"/>
            <w:vAlign w:val="bottom"/>
            <w:shd w:val="clear" w:color="auto" w:fill="0066BA"/>
          </w:tcPr>
          <w:p>
            <w:pPr>
              <w:spacing w:after="0"/>
              <w:rPr>
                <w:sz w:val="16"/>
                <w:szCs w:val="16"/>
                <w:color w:val="auto"/>
              </w:rPr>
            </w:pPr>
          </w:p>
        </w:tc>
        <w:tc>
          <w:tcPr>
            <w:tcW w:w="2460" w:type="dxa"/>
            <w:vAlign w:val="bottom"/>
            <w:gridSpan w:val="2"/>
            <w:shd w:val="clear" w:color="auto" w:fill="0066BA"/>
          </w:tcPr>
          <w:p>
            <w:pPr>
              <w:jc w:val="right"/>
              <w:ind w:right="800"/>
              <w:spacing w:after="0"/>
              <w:rPr>
                <w:sz w:val="20"/>
                <w:szCs w:val="20"/>
                <w:color w:val="auto"/>
              </w:rPr>
            </w:pPr>
            <w:r>
              <w:rPr>
                <w:rFonts w:ascii="Arial" w:cs="Arial" w:eastAsia="Arial" w:hAnsi="Arial"/>
                <w:sz w:val="14"/>
                <w:szCs w:val="14"/>
                <w:b w:val="1"/>
                <w:bCs w:val="1"/>
                <w:color w:val="FFFFFF"/>
              </w:rPr>
              <w:t>Interest Rate (%)</w:t>
            </w:r>
          </w:p>
        </w:tc>
        <w:tc>
          <w:tcPr>
            <w:tcW w:w="1080" w:type="dxa"/>
            <w:vAlign w:val="bottom"/>
            <w:shd w:val="clear" w:color="auto" w:fill="0066BA"/>
          </w:tcPr>
          <w:p>
            <w:pPr>
              <w:jc w:val="right"/>
              <w:ind w:right="265"/>
              <w:spacing w:after="0"/>
              <w:rPr>
                <w:sz w:val="20"/>
                <w:szCs w:val="20"/>
                <w:color w:val="auto"/>
              </w:rPr>
            </w:pPr>
            <w:r>
              <w:rPr>
                <w:rFonts w:ascii="Arial" w:cs="Arial" w:eastAsia="Arial" w:hAnsi="Arial"/>
                <w:sz w:val="14"/>
                <w:szCs w:val="14"/>
                <w:b w:val="1"/>
                <w:bCs w:val="1"/>
                <w:color w:val="FFFFFF"/>
              </w:rPr>
              <w:t>Yield (%)</w:t>
            </w:r>
          </w:p>
        </w:tc>
        <w:tc>
          <w:tcPr>
            <w:tcW w:w="2380" w:type="dxa"/>
            <w:vAlign w:val="bottom"/>
            <w:shd w:val="clear" w:color="auto" w:fill="0066BA"/>
          </w:tcPr>
          <w:p>
            <w:pPr>
              <w:jc w:val="right"/>
              <w:ind w:right="265"/>
              <w:spacing w:after="0"/>
              <w:rPr>
                <w:sz w:val="20"/>
                <w:szCs w:val="20"/>
                <w:color w:val="auto"/>
              </w:rPr>
            </w:pPr>
            <w:r>
              <w:rPr>
                <w:rFonts w:ascii="Arial" w:cs="Arial" w:eastAsia="Arial" w:hAnsi="Arial"/>
                <w:sz w:val="14"/>
                <w:szCs w:val="14"/>
                <w:b w:val="1"/>
                <w:bCs w:val="1"/>
                <w:color w:val="FFFFFF"/>
              </w:rPr>
              <w:t>Per Share ($)</w:t>
            </w:r>
          </w:p>
        </w:tc>
        <w:tc>
          <w:tcPr>
            <w:tcW w:w="0" w:type="dxa"/>
            <w:vAlign w:val="bottom"/>
          </w:tcPr>
          <w:p>
            <w:pPr>
              <w:spacing w:after="0"/>
              <w:rPr>
                <w:sz w:val="1"/>
                <w:szCs w:val="1"/>
                <w:color w:val="auto"/>
              </w:rPr>
            </w:pPr>
          </w:p>
        </w:tc>
      </w:tr>
      <w:tr>
        <w:trPr>
          <w:trHeight w:val="103"/>
        </w:trPr>
        <w:tc>
          <w:tcPr>
            <w:tcW w:w="4160" w:type="dxa"/>
            <w:vAlign w:val="bottom"/>
            <w:shd w:val="clear" w:color="auto" w:fill="0066BA"/>
          </w:tcPr>
          <w:p>
            <w:pPr>
              <w:spacing w:after="0"/>
              <w:rPr>
                <w:sz w:val="8"/>
                <w:szCs w:val="8"/>
                <w:color w:val="auto"/>
              </w:rPr>
            </w:pPr>
          </w:p>
        </w:tc>
        <w:tc>
          <w:tcPr>
            <w:tcW w:w="1980" w:type="dxa"/>
            <w:vAlign w:val="bottom"/>
            <w:shd w:val="clear" w:color="auto" w:fill="0066BA"/>
          </w:tcPr>
          <w:p>
            <w:pPr>
              <w:spacing w:after="0"/>
              <w:rPr>
                <w:sz w:val="8"/>
                <w:szCs w:val="8"/>
                <w:color w:val="auto"/>
              </w:rPr>
            </w:pPr>
          </w:p>
        </w:tc>
        <w:tc>
          <w:tcPr>
            <w:tcW w:w="480" w:type="dxa"/>
            <w:vAlign w:val="bottom"/>
            <w:shd w:val="clear" w:color="auto" w:fill="0066BA"/>
          </w:tcPr>
          <w:p>
            <w:pPr>
              <w:spacing w:after="0"/>
              <w:rPr>
                <w:sz w:val="8"/>
                <w:szCs w:val="8"/>
                <w:color w:val="auto"/>
              </w:rPr>
            </w:pPr>
          </w:p>
        </w:tc>
        <w:tc>
          <w:tcPr>
            <w:tcW w:w="1080" w:type="dxa"/>
            <w:vAlign w:val="bottom"/>
            <w:shd w:val="clear" w:color="auto" w:fill="0066BA"/>
          </w:tcPr>
          <w:p>
            <w:pPr>
              <w:spacing w:after="0"/>
              <w:rPr>
                <w:sz w:val="8"/>
                <w:szCs w:val="8"/>
                <w:color w:val="auto"/>
              </w:rPr>
            </w:pPr>
          </w:p>
        </w:tc>
        <w:tc>
          <w:tcPr>
            <w:tcW w:w="2380" w:type="dxa"/>
            <w:vAlign w:val="bottom"/>
            <w:shd w:val="clear" w:color="auto" w:fill="0066BA"/>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4160" w:type="dxa"/>
            <w:vAlign w:val="bottom"/>
          </w:tcPr>
          <w:p>
            <w:pPr>
              <w:ind w:left="60"/>
              <w:spacing w:after="0"/>
              <w:rPr>
                <w:sz w:val="20"/>
                <w:szCs w:val="20"/>
                <w:color w:val="auto"/>
              </w:rPr>
            </w:pPr>
            <w:r>
              <w:rPr>
                <w:rFonts w:ascii="Arial" w:cs="Arial" w:eastAsia="Arial" w:hAnsi="Arial"/>
                <w:sz w:val="17"/>
                <w:szCs w:val="17"/>
                <w:color w:val="auto"/>
              </w:rPr>
              <w:t>3/11/2020</w:t>
            </w:r>
          </w:p>
        </w:tc>
        <w:tc>
          <w:tcPr>
            <w:tcW w:w="1980" w:type="dxa"/>
            <w:vAlign w:val="bottom"/>
            <w:tcBorders>
              <w:bottom w:val="single" w:sz="8" w:color="EAEAEA"/>
            </w:tcBorders>
            <w:shd w:val="clear" w:color="auto" w:fill="EAEAEA"/>
          </w:tcPr>
          <w:p>
            <w:pPr>
              <w:jc w:val="right"/>
              <w:ind w:right="246"/>
              <w:spacing w:after="0"/>
              <w:rPr>
                <w:sz w:val="20"/>
                <w:szCs w:val="20"/>
                <w:color w:val="auto"/>
              </w:rPr>
            </w:pPr>
            <w:r>
              <w:rPr>
                <w:rFonts w:ascii="Arial" w:cs="Arial" w:eastAsia="Arial" w:hAnsi="Arial"/>
                <w:sz w:val="17"/>
                <w:szCs w:val="17"/>
                <w:color w:val="auto"/>
              </w:rPr>
              <w:t>0.66</w:t>
            </w:r>
          </w:p>
        </w:tc>
        <w:tc>
          <w:tcPr>
            <w:tcW w:w="480" w:type="dxa"/>
            <w:vAlign w:val="bottom"/>
          </w:tcPr>
          <w:p>
            <w:pPr>
              <w:spacing w:after="0"/>
              <w:rPr>
                <w:sz w:val="24"/>
                <w:szCs w:val="24"/>
                <w:color w:val="auto"/>
              </w:rPr>
            </w:pPr>
          </w:p>
        </w:tc>
        <w:tc>
          <w:tcPr>
            <w:tcW w:w="1080" w:type="dxa"/>
            <w:vAlign w:val="bottom"/>
          </w:tcPr>
          <w:p>
            <w:pPr>
              <w:jc w:val="right"/>
              <w:ind w:right="265"/>
              <w:spacing w:after="0"/>
              <w:rPr>
                <w:sz w:val="20"/>
                <w:szCs w:val="20"/>
                <w:color w:val="auto"/>
              </w:rPr>
            </w:pPr>
            <w:r>
              <w:rPr>
                <w:rFonts w:ascii="Arial" w:cs="Arial" w:eastAsia="Arial" w:hAnsi="Arial"/>
                <w:sz w:val="17"/>
                <w:szCs w:val="17"/>
                <w:color w:val="auto"/>
              </w:rPr>
              <w:t>2.63</w:t>
            </w:r>
          </w:p>
        </w:tc>
        <w:tc>
          <w:tcPr>
            <w:tcW w:w="2380" w:type="dxa"/>
            <w:vAlign w:val="bottom"/>
            <w:tcBorders>
              <w:bottom w:val="single" w:sz="8" w:color="EAEAEA"/>
            </w:tcBorders>
            <w:shd w:val="clear" w:color="auto" w:fill="EAEAEA"/>
          </w:tcPr>
          <w:p>
            <w:pPr>
              <w:jc w:val="right"/>
              <w:ind w:right="265"/>
              <w:spacing w:after="0"/>
              <w:rPr>
                <w:sz w:val="20"/>
                <w:szCs w:val="20"/>
                <w:color w:val="auto"/>
              </w:rPr>
            </w:pPr>
            <w:r>
              <w:rPr>
                <w:rFonts w:ascii="Arial" w:cs="Arial" w:eastAsia="Arial" w:hAnsi="Arial"/>
                <w:sz w:val="17"/>
                <w:szCs w:val="17"/>
                <w:color w:val="auto"/>
              </w:rPr>
              <w:t>88.28</w:t>
            </w:r>
          </w:p>
        </w:tc>
        <w:tc>
          <w:tcPr>
            <w:tcW w:w="0" w:type="dxa"/>
            <w:vAlign w:val="bottom"/>
          </w:tcPr>
          <w:p>
            <w:pPr>
              <w:spacing w:after="0"/>
              <w:rPr>
                <w:sz w:val="1"/>
                <w:szCs w:val="1"/>
                <w:color w:val="auto"/>
              </w:rPr>
            </w:pPr>
          </w:p>
        </w:tc>
      </w:tr>
      <w:tr>
        <w:trPr>
          <w:trHeight w:val="20"/>
        </w:trPr>
        <w:tc>
          <w:tcPr>
            <w:tcW w:w="4160" w:type="dxa"/>
            <w:vAlign w:val="bottom"/>
            <w:shd w:val="clear" w:color="auto" w:fill="0066BA"/>
          </w:tcPr>
          <w:p>
            <w:pPr>
              <w:spacing w:after="0" w:line="20" w:lineRule="exact"/>
              <w:rPr>
                <w:sz w:val="1"/>
                <w:szCs w:val="1"/>
                <w:color w:val="auto"/>
              </w:rPr>
            </w:pPr>
          </w:p>
        </w:tc>
        <w:tc>
          <w:tcPr>
            <w:tcW w:w="1980" w:type="dxa"/>
            <w:vAlign w:val="bottom"/>
            <w:shd w:val="clear" w:color="auto" w:fill="0066BA"/>
          </w:tcPr>
          <w:p>
            <w:pPr>
              <w:spacing w:after="0" w:line="20" w:lineRule="exact"/>
              <w:rPr>
                <w:sz w:val="1"/>
                <w:szCs w:val="1"/>
                <w:color w:val="auto"/>
              </w:rPr>
            </w:pPr>
          </w:p>
        </w:tc>
        <w:tc>
          <w:tcPr>
            <w:tcW w:w="480" w:type="dxa"/>
            <w:vAlign w:val="bottom"/>
            <w:shd w:val="clear" w:color="auto" w:fill="0066BA"/>
          </w:tcPr>
          <w:p>
            <w:pPr>
              <w:spacing w:after="0" w:line="20" w:lineRule="exact"/>
              <w:rPr>
                <w:sz w:val="1"/>
                <w:szCs w:val="1"/>
                <w:color w:val="auto"/>
              </w:rPr>
            </w:pPr>
          </w:p>
        </w:tc>
        <w:tc>
          <w:tcPr>
            <w:tcW w:w="1080" w:type="dxa"/>
            <w:vAlign w:val="bottom"/>
            <w:shd w:val="clear" w:color="auto" w:fill="0066BA"/>
          </w:tcPr>
          <w:p>
            <w:pPr>
              <w:spacing w:after="0" w:line="20" w:lineRule="exact"/>
              <w:rPr>
                <w:sz w:val="1"/>
                <w:szCs w:val="1"/>
                <w:color w:val="auto"/>
              </w:rPr>
            </w:pPr>
          </w:p>
        </w:tc>
        <w:tc>
          <w:tcPr>
            <w:tcW w:w="2380" w:type="dxa"/>
            <w:vAlign w:val="bottom"/>
            <w:shd w:val="clear" w:color="auto" w:fill="0066B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780" w:right="760"/>
        <w:spacing w:after="0" w:line="286" w:lineRule="auto"/>
        <w:rPr>
          <w:sz w:val="20"/>
          <w:szCs w:val="20"/>
          <w:color w:val="auto"/>
        </w:rPr>
      </w:pPr>
      <w:r>
        <w:rPr>
          <w:rFonts w:ascii="Arial" w:cs="Arial" w:eastAsia="Arial" w:hAnsi="Arial"/>
          <w:sz w:val="17"/>
          <w:szCs w:val="17"/>
          <w:color w:val="auto"/>
        </w:rPr>
        <w:t>The grant date fair value of the time-based RSUs is the value of our common stock on the date of grant, reduced by the present value of dividends expected to be paid on our common stock prior to vesting.</w:t>
      </w:r>
    </w:p>
    <w:p>
      <w:pPr>
        <w:spacing w:after="0" w:line="67" w:lineRule="exact"/>
        <w:rPr>
          <w:sz w:val="20"/>
          <w:szCs w:val="20"/>
          <w:color w:val="auto"/>
        </w:rPr>
      </w:pPr>
    </w:p>
    <w:p>
      <w:pPr>
        <w:ind w:left="780" w:right="280" w:hanging="305"/>
        <w:spacing w:after="0" w:line="270" w:lineRule="auto"/>
        <w:tabs>
          <w:tab w:leader="none" w:pos="7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This amount does not represent the actual amount paid to or realized by the executives for these awards during the fiscal year. The grant date fair value of stock options granted were computed using a Black-Scholes valuation methodology. We estimated the full grant date fair value of these stock options using the following assumptions:</w:t>
      </w:r>
    </w:p>
    <w:p>
      <w:pPr>
        <w:spacing w:after="0" w:line="211" w:lineRule="exact"/>
        <w:rPr>
          <w:sz w:val="20"/>
          <w:szCs w:val="20"/>
          <w:color w:val="auto"/>
        </w:rPr>
      </w:pPr>
    </w:p>
    <w:tbl>
      <w:tblPr>
        <w:tblLayout w:type="fixed"/>
        <w:tblInd w:w="700" w:type="dxa"/>
        <w:tblCellMar>
          <w:top w:w="0" w:type="dxa"/>
          <w:left w:w="0" w:type="dxa"/>
          <w:bottom w:w="0" w:type="dxa"/>
          <w:right w:w="0" w:type="dxa"/>
        </w:tblCellMar>
      </w:tblPr>
      <w:tr>
        <w:trPr>
          <w:trHeight w:val="235"/>
        </w:trPr>
        <w:tc>
          <w:tcPr>
            <w:tcW w:w="168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Grant Date</w:t>
            </w:r>
          </w:p>
        </w:tc>
        <w:tc>
          <w:tcPr>
            <w:tcW w:w="1800" w:type="dxa"/>
            <w:vAlign w:val="bottom"/>
            <w:shd w:val="clear" w:color="auto" w:fill="0066BA"/>
          </w:tcPr>
          <w:p>
            <w:pPr>
              <w:spacing w:after="0"/>
              <w:rPr>
                <w:sz w:val="20"/>
                <w:szCs w:val="20"/>
                <w:color w:val="auto"/>
              </w:rPr>
            </w:pPr>
          </w:p>
        </w:tc>
        <w:tc>
          <w:tcPr>
            <w:tcW w:w="3280" w:type="dxa"/>
            <w:vAlign w:val="bottom"/>
            <w:gridSpan w:val="2"/>
            <w:shd w:val="clear" w:color="auto" w:fill="0066BA"/>
          </w:tcPr>
          <w:p>
            <w:pPr>
              <w:jc w:val="right"/>
              <w:ind w:right="1305"/>
              <w:spacing w:after="0"/>
              <w:rPr>
                <w:sz w:val="20"/>
                <w:szCs w:val="20"/>
                <w:color w:val="auto"/>
              </w:rPr>
            </w:pPr>
            <w:r>
              <w:rPr>
                <w:rFonts w:ascii="Arial" w:cs="Arial" w:eastAsia="Arial" w:hAnsi="Arial"/>
                <w:sz w:val="14"/>
                <w:szCs w:val="14"/>
                <w:b w:val="1"/>
                <w:bCs w:val="1"/>
                <w:color w:val="FFFFFF"/>
              </w:rPr>
              <w:t>Assumptions</w:t>
            </w:r>
          </w:p>
        </w:tc>
        <w:tc>
          <w:tcPr>
            <w:tcW w:w="1600" w:type="dxa"/>
            <w:vAlign w:val="bottom"/>
            <w:shd w:val="clear" w:color="auto" w:fill="0066BA"/>
          </w:tcPr>
          <w:p>
            <w:pPr>
              <w:spacing w:after="0"/>
              <w:rPr>
                <w:sz w:val="20"/>
                <w:szCs w:val="20"/>
                <w:color w:val="auto"/>
              </w:rPr>
            </w:pPr>
          </w:p>
        </w:tc>
        <w:tc>
          <w:tcPr>
            <w:tcW w:w="1720" w:type="dxa"/>
            <w:vAlign w:val="bottom"/>
            <w:shd w:val="clear" w:color="auto" w:fill="0066BA"/>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1680" w:type="dxa"/>
            <w:vAlign w:val="bottom"/>
            <w:shd w:val="clear" w:color="auto" w:fill="0066BA"/>
          </w:tcPr>
          <w:p>
            <w:pPr>
              <w:spacing w:after="0"/>
              <w:rPr>
                <w:sz w:val="8"/>
                <w:szCs w:val="8"/>
                <w:color w:val="auto"/>
              </w:rPr>
            </w:pPr>
          </w:p>
        </w:tc>
        <w:tc>
          <w:tcPr>
            <w:tcW w:w="1800" w:type="dxa"/>
            <w:vAlign w:val="bottom"/>
            <w:shd w:val="clear" w:color="auto" w:fill="0066BA"/>
          </w:tcPr>
          <w:p>
            <w:pPr>
              <w:spacing w:after="0"/>
              <w:rPr>
                <w:sz w:val="8"/>
                <w:szCs w:val="8"/>
                <w:color w:val="auto"/>
              </w:rPr>
            </w:pPr>
          </w:p>
        </w:tc>
        <w:tc>
          <w:tcPr>
            <w:tcW w:w="1200" w:type="dxa"/>
            <w:vAlign w:val="bottom"/>
            <w:shd w:val="clear" w:color="auto" w:fill="0066BA"/>
          </w:tcPr>
          <w:p>
            <w:pPr>
              <w:spacing w:after="0"/>
              <w:rPr>
                <w:sz w:val="8"/>
                <w:szCs w:val="8"/>
                <w:color w:val="auto"/>
              </w:rPr>
            </w:pPr>
          </w:p>
        </w:tc>
        <w:tc>
          <w:tcPr>
            <w:tcW w:w="2080" w:type="dxa"/>
            <w:vAlign w:val="bottom"/>
            <w:shd w:val="clear" w:color="auto" w:fill="0066BA"/>
          </w:tcPr>
          <w:p>
            <w:pPr>
              <w:spacing w:after="0"/>
              <w:rPr>
                <w:sz w:val="8"/>
                <w:szCs w:val="8"/>
                <w:color w:val="auto"/>
              </w:rPr>
            </w:pPr>
          </w:p>
        </w:tc>
        <w:tc>
          <w:tcPr>
            <w:tcW w:w="1600" w:type="dxa"/>
            <w:vAlign w:val="bottom"/>
            <w:shd w:val="clear" w:color="auto" w:fill="0066BA"/>
          </w:tcPr>
          <w:p>
            <w:pPr>
              <w:spacing w:after="0"/>
              <w:rPr>
                <w:sz w:val="8"/>
                <w:szCs w:val="8"/>
                <w:color w:val="auto"/>
              </w:rPr>
            </w:pPr>
          </w:p>
        </w:tc>
        <w:tc>
          <w:tcPr>
            <w:tcW w:w="1720" w:type="dxa"/>
            <w:vAlign w:val="bottom"/>
            <w:vMerge w:val="restart"/>
            <w:shd w:val="clear" w:color="auto" w:fill="0066BA"/>
          </w:tcPr>
          <w:p>
            <w:pPr>
              <w:jc w:val="right"/>
              <w:ind w:right="406"/>
              <w:spacing w:after="0"/>
              <w:rPr>
                <w:sz w:val="20"/>
                <w:szCs w:val="20"/>
                <w:color w:val="auto"/>
              </w:rPr>
            </w:pPr>
            <w:r>
              <w:rPr>
                <w:rFonts w:ascii="Arial" w:cs="Arial" w:eastAsia="Arial" w:hAnsi="Arial"/>
                <w:sz w:val="14"/>
                <w:szCs w:val="14"/>
                <w:b w:val="1"/>
                <w:bCs w:val="1"/>
                <w:color w:val="FFFFFF"/>
              </w:rPr>
              <w:t>Grant Date</w:t>
            </w:r>
          </w:p>
        </w:tc>
        <w:tc>
          <w:tcPr>
            <w:tcW w:w="0" w:type="dxa"/>
            <w:vAlign w:val="bottom"/>
          </w:tcPr>
          <w:p>
            <w:pPr>
              <w:spacing w:after="0"/>
              <w:rPr>
                <w:sz w:val="1"/>
                <w:szCs w:val="1"/>
                <w:color w:val="auto"/>
              </w:rPr>
            </w:pPr>
          </w:p>
        </w:tc>
      </w:tr>
      <w:tr>
        <w:trPr>
          <w:trHeight w:val="73"/>
        </w:trPr>
        <w:tc>
          <w:tcPr>
            <w:tcW w:w="1680" w:type="dxa"/>
            <w:vAlign w:val="bottom"/>
            <w:shd w:val="clear" w:color="auto" w:fill="0066BA"/>
          </w:tcPr>
          <w:p>
            <w:pPr>
              <w:spacing w:after="0"/>
              <w:rPr>
                <w:sz w:val="6"/>
                <w:szCs w:val="6"/>
                <w:color w:val="auto"/>
              </w:rPr>
            </w:pPr>
          </w:p>
        </w:tc>
        <w:tc>
          <w:tcPr>
            <w:tcW w:w="1800" w:type="dxa"/>
            <w:vAlign w:val="bottom"/>
            <w:shd w:val="clear" w:color="auto" w:fill="0066BA"/>
          </w:tcPr>
          <w:p>
            <w:pPr>
              <w:spacing w:after="0"/>
              <w:rPr>
                <w:sz w:val="6"/>
                <w:szCs w:val="6"/>
                <w:color w:val="auto"/>
              </w:rPr>
            </w:pPr>
          </w:p>
        </w:tc>
        <w:tc>
          <w:tcPr>
            <w:tcW w:w="1200" w:type="dxa"/>
            <w:vAlign w:val="bottom"/>
            <w:shd w:val="clear" w:color="auto" w:fill="0066BA"/>
          </w:tcPr>
          <w:p>
            <w:pPr>
              <w:spacing w:after="0"/>
              <w:rPr>
                <w:sz w:val="6"/>
                <w:szCs w:val="6"/>
                <w:color w:val="auto"/>
              </w:rPr>
            </w:pPr>
          </w:p>
        </w:tc>
        <w:tc>
          <w:tcPr>
            <w:tcW w:w="2080" w:type="dxa"/>
            <w:vAlign w:val="bottom"/>
            <w:shd w:val="clear" w:color="auto" w:fill="0066BA"/>
          </w:tcPr>
          <w:p>
            <w:pPr>
              <w:spacing w:after="0"/>
              <w:rPr>
                <w:sz w:val="6"/>
                <w:szCs w:val="6"/>
                <w:color w:val="auto"/>
              </w:rPr>
            </w:pPr>
          </w:p>
        </w:tc>
        <w:tc>
          <w:tcPr>
            <w:tcW w:w="1600" w:type="dxa"/>
            <w:vAlign w:val="bottom"/>
            <w:shd w:val="clear" w:color="auto" w:fill="0066BA"/>
          </w:tcPr>
          <w:p>
            <w:pPr>
              <w:spacing w:after="0"/>
              <w:rPr>
                <w:sz w:val="6"/>
                <w:szCs w:val="6"/>
                <w:color w:val="auto"/>
              </w:rPr>
            </w:pPr>
          </w:p>
        </w:tc>
        <w:tc>
          <w:tcPr>
            <w:tcW w:w="1720" w:type="dxa"/>
            <w:vAlign w:val="bottom"/>
            <w:vMerge w:val="continue"/>
            <w:shd w:val="clear" w:color="auto" w:fill="0066BA"/>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680" w:type="dxa"/>
            <w:vAlign w:val="bottom"/>
            <w:shd w:val="clear" w:color="auto" w:fill="0066BA"/>
          </w:tcPr>
          <w:p>
            <w:pPr>
              <w:spacing w:after="0"/>
              <w:rPr>
                <w:sz w:val="13"/>
                <w:szCs w:val="13"/>
                <w:color w:val="auto"/>
              </w:rPr>
            </w:pPr>
          </w:p>
        </w:tc>
        <w:tc>
          <w:tcPr>
            <w:tcW w:w="1800" w:type="dxa"/>
            <w:vAlign w:val="bottom"/>
            <w:shd w:val="clear" w:color="auto" w:fill="0066BA"/>
          </w:tcPr>
          <w:p>
            <w:pPr>
              <w:jc w:val="right"/>
              <w:ind w:right="305"/>
              <w:spacing w:after="0" w:line="156" w:lineRule="exact"/>
              <w:rPr>
                <w:sz w:val="20"/>
                <w:szCs w:val="20"/>
                <w:color w:val="auto"/>
              </w:rPr>
            </w:pPr>
            <w:r>
              <w:rPr>
                <w:rFonts w:ascii="Arial" w:cs="Arial" w:eastAsia="Arial" w:hAnsi="Arial"/>
                <w:sz w:val="14"/>
                <w:szCs w:val="14"/>
                <w:b w:val="1"/>
                <w:bCs w:val="1"/>
                <w:color w:val="FFFFFF"/>
              </w:rPr>
              <w:t>Risk-Free</w:t>
            </w:r>
          </w:p>
        </w:tc>
        <w:tc>
          <w:tcPr>
            <w:tcW w:w="1200" w:type="dxa"/>
            <w:vAlign w:val="bottom"/>
            <w:shd w:val="clear" w:color="auto" w:fill="0066BA"/>
          </w:tcPr>
          <w:p>
            <w:pPr>
              <w:jc w:val="right"/>
              <w:spacing w:after="0" w:line="156" w:lineRule="exact"/>
              <w:rPr>
                <w:sz w:val="20"/>
                <w:szCs w:val="20"/>
                <w:color w:val="auto"/>
              </w:rPr>
            </w:pPr>
            <w:r>
              <w:rPr>
                <w:rFonts w:ascii="Arial" w:cs="Arial" w:eastAsia="Arial" w:hAnsi="Arial"/>
                <w:sz w:val="14"/>
                <w:szCs w:val="14"/>
                <w:b w:val="1"/>
                <w:bCs w:val="1"/>
                <w:color w:val="FFFFFF"/>
              </w:rPr>
              <w:t>Dividend</w:t>
            </w:r>
          </w:p>
        </w:tc>
        <w:tc>
          <w:tcPr>
            <w:tcW w:w="2080" w:type="dxa"/>
            <w:vAlign w:val="bottom"/>
            <w:shd w:val="clear" w:color="auto" w:fill="0066BA"/>
          </w:tcPr>
          <w:p>
            <w:pPr>
              <w:jc w:val="right"/>
              <w:ind w:right="385"/>
              <w:spacing w:after="0" w:line="156" w:lineRule="exact"/>
              <w:rPr>
                <w:sz w:val="20"/>
                <w:szCs w:val="20"/>
                <w:color w:val="auto"/>
              </w:rPr>
            </w:pPr>
            <w:r>
              <w:rPr>
                <w:rFonts w:ascii="Arial" w:cs="Arial" w:eastAsia="Arial" w:hAnsi="Arial"/>
                <w:sz w:val="14"/>
                <w:szCs w:val="14"/>
                <w:b w:val="1"/>
                <w:bCs w:val="1"/>
                <w:color w:val="FFFFFF"/>
              </w:rPr>
              <w:t>Expected Volatility</w:t>
            </w:r>
          </w:p>
        </w:tc>
        <w:tc>
          <w:tcPr>
            <w:tcW w:w="1600" w:type="dxa"/>
            <w:vAlign w:val="bottom"/>
            <w:shd w:val="clear" w:color="auto" w:fill="0066BA"/>
          </w:tcPr>
          <w:p>
            <w:pPr>
              <w:jc w:val="right"/>
              <w:ind w:right="385"/>
              <w:spacing w:after="0" w:line="156" w:lineRule="exact"/>
              <w:rPr>
                <w:sz w:val="20"/>
                <w:szCs w:val="20"/>
                <w:color w:val="auto"/>
              </w:rPr>
            </w:pPr>
            <w:r>
              <w:rPr>
                <w:rFonts w:ascii="Arial" w:cs="Arial" w:eastAsia="Arial" w:hAnsi="Arial"/>
                <w:sz w:val="14"/>
                <w:szCs w:val="14"/>
                <w:b w:val="1"/>
                <w:bCs w:val="1"/>
                <w:color w:val="FFFFFF"/>
              </w:rPr>
              <w:t>Expected</w:t>
            </w:r>
          </w:p>
        </w:tc>
        <w:tc>
          <w:tcPr>
            <w:tcW w:w="1720" w:type="dxa"/>
            <w:vAlign w:val="bottom"/>
            <w:shd w:val="clear" w:color="auto" w:fill="0066BA"/>
          </w:tcPr>
          <w:p>
            <w:pPr>
              <w:jc w:val="right"/>
              <w:ind w:right="406"/>
              <w:spacing w:after="0" w:line="156" w:lineRule="exact"/>
              <w:rPr>
                <w:sz w:val="20"/>
                <w:szCs w:val="20"/>
                <w:color w:val="auto"/>
              </w:rPr>
            </w:pPr>
            <w:r>
              <w:rPr>
                <w:rFonts w:ascii="Arial" w:cs="Arial" w:eastAsia="Arial" w:hAnsi="Arial"/>
                <w:sz w:val="14"/>
                <w:szCs w:val="14"/>
                <w:b w:val="1"/>
                <w:bCs w:val="1"/>
                <w:color w:val="FFFFFF"/>
              </w:rPr>
              <w:t>Fair Value</w:t>
            </w:r>
          </w:p>
        </w:tc>
        <w:tc>
          <w:tcPr>
            <w:tcW w:w="0" w:type="dxa"/>
            <w:vAlign w:val="bottom"/>
          </w:tcPr>
          <w:p>
            <w:pPr>
              <w:spacing w:after="0"/>
              <w:rPr>
                <w:sz w:val="1"/>
                <w:szCs w:val="1"/>
                <w:color w:val="auto"/>
              </w:rPr>
            </w:pPr>
          </w:p>
        </w:tc>
      </w:tr>
      <w:tr>
        <w:trPr>
          <w:trHeight w:val="182"/>
        </w:trPr>
        <w:tc>
          <w:tcPr>
            <w:tcW w:w="1680" w:type="dxa"/>
            <w:vAlign w:val="bottom"/>
            <w:shd w:val="clear" w:color="auto" w:fill="0066BA"/>
          </w:tcPr>
          <w:p>
            <w:pPr>
              <w:spacing w:after="0"/>
              <w:rPr>
                <w:sz w:val="15"/>
                <w:szCs w:val="15"/>
                <w:color w:val="auto"/>
              </w:rPr>
            </w:pPr>
          </w:p>
        </w:tc>
        <w:tc>
          <w:tcPr>
            <w:tcW w:w="1800" w:type="dxa"/>
            <w:vAlign w:val="bottom"/>
            <w:shd w:val="clear" w:color="auto" w:fill="0066BA"/>
          </w:tcPr>
          <w:p>
            <w:pPr>
              <w:jc w:val="right"/>
              <w:ind w:right="305"/>
              <w:spacing w:after="0"/>
              <w:rPr>
                <w:sz w:val="20"/>
                <w:szCs w:val="20"/>
                <w:color w:val="auto"/>
              </w:rPr>
            </w:pPr>
            <w:r>
              <w:rPr>
                <w:rFonts w:ascii="Arial" w:cs="Arial" w:eastAsia="Arial" w:hAnsi="Arial"/>
                <w:sz w:val="14"/>
                <w:szCs w:val="14"/>
                <w:b w:val="1"/>
                <w:bCs w:val="1"/>
                <w:color w:val="FFFFFF"/>
              </w:rPr>
              <w:t>Interest Rate (%)</w:t>
            </w:r>
          </w:p>
        </w:tc>
        <w:tc>
          <w:tcPr>
            <w:tcW w:w="1200" w:type="dxa"/>
            <w:vAlign w:val="bottom"/>
            <w:shd w:val="clear" w:color="auto" w:fill="0066BA"/>
          </w:tcPr>
          <w:p>
            <w:pPr>
              <w:jc w:val="right"/>
              <w:spacing w:after="0"/>
              <w:rPr>
                <w:sz w:val="20"/>
                <w:szCs w:val="20"/>
                <w:color w:val="auto"/>
              </w:rPr>
            </w:pPr>
            <w:r>
              <w:rPr>
                <w:rFonts w:ascii="Arial" w:cs="Arial" w:eastAsia="Arial" w:hAnsi="Arial"/>
                <w:sz w:val="14"/>
                <w:szCs w:val="14"/>
                <w:b w:val="1"/>
                <w:bCs w:val="1"/>
                <w:color w:val="FFFFFF"/>
              </w:rPr>
              <w:t>Yield (%)</w:t>
            </w:r>
          </w:p>
        </w:tc>
        <w:tc>
          <w:tcPr>
            <w:tcW w:w="2080" w:type="dxa"/>
            <w:vAlign w:val="bottom"/>
            <w:shd w:val="clear" w:color="auto" w:fill="0066BA"/>
          </w:tcPr>
          <w:p>
            <w:pPr>
              <w:jc w:val="right"/>
              <w:ind w:right="385"/>
              <w:spacing w:after="0"/>
              <w:rPr>
                <w:sz w:val="20"/>
                <w:szCs w:val="20"/>
                <w:color w:val="auto"/>
              </w:rPr>
            </w:pPr>
            <w:r>
              <w:rPr>
                <w:rFonts w:ascii="Arial" w:cs="Arial" w:eastAsia="Arial" w:hAnsi="Arial"/>
                <w:sz w:val="14"/>
                <w:szCs w:val="14"/>
                <w:b w:val="1"/>
                <w:bCs w:val="1"/>
                <w:color w:val="FFFFFF"/>
              </w:rPr>
              <w:t>(%)</w:t>
            </w:r>
          </w:p>
        </w:tc>
        <w:tc>
          <w:tcPr>
            <w:tcW w:w="1600" w:type="dxa"/>
            <w:vAlign w:val="bottom"/>
            <w:shd w:val="clear" w:color="auto" w:fill="0066BA"/>
          </w:tcPr>
          <w:p>
            <w:pPr>
              <w:jc w:val="right"/>
              <w:ind w:right="385"/>
              <w:spacing w:after="0"/>
              <w:rPr>
                <w:sz w:val="20"/>
                <w:szCs w:val="20"/>
                <w:color w:val="auto"/>
              </w:rPr>
            </w:pPr>
            <w:r>
              <w:rPr>
                <w:rFonts w:ascii="Arial" w:cs="Arial" w:eastAsia="Arial" w:hAnsi="Arial"/>
                <w:sz w:val="14"/>
                <w:szCs w:val="14"/>
                <w:b w:val="1"/>
                <w:bCs w:val="1"/>
                <w:color w:val="FFFFFF"/>
              </w:rPr>
              <w:t>Life (Years)</w:t>
            </w:r>
          </w:p>
        </w:tc>
        <w:tc>
          <w:tcPr>
            <w:tcW w:w="1720" w:type="dxa"/>
            <w:vAlign w:val="bottom"/>
            <w:shd w:val="clear" w:color="auto" w:fill="0066BA"/>
          </w:tcPr>
          <w:p>
            <w:pPr>
              <w:jc w:val="right"/>
              <w:ind w:right="406"/>
              <w:spacing w:after="0"/>
              <w:rPr>
                <w:sz w:val="20"/>
                <w:szCs w:val="20"/>
                <w:color w:val="auto"/>
              </w:rPr>
            </w:pPr>
            <w:r>
              <w:rPr>
                <w:rFonts w:ascii="Arial" w:cs="Arial" w:eastAsia="Arial" w:hAnsi="Arial"/>
                <w:sz w:val="14"/>
                <w:szCs w:val="14"/>
                <w:b w:val="1"/>
                <w:bCs w:val="1"/>
                <w:color w:val="FFFFFF"/>
              </w:rPr>
              <w:t>Per Share ($)</w:t>
            </w:r>
          </w:p>
        </w:tc>
        <w:tc>
          <w:tcPr>
            <w:tcW w:w="0" w:type="dxa"/>
            <w:vAlign w:val="bottom"/>
          </w:tcPr>
          <w:p>
            <w:pPr>
              <w:spacing w:after="0"/>
              <w:rPr>
                <w:sz w:val="1"/>
                <w:szCs w:val="1"/>
                <w:color w:val="auto"/>
              </w:rPr>
            </w:pPr>
          </w:p>
        </w:tc>
      </w:tr>
      <w:tr>
        <w:trPr>
          <w:trHeight w:val="103"/>
        </w:trPr>
        <w:tc>
          <w:tcPr>
            <w:tcW w:w="1680" w:type="dxa"/>
            <w:vAlign w:val="bottom"/>
            <w:shd w:val="clear" w:color="auto" w:fill="0066BA"/>
          </w:tcPr>
          <w:p>
            <w:pPr>
              <w:spacing w:after="0"/>
              <w:rPr>
                <w:sz w:val="8"/>
                <w:szCs w:val="8"/>
                <w:color w:val="auto"/>
              </w:rPr>
            </w:pPr>
          </w:p>
        </w:tc>
        <w:tc>
          <w:tcPr>
            <w:tcW w:w="1800" w:type="dxa"/>
            <w:vAlign w:val="bottom"/>
            <w:shd w:val="clear" w:color="auto" w:fill="0066BA"/>
          </w:tcPr>
          <w:p>
            <w:pPr>
              <w:spacing w:after="0"/>
              <w:rPr>
                <w:sz w:val="8"/>
                <w:szCs w:val="8"/>
                <w:color w:val="auto"/>
              </w:rPr>
            </w:pPr>
          </w:p>
        </w:tc>
        <w:tc>
          <w:tcPr>
            <w:tcW w:w="1200" w:type="dxa"/>
            <w:vAlign w:val="bottom"/>
            <w:shd w:val="clear" w:color="auto" w:fill="0066BA"/>
          </w:tcPr>
          <w:p>
            <w:pPr>
              <w:spacing w:after="0"/>
              <w:rPr>
                <w:sz w:val="8"/>
                <w:szCs w:val="8"/>
                <w:color w:val="auto"/>
              </w:rPr>
            </w:pPr>
          </w:p>
        </w:tc>
        <w:tc>
          <w:tcPr>
            <w:tcW w:w="2080" w:type="dxa"/>
            <w:vAlign w:val="bottom"/>
            <w:shd w:val="clear" w:color="auto" w:fill="0066BA"/>
          </w:tcPr>
          <w:p>
            <w:pPr>
              <w:spacing w:after="0"/>
              <w:rPr>
                <w:sz w:val="8"/>
                <w:szCs w:val="8"/>
                <w:color w:val="auto"/>
              </w:rPr>
            </w:pPr>
          </w:p>
        </w:tc>
        <w:tc>
          <w:tcPr>
            <w:tcW w:w="1600" w:type="dxa"/>
            <w:vAlign w:val="bottom"/>
            <w:shd w:val="clear" w:color="auto" w:fill="0066BA"/>
          </w:tcPr>
          <w:p>
            <w:pPr>
              <w:spacing w:after="0"/>
              <w:rPr>
                <w:sz w:val="8"/>
                <w:szCs w:val="8"/>
                <w:color w:val="auto"/>
              </w:rPr>
            </w:pPr>
          </w:p>
        </w:tc>
        <w:tc>
          <w:tcPr>
            <w:tcW w:w="1720" w:type="dxa"/>
            <w:vAlign w:val="bottom"/>
            <w:shd w:val="clear" w:color="auto" w:fill="0066BA"/>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680" w:type="dxa"/>
            <w:vAlign w:val="bottom"/>
          </w:tcPr>
          <w:p>
            <w:pPr>
              <w:ind w:left="60"/>
              <w:spacing w:after="0"/>
              <w:rPr>
                <w:sz w:val="20"/>
                <w:szCs w:val="20"/>
                <w:color w:val="auto"/>
              </w:rPr>
            </w:pPr>
            <w:r>
              <w:rPr>
                <w:rFonts w:ascii="Arial" w:cs="Arial" w:eastAsia="Arial" w:hAnsi="Arial"/>
                <w:sz w:val="17"/>
                <w:szCs w:val="17"/>
                <w:color w:val="auto"/>
              </w:rPr>
              <w:t>3/11/2020</w:t>
            </w:r>
          </w:p>
        </w:tc>
        <w:tc>
          <w:tcPr>
            <w:tcW w:w="1800" w:type="dxa"/>
            <w:vAlign w:val="bottom"/>
            <w:tcBorders>
              <w:bottom w:val="single" w:sz="8" w:color="EAEAEA"/>
            </w:tcBorders>
            <w:shd w:val="clear" w:color="auto" w:fill="EAEAEA"/>
          </w:tcPr>
          <w:p>
            <w:pPr>
              <w:jc w:val="right"/>
              <w:ind w:right="305"/>
              <w:spacing w:after="0"/>
              <w:rPr>
                <w:sz w:val="20"/>
                <w:szCs w:val="20"/>
                <w:color w:val="auto"/>
              </w:rPr>
            </w:pPr>
            <w:r>
              <w:rPr>
                <w:rFonts w:ascii="Arial" w:cs="Arial" w:eastAsia="Arial" w:hAnsi="Arial"/>
                <w:sz w:val="17"/>
                <w:szCs w:val="17"/>
                <w:color w:val="auto"/>
              </w:rPr>
              <w:t>0.66</w:t>
            </w:r>
          </w:p>
        </w:tc>
        <w:tc>
          <w:tcPr>
            <w:tcW w:w="1200" w:type="dxa"/>
            <w:vAlign w:val="bottom"/>
          </w:tcPr>
          <w:p>
            <w:pPr>
              <w:jc w:val="right"/>
              <w:spacing w:after="0"/>
              <w:rPr>
                <w:sz w:val="20"/>
                <w:szCs w:val="20"/>
                <w:color w:val="auto"/>
              </w:rPr>
            </w:pPr>
            <w:r>
              <w:rPr>
                <w:rFonts w:ascii="Arial" w:cs="Arial" w:eastAsia="Arial" w:hAnsi="Arial"/>
                <w:sz w:val="17"/>
                <w:szCs w:val="17"/>
                <w:color w:val="auto"/>
              </w:rPr>
              <w:t>2.63</w:t>
            </w:r>
          </w:p>
        </w:tc>
        <w:tc>
          <w:tcPr>
            <w:tcW w:w="2080" w:type="dxa"/>
            <w:vAlign w:val="bottom"/>
            <w:tcBorders>
              <w:bottom w:val="single" w:sz="8" w:color="EAEAEA"/>
            </w:tcBorders>
            <w:shd w:val="clear" w:color="auto" w:fill="EAEAEA"/>
          </w:tcPr>
          <w:p>
            <w:pPr>
              <w:jc w:val="right"/>
              <w:ind w:right="385"/>
              <w:spacing w:after="0"/>
              <w:rPr>
                <w:sz w:val="20"/>
                <w:szCs w:val="20"/>
                <w:color w:val="auto"/>
              </w:rPr>
            </w:pPr>
            <w:r>
              <w:rPr>
                <w:rFonts w:ascii="Arial" w:cs="Arial" w:eastAsia="Arial" w:hAnsi="Arial"/>
                <w:sz w:val="17"/>
                <w:szCs w:val="17"/>
                <w:color w:val="auto"/>
              </w:rPr>
              <w:t>29.49</w:t>
            </w:r>
          </w:p>
        </w:tc>
        <w:tc>
          <w:tcPr>
            <w:tcW w:w="1600" w:type="dxa"/>
            <w:vAlign w:val="bottom"/>
          </w:tcPr>
          <w:p>
            <w:pPr>
              <w:jc w:val="right"/>
              <w:ind w:right="385"/>
              <w:spacing w:after="0"/>
              <w:rPr>
                <w:sz w:val="20"/>
                <w:szCs w:val="20"/>
                <w:color w:val="auto"/>
              </w:rPr>
            </w:pPr>
            <w:r>
              <w:rPr>
                <w:rFonts w:ascii="Arial" w:cs="Arial" w:eastAsia="Arial" w:hAnsi="Arial"/>
                <w:sz w:val="17"/>
                <w:szCs w:val="17"/>
                <w:color w:val="auto"/>
              </w:rPr>
              <w:t>5.00</w:t>
            </w:r>
          </w:p>
        </w:tc>
        <w:tc>
          <w:tcPr>
            <w:tcW w:w="1720" w:type="dxa"/>
            <w:vAlign w:val="bottom"/>
            <w:tcBorders>
              <w:bottom w:val="single" w:sz="8" w:color="EAEAEA"/>
            </w:tcBorders>
            <w:shd w:val="clear" w:color="auto" w:fill="EAEAEA"/>
          </w:tcPr>
          <w:p>
            <w:pPr>
              <w:jc w:val="right"/>
              <w:ind w:right="406"/>
              <w:spacing w:after="0"/>
              <w:rPr>
                <w:sz w:val="20"/>
                <w:szCs w:val="20"/>
                <w:color w:val="auto"/>
              </w:rPr>
            </w:pPr>
            <w:r>
              <w:rPr>
                <w:rFonts w:ascii="Arial" w:cs="Arial" w:eastAsia="Arial" w:hAnsi="Arial"/>
                <w:sz w:val="17"/>
                <w:szCs w:val="17"/>
                <w:color w:val="auto"/>
              </w:rPr>
              <w:t>18.46</w:t>
            </w:r>
          </w:p>
        </w:tc>
        <w:tc>
          <w:tcPr>
            <w:tcW w:w="0" w:type="dxa"/>
            <w:vAlign w:val="bottom"/>
          </w:tcPr>
          <w:p>
            <w:pPr>
              <w:spacing w:after="0"/>
              <w:rPr>
                <w:sz w:val="1"/>
                <w:szCs w:val="1"/>
                <w:color w:val="auto"/>
              </w:rPr>
            </w:pPr>
          </w:p>
        </w:tc>
      </w:tr>
      <w:tr>
        <w:trPr>
          <w:trHeight w:val="20"/>
        </w:trPr>
        <w:tc>
          <w:tcPr>
            <w:tcW w:w="1680" w:type="dxa"/>
            <w:vAlign w:val="bottom"/>
            <w:shd w:val="clear" w:color="auto" w:fill="0066BA"/>
          </w:tcPr>
          <w:p>
            <w:pPr>
              <w:spacing w:after="0" w:line="20" w:lineRule="exact"/>
              <w:rPr>
                <w:sz w:val="1"/>
                <w:szCs w:val="1"/>
                <w:color w:val="auto"/>
              </w:rPr>
            </w:pPr>
          </w:p>
        </w:tc>
        <w:tc>
          <w:tcPr>
            <w:tcW w:w="1800" w:type="dxa"/>
            <w:vAlign w:val="bottom"/>
            <w:shd w:val="clear" w:color="auto" w:fill="0066BA"/>
          </w:tcPr>
          <w:p>
            <w:pPr>
              <w:spacing w:after="0" w:line="20" w:lineRule="exact"/>
              <w:rPr>
                <w:sz w:val="1"/>
                <w:szCs w:val="1"/>
                <w:color w:val="auto"/>
              </w:rPr>
            </w:pPr>
          </w:p>
        </w:tc>
        <w:tc>
          <w:tcPr>
            <w:tcW w:w="1200" w:type="dxa"/>
            <w:vAlign w:val="bottom"/>
            <w:shd w:val="clear" w:color="auto" w:fill="0066BA"/>
          </w:tcPr>
          <w:p>
            <w:pPr>
              <w:spacing w:after="0" w:line="20" w:lineRule="exact"/>
              <w:rPr>
                <w:sz w:val="1"/>
                <w:szCs w:val="1"/>
                <w:color w:val="auto"/>
              </w:rPr>
            </w:pPr>
          </w:p>
        </w:tc>
        <w:tc>
          <w:tcPr>
            <w:tcW w:w="2080" w:type="dxa"/>
            <w:vAlign w:val="bottom"/>
            <w:shd w:val="clear" w:color="auto" w:fill="0066BA"/>
          </w:tcPr>
          <w:p>
            <w:pPr>
              <w:spacing w:after="0" w:line="20" w:lineRule="exact"/>
              <w:rPr>
                <w:sz w:val="1"/>
                <w:szCs w:val="1"/>
                <w:color w:val="auto"/>
              </w:rPr>
            </w:pPr>
          </w:p>
        </w:tc>
        <w:tc>
          <w:tcPr>
            <w:tcW w:w="1600" w:type="dxa"/>
            <w:vAlign w:val="bottom"/>
            <w:shd w:val="clear" w:color="auto" w:fill="0066BA"/>
          </w:tcPr>
          <w:p>
            <w:pPr>
              <w:spacing w:after="0" w:line="20" w:lineRule="exact"/>
              <w:rPr>
                <w:sz w:val="1"/>
                <w:szCs w:val="1"/>
                <w:color w:val="auto"/>
              </w:rPr>
            </w:pPr>
          </w:p>
        </w:tc>
        <w:tc>
          <w:tcPr>
            <w:tcW w:w="1720" w:type="dxa"/>
            <w:vAlign w:val="bottom"/>
            <w:shd w:val="clear" w:color="auto" w:fill="0066B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0940"/>
          </w:cols>
          <w:pgMar w:left="320" w:top="447" w:right="6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Outstanding Equity Awards at Fiscal Year-End 2020</w:t>
      </w:r>
    </w:p>
    <w:p>
      <w:pPr>
        <w:spacing w:after="0" w:line="125" w:lineRule="exact"/>
        <w:rPr>
          <w:sz w:val="20"/>
          <w:szCs w:val="20"/>
          <w:color w:val="auto"/>
        </w:rPr>
      </w:pPr>
    </w:p>
    <w:p>
      <w:pPr>
        <w:ind w:left="480" w:right="420"/>
        <w:spacing w:after="0" w:line="286" w:lineRule="auto"/>
        <w:rPr>
          <w:sz w:val="20"/>
          <w:szCs w:val="20"/>
          <w:color w:val="auto"/>
        </w:rPr>
      </w:pPr>
      <w:r>
        <w:rPr>
          <w:rFonts w:ascii="Arial" w:cs="Arial" w:eastAsia="Arial" w:hAnsi="Arial"/>
          <w:sz w:val="17"/>
          <w:szCs w:val="17"/>
          <w:color w:val="auto"/>
        </w:rPr>
        <w:t>The following table provides information with respect to outstanding stock options and unvested time-based RSUs and PRSUs for each of our named executive officers as of October 31, 2020:</w:t>
      </w:r>
    </w:p>
    <w:p>
      <w:pPr>
        <w:spacing w:after="0" w:line="197" w:lineRule="exact"/>
        <w:rPr>
          <w:sz w:val="20"/>
          <w:szCs w:val="20"/>
          <w:color w:val="auto"/>
        </w:rPr>
      </w:pPr>
    </w:p>
    <w:tbl>
      <w:tblPr>
        <w:tblLayout w:type="fixed"/>
        <w:tblInd w:w="480" w:type="dxa"/>
        <w:tblCellMar>
          <w:top w:w="0" w:type="dxa"/>
          <w:left w:w="0" w:type="dxa"/>
          <w:bottom w:w="0" w:type="dxa"/>
          <w:right w:w="0" w:type="dxa"/>
        </w:tblCellMar>
      </w:tblPr>
      <w:tr>
        <w:trPr>
          <w:trHeight w:val="169"/>
        </w:trPr>
        <w:tc>
          <w:tcPr>
            <w:tcW w:w="1640" w:type="dxa"/>
            <w:vAlign w:val="bottom"/>
            <w:tcBorders>
              <w:bottom w:val="single" w:sz="8" w:color="0066BA"/>
            </w:tcBorders>
            <w:shd w:val="clear" w:color="auto" w:fill="0066BA"/>
          </w:tcPr>
          <w:p>
            <w:pPr>
              <w:ind w:left="60"/>
              <w:spacing w:after="0"/>
              <w:rPr>
                <w:sz w:val="20"/>
                <w:szCs w:val="20"/>
                <w:color w:val="auto"/>
              </w:rPr>
            </w:pPr>
            <w:r>
              <w:rPr>
                <w:rFonts w:ascii="Arial" w:cs="Arial" w:eastAsia="Arial" w:hAnsi="Arial"/>
                <w:sz w:val="14"/>
                <w:szCs w:val="14"/>
                <w:b w:val="1"/>
                <w:bCs w:val="1"/>
                <w:color w:val="FFFFFF"/>
              </w:rPr>
              <w:t>Name</w:t>
            </w:r>
          </w:p>
        </w:tc>
        <w:tc>
          <w:tcPr>
            <w:tcW w:w="100" w:type="dxa"/>
            <w:vAlign w:val="bottom"/>
            <w:tcBorders>
              <w:bottom w:val="single" w:sz="8" w:color="0066BA"/>
            </w:tcBorders>
            <w:shd w:val="clear" w:color="auto" w:fill="0066BA"/>
          </w:tcPr>
          <w:p>
            <w:pPr>
              <w:spacing w:after="0"/>
              <w:rPr>
                <w:sz w:val="14"/>
                <w:szCs w:val="14"/>
                <w:color w:val="auto"/>
              </w:rPr>
            </w:pPr>
          </w:p>
        </w:tc>
        <w:tc>
          <w:tcPr>
            <w:tcW w:w="1040" w:type="dxa"/>
            <w:vAlign w:val="bottom"/>
            <w:tcBorders>
              <w:bottom w:val="single" w:sz="8" w:color="0066BA"/>
            </w:tcBorders>
            <w:gridSpan w:val="2"/>
            <w:shd w:val="clear" w:color="auto" w:fill="0066BA"/>
          </w:tcPr>
          <w:p>
            <w:pPr>
              <w:jc w:val="right"/>
              <w:spacing w:after="0"/>
              <w:rPr>
                <w:sz w:val="20"/>
                <w:szCs w:val="20"/>
                <w:color w:val="auto"/>
              </w:rPr>
            </w:pPr>
            <w:r>
              <w:rPr>
                <w:rFonts w:ascii="Arial" w:cs="Arial" w:eastAsia="Arial" w:hAnsi="Arial"/>
                <w:sz w:val="14"/>
                <w:szCs w:val="14"/>
                <w:b w:val="1"/>
                <w:bCs w:val="1"/>
                <w:color w:val="FFFFFF"/>
              </w:rPr>
              <w:t>Grant Date</w:t>
            </w:r>
          </w:p>
        </w:tc>
        <w:tc>
          <w:tcPr>
            <w:tcW w:w="60" w:type="dxa"/>
            <w:vAlign w:val="bottom"/>
            <w:tcBorders>
              <w:bottom w:val="single" w:sz="8" w:color="0066BA"/>
            </w:tcBorders>
            <w:shd w:val="clear" w:color="auto" w:fill="0066BA"/>
          </w:tcPr>
          <w:p>
            <w:pPr>
              <w:spacing w:after="0"/>
              <w:rPr>
                <w:sz w:val="14"/>
                <w:szCs w:val="14"/>
                <w:color w:val="auto"/>
              </w:rPr>
            </w:pPr>
          </w:p>
        </w:tc>
        <w:tc>
          <w:tcPr>
            <w:tcW w:w="740" w:type="dxa"/>
            <w:vAlign w:val="bottom"/>
            <w:tcBorders>
              <w:bottom w:val="single" w:sz="8" w:color="7FB2DC"/>
            </w:tcBorders>
            <w:shd w:val="clear" w:color="auto" w:fill="0066BA"/>
          </w:tcPr>
          <w:p>
            <w:pPr>
              <w:spacing w:after="0"/>
              <w:rPr>
                <w:sz w:val="14"/>
                <w:szCs w:val="14"/>
                <w:color w:val="auto"/>
              </w:rPr>
            </w:pPr>
          </w:p>
        </w:tc>
        <w:tc>
          <w:tcPr>
            <w:tcW w:w="120" w:type="dxa"/>
            <w:vAlign w:val="bottom"/>
            <w:tcBorders>
              <w:bottom w:val="single" w:sz="8" w:color="7FB2DC"/>
            </w:tcBorders>
            <w:shd w:val="clear" w:color="auto" w:fill="0066BA"/>
          </w:tcPr>
          <w:p>
            <w:pPr>
              <w:spacing w:after="0"/>
              <w:rPr>
                <w:sz w:val="14"/>
                <w:szCs w:val="14"/>
                <w:color w:val="auto"/>
              </w:rPr>
            </w:pPr>
          </w:p>
        </w:tc>
        <w:tc>
          <w:tcPr>
            <w:tcW w:w="1620" w:type="dxa"/>
            <w:vAlign w:val="bottom"/>
            <w:tcBorders>
              <w:bottom w:val="single" w:sz="8" w:color="7FB2DC"/>
            </w:tcBorders>
            <w:gridSpan w:val="3"/>
            <w:shd w:val="clear" w:color="auto" w:fill="0066BA"/>
          </w:tcPr>
          <w:p>
            <w:pPr>
              <w:jc w:val="right"/>
              <w:ind w:right="195"/>
              <w:spacing w:after="0"/>
              <w:rPr>
                <w:sz w:val="20"/>
                <w:szCs w:val="20"/>
                <w:color w:val="auto"/>
              </w:rPr>
            </w:pPr>
            <w:r>
              <w:rPr>
                <w:rFonts w:ascii="Arial" w:cs="Arial" w:eastAsia="Arial" w:hAnsi="Arial"/>
                <w:sz w:val="14"/>
                <w:szCs w:val="14"/>
                <w:b w:val="1"/>
                <w:bCs w:val="1"/>
                <w:color w:val="FFFFFF"/>
              </w:rPr>
              <w:t>Option Awards</w:t>
            </w:r>
          </w:p>
        </w:tc>
        <w:tc>
          <w:tcPr>
            <w:tcW w:w="120" w:type="dxa"/>
            <w:vAlign w:val="bottom"/>
            <w:tcBorders>
              <w:bottom w:val="single" w:sz="8" w:color="7FB2DC"/>
            </w:tcBorders>
            <w:shd w:val="clear" w:color="auto" w:fill="0066BA"/>
          </w:tcPr>
          <w:p>
            <w:pPr>
              <w:spacing w:after="0"/>
              <w:rPr>
                <w:sz w:val="14"/>
                <w:szCs w:val="14"/>
                <w:color w:val="auto"/>
              </w:rPr>
            </w:pPr>
          </w:p>
        </w:tc>
        <w:tc>
          <w:tcPr>
            <w:tcW w:w="900" w:type="dxa"/>
            <w:vAlign w:val="bottom"/>
            <w:tcBorders>
              <w:bottom w:val="single" w:sz="8" w:color="7FB2DC"/>
            </w:tcBorders>
            <w:shd w:val="clear" w:color="auto" w:fill="0066BA"/>
          </w:tcPr>
          <w:p>
            <w:pPr>
              <w:spacing w:after="0"/>
              <w:rPr>
                <w:sz w:val="14"/>
                <w:szCs w:val="14"/>
                <w:color w:val="auto"/>
              </w:rPr>
            </w:pPr>
          </w:p>
        </w:tc>
        <w:tc>
          <w:tcPr>
            <w:tcW w:w="100" w:type="dxa"/>
            <w:vAlign w:val="bottom"/>
            <w:tcBorders>
              <w:bottom w:val="single" w:sz="8" w:color="7FB2DC"/>
            </w:tcBorders>
            <w:shd w:val="clear" w:color="auto" w:fill="0066BA"/>
          </w:tcPr>
          <w:p>
            <w:pPr>
              <w:spacing w:after="0"/>
              <w:rPr>
                <w:sz w:val="14"/>
                <w:szCs w:val="14"/>
                <w:color w:val="auto"/>
              </w:rPr>
            </w:pPr>
          </w:p>
        </w:tc>
        <w:tc>
          <w:tcPr>
            <w:tcW w:w="60" w:type="dxa"/>
            <w:vAlign w:val="bottom"/>
            <w:tcBorders>
              <w:bottom w:val="single" w:sz="8" w:color="0066BA"/>
            </w:tcBorders>
            <w:shd w:val="clear" w:color="auto" w:fill="0066BA"/>
          </w:tcPr>
          <w:p>
            <w:pPr>
              <w:spacing w:after="0"/>
              <w:rPr>
                <w:sz w:val="14"/>
                <w:szCs w:val="14"/>
                <w:color w:val="auto"/>
              </w:rPr>
            </w:pPr>
          </w:p>
        </w:tc>
        <w:tc>
          <w:tcPr>
            <w:tcW w:w="800" w:type="dxa"/>
            <w:vAlign w:val="bottom"/>
            <w:tcBorders>
              <w:bottom w:val="single" w:sz="8" w:color="7FB2DC"/>
            </w:tcBorders>
            <w:shd w:val="clear" w:color="auto" w:fill="0066BA"/>
          </w:tcPr>
          <w:p>
            <w:pPr>
              <w:spacing w:after="0"/>
              <w:rPr>
                <w:sz w:val="14"/>
                <w:szCs w:val="14"/>
                <w:color w:val="auto"/>
              </w:rPr>
            </w:pPr>
          </w:p>
        </w:tc>
        <w:tc>
          <w:tcPr>
            <w:tcW w:w="100" w:type="dxa"/>
            <w:vAlign w:val="bottom"/>
            <w:tcBorders>
              <w:bottom w:val="single" w:sz="8" w:color="7FB2DC"/>
            </w:tcBorders>
            <w:shd w:val="clear" w:color="auto" w:fill="0066BA"/>
          </w:tcPr>
          <w:p>
            <w:pPr>
              <w:spacing w:after="0"/>
              <w:rPr>
                <w:sz w:val="14"/>
                <w:szCs w:val="14"/>
                <w:color w:val="auto"/>
              </w:rPr>
            </w:pPr>
          </w:p>
        </w:tc>
        <w:tc>
          <w:tcPr>
            <w:tcW w:w="1860" w:type="dxa"/>
            <w:vAlign w:val="bottom"/>
            <w:tcBorders>
              <w:bottom w:val="single" w:sz="8" w:color="7FB2DC"/>
            </w:tcBorders>
            <w:gridSpan w:val="3"/>
            <w:shd w:val="clear" w:color="auto" w:fill="0066BA"/>
          </w:tcPr>
          <w:p>
            <w:pPr>
              <w:jc w:val="right"/>
              <w:ind w:right="419"/>
              <w:spacing w:after="0"/>
              <w:rPr>
                <w:sz w:val="20"/>
                <w:szCs w:val="20"/>
                <w:color w:val="auto"/>
              </w:rPr>
            </w:pPr>
            <w:r>
              <w:rPr>
                <w:rFonts w:ascii="Arial" w:cs="Arial" w:eastAsia="Arial" w:hAnsi="Arial"/>
                <w:sz w:val="14"/>
                <w:szCs w:val="14"/>
                <w:b w:val="1"/>
                <w:bCs w:val="1"/>
                <w:color w:val="FFFFFF"/>
              </w:rPr>
              <w:t>Stock Awards</w:t>
            </w:r>
          </w:p>
        </w:tc>
        <w:tc>
          <w:tcPr>
            <w:tcW w:w="120" w:type="dxa"/>
            <w:vAlign w:val="bottom"/>
            <w:tcBorders>
              <w:bottom w:val="single" w:sz="8" w:color="7FB2DC"/>
            </w:tcBorders>
            <w:shd w:val="clear" w:color="auto" w:fill="0066BA"/>
          </w:tcPr>
          <w:p>
            <w:pPr>
              <w:spacing w:after="0"/>
              <w:rPr>
                <w:sz w:val="14"/>
                <w:szCs w:val="14"/>
                <w:color w:val="auto"/>
              </w:rPr>
            </w:pPr>
          </w:p>
        </w:tc>
        <w:tc>
          <w:tcPr>
            <w:tcW w:w="800" w:type="dxa"/>
            <w:vAlign w:val="bottom"/>
            <w:tcBorders>
              <w:bottom w:val="single" w:sz="8" w:color="7FB2DC"/>
            </w:tcBorders>
            <w:shd w:val="clear" w:color="auto" w:fill="0066BA"/>
          </w:tcPr>
          <w:p>
            <w:pPr>
              <w:spacing w:after="0"/>
              <w:rPr>
                <w:sz w:val="14"/>
                <w:szCs w:val="14"/>
                <w:color w:val="auto"/>
              </w:rPr>
            </w:pPr>
          </w:p>
        </w:tc>
        <w:tc>
          <w:tcPr>
            <w:tcW w:w="100" w:type="dxa"/>
            <w:vAlign w:val="bottom"/>
            <w:tcBorders>
              <w:bottom w:val="single" w:sz="8" w:color="7FB2DC"/>
            </w:tcBorders>
            <w:shd w:val="clear" w:color="auto" w:fill="0066BA"/>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640" w:type="dxa"/>
            <w:vAlign w:val="bottom"/>
            <w:shd w:val="clear" w:color="auto" w:fill="0066BA"/>
          </w:tcPr>
          <w:p>
            <w:pPr>
              <w:spacing w:after="0"/>
              <w:rPr>
                <w:sz w:val="10"/>
                <w:szCs w:val="10"/>
                <w:color w:val="auto"/>
              </w:rPr>
            </w:pPr>
          </w:p>
        </w:tc>
        <w:tc>
          <w:tcPr>
            <w:tcW w:w="100" w:type="dxa"/>
            <w:vAlign w:val="bottom"/>
            <w:shd w:val="clear" w:color="auto" w:fill="0066BA"/>
          </w:tcPr>
          <w:p>
            <w:pPr>
              <w:spacing w:after="0"/>
              <w:rPr>
                <w:sz w:val="10"/>
                <w:szCs w:val="10"/>
                <w:color w:val="auto"/>
              </w:rPr>
            </w:pPr>
          </w:p>
        </w:tc>
        <w:tc>
          <w:tcPr>
            <w:tcW w:w="940" w:type="dxa"/>
            <w:vAlign w:val="bottom"/>
            <w:shd w:val="clear" w:color="auto" w:fill="0066BA"/>
          </w:tcPr>
          <w:p>
            <w:pPr>
              <w:spacing w:after="0"/>
              <w:rPr>
                <w:sz w:val="10"/>
                <w:szCs w:val="10"/>
                <w:color w:val="auto"/>
              </w:rPr>
            </w:pPr>
          </w:p>
        </w:tc>
        <w:tc>
          <w:tcPr>
            <w:tcW w:w="100" w:type="dxa"/>
            <w:vAlign w:val="bottom"/>
            <w:shd w:val="clear" w:color="auto" w:fill="0066BA"/>
          </w:tcPr>
          <w:p>
            <w:pPr>
              <w:spacing w:after="0"/>
              <w:rPr>
                <w:sz w:val="10"/>
                <w:szCs w:val="10"/>
                <w:color w:val="auto"/>
              </w:rPr>
            </w:pPr>
          </w:p>
        </w:tc>
        <w:tc>
          <w:tcPr>
            <w:tcW w:w="60" w:type="dxa"/>
            <w:vAlign w:val="bottom"/>
            <w:shd w:val="clear" w:color="auto" w:fill="0066BA"/>
          </w:tcPr>
          <w:p>
            <w:pPr>
              <w:spacing w:after="0"/>
              <w:rPr>
                <w:sz w:val="10"/>
                <w:szCs w:val="10"/>
                <w:color w:val="auto"/>
              </w:rPr>
            </w:pPr>
          </w:p>
        </w:tc>
        <w:tc>
          <w:tcPr>
            <w:tcW w:w="740" w:type="dxa"/>
            <w:vAlign w:val="bottom"/>
            <w:shd w:val="clear" w:color="auto" w:fill="0066BA"/>
          </w:tcPr>
          <w:p>
            <w:pPr>
              <w:jc w:val="right"/>
              <w:ind w:right="17"/>
              <w:spacing w:after="0" w:line="118" w:lineRule="exact"/>
              <w:rPr>
                <w:sz w:val="20"/>
                <w:szCs w:val="20"/>
                <w:color w:val="auto"/>
              </w:rPr>
            </w:pPr>
            <w:r>
              <w:rPr>
                <w:rFonts w:ascii="Arial" w:cs="Arial" w:eastAsia="Arial" w:hAnsi="Arial"/>
                <w:sz w:val="12"/>
                <w:szCs w:val="12"/>
                <w:b w:val="1"/>
                <w:bCs w:val="1"/>
                <w:color w:val="FFFFFF"/>
              </w:rPr>
              <w:t>Number of</w:t>
            </w:r>
          </w:p>
        </w:tc>
        <w:tc>
          <w:tcPr>
            <w:tcW w:w="120" w:type="dxa"/>
            <w:vAlign w:val="bottom"/>
            <w:shd w:val="clear" w:color="auto" w:fill="0066BA"/>
          </w:tcPr>
          <w:p>
            <w:pPr>
              <w:spacing w:after="0"/>
              <w:rPr>
                <w:sz w:val="10"/>
                <w:szCs w:val="10"/>
                <w:color w:val="auto"/>
              </w:rPr>
            </w:pPr>
          </w:p>
        </w:tc>
        <w:tc>
          <w:tcPr>
            <w:tcW w:w="940" w:type="dxa"/>
            <w:vAlign w:val="bottom"/>
            <w:gridSpan w:val="2"/>
            <w:shd w:val="clear" w:color="auto" w:fill="0066BA"/>
          </w:tcPr>
          <w:p>
            <w:pPr>
              <w:jc w:val="right"/>
              <w:ind w:right="100"/>
              <w:spacing w:after="0" w:line="118" w:lineRule="exact"/>
              <w:rPr>
                <w:sz w:val="20"/>
                <w:szCs w:val="20"/>
                <w:color w:val="auto"/>
              </w:rPr>
            </w:pPr>
            <w:r>
              <w:rPr>
                <w:rFonts w:ascii="Arial" w:cs="Arial" w:eastAsia="Arial" w:hAnsi="Arial"/>
                <w:sz w:val="12"/>
                <w:szCs w:val="12"/>
                <w:b w:val="1"/>
                <w:bCs w:val="1"/>
                <w:color w:val="FFFFFF"/>
              </w:rPr>
              <w:t>Number of</w:t>
            </w:r>
          </w:p>
        </w:tc>
        <w:tc>
          <w:tcPr>
            <w:tcW w:w="680" w:type="dxa"/>
            <w:vAlign w:val="bottom"/>
            <w:shd w:val="clear" w:color="auto" w:fill="0066BA"/>
          </w:tcPr>
          <w:p>
            <w:pPr>
              <w:jc w:val="right"/>
              <w:ind w:right="15"/>
              <w:spacing w:after="0" w:line="118" w:lineRule="exact"/>
              <w:rPr>
                <w:sz w:val="20"/>
                <w:szCs w:val="20"/>
                <w:color w:val="auto"/>
              </w:rPr>
            </w:pPr>
            <w:r>
              <w:rPr>
                <w:rFonts w:ascii="Arial" w:cs="Arial" w:eastAsia="Arial" w:hAnsi="Arial"/>
                <w:sz w:val="12"/>
                <w:szCs w:val="12"/>
                <w:b w:val="1"/>
                <w:bCs w:val="1"/>
                <w:color w:val="FFFFFF"/>
              </w:rPr>
              <w:t>Option</w:t>
            </w:r>
          </w:p>
        </w:tc>
        <w:tc>
          <w:tcPr>
            <w:tcW w:w="1120" w:type="dxa"/>
            <w:vAlign w:val="bottom"/>
            <w:gridSpan w:val="3"/>
            <w:shd w:val="clear" w:color="auto" w:fill="0066BA"/>
          </w:tcPr>
          <w:p>
            <w:pPr>
              <w:jc w:val="right"/>
              <w:ind w:right="100"/>
              <w:spacing w:after="0" w:line="118" w:lineRule="exact"/>
              <w:rPr>
                <w:sz w:val="20"/>
                <w:szCs w:val="20"/>
                <w:color w:val="auto"/>
              </w:rPr>
            </w:pPr>
            <w:r>
              <w:rPr>
                <w:rFonts w:ascii="Arial" w:cs="Arial" w:eastAsia="Arial" w:hAnsi="Arial"/>
                <w:sz w:val="12"/>
                <w:szCs w:val="12"/>
                <w:b w:val="1"/>
                <w:bCs w:val="1"/>
                <w:color w:val="FFFFFF"/>
                <w:w w:val="99"/>
              </w:rPr>
              <w:t>Option Expiration</w:t>
            </w:r>
          </w:p>
        </w:tc>
        <w:tc>
          <w:tcPr>
            <w:tcW w:w="60" w:type="dxa"/>
            <w:vAlign w:val="bottom"/>
            <w:shd w:val="clear" w:color="auto" w:fill="0066BA"/>
          </w:tcPr>
          <w:p>
            <w:pPr>
              <w:spacing w:after="0"/>
              <w:rPr>
                <w:sz w:val="10"/>
                <w:szCs w:val="10"/>
                <w:color w:val="auto"/>
              </w:rPr>
            </w:pPr>
          </w:p>
        </w:tc>
        <w:tc>
          <w:tcPr>
            <w:tcW w:w="800" w:type="dxa"/>
            <w:vAlign w:val="bottom"/>
            <w:shd w:val="clear" w:color="auto" w:fill="0066BA"/>
          </w:tcPr>
          <w:p>
            <w:pPr>
              <w:jc w:val="right"/>
              <w:ind w:right="22"/>
              <w:spacing w:after="0" w:line="118" w:lineRule="exact"/>
              <w:rPr>
                <w:sz w:val="20"/>
                <w:szCs w:val="20"/>
                <w:color w:val="auto"/>
              </w:rPr>
            </w:pPr>
            <w:r>
              <w:rPr>
                <w:rFonts w:ascii="Arial" w:cs="Arial" w:eastAsia="Arial" w:hAnsi="Arial"/>
                <w:sz w:val="12"/>
                <w:szCs w:val="12"/>
                <w:b w:val="1"/>
                <w:bCs w:val="1"/>
                <w:color w:val="FFFFFF"/>
              </w:rPr>
              <w:t>Number</w:t>
            </w:r>
          </w:p>
        </w:tc>
        <w:tc>
          <w:tcPr>
            <w:tcW w:w="1000" w:type="dxa"/>
            <w:vAlign w:val="bottom"/>
            <w:gridSpan w:val="3"/>
            <w:shd w:val="clear" w:color="auto" w:fill="0066BA"/>
          </w:tcPr>
          <w:p>
            <w:pPr>
              <w:jc w:val="right"/>
              <w:ind w:right="100"/>
              <w:spacing w:after="0" w:line="118" w:lineRule="exact"/>
              <w:rPr>
                <w:sz w:val="20"/>
                <w:szCs w:val="20"/>
                <w:color w:val="auto"/>
              </w:rPr>
            </w:pPr>
            <w:r>
              <w:rPr>
                <w:rFonts w:ascii="Arial" w:cs="Arial" w:eastAsia="Arial" w:hAnsi="Arial"/>
                <w:sz w:val="12"/>
                <w:szCs w:val="12"/>
                <w:b w:val="1"/>
                <w:bCs w:val="1"/>
                <w:color w:val="FFFFFF"/>
                <w:w w:val="99"/>
              </w:rPr>
              <w:t>Market Value of</w:t>
            </w:r>
          </w:p>
        </w:tc>
        <w:tc>
          <w:tcPr>
            <w:tcW w:w="960" w:type="dxa"/>
            <w:vAlign w:val="bottom"/>
            <w:shd w:val="clear" w:color="auto" w:fill="0066BA"/>
          </w:tcPr>
          <w:p>
            <w:pPr>
              <w:jc w:val="right"/>
              <w:spacing w:after="0" w:line="118" w:lineRule="exact"/>
              <w:rPr>
                <w:sz w:val="20"/>
                <w:szCs w:val="20"/>
                <w:color w:val="auto"/>
              </w:rPr>
            </w:pPr>
            <w:r>
              <w:rPr>
                <w:rFonts w:ascii="Arial" w:cs="Arial" w:eastAsia="Arial" w:hAnsi="Arial"/>
                <w:sz w:val="12"/>
                <w:szCs w:val="12"/>
                <w:b w:val="1"/>
                <w:bCs w:val="1"/>
                <w:color w:val="FFFFFF"/>
              </w:rPr>
              <w:t>Equity</w:t>
            </w:r>
          </w:p>
        </w:tc>
        <w:tc>
          <w:tcPr>
            <w:tcW w:w="120" w:type="dxa"/>
            <w:vAlign w:val="bottom"/>
            <w:shd w:val="clear" w:color="auto" w:fill="0066BA"/>
          </w:tcPr>
          <w:p>
            <w:pPr>
              <w:spacing w:after="0"/>
              <w:rPr>
                <w:sz w:val="10"/>
                <w:szCs w:val="10"/>
                <w:color w:val="auto"/>
              </w:rPr>
            </w:pPr>
          </w:p>
        </w:tc>
        <w:tc>
          <w:tcPr>
            <w:tcW w:w="900" w:type="dxa"/>
            <w:vAlign w:val="bottom"/>
            <w:gridSpan w:val="2"/>
            <w:shd w:val="clear" w:color="auto" w:fill="0066BA"/>
          </w:tcPr>
          <w:p>
            <w:pPr>
              <w:jc w:val="right"/>
              <w:ind w:right="100"/>
              <w:spacing w:after="0" w:line="118" w:lineRule="exact"/>
              <w:rPr>
                <w:sz w:val="20"/>
                <w:szCs w:val="20"/>
                <w:color w:val="auto"/>
              </w:rPr>
            </w:pPr>
            <w:r>
              <w:rPr>
                <w:rFonts w:ascii="Arial" w:cs="Arial" w:eastAsia="Arial" w:hAnsi="Arial"/>
                <w:sz w:val="12"/>
                <w:szCs w:val="12"/>
                <w:b w:val="1"/>
                <w:bCs w:val="1"/>
                <w:color w:val="FFFFFF"/>
              </w:rPr>
              <w:t>Equity</w:t>
            </w:r>
          </w:p>
        </w:tc>
        <w:tc>
          <w:tcPr>
            <w:tcW w:w="0" w:type="dxa"/>
            <w:vAlign w:val="bottom"/>
          </w:tcPr>
          <w:p>
            <w:pPr>
              <w:spacing w:after="0"/>
              <w:rPr>
                <w:sz w:val="1"/>
                <w:szCs w:val="1"/>
                <w:color w:val="auto"/>
              </w:rPr>
            </w:pPr>
          </w:p>
        </w:tc>
      </w:tr>
      <w:tr>
        <w:trPr>
          <w:trHeight w:val="130"/>
        </w:trPr>
        <w:tc>
          <w:tcPr>
            <w:tcW w:w="164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94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60" w:type="dxa"/>
            <w:vAlign w:val="bottom"/>
            <w:shd w:val="clear" w:color="auto" w:fill="0066BA"/>
          </w:tcPr>
          <w:p>
            <w:pPr>
              <w:spacing w:after="0"/>
              <w:rPr>
                <w:sz w:val="11"/>
                <w:szCs w:val="11"/>
                <w:color w:val="auto"/>
              </w:rPr>
            </w:pPr>
          </w:p>
        </w:tc>
        <w:tc>
          <w:tcPr>
            <w:tcW w:w="740" w:type="dxa"/>
            <w:vAlign w:val="bottom"/>
            <w:shd w:val="clear" w:color="auto" w:fill="0066BA"/>
          </w:tcPr>
          <w:p>
            <w:pPr>
              <w:jc w:val="right"/>
              <w:ind w:right="17"/>
              <w:spacing w:after="0" w:line="130" w:lineRule="exact"/>
              <w:rPr>
                <w:sz w:val="20"/>
                <w:szCs w:val="20"/>
                <w:color w:val="auto"/>
              </w:rPr>
            </w:pPr>
            <w:r>
              <w:rPr>
                <w:rFonts w:ascii="Arial" w:cs="Arial" w:eastAsia="Arial" w:hAnsi="Arial"/>
                <w:sz w:val="12"/>
                <w:szCs w:val="12"/>
                <w:b w:val="1"/>
                <w:bCs w:val="1"/>
                <w:color w:val="FFFFFF"/>
              </w:rPr>
              <w:t>Securities</w:t>
            </w:r>
          </w:p>
        </w:tc>
        <w:tc>
          <w:tcPr>
            <w:tcW w:w="120" w:type="dxa"/>
            <w:vAlign w:val="bottom"/>
            <w:shd w:val="clear" w:color="auto" w:fill="0066BA"/>
          </w:tcPr>
          <w:p>
            <w:pPr>
              <w:spacing w:after="0"/>
              <w:rPr>
                <w:sz w:val="11"/>
                <w:szCs w:val="11"/>
                <w:color w:val="auto"/>
              </w:rPr>
            </w:pPr>
          </w:p>
        </w:tc>
        <w:tc>
          <w:tcPr>
            <w:tcW w:w="940" w:type="dxa"/>
            <w:vAlign w:val="bottom"/>
            <w:gridSpan w:val="2"/>
            <w:shd w:val="clear" w:color="auto" w:fill="0066BA"/>
          </w:tcPr>
          <w:p>
            <w:pPr>
              <w:jc w:val="right"/>
              <w:ind w:right="100"/>
              <w:spacing w:after="0" w:line="130" w:lineRule="exact"/>
              <w:rPr>
                <w:sz w:val="20"/>
                <w:szCs w:val="20"/>
                <w:color w:val="auto"/>
              </w:rPr>
            </w:pPr>
            <w:r>
              <w:rPr>
                <w:rFonts w:ascii="Arial" w:cs="Arial" w:eastAsia="Arial" w:hAnsi="Arial"/>
                <w:sz w:val="12"/>
                <w:szCs w:val="12"/>
                <w:b w:val="1"/>
                <w:bCs w:val="1"/>
                <w:color w:val="FFFFFF"/>
              </w:rPr>
              <w:t>Securities</w:t>
            </w:r>
          </w:p>
        </w:tc>
        <w:tc>
          <w:tcPr>
            <w:tcW w:w="680" w:type="dxa"/>
            <w:vAlign w:val="bottom"/>
            <w:shd w:val="clear" w:color="auto" w:fill="0066BA"/>
          </w:tcPr>
          <w:p>
            <w:pPr>
              <w:jc w:val="right"/>
              <w:ind w:right="15"/>
              <w:spacing w:after="0" w:line="130" w:lineRule="exact"/>
              <w:rPr>
                <w:sz w:val="20"/>
                <w:szCs w:val="20"/>
                <w:color w:val="auto"/>
              </w:rPr>
            </w:pPr>
            <w:r>
              <w:rPr>
                <w:rFonts w:ascii="Arial" w:cs="Arial" w:eastAsia="Arial" w:hAnsi="Arial"/>
                <w:sz w:val="12"/>
                <w:szCs w:val="12"/>
                <w:b w:val="1"/>
                <w:bCs w:val="1"/>
                <w:color w:val="FFFFFF"/>
              </w:rPr>
              <w:t>Exercise</w:t>
            </w:r>
          </w:p>
        </w:tc>
        <w:tc>
          <w:tcPr>
            <w:tcW w:w="120" w:type="dxa"/>
            <w:vAlign w:val="bottom"/>
            <w:shd w:val="clear" w:color="auto" w:fill="0066BA"/>
          </w:tcPr>
          <w:p>
            <w:pPr>
              <w:spacing w:after="0"/>
              <w:rPr>
                <w:sz w:val="11"/>
                <w:szCs w:val="11"/>
                <w:color w:val="auto"/>
              </w:rPr>
            </w:pPr>
          </w:p>
        </w:tc>
        <w:tc>
          <w:tcPr>
            <w:tcW w:w="1000" w:type="dxa"/>
            <w:vAlign w:val="bottom"/>
            <w:gridSpan w:val="2"/>
            <w:shd w:val="clear" w:color="auto" w:fill="0066BA"/>
          </w:tcPr>
          <w:p>
            <w:pPr>
              <w:jc w:val="right"/>
              <w:ind w:right="100"/>
              <w:spacing w:after="0" w:line="130" w:lineRule="exact"/>
              <w:rPr>
                <w:sz w:val="20"/>
                <w:szCs w:val="20"/>
                <w:color w:val="auto"/>
              </w:rPr>
            </w:pPr>
            <w:r>
              <w:rPr>
                <w:rFonts w:ascii="Arial" w:cs="Arial" w:eastAsia="Arial" w:hAnsi="Arial"/>
                <w:sz w:val="12"/>
                <w:szCs w:val="12"/>
                <w:b w:val="1"/>
                <w:bCs w:val="1"/>
                <w:color w:val="FFFFFF"/>
              </w:rPr>
              <w:t>Date (2)</w:t>
            </w:r>
          </w:p>
        </w:tc>
        <w:tc>
          <w:tcPr>
            <w:tcW w:w="60" w:type="dxa"/>
            <w:vAlign w:val="bottom"/>
            <w:shd w:val="clear" w:color="auto" w:fill="0066BA"/>
          </w:tcPr>
          <w:p>
            <w:pPr>
              <w:spacing w:after="0"/>
              <w:rPr>
                <w:sz w:val="11"/>
                <w:szCs w:val="11"/>
                <w:color w:val="auto"/>
              </w:rPr>
            </w:pPr>
          </w:p>
        </w:tc>
        <w:tc>
          <w:tcPr>
            <w:tcW w:w="800" w:type="dxa"/>
            <w:vAlign w:val="bottom"/>
            <w:shd w:val="clear" w:color="auto" w:fill="0066BA"/>
          </w:tcPr>
          <w:p>
            <w:pPr>
              <w:jc w:val="right"/>
              <w:ind w:right="22"/>
              <w:spacing w:after="0" w:line="130" w:lineRule="exact"/>
              <w:rPr>
                <w:sz w:val="20"/>
                <w:szCs w:val="20"/>
                <w:color w:val="auto"/>
              </w:rPr>
            </w:pPr>
            <w:r>
              <w:rPr>
                <w:rFonts w:ascii="Arial" w:cs="Arial" w:eastAsia="Arial" w:hAnsi="Arial"/>
                <w:sz w:val="12"/>
                <w:szCs w:val="12"/>
                <w:b w:val="1"/>
                <w:bCs w:val="1"/>
                <w:color w:val="FFFFFF"/>
              </w:rPr>
              <w:t>of Shares</w:t>
            </w:r>
          </w:p>
        </w:tc>
        <w:tc>
          <w:tcPr>
            <w:tcW w:w="100" w:type="dxa"/>
            <w:vAlign w:val="bottom"/>
            <w:shd w:val="clear" w:color="auto" w:fill="0066BA"/>
          </w:tcPr>
          <w:p>
            <w:pPr>
              <w:spacing w:after="0"/>
              <w:rPr>
                <w:sz w:val="11"/>
                <w:szCs w:val="11"/>
                <w:color w:val="auto"/>
              </w:rPr>
            </w:pPr>
          </w:p>
        </w:tc>
        <w:tc>
          <w:tcPr>
            <w:tcW w:w="900" w:type="dxa"/>
            <w:vAlign w:val="bottom"/>
            <w:gridSpan w:val="2"/>
            <w:shd w:val="clear" w:color="auto" w:fill="0066BA"/>
          </w:tcPr>
          <w:p>
            <w:pPr>
              <w:jc w:val="right"/>
              <w:ind w:right="100"/>
              <w:spacing w:after="0" w:line="130" w:lineRule="exact"/>
              <w:rPr>
                <w:sz w:val="20"/>
                <w:szCs w:val="20"/>
                <w:color w:val="auto"/>
              </w:rPr>
            </w:pPr>
            <w:r>
              <w:rPr>
                <w:rFonts w:ascii="Arial" w:cs="Arial" w:eastAsia="Arial" w:hAnsi="Arial"/>
                <w:sz w:val="12"/>
                <w:szCs w:val="12"/>
                <w:b w:val="1"/>
                <w:bCs w:val="1"/>
                <w:color w:val="FFFFFF"/>
              </w:rPr>
              <w:t>Shares or</w:t>
            </w:r>
          </w:p>
        </w:tc>
        <w:tc>
          <w:tcPr>
            <w:tcW w:w="96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Incentive</w:t>
            </w:r>
          </w:p>
        </w:tc>
        <w:tc>
          <w:tcPr>
            <w:tcW w:w="120" w:type="dxa"/>
            <w:vAlign w:val="bottom"/>
            <w:shd w:val="clear" w:color="auto" w:fill="0066BA"/>
          </w:tcPr>
          <w:p>
            <w:pPr>
              <w:spacing w:after="0"/>
              <w:rPr>
                <w:sz w:val="11"/>
                <w:szCs w:val="11"/>
                <w:color w:val="auto"/>
              </w:rPr>
            </w:pPr>
          </w:p>
        </w:tc>
        <w:tc>
          <w:tcPr>
            <w:tcW w:w="900" w:type="dxa"/>
            <w:vAlign w:val="bottom"/>
            <w:gridSpan w:val="2"/>
            <w:shd w:val="clear" w:color="auto" w:fill="0066BA"/>
          </w:tcPr>
          <w:p>
            <w:pPr>
              <w:jc w:val="right"/>
              <w:ind w:right="100"/>
              <w:spacing w:after="0" w:line="130" w:lineRule="exact"/>
              <w:rPr>
                <w:sz w:val="20"/>
                <w:szCs w:val="20"/>
                <w:color w:val="auto"/>
              </w:rPr>
            </w:pPr>
            <w:r>
              <w:rPr>
                <w:rFonts w:ascii="Arial" w:cs="Arial" w:eastAsia="Arial" w:hAnsi="Arial"/>
                <w:sz w:val="12"/>
                <w:szCs w:val="12"/>
                <w:b w:val="1"/>
                <w:bCs w:val="1"/>
                <w:color w:val="FFFFFF"/>
                <w:w w:val="96"/>
              </w:rPr>
              <w:t>Incentive Plan</w:t>
            </w:r>
          </w:p>
        </w:tc>
        <w:tc>
          <w:tcPr>
            <w:tcW w:w="0" w:type="dxa"/>
            <w:vAlign w:val="bottom"/>
          </w:tcPr>
          <w:p>
            <w:pPr>
              <w:spacing w:after="0"/>
              <w:rPr>
                <w:sz w:val="1"/>
                <w:szCs w:val="1"/>
                <w:color w:val="auto"/>
              </w:rPr>
            </w:pPr>
          </w:p>
        </w:tc>
      </w:tr>
      <w:tr>
        <w:trPr>
          <w:trHeight w:val="130"/>
        </w:trPr>
        <w:tc>
          <w:tcPr>
            <w:tcW w:w="164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94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60" w:type="dxa"/>
            <w:vAlign w:val="bottom"/>
            <w:shd w:val="clear" w:color="auto" w:fill="0066BA"/>
          </w:tcPr>
          <w:p>
            <w:pPr>
              <w:spacing w:after="0"/>
              <w:rPr>
                <w:sz w:val="11"/>
                <w:szCs w:val="11"/>
                <w:color w:val="auto"/>
              </w:rPr>
            </w:pPr>
          </w:p>
        </w:tc>
        <w:tc>
          <w:tcPr>
            <w:tcW w:w="740" w:type="dxa"/>
            <w:vAlign w:val="bottom"/>
            <w:shd w:val="clear" w:color="auto" w:fill="0066BA"/>
          </w:tcPr>
          <w:p>
            <w:pPr>
              <w:jc w:val="right"/>
              <w:ind w:right="17"/>
              <w:spacing w:after="0" w:line="130" w:lineRule="exact"/>
              <w:rPr>
                <w:sz w:val="20"/>
                <w:szCs w:val="20"/>
                <w:color w:val="auto"/>
              </w:rPr>
            </w:pPr>
            <w:r>
              <w:rPr>
                <w:rFonts w:ascii="Arial" w:cs="Arial" w:eastAsia="Arial" w:hAnsi="Arial"/>
                <w:sz w:val="12"/>
                <w:szCs w:val="12"/>
                <w:b w:val="1"/>
                <w:bCs w:val="1"/>
                <w:color w:val="FFFFFF"/>
                <w:w w:val="98"/>
              </w:rPr>
              <w:t>Underlying</w:t>
            </w:r>
          </w:p>
        </w:tc>
        <w:tc>
          <w:tcPr>
            <w:tcW w:w="120" w:type="dxa"/>
            <w:vAlign w:val="bottom"/>
            <w:shd w:val="clear" w:color="auto" w:fill="0066BA"/>
          </w:tcPr>
          <w:p>
            <w:pPr>
              <w:spacing w:after="0"/>
              <w:rPr>
                <w:sz w:val="11"/>
                <w:szCs w:val="11"/>
                <w:color w:val="auto"/>
              </w:rPr>
            </w:pPr>
          </w:p>
        </w:tc>
        <w:tc>
          <w:tcPr>
            <w:tcW w:w="940" w:type="dxa"/>
            <w:vAlign w:val="bottom"/>
            <w:gridSpan w:val="2"/>
            <w:shd w:val="clear" w:color="auto" w:fill="0066BA"/>
          </w:tcPr>
          <w:p>
            <w:pPr>
              <w:jc w:val="right"/>
              <w:ind w:right="100"/>
              <w:spacing w:after="0" w:line="130" w:lineRule="exact"/>
              <w:rPr>
                <w:sz w:val="20"/>
                <w:szCs w:val="20"/>
                <w:color w:val="auto"/>
              </w:rPr>
            </w:pPr>
            <w:r>
              <w:rPr>
                <w:rFonts w:ascii="Arial" w:cs="Arial" w:eastAsia="Arial" w:hAnsi="Arial"/>
                <w:sz w:val="12"/>
                <w:szCs w:val="12"/>
                <w:b w:val="1"/>
                <w:bCs w:val="1"/>
                <w:color w:val="FFFFFF"/>
              </w:rPr>
              <w:t>Underlying</w:t>
            </w:r>
          </w:p>
        </w:tc>
        <w:tc>
          <w:tcPr>
            <w:tcW w:w="680" w:type="dxa"/>
            <w:vAlign w:val="bottom"/>
            <w:shd w:val="clear" w:color="auto" w:fill="0066BA"/>
          </w:tcPr>
          <w:p>
            <w:pPr>
              <w:jc w:val="right"/>
              <w:ind w:right="15"/>
              <w:spacing w:after="0" w:line="130" w:lineRule="exact"/>
              <w:rPr>
                <w:sz w:val="20"/>
                <w:szCs w:val="20"/>
                <w:color w:val="auto"/>
              </w:rPr>
            </w:pPr>
            <w:r>
              <w:rPr>
                <w:rFonts w:ascii="Arial" w:cs="Arial" w:eastAsia="Arial" w:hAnsi="Arial"/>
                <w:sz w:val="12"/>
                <w:szCs w:val="12"/>
                <w:b w:val="1"/>
                <w:bCs w:val="1"/>
                <w:color w:val="FFFFFF"/>
              </w:rPr>
              <w:t>Price ($)</w:t>
            </w:r>
          </w:p>
        </w:tc>
        <w:tc>
          <w:tcPr>
            <w:tcW w:w="120" w:type="dxa"/>
            <w:vAlign w:val="bottom"/>
            <w:shd w:val="clear" w:color="auto" w:fill="0066BA"/>
          </w:tcPr>
          <w:p>
            <w:pPr>
              <w:spacing w:after="0"/>
              <w:rPr>
                <w:sz w:val="11"/>
                <w:szCs w:val="11"/>
                <w:color w:val="auto"/>
              </w:rPr>
            </w:pPr>
          </w:p>
        </w:tc>
        <w:tc>
          <w:tcPr>
            <w:tcW w:w="90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60" w:type="dxa"/>
            <w:vAlign w:val="bottom"/>
            <w:shd w:val="clear" w:color="auto" w:fill="0066BA"/>
          </w:tcPr>
          <w:p>
            <w:pPr>
              <w:spacing w:after="0"/>
              <w:rPr>
                <w:sz w:val="11"/>
                <w:szCs w:val="11"/>
                <w:color w:val="auto"/>
              </w:rPr>
            </w:pPr>
          </w:p>
        </w:tc>
        <w:tc>
          <w:tcPr>
            <w:tcW w:w="800" w:type="dxa"/>
            <w:vAlign w:val="bottom"/>
            <w:shd w:val="clear" w:color="auto" w:fill="0066BA"/>
          </w:tcPr>
          <w:p>
            <w:pPr>
              <w:jc w:val="right"/>
              <w:ind w:right="22"/>
              <w:spacing w:after="0" w:line="130" w:lineRule="exact"/>
              <w:rPr>
                <w:sz w:val="20"/>
                <w:szCs w:val="20"/>
                <w:color w:val="auto"/>
              </w:rPr>
            </w:pPr>
            <w:r>
              <w:rPr>
                <w:rFonts w:ascii="Arial" w:cs="Arial" w:eastAsia="Arial" w:hAnsi="Arial"/>
                <w:sz w:val="12"/>
                <w:szCs w:val="12"/>
                <w:b w:val="1"/>
                <w:bCs w:val="1"/>
                <w:color w:val="FFFFFF"/>
              </w:rPr>
              <w:t>or Units/</w:t>
            </w:r>
          </w:p>
        </w:tc>
        <w:tc>
          <w:tcPr>
            <w:tcW w:w="100" w:type="dxa"/>
            <w:vAlign w:val="bottom"/>
            <w:shd w:val="clear" w:color="auto" w:fill="0066BA"/>
          </w:tcPr>
          <w:p>
            <w:pPr>
              <w:spacing w:after="0"/>
              <w:rPr>
                <w:sz w:val="11"/>
                <w:szCs w:val="11"/>
                <w:color w:val="auto"/>
              </w:rPr>
            </w:pPr>
          </w:p>
        </w:tc>
        <w:tc>
          <w:tcPr>
            <w:tcW w:w="900" w:type="dxa"/>
            <w:vAlign w:val="bottom"/>
            <w:gridSpan w:val="2"/>
            <w:shd w:val="clear" w:color="auto" w:fill="0066BA"/>
          </w:tcPr>
          <w:p>
            <w:pPr>
              <w:jc w:val="right"/>
              <w:ind w:right="100"/>
              <w:spacing w:after="0" w:line="130" w:lineRule="exact"/>
              <w:rPr>
                <w:sz w:val="20"/>
                <w:szCs w:val="20"/>
                <w:color w:val="auto"/>
              </w:rPr>
            </w:pPr>
            <w:r>
              <w:rPr>
                <w:rFonts w:ascii="Arial" w:cs="Arial" w:eastAsia="Arial" w:hAnsi="Arial"/>
                <w:sz w:val="12"/>
                <w:szCs w:val="12"/>
                <w:b w:val="1"/>
                <w:bCs w:val="1"/>
                <w:color w:val="FFFFFF"/>
              </w:rPr>
              <w:t>Units/Awards</w:t>
            </w:r>
          </w:p>
        </w:tc>
        <w:tc>
          <w:tcPr>
            <w:tcW w:w="96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Plan Awards:</w:t>
            </w:r>
          </w:p>
        </w:tc>
        <w:tc>
          <w:tcPr>
            <w:tcW w:w="1020" w:type="dxa"/>
            <w:vAlign w:val="bottom"/>
            <w:gridSpan w:val="3"/>
            <w:shd w:val="clear" w:color="auto" w:fill="0066BA"/>
          </w:tcPr>
          <w:p>
            <w:pPr>
              <w:jc w:val="right"/>
              <w:ind w:right="100"/>
              <w:spacing w:after="0" w:line="130" w:lineRule="exact"/>
              <w:rPr>
                <w:sz w:val="20"/>
                <w:szCs w:val="20"/>
                <w:color w:val="auto"/>
              </w:rPr>
            </w:pPr>
            <w:r>
              <w:rPr>
                <w:rFonts w:ascii="Arial" w:cs="Arial" w:eastAsia="Arial" w:hAnsi="Arial"/>
                <w:sz w:val="12"/>
                <w:szCs w:val="12"/>
                <w:b w:val="1"/>
                <w:bCs w:val="1"/>
                <w:color w:val="FFFFFF"/>
              </w:rPr>
              <w:t>Awards: Market</w:t>
            </w:r>
          </w:p>
        </w:tc>
        <w:tc>
          <w:tcPr>
            <w:tcW w:w="0" w:type="dxa"/>
            <w:vAlign w:val="bottom"/>
          </w:tcPr>
          <w:p>
            <w:pPr>
              <w:spacing w:after="0"/>
              <w:rPr>
                <w:sz w:val="1"/>
                <w:szCs w:val="1"/>
                <w:color w:val="auto"/>
              </w:rPr>
            </w:pPr>
          </w:p>
        </w:tc>
      </w:tr>
      <w:tr>
        <w:trPr>
          <w:trHeight w:val="130"/>
        </w:trPr>
        <w:tc>
          <w:tcPr>
            <w:tcW w:w="164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94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60" w:type="dxa"/>
            <w:vAlign w:val="bottom"/>
            <w:shd w:val="clear" w:color="auto" w:fill="0066BA"/>
          </w:tcPr>
          <w:p>
            <w:pPr>
              <w:spacing w:after="0"/>
              <w:rPr>
                <w:sz w:val="11"/>
                <w:szCs w:val="11"/>
                <w:color w:val="auto"/>
              </w:rPr>
            </w:pPr>
          </w:p>
        </w:tc>
        <w:tc>
          <w:tcPr>
            <w:tcW w:w="740" w:type="dxa"/>
            <w:vAlign w:val="bottom"/>
            <w:shd w:val="clear" w:color="auto" w:fill="0066BA"/>
          </w:tcPr>
          <w:p>
            <w:pPr>
              <w:jc w:val="right"/>
              <w:ind w:right="17"/>
              <w:spacing w:after="0" w:line="130" w:lineRule="exact"/>
              <w:rPr>
                <w:sz w:val="20"/>
                <w:szCs w:val="20"/>
                <w:color w:val="auto"/>
              </w:rPr>
            </w:pPr>
            <w:r>
              <w:rPr>
                <w:rFonts w:ascii="Arial" w:cs="Arial" w:eastAsia="Arial" w:hAnsi="Arial"/>
                <w:sz w:val="12"/>
                <w:szCs w:val="12"/>
                <w:b w:val="1"/>
                <w:bCs w:val="1"/>
                <w:color w:val="FFFFFF"/>
                <w:w w:val="86"/>
              </w:rPr>
              <w:t>Unexercised</w:t>
            </w:r>
          </w:p>
        </w:tc>
        <w:tc>
          <w:tcPr>
            <w:tcW w:w="120" w:type="dxa"/>
            <w:vAlign w:val="bottom"/>
            <w:shd w:val="clear" w:color="auto" w:fill="0066BA"/>
          </w:tcPr>
          <w:p>
            <w:pPr>
              <w:spacing w:after="0"/>
              <w:rPr>
                <w:sz w:val="11"/>
                <w:szCs w:val="11"/>
                <w:color w:val="auto"/>
              </w:rPr>
            </w:pPr>
          </w:p>
        </w:tc>
        <w:tc>
          <w:tcPr>
            <w:tcW w:w="940" w:type="dxa"/>
            <w:vAlign w:val="bottom"/>
            <w:gridSpan w:val="2"/>
            <w:shd w:val="clear" w:color="auto" w:fill="0066BA"/>
          </w:tcPr>
          <w:p>
            <w:pPr>
              <w:jc w:val="right"/>
              <w:ind w:right="100"/>
              <w:spacing w:after="0" w:line="130" w:lineRule="exact"/>
              <w:rPr>
                <w:sz w:val="20"/>
                <w:szCs w:val="20"/>
                <w:color w:val="auto"/>
              </w:rPr>
            </w:pPr>
            <w:r>
              <w:rPr>
                <w:rFonts w:ascii="Arial" w:cs="Arial" w:eastAsia="Arial" w:hAnsi="Arial"/>
                <w:sz w:val="12"/>
                <w:szCs w:val="12"/>
                <w:b w:val="1"/>
                <w:bCs w:val="1"/>
                <w:color w:val="FFFFFF"/>
              </w:rPr>
              <w:t>Unexercised</w:t>
            </w:r>
          </w:p>
        </w:tc>
        <w:tc>
          <w:tcPr>
            <w:tcW w:w="68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90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60" w:type="dxa"/>
            <w:vAlign w:val="bottom"/>
            <w:shd w:val="clear" w:color="auto" w:fill="0066BA"/>
          </w:tcPr>
          <w:p>
            <w:pPr>
              <w:spacing w:after="0"/>
              <w:rPr>
                <w:sz w:val="11"/>
                <w:szCs w:val="11"/>
                <w:color w:val="auto"/>
              </w:rPr>
            </w:pPr>
          </w:p>
        </w:tc>
        <w:tc>
          <w:tcPr>
            <w:tcW w:w="800" w:type="dxa"/>
            <w:vAlign w:val="bottom"/>
            <w:shd w:val="clear" w:color="auto" w:fill="0066BA"/>
          </w:tcPr>
          <w:p>
            <w:pPr>
              <w:jc w:val="right"/>
              <w:ind w:right="22"/>
              <w:spacing w:after="0" w:line="130" w:lineRule="exact"/>
              <w:rPr>
                <w:sz w:val="20"/>
                <w:szCs w:val="20"/>
                <w:color w:val="auto"/>
              </w:rPr>
            </w:pPr>
            <w:r>
              <w:rPr>
                <w:rFonts w:ascii="Arial" w:cs="Arial" w:eastAsia="Arial" w:hAnsi="Arial"/>
                <w:sz w:val="12"/>
                <w:szCs w:val="12"/>
                <w:b w:val="1"/>
                <w:bCs w:val="1"/>
                <w:color w:val="FFFFFF"/>
              </w:rPr>
              <w:t>Awards of</w:t>
            </w:r>
          </w:p>
        </w:tc>
        <w:tc>
          <w:tcPr>
            <w:tcW w:w="100" w:type="dxa"/>
            <w:vAlign w:val="bottom"/>
            <w:shd w:val="clear" w:color="auto" w:fill="0066BA"/>
          </w:tcPr>
          <w:p>
            <w:pPr>
              <w:spacing w:after="0"/>
              <w:rPr>
                <w:sz w:val="11"/>
                <w:szCs w:val="11"/>
                <w:color w:val="auto"/>
              </w:rPr>
            </w:pPr>
          </w:p>
        </w:tc>
        <w:tc>
          <w:tcPr>
            <w:tcW w:w="900" w:type="dxa"/>
            <w:vAlign w:val="bottom"/>
            <w:gridSpan w:val="2"/>
            <w:shd w:val="clear" w:color="auto" w:fill="0066BA"/>
          </w:tcPr>
          <w:p>
            <w:pPr>
              <w:jc w:val="right"/>
              <w:ind w:right="100"/>
              <w:spacing w:after="0" w:line="130" w:lineRule="exact"/>
              <w:rPr>
                <w:sz w:val="20"/>
                <w:szCs w:val="20"/>
                <w:color w:val="auto"/>
              </w:rPr>
            </w:pPr>
            <w:r>
              <w:rPr>
                <w:rFonts w:ascii="Arial" w:cs="Arial" w:eastAsia="Arial" w:hAnsi="Arial"/>
                <w:sz w:val="12"/>
                <w:szCs w:val="12"/>
                <w:b w:val="1"/>
                <w:bCs w:val="1"/>
                <w:color w:val="FFFFFF"/>
              </w:rPr>
              <w:t>of Stock That</w:t>
            </w:r>
          </w:p>
        </w:tc>
        <w:tc>
          <w:tcPr>
            <w:tcW w:w="96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Number of</w:t>
            </w:r>
          </w:p>
        </w:tc>
        <w:tc>
          <w:tcPr>
            <w:tcW w:w="1020" w:type="dxa"/>
            <w:vAlign w:val="bottom"/>
            <w:gridSpan w:val="3"/>
            <w:shd w:val="clear" w:color="auto" w:fill="0066BA"/>
          </w:tcPr>
          <w:p>
            <w:pPr>
              <w:jc w:val="right"/>
              <w:ind w:right="100"/>
              <w:spacing w:after="0" w:line="130" w:lineRule="exact"/>
              <w:rPr>
                <w:sz w:val="20"/>
                <w:szCs w:val="20"/>
                <w:color w:val="auto"/>
              </w:rPr>
            </w:pPr>
            <w:r>
              <w:rPr>
                <w:rFonts w:ascii="Arial" w:cs="Arial" w:eastAsia="Arial" w:hAnsi="Arial"/>
                <w:sz w:val="12"/>
                <w:szCs w:val="12"/>
                <w:b w:val="1"/>
                <w:bCs w:val="1"/>
                <w:color w:val="FFFFFF"/>
                <w:w w:val="99"/>
              </w:rPr>
              <w:t>or Payout Value</w:t>
            </w:r>
          </w:p>
        </w:tc>
        <w:tc>
          <w:tcPr>
            <w:tcW w:w="0" w:type="dxa"/>
            <w:vAlign w:val="bottom"/>
          </w:tcPr>
          <w:p>
            <w:pPr>
              <w:spacing w:after="0"/>
              <w:rPr>
                <w:sz w:val="1"/>
                <w:szCs w:val="1"/>
                <w:color w:val="auto"/>
              </w:rPr>
            </w:pPr>
          </w:p>
        </w:tc>
      </w:tr>
      <w:tr>
        <w:trPr>
          <w:trHeight w:val="130"/>
        </w:trPr>
        <w:tc>
          <w:tcPr>
            <w:tcW w:w="164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94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60" w:type="dxa"/>
            <w:vAlign w:val="bottom"/>
            <w:shd w:val="clear" w:color="auto" w:fill="0066BA"/>
          </w:tcPr>
          <w:p>
            <w:pPr>
              <w:spacing w:after="0"/>
              <w:rPr>
                <w:sz w:val="11"/>
                <w:szCs w:val="11"/>
                <w:color w:val="auto"/>
              </w:rPr>
            </w:pPr>
          </w:p>
        </w:tc>
        <w:tc>
          <w:tcPr>
            <w:tcW w:w="740" w:type="dxa"/>
            <w:vAlign w:val="bottom"/>
            <w:shd w:val="clear" w:color="auto" w:fill="0066BA"/>
          </w:tcPr>
          <w:p>
            <w:pPr>
              <w:jc w:val="right"/>
              <w:ind w:right="17"/>
              <w:spacing w:after="0" w:line="130" w:lineRule="exact"/>
              <w:rPr>
                <w:sz w:val="20"/>
                <w:szCs w:val="20"/>
                <w:color w:val="auto"/>
              </w:rPr>
            </w:pPr>
            <w:r>
              <w:rPr>
                <w:rFonts w:ascii="Arial" w:cs="Arial" w:eastAsia="Arial" w:hAnsi="Arial"/>
                <w:sz w:val="12"/>
                <w:szCs w:val="12"/>
                <w:b w:val="1"/>
                <w:bCs w:val="1"/>
                <w:color w:val="FFFFFF"/>
                <w:w w:val="97"/>
              </w:rPr>
              <w:t>Options (#)</w:t>
            </w:r>
          </w:p>
        </w:tc>
        <w:tc>
          <w:tcPr>
            <w:tcW w:w="120" w:type="dxa"/>
            <w:vAlign w:val="bottom"/>
            <w:shd w:val="clear" w:color="auto" w:fill="0066BA"/>
          </w:tcPr>
          <w:p>
            <w:pPr>
              <w:spacing w:after="0"/>
              <w:rPr>
                <w:sz w:val="11"/>
                <w:szCs w:val="11"/>
                <w:color w:val="auto"/>
              </w:rPr>
            </w:pPr>
          </w:p>
        </w:tc>
        <w:tc>
          <w:tcPr>
            <w:tcW w:w="940" w:type="dxa"/>
            <w:vAlign w:val="bottom"/>
            <w:gridSpan w:val="2"/>
            <w:shd w:val="clear" w:color="auto" w:fill="0066BA"/>
          </w:tcPr>
          <w:p>
            <w:pPr>
              <w:jc w:val="right"/>
              <w:ind w:right="100"/>
              <w:spacing w:after="0" w:line="130" w:lineRule="exact"/>
              <w:rPr>
                <w:sz w:val="20"/>
                <w:szCs w:val="20"/>
                <w:color w:val="auto"/>
              </w:rPr>
            </w:pPr>
            <w:r>
              <w:rPr>
                <w:rFonts w:ascii="Arial" w:cs="Arial" w:eastAsia="Arial" w:hAnsi="Arial"/>
                <w:sz w:val="12"/>
                <w:szCs w:val="12"/>
                <w:b w:val="1"/>
                <w:bCs w:val="1"/>
                <w:color w:val="FFFFFF"/>
              </w:rPr>
              <w:t>Options (#)</w:t>
            </w:r>
          </w:p>
        </w:tc>
        <w:tc>
          <w:tcPr>
            <w:tcW w:w="68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90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60" w:type="dxa"/>
            <w:vAlign w:val="bottom"/>
            <w:shd w:val="clear" w:color="auto" w:fill="0066BA"/>
          </w:tcPr>
          <w:p>
            <w:pPr>
              <w:spacing w:after="0"/>
              <w:rPr>
                <w:sz w:val="11"/>
                <w:szCs w:val="11"/>
                <w:color w:val="auto"/>
              </w:rPr>
            </w:pPr>
          </w:p>
        </w:tc>
        <w:tc>
          <w:tcPr>
            <w:tcW w:w="800" w:type="dxa"/>
            <w:vAlign w:val="bottom"/>
            <w:shd w:val="clear" w:color="auto" w:fill="0066BA"/>
          </w:tcPr>
          <w:p>
            <w:pPr>
              <w:jc w:val="right"/>
              <w:ind w:right="22"/>
              <w:spacing w:after="0" w:line="130" w:lineRule="exact"/>
              <w:rPr>
                <w:sz w:val="20"/>
                <w:szCs w:val="20"/>
                <w:color w:val="auto"/>
              </w:rPr>
            </w:pPr>
            <w:r>
              <w:rPr>
                <w:rFonts w:ascii="Arial" w:cs="Arial" w:eastAsia="Arial" w:hAnsi="Arial"/>
                <w:sz w:val="12"/>
                <w:szCs w:val="12"/>
                <w:b w:val="1"/>
                <w:bCs w:val="1"/>
                <w:color w:val="FFFFFF"/>
              </w:rPr>
              <w:t>Stock That</w:t>
            </w:r>
          </w:p>
        </w:tc>
        <w:tc>
          <w:tcPr>
            <w:tcW w:w="100" w:type="dxa"/>
            <w:vAlign w:val="bottom"/>
            <w:shd w:val="clear" w:color="auto" w:fill="0066BA"/>
          </w:tcPr>
          <w:p>
            <w:pPr>
              <w:spacing w:after="0"/>
              <w:rPr>
                <w:sz w:val="11"/>
                <w:szCs w:val="11"/>
                <w:color w:val="auto"/>
              </w:rPr>
            </w:pPr>
          </w:p>
        </w:tc>
        <w:tc>
          <w:tcPr>
            <w:tcW w:w="900" w:type="dxa"/>
            <w:vAlign w:val="bottom"/>
            <w:gridSpan w:val="2"/>
            <w:shd w:val="clear" w:color="auto" w:fill="0066BA"/>
          </w:tcPr>
          <w:p>
            <w:pPr>
              <w:jc w:val="right"/>
              <w:ind w:right="100"/>
              <w:spacing w:after="0" w:line="130" w:lineRule="exact"/>
              <w:rPr>
                <w:sz w:val="20"/>
                <w:szCs w:val="20"/>
                <w:color w:val="auto"/>
              </w:rPr>
            </w:pPr>
            <w:r>
              <w:rPr>
                <w:rFonts w:ascii="Arial" w:cs="Arial" w:eastAsia="Arial" w:hAnsi="Arial"/>
                <w:sz w:val="12"/>
                <w:szCs w:val="12"/>
                <w:b w:val="1"/>
                <w:bCs w:val="1"/>
                <w:color w:val="FFFFFF"/>
              </w:rPr>
              <w:t>Have Not</w:t>
            </w:r>
          </w:p>
        </w:tc>
        <w:tc>
          <w:tcPr>
            <w:tcW w:w="96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Unearned</w:t>
            </w:r>
          </w:p>
        </w:tc>
        <w:tc>
          <w:tcPr>
            <w:tcW w:w="120" w:type="dxa"/>
            <w:vAlign w:val="bottom"/>
            <w:shd w:val="clear" w:color="auto" w:fill="0066BA"/>
          </w:tcPr>
          <w:p>
            <w:pPr>
              <w:spacing w:after="0"/>
              <w:rPr>
                <w:sz w:val="11"/>
                <w:szCs w:val="11"/>
                <w:color w:val="auto"/>
              </w:rPr>
            </w:pPr>
          </w:p>
        </w:tc>
        <w:tc>
          <w:tcPr>
            <w:tcW w:w="900" w:type="dxa"/>
            <w:vAlign w:val="bottom"/>
            <w:gridSpan w:val="2"/>
            <w:shd w:val="clear" w:color="auto" w:fill="0066BA"/>
          </w:tcPr>
          <w:p>
            <w:pPr>
              <w:jc w:val="right"/>
              <w:ind w:right="100"/>
              <w:spacing w:after="0" w:line="130" w:lineRule="exact"/>
              <w:rPr>
                <w:sz w:val="20"/>
                <w:szCs w:val="20"/>
                <w:color w:val="auto"/>
              </w:rPr>
            </w:pPr>
            <w:r>
              <w:rPr>
                <w:rFonts w:ascii="Arial" w:cs="Arial" w:eastAsia="Arial" w:hAnsi="Arial"/>
                <w:sz w:val="12"/>
                <w:szCs w:val="12"/>
                <w:b w:val="1"/>
                <w:bCs w:val="1"/>
                <w:color w:val="FFFFFF"/>
              </w:rPr>
              <w:t>of Unearned</w:t>
            </w:r>
          </w:p>
        </w:tc>
        <w:tc>
          <w:tcPr>
            <w:tcW w:w="0" w:type="dxa"/>
            <w:vAlign w:val="bottom"/>
          </w:tcPr>
          <w:p>
            <w:pPr>
              <w:spacing w:after="0"/>
              <w:rPr>
                <w:sz w:val="1"/>
                <w:szCs w:val="1"/>
                <w:color w:val="auto"/>
              </w:rPr>
            </w:pPr>
          </w:p>
        </w:tc>
      </w:tr>
      <w:tr>
        <w:trPr>
          <w:trHeight w:val="130"/>
        </w:trPr>
        <w:tc>
          <w:tcPr>
            <w:tcW w:w="164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94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60" w:type="dxa"/>
            <w:vAlign w:val="bottom"/>
            <w:shd w:val="clear" w:color="auto" w:fill="0066BA"/>
          </w:tcPr>
          <w:p>
            <w:pPr>
              <w:spacing w:after="0"/>
              <w:rPr>
                <w:sz w:val="11"/>
                <w:szCs w:val="11"/>
                <w:color w:val="auto"/>
              </w:rPr>
            </w:pPr>
          </w:p>
        </w:tc>
        <w:tc>
          <w:tcPr>
            <w:tcW w:w="740" w:type="dxa"/>
            <w:vAlign w:val="bottom"/>
            <w:shd w:val="clear" w:color="auto" w:fill="0066BA"/>
          </w:tcPr>
          <w:p>
            <w:pPr>
              <w:jc w:val="right"/>
              <w:ind w:right="17"/>
              <w:spacing w:after="0" w:line="130" w:lineRule="exact"/>
              <w:rPr>
                <w:sz w:val="20"/>
                <w:szCs w:val="20"/>
                <w:color w:val="auto"/>
              </w:rPr>
            </w:pPr>
            <w:r>
              <w:rPr>
                <w:rFonts w:ascii="Arial" w:cs="Arial" w:eastAsia="Arial" w:hAnsi="Arial"/>
                <w:sz w:val="12"/>
                <w:szCs w:val="12"/>
                <w:b w:val="1"/>
                <w:bCs w:val="1"/>
                <w:color w:val="FFFFFF"/>
                <w:w w:val="92"/>
              </w:rPr>
              <w:t>Exercisable</w:t>
            </w:r>
          </w:p>
        </w:tc>
        <w:tc>
          <w:tcPr>
            <w:tcW w:w="1060" w:type="dxa"/>
            <w:vAlign w:val="bottom"/>
            <w:gridSpan w:val="3"/>
            <w:shd w:val="clear" w:color="auto" w:fill="0066BA"/>
          </w:tcPr>
          <w:p>
            <w:pPr>
              <w:jc w:val="right"/>
              <w:ind w:right="100"/>
              <w:spacing w:after="0" w:line="130" w:lineRule="exact"/>
              <w:rPr>
                <w:sz w:val="20"/>
                <w:szCs w:val="20"/>
                <w:color w:val="auto"/>
              </w:rPr>
            </w:pPr>
            <w:r>
              <w:rPr>
                <w:rFonts w:ascii="Arial" w:cs="Arial" w:eastAsia="Arial" w:hAnsi="Arial"/>
                <w:sz w:val="12"/>
                <w:szCs w:val="12"/>
                <w:b w:val="1"/>
                <w:bCs w:val="1"/>
                <w:color w:val="FFFFFF"/>
                <w:w w:val="94"/>
              </w:rPr>
              <w:t>Unexercisable (1)</w:t>
            </w:r>
          </w:p>
        </w:tc>
        <w:tc>
          <w:tcPr>
            <w:tcW w:w="68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90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60" w:type="dxa"/>
            <w:vAlign w:val="bottom"/>
            <w:shd w:val="clear" w:color="auto" w:fill="0066BA"/>
          </w:tcPr>
          <w:p>
            <w:pPr>
              <w:spacing w:after="0"/>
              <w:rPr>
                <w:sz w:val="11"/>
                <w:szCs w:val="11"/>
                <w:color w:val="auto"/>
              </w:rPr>
            </w:pPr>
          </w:p>
        </w:tc>
        <w:tc>
          <w:tcPr>
            <w:tcW w:w="800" w:type="dxa"/>
            <w:vAlign w:val="bottom"/>
            <w:shd w:val="clear" w:color="auto" w:fill="0066BA"/>
          </w:tcPr>
          <w:p>
            <w:pPr>
              <w:jc w:val="right"/>
              <w:ind w:right="22"/>
              <w:spacing w:after="0" w:line="130" w:lineRule="exact"/>
              <w:rPr>
                <w:sz w:val="20"/>
                <w:szCs w:val="20"/>
                <w:color w:val="auto"/>
              </w:rPr>
            </w:pPr>
            <w:r>
              <w:rPr>
                <w:rFonts w:ascii="Arial" w:cs="Arial" w:eastAsia="Arial" w:hAnsi="Arial"/>
                <w:sz w:val="12"/>
                <w:szCs w:val="12"/>
                <w:b w:val="1"/>
                <w:bCs w:val="1"/>
                <w:color w:val="FFFFFF"/>
              </w:rPr>
              <w:t>Have Not</w:t>
            </w:r>
          </w:p>
        </w:tc>
        <w:tc>
          <w:tcPr>
            <w:tcW w:w="100" w:type="dxa"/>
            <w:vAlign w:val="bottom"/>
            <w:shd w:val="clear" w:color="auto" w:fill="0066BA"/>
          </w:tcPr>
          <w:p>
            <w:pPr>
              <w:spacing w:after="0"/>
              <w:rPr>
                <w:sz w:val="11"/>
                <w:szCs w:val="11"/>
                <w:color w:val="auto"/>
              </w:rPr>
            </w:pPr>
          </w:p>
        </w:tc>
        <w:tc>
          <w:tcPr>
            <w:tcW w:w="900" w:type="dxa"/>
            <w:vAlign w:val="bottom"/>
            <w:gridSpan w:val="2"/>
            <w:shd w:val="clear" w:color="auto" w:fill="0066BA"/>
          </w:tcPr>
          <w:p>
            <w:pPr>
              <w:jc w:val="right"/>
              <w:ind w:right="100"/>
              <w:spacing w:after="0" w:line="130" w:lineRule="exact"/>
              <w:rPr>
                <w:sz w:val="20"/>
                <w:szCs w:val="20"/>
                <w:color w:val="auto"/>
              </w:rPr>
            </w:pPr>
            <w:r>
              <w:rPr>
                <w:rFonts w:ascii="Arial" w:cs="Arial" w:eastAsia="Arial" w:hAnsi="Arial"/>
                <w:sz w:val="12"/>
                <w:szCs w:val="12"/>
                <w:b w:val="1"/>
                <w:bCs w:val="1"/>
                <w:color w:val="FFFFFF"/>
              </w:rPr>
              <w:t>Vested ($) (4)</w:t>
            </w:r>
          </w:p>
        </w:tc>
        <w:tc>
          <w:tcPr>
            <w:tcW w:w="96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Shares, Units,</w:t>
            </w:r>
          </w:p>
        </w:tc>
        <w:tc>
          <w:tcPr>
            <w:tcW w:w="120" w:type="dxa"/>
            <w:vAlign w:val="bottom"/>
            <w:shd w:val="clear" w:color="auto" w:fill="0066BA"/>
          </w:tcPr>
          <w:p>
            <w:pPr>
              <w:spacing w:after="0"/>
              <w:rPr>
                <w:sz w:val="11"/>
                <w:szCs w:val="11"/>
                <w:color w:val="auto"/>
              </w:rPr>
            </w:pPr>
          </w:p>
        </w:tc>
        <w:tc>
          <w:tcPr>
            <w:tcW w:w="900" w:type="dxa"/>
            <w:vAlign w:val="bottom"/>
            <w:gridSpan w:val="2"/>
            <w:shd w:val="clear" w:color="auto" w:fill="0066BA"/>
          </w:tcPr>
          <w:p>
            <w:pPr>
              <w:jc w:val="right"/>
              <w:ind w:right="100"/>
              <w:spacing w:after="0" w:line="130" w:lineRule="exact"/>
              <w:rPr>
                <w:sz w:val="20"/>
                <w:szCs w:val="20"/>
                <w:color w:val="auto"/>
              </w:rPr>
            </w:pPr>
            <w:r>
              <w:rPr>
                <w:rFonts w:ascii="Arial" w:cs="Arial" w:eastAsia="Arial" w:hAnsi="Arial"/>
                <w:sz w:val="12"/>
                <w:szCs w:val="12"/>
                <w:b w:val="1"/>
                <w:bCs w:val="1"/>
                <w:color w:val="FFFFFF"/>
              </w:rPr>
              <w:t>Shares, Units</w:t>
            </w:r>
          </w:p>
        </w:tc>
        <w:tc>
          <w:tcPr>
            <w:tcW w:w="0" w:type="dxa"/>
            <w:vAlign w:val="bottom"/>
          </w:tcPr>
          <w:p>
            <w:pPr>
              <w:spacing w:after="0"/>
              <w:rPr>
                <w:sz w:val="1"/>
                <w:szCs w:val="1"/>
                <w:color w:val="auto"/>
              </w:rPr>
            </w:pPr>
          </w:p>
        </w:tc>
      </w:tr>
      <w:tr>
        <w:trPr>
          <w:trHeight w:val="130"/>
        </w:trPr>
        <w:tc>
          <w:tcPr>
            <w:tcW w:w="164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94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60" w:type="dxa"/>
            <w:vAlign w:val="bottom"/>
            <w:shd w:val="clear" w:color="auto" w:fill="0066BA"/>
          </w:tcPr>
          <w:p>
            <w:pPr>
              <w:spacing w:after="0"/>
              <w:rPr>
                <w:sz w:val="11"/>
                <w:szCs w:val="11"/>
                <w:color w:val="auto"/>
              </w:rPr>
            </w:pPr>
          </w:p>
        </w:tc>
        <w:tc>
          <w:tcPr>
            <w:tcW w:w="74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84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68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90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60" w:type="dxa"/>
            <w:vAlign w:val="bottom"/>
            <w:shd w:val="clear" w:color="auto" w:fill="0066BA"/>
          </w:tcPr>
          <w:p>
            <w:pPr>
              <w:spacing w:after="0"/>
              <w:rPr>
                <w:sz w:val="11"/>
                <w:szCs w:val="11"/>
                <w:color w:val="auto"/>
              </w:rPr>
            </w:pPr>
          </w:p>
        </w:tc>
        <w:tc>
          <w:tcPr>
            <w:tcW w:w="800" w:type="dxa"/>
            <w:vAlign w:val="bottom"/>
            <w:shd w:val="clear" w:color="auto" w:fill="0066BA"/>
          </w:tcPr>
          <w:p>
            <w:pPr>
              <w:jc w:val="right"/>
              <w:ind w:right="22"/>
              <w:spacing w:after="0" w:line="130" w:lineRule="exact"/>
              <w:rPr>
                <w:sz w:val="20"/>
                <w:szCs w:val="20"/>
                <w:color w:val="auto"/>
              </w:rPr>
            </w:pPr>
            <w:r>
              <w:rPr>
                <w:rFonts w:ascii="Arial" w:cs="Arial" w:eastAsia="Arial" w:hAnsi="Arial"/>
                <w:sz w:val="12"/>
                <w:szCs w:val="12"/>
                <w:b w:val="1"/>
                <w:bCs w:val="1"/>
                <w:color w:val="FFFFFF"/>
                <w:w w:val="90"/>
              </w:rPr>
              <w:t>Vested (#) (3)</w:t>
            </w:r>
          </w:p>
        </w:tc>
        <w:tc>
          <w:tcPr>
            <w:tcW w:w="100" w:type="dxa"/>
            <w:vAlign w:val="bottom"/>
            <w:shd w:val="clear" w:color="auto" w:fill="0066BA"/>
          </w:tcPr>
          <w:p>
            <w:pPr>
              <w:spacing w:after="0"/>
              <w:rPr>
                <w:sz w:val="11"/>
                <w:szCs w:val="11"/>
                <w:color w:val="auto"/>
              </w:rPr>
            </w:pPr>
          </w:p>
        </w:tc>
        <w:tc>
          <w:tcPr>
            <w:tcW w:w="78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96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w w:val="97"/>
              </w:rPr>
              <w:t>or Other Rights</w:t>
            </w:r>
          </w:p>
        </w:tc>
        <w:tc>
          <w:tcPr>
            <w:tcW w:w="1020" w:type="dxa"/>
            <w:vAlign w:val="bottom"/>
            <w:gridSpan w:val="3"/>
            <w:shd w:val="clear" w:color="auto" w:fill="0066BA"/>
          </w:tcPr>
          <w:p>
            <w:pPr>
              <w:jc w:val="right"/>
              <w:ind w:right="100"/>
              <w:spacing w:after="0" w:line="130" w:lineRule="exact"/>
              <w:rPr>
                <w:sz w:val="20"/>
                <w:szCs w:val="20"/>
                <w:color w:val="auto"/>
              </w:rPr>
            </w:pPr>
            <w:r>
              <w:rPr>
                <w:rFonts w:ascii="Arial" w:cs="Arial" w:eastAsia="Arial" w:hAnsi="Arial"/>
                <w:sz w:val="12"/>
                <w:szCs w:val="12"/>
                <w:b w:val="1"/>
                <w:bCs w:val="1"/>
                <w:color w:val="FFFFFF"/>
              </w:rPr>
              <w:t>or Other Rights</w:t>
            </w:r>
          </w:p>
        </w:tc>
        <w:tc>
          <w:tcPr>
            <w:tcW w:w="0" w:type="dxa"/>
            <w:vAlign w:val="bottom"/>
          </w:tcPr>
          <w:p>
            <w:pPr>
              <w:spacing w:after="0"/>
              <w:rPr>
                <w:sz w:val="1"/>
                <w:szCs w:val="1"/>
                <w:color w:val="auto"/>
              </w:rPr>
            </w:pPr>
          </w:p>
        </w:tc>
      </w:tr>
      <w:tr>
        <w:trPr>
          <w:trHeight w:val="130"/>
        </w:trPr>
        <w:tc>
          <w:tcPr>
            <w:tcW w:w="164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94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60" w:type="dxa"/>
            <w:vAlign w:val="bottom"/>
            <w:shd w:val="clear" w:color="auto" w:fill="0066BA"/>
          </w:tcPr>
          <w:p>
            <w:pPr>
              <w:spacing w:after="0"/>
              <w:rPr>
                <w:sz w:val="11"/>
                <w:szCs w:val="11"/>
                <w:color w:val="auto"/>
              </w:rPr>
            </w:pPr>
          </w:p>
        </w:tc>
        <w:tc>
          <w:tcPr>
            <w:tcW w:w="74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84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68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90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60" w:type="dxa"/>
            <w:vAlign w:val="bottom"/>
            <w:shd w:val="clear" w:color="auto" w:fill="0066BA"/>
          </w:tcPr>
          <w:p>
            <w:pPr>
              <w:spacing w:after="0"/>
              <w:rPr>
                <w:sz w:val="11"/>
                <w:szCs w:val="11"/>
                <w:color w:val="auto"/>
              </w:rPr>
            </w:pPr>
          </w:p>
        </w:tc>
        <w:tc>
          <w:tcPr>
            <w:tcW w:w="80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78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96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That Have Not</w:t>
            </w:r>
          </w:p>
        </w:tc>
        <w:tc>
          <w:tcPr>
            <w:tcW w:w="120" w:type="dxa"/>
            <w:vAlign w:val="bottom"/>
            <w:shd w:val="clear" w:color="auto" w:fill="0066BA"/>
          </w:tcPr>
          <w:p>
            <w:pPr>
              <w:spacing w:after="0"/>
              <w:rPr>
                <w:sz w:val="11"/>
                <w:szCs w:val="11"/>
                <w:color w:val="auto"/>
              </w:rPr>
            </w:pPr>
          </w:p>
        </w:tc>
        <w:tc>
          <w:tcPr>
            <w:tcW w:w="900" w:type="dxa"/>
            <w:vAlign w:val="bottom"/>
            <w:gridSpan w:val="2"/>
            <w:shd w:val="clear" w:color="auto" w:fill="0066BA"/>
          </w:tcPr>
          <w:p>
            <w:pPr>
              <w:jc w:val="right"/>
              <w:ind w:right="100"/>
              <w:spacing w:after="0" w:line="130" w:lineRule="exact"/>
              <w:rPr>
                <w:sz w:val="20"/>
                <w:szCs w:val="20"/>
                <w:color w:val="auto"/>
              </w:rPr>
            </w:pPr>
            <w:r>
              <w:rPr>
                <w:rFonts w:ascii="Arial" w:cs="Arial" w:eastAsia="Arial" w:hAnsi="Arial"/>
                <w:sz w:val="12"/>
                <w:szCs w:val="12"/>
                <w:b w:val="1"/>
                <w:bCs w:val="1"/>
                <w:color w:val="FFFFFF"/>
                <w:w w:val="96"/>
              </w:rPr>
              <w:t>That Have Not</w:t>
            </w:r>
          </w:p>
        </w:tc>
        <w:tc>
          <w:tcPr>
            <w:tcW w:w="0" w:type="dxa"/>
            <w:vAlign w:val="bottom"/>
          </w:tcPr>
          <w:p>
            <w:pPr>
              <w:spacing w:after="0"/>
              <w:rPr>
                <w:sz w:val="1"/>
                <w:szCs w:val="1"/>
                <w:color w:val="auto"/>
              </w:rPr>
            </w:pPr>
          </w:p>
        </w:tc>
      </w:tr>
      <w:tr>
        <w:trPr>
          <w:trHeight w:val="161"/>
        </w:trPr>
        <w:tc>
          <w:tcPr>
            <w:tcW w:w="1640" w:type="dxa"/>
            <w:vAlign w:val="bottom"/>
            <w:shd w:val="clear" w:color="auto" w:fill="0066BA"/>
          </w:tcPr>
          <w:p>
            <w:pPr>
              <w:spacing w:after="0"/>
              <w:rPr>
                <w:sz w:val="14"/>
                <w:szCs w:val="14"/>
                <w:color w:val="auto"/>
              </w:rPr>
            </w:pPr>
          </w:p>
        </w:tc>
        <w:tc>
          <w:tcPr>
            <w:tcW w:w="100" w:type="dxa"/>
            <w:vAlign w:val="bottom"/>
            <w:shd w:val="clear" w:color="auto" w:fill="0066BA"/>
          </w:tcPr>
          <w:p>
            <w:pPr>
              <w:spacing w:after="0"/>
              <w:rPr>
                <w:sz w:val="14"/>
                <w:szCs w:val="14"/>
                <w:color w:val="auto"/>
              </w:rPr>
            </w:pPr>
          </w:p>
        </w:tc>
        <w:tc>
          <w:tcPr>
            <w:tcW w:w="940" w:type="dxa"/>
            <w:vAlign w:val="bottom"/>
            <w:shd w:val="clear" w:color="auto" w:fill="0066BA"/>
          </w:tcPr>
          <w:p>
            <w:pPr>
              <w:spacing w:after="0"/>
              <w:rPr>
                <w:sz w:val="14"/>
                <w:szCs w:val="14"/>
                <w:color w:val="auto"/>
              </w:rPr>
            </w:pPr>
          </w:p>
        </w:tc>
        <w:tc>
          <w:tcPr>
            <w:tcW w:w="100" w:type="dxa"/>
            <w:vAlign w:val="bottom"/>
            <w:shd w:val="clear" w:color="auto" w:fill="0066BA"/>
          </w:tcPr>
          <w:p>
            <w:pPr>
              <w:spacing w:after="0"/>
              <w:rPr>
                <w:sz w:val="14"/>
                <w:szCs w:val="14"/>
                <w:color w:val="auto"/>
              </w:rPr>
            </w:pPr>
          </w:p>
        </w:tc>
        <w:tc>
          <w:tcPr>
            <w:tcW w:w="60" w:type="dxa"/>
            <w:vAlign w:val="bottom"/>
            <w:shd w:val="clear" w:color="auto" w:fill="0066BA"/>
          </w:tcPr>
          <w:p>
            <w:pPr>
              <w:spacing w:after="0"/>
              <w:rPr>
                <w:sz w:val="14"/>
                <w:szCs w:val="14"/>
                <w:color w:val="auto"/>
              </w:rPr>
            </w:pPr>
          </w:p>
        </w:tc>
        <w:tc>
          <w:tcPr>
            <w:tcW w:w="740" w:type="dxa"/>
            <w:vAlign w:val="bottom"/>
            <w:shd w:val="clear" w:color="auto" w:fill="0066BA"/>
          </w:tcPr>
          <w:p>
            <w:pPr>
              <w:spacing w:after="0"/>
              <w:rPr>
                <w:sz w:val="14"/>
                <w:szCs w:val="14"/>
                <w:color w:val="auto"/>
              </w:rPr>
            </w:pPr>
          </w:p>
        </w:tc>
        <w:tc>
          <w:tcPr>
            <w:tcW w:w="120" w:type="dxa"/>
            <w:vAlign w:val="bottom"/>
            <w:shd w:val="clear" w:color="auto" w:fill="0066BA"/>
          </w:tcPr>
          <w:p>
            <w:pPr>
              <w:spacing w:after="0"/>
              <w:rPr>
                <w:sz w:val="14"/>
                <w:szCs w:val="14"/>
                <w:color w:val="auto"/>
              </w:rPr>
            </w:pPr>
          </w:p>
        </w:tc>
        <w:tc>
          <w:tcPr>
            <w:tcW w:w="840" w:type="dxa"/>
            <w:vAlign w:val="bottom"/>
            <w:shd w:val="clear" w:color="auto" w:fill="0066BA"/>
          </w:tcPr>
          <w:p>
            <w:pPr>
              <w:spacing w:after="0"/>
              <w:rPr>
                <w:sz w:val="14"/>
                <w:szCs w:val="14"/>
                <w:color w:val="auto"/>
              </w:rPr>
            </w:pPr>
          </w:p>
        </w:tc>
        <w:tc>
          <w:tcPr>
            <w:tcW w:w="100" w:type="dxa"/>
            <w:vAlign w:val="bottom"/>
            <w:shd w:val="clear" w:color="auto" w:fill="0066BA"/>
          </w:tcPr>
          <w:p>
            <w:pPr>
              <w:spacing w:after="0"/>
              <w:rPr>
                <w:sz w:val="14"/>
                <w:szCs w:val="14"/>
                <w:color w:val="auto"/>
              </w:rPr>
            </w:pPr>
          </w:p>
        </w:tc>
        <w:tc>
          <w:tcPr>
            <w:tcW w:w="680" w:type="dxa"/>
            <w:vAlign w:val="bottom"/>
            <w:shd w:val="clear" w:color="auto" w:fill="0066BA"/>
          </w:tcPr>
          <w:p>
            <w:pPr>
              <w:spacing w:after="0"/>
              <w:rPr>
                <w:sz w:val="14"/>
                <w:szCs w:val="14"/>
                <w:color w:val="auto"/>
              </w:rPr>
            </w:pPr>
          </w:p>
        </w:tc>
        <w:tc>
          <w:tcPr>
            <w:tcW w:w="120" w:type="dxa"/>
            <w:vAlign w:val="bottom"/>
            <w:shd w:val="clear" w:color="auto" w:fill="0066BA"/>
          </w:tcPr>
          <w:p>
            <w:pPr>
              <w:spacing w:after="0"/>
              <w:rPr>
                <w:sz w:val="14"/>
                <w:szCs w:val="14"/>
                <w:color w:val="auto"/>
              </w:rPr>
            </w:pPr>
          </w:p>
        </w:tc>
        <w:tc>
          <w:tcPr>
            <w:tcW w:w="900" w:type="dxa"/>
            <w:vAlign w:val="bottom"/>
            <w:shd w:val="clear" w:color="auto" w:fill="0066BA"/>
          </w:tcPr>
          <w:p>
            <w:pPr>
              <w:spacing w:after="0"/>
              <w:rPr>
                <w:sz w:val="14"/>
                <w:szCs w:val="14"/>
                <w:color w:val="auto"/>
              </w:rPr>
            </w:pPr>
          </w:p>
        </w:tc>
        <w:tc>
          <w:tcPr>
            <w:tcW w:w="100" w:type="dxa"/>
            <w:vAlign w:val="bottom"/>
            <w:shd w:val="clear" w:color="auto" w:fill="0066BA"/>
          </w:tcPr>
          <w:p>
            <w:pPr>
              <w:spacing w:after="0"/>
              <w:rPr>
                <w:sz w:val="14"/>
                <w:szCs w:val="14"/>
                <w:color w:val="auto"/>
              </w:rPr>
            </w:pPr>
          </w:p>
        </w:tc>
        <w:tc>
          <w:tcPr>
            <w:tcW w:w="60" w:type="dxa"/>
            <w:vAlign w:val="bottom"/>
            <w:shd w:val="clear" w:color="auto" w:fill="0066BA"/>
          </w:tcPr>
          <w:p>
            <w:pPr>
              <w:spacing w:after="0"/>
              <w:rPr>
                <w:sz w:val="14"/>
                <w:szCs w:val="14"/>
                <w:color w:val="auto"/>
              </w:rPr>
            </w:pPr>
          </w:p>
        </w:tc>
        <w:tc>
          <w:tcPr>
            <w:tcW w:w="800" w:type="dxa"/>
            <w:vAlign w:val="bottom"/>
            <w:shd w:val="clear" w:color="auto" w:fill="0066BA"/>
          </w:tcPr>
          <w:p>
            <w:pPr>
              <w:spacing w:after="0"/>
              <w:rPr>
                <w:sz w:val="14"/>
                <w:szCs w:val="14"/>
                <w:color w:val="auto"/>
              </w:rPr>
            </w:pPr>
          </w:p>
        </w:tc>
        <w:tc>
          <w:tcPr>
            <w:tcW w:w="100" w:type="dxa"/>
            <w:vAlign w:val="bottom"/>
            <w:shd w:val="clear" w:color="auto" w:fill="0066BA"/>
          </w:tcPr>
          <w:p>
            <w:pPr>
              <w:spacing w:after="0"/>
              <w:rPr>
                <w:sz w:val="14"/>
                <w:szCs w:val="14"/>
                <w:color w:val="auto"/>
              </w:rPr>
            </w:pPr>
          </w:p>
        </w:tc>
        <w:tc>
          <w:tcPr>
            <w:tcW w:w="780" w:type="dxa"/>
            <w:vAlign w:val="bottom"/>
            <w:shd w:val="clear" w:color="auto" w:fill="0066BA"/>
          </w:tcPr>
          <w:p>
            <w:pPr>
              <w:spacing w:after="0"/>
              <w:rPr>
                <w:sz w:val="14"/>
                <w:szCs w:val="14"/>
                <w:color w:val="auto"/>
              </w:rPr>
            </w:pPr>
          </w:p>
        </w:tc>
        <w:tc>
          <w:tcPr>
            <w:tcW w:w="120" w:type="dxa"/>
            <w:vAlign w:val="bottom"/>
            <w:shd w:val="clear" w:color="auto" w:fill="0066BA"/>
          </w:tcPr>
          <w:p>
            <w:pPr>
              <w:spacing w:after="0"/>
              <w:rPr>
                <w:sz w:val="14"/>
                <w:szCs w:val="14"/>
                <w:color w:val="auto"/>
              </w:rPr>
            </w:pPr>
          </w:p>
        </w:tc>
        <w:tc>
          <w:tcPr>
            <w:tcW w:w="960" w:type="dxa"/>
            <w:vAlign w:val="bottom"/>
            <w:shd w:val="clear" w:color="auto" w:fill="0066BA"/>
          </w:tcPr>
          <w:p>
            <w:pPr>
              <w:jc w:val="right"/>
              <w:spacing w:after="0"/>
              <w:rPr>
                <w:sz w:val="20"/>
                <w:szCs w:val="20"/>
                <w:color w:val="auto"/>
              </w:rPr>
            </w:pPr>
            <w:r>
              <w:rPr>
                <w:rFonts w:ascii="Arial" w:cs="Arial" w:eastAsia="Arial" w:hAnsi="Arial"/>
                <w:sz w:val="12"/>
                <w:szCs w:val="12"/>
                <w:b w:val="1"/>
                <w:bCs w:val="1"/>
                <w:color w:val="FFFFFF"/>
              </w:rPr>
              <w:t>Vested (#) (5)</w:t>
            </w:r>
          </w:p>
        </w:tc>
        <w:tc>
          <w:tcPr>
            <w:tcW w:w="120" w:type="dxa"/>
            <w:vAlign w:val="bottom"/>
            <w:shd w:val="clear" w:color="auto" w:fill="0066BA"/>
          </w:tcPr>
          <w:p>
            <w:pPr>
              <w:spacing w:after="0"/>
              <w:rPr>
                <w:sz w:val="14"/>
                <w:szCs w:val="14"/>
                <w:color w:val="auto"/>
              </w:rPr>
            </w:pPr>
          </w:p>
        </w:tc>
        <w:tc>
          <w:tcPr>
            <w:tcW w:w="900" w:type="dxa"/>
            <w:vAlign w:val="bottom"/>
            <w:gridSpan w:val="2"/>
            <w:shd w:val="clear" w:color="auto" w:fill="0066BA"/>
          </w:tcPr>
          <w:p>
            <w:pPr>
              <w:jc w:val="right"/>
              <w:ind w:right="100"/>
              <w:spacing w:after="0"/>
              <w:rPr>
                <w:sz w:val="20"/>
                <w:szCs w:val="20"/>
                <w:color w:val="auto"/>
              </w:rPr>
            </w:pPr>
            <w:r>
              <w:rPr>
                <w:rFonts w:ascii="Arial" w:cs="Arial" w:eastAsia="Arial" w:hAnsi="Arial"/>
                <w:sz w:val="12"/>
                <w:szCs w:val="12"/>
                <w:b w:val="1"/>
                <w:bCs w:val="1"/>
                <w:color w:val="FFFFFF"/>
              </w:rPr>
              <w:t>Vested ($) (4)</w:t>
            </w:r>
          </w:p>
        </w:tc>
        <w:tc>
          <w:tcPr>
            <w:tcW w:w="0" w:type="dxa"/>
            <w:vAlign w:val="bottom"/>
          </w:tcPr>
          <w:p>
            <w:pPr>
              <w:spacing w:after="0"/>
              <w:rPr>
                <w:sz w:val="1"/>
                <w:szCs w:val="1"/>
                <w:color w:val="auto"/>
              </w:rPr>
            </w:pPr>
          </w:p>
        </w:tc>
      </w:tr>
      <w:tr>
        <w:trPr>
          <w:trHeight w:val="208"/>
        </w:trPr>
        <w:tc>
          <w:tcPr>
            <w:tcW w:w="1640" w:type="dxa"/>
            <w:vAlign w:val="bottom"/>
          </w:tcPr>
          <w:p>
            <w:pPr>
              <w:spacing w:after="0"/>
              <w:rPr>
                <w:sz w:val="18"/>
                <w:szCs w:val="18"/>
                <w:color w:val="auto"/>
              </w:rPr>
            </w:pPr>
          </w:p>
        </w:tc>
        <w:tc>
          <w:tcPr>
            <w:tcW w:w="1140" w:type="dxa"/>
            <w:vAlign w:val="bottom"/>
            <w:tcBorders>
              <w:bottom w:val="single" w:sz="8" w:color="auto"/>
            </w:tcBorders>
            <w:gridSpan w:val="3"/>
            <w:shd w:val="clear" w:color="auto" w:fill="EAEAEA"/>
          </w:tcPr>
          <w:p>
            <w:pPr>
              <w:jc w:val="right"/>
              <w:ind w:right="80"/>
              <w:spacing w:after="0"/>
              <w:rPr>
                <w:sz w:val="20"/>
                <w:szCs w:val="20"/>
                <w:color w:val="auto"/>
              </w:rPr>
            </w:pPr>
            <w:r>
              <w:rPr>
                <w:rFonts w:ascii="Arial" w:cs="Arial" w:eastAsia="Arial" w:hAnsi="Arial"/>
                <w:sz w:val="17"/>
                <w:szCs w:val="17"/>
                <w:color w:val="auto"/>
                <w:shd w:val="clear" w:color="auto" w:fill="EAEAEA"/>
              </w:rPr>
              <w:t>3/12/2014</w:t>
            </w: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18,876</w:t>
            </w:r>
          </w:p>
        </w:tc>
        <w:tc>
          <w:tcPr>
            <w:tcW w:w="120" w:type="dxa"/>
            <w:vAlign w:val="bottom"/>
            <w:tcBorders>
              <w:bottom w:val="single" w:sz="8" w:color="auto"/>
            </w:tcBorders>
            <w:shd w:val="clear" w:color="auto" w:fill="EAEAEA"/>
          </w:tcPr>
          <w:p>
            <w:pPr>
              <w:spacing w:after="0"/>
              <w:rPr>
                <w:sz w:val="18"/>
                <w:szCs w:val="18"/>
                <w:color w:val="auto"/>
              </w:rPr>
            </w:pPr>
          </w:p>
        </w:tc>
        <w:tc>
          <w:tcPr>
            <w:tcW w:w="940" w:type="dxa"/>
            <w:vAlign w:val="bottom"/>
            <w:tcBorders>
              <w:bottom w:val="single" w:sz="8" w:color="auto"/>
            </w:tcBorders>
            <w:gridSpan w:val="2"/>
            <w:shd w:val="clear" w:color="auto" w:fill="EAEAEA"/>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51.73</w:t>
            </w:r>
          </w:p>
        </w:tc>
        <w:tc>
          <w:tcPr>
            <w:tcW w:w="1120" w:type="dxa"/>
            <w:vAlign w:val="bottom"/>
            <w:tcBorders>
              <w:bottom w:val="single" w:sz="8" w:color="auto"/>
            </w:tcBorders>
            <w:gridSpan w:val="3"/>
            <w:shd w:val="clear" w:color="auto" w:fill="EAEAEA"/>
          </w:tcPr>
          <w:p>
            <w:pPr>
              <w:jc w:val="right"/>
              <w:ind w:right="100"/>
              <w:spacing w:after="0"/>
              <w:rPr>
                <w:sz w:val="20"/>
                <w:szCs w:val="20"/>
                <w:color w:val="auto"/>
              </w:rPr>
            </w:pPr>
            <w:r>
              <w:rPr>
                <w:rFonts w:ascii="Arial" w:cs="Arial" w:eastAsia="Arial" w:hAnsi="Arial"/>
                <w:sz w:val="17"/>
                <w:szCs w:val="17"/>
                <w:color w:val="auto"/>
                <w:shd w:val="clear" w:color="auto" w:fill="EAEAEA"/>
              </w:rPr>
              <w:t>3/12/2024</w:t>
            </w: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8"/>
                <w:szCs w:val="18"/>
                <w:color w:val="auto"/>
              </w:rPr>
            </w:pPr>
          </w:p>
        </w:tc>
        <w:tc>
          <w:tcPr>
            <w:tcW w:w="900" w:type="dxa"/>
            <w:vAlign w:val="bottom"/>
            <w:tcBorders>
              <w:bottom w:val="single" w:sz="8" w:color="auto"/>
            </w:tcBorders>
            <w:gridSpan w:val="2"/>
            <w:shd w:val="clear" w:color="auto" w:fill="EAEAEA"/>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8"/>
                <w:szCs w:val="18"/>
                <w:color w:val="auto"/>
              </w:rPr>
            </w:pPr>
          </w:p>
        </w:tc>
        <w:tc>
          <w:tcPr>
            <w:tcW w:w="900" w:type="dxa"/>
            <w:vAlign w:val="bottom"/>
            <w:tcBorders>
              <w:bottom w:val="single" w:sz="8" w:color="auto"/>
            </w:tcBorders>
            <w:gridSpan w:val="2"/>
            <w:shd w:val="clear" w:color="auto" w:fill="EAEAEA"/>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00" w:type="dxa"/>
            <w:vAlign w:val="bottom"/>
            <w:tcBorders>
              <w:bottom w:val="single" w:sz="8" w:color="auto"/>
            </w:tcBorders>
            <w:shd w:val="clear" w:color="auto" w:fill="EAEAEA"/>
          </w:tcPr>
          <w:p>
            <w:pPr>
              <w:spacing w:after="0"/>
              <w:rPr>
                <w:sz w:val="17"/>
                <w:szCs w:val="17"/>
                <w:color w:val="auto"/>
              </w:rPr>
            </w:pPr>
          </w:p>
        </w:tc>
        <w:tc>
          <w:tcPr>
            <w:tcW w:w="104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7"/>
                <w:szCs w:val="17"/>
                <w:color w:val="auto"/>
                <w:shd w:val="clear" w:color="auto" w:fill="EAEAEA"/>
              </w:rPr>
              <w:t>3/11/2015</w:t>
            </w: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22,954</w:t>
            </w:r>
          </w:p>
        </w:tc>
        <w:tc>
          <w:tcPr>
            <w:tcW w:w="12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gridSpan w:val="2"/>
            <w:shd w:val="clear" w:color="auto" w:fill="EAEAEA"/>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57.29</w:t>
            </w:r>
          </w:p>
        </w:tc>
        <w:tc>
          <w:tcPr>
            <w:tcW w:w="120" w:type="dxa"/>
            <w:vAlign w:val="bottom"/>
            <w:tcBorders>
              <w:bottom w:val="single" w:sz="8" w:color="auto"/>
            </w:tcBorders>
            <w:shd w:val="clear" w:color="auto" w:fill="EAEAEA"/>
          </w:tcPr>
          <w:p>
            <w:pPr>
              <w:spacing w:after="0"/>
              <w:rPr>
                <w:sz w:val="17"/>
                <w:szCs w:val="17"/>
                <w:color w:val="auto"/>
              </w:rPr>
            </w:pPr>
          </w:p>
        </w:tc>
        <w:tc>
          <w:tcPr>
            <w:tcW w:w="1000" w:type="dxa"/>
            <w:vAlign w:val="bottom"/>
            <w:tcBorders>
              <w:bottom w:val="single" w:sz="8" w:color="auto"/>
            </w:tcBorders>
            <w:gridSpan w:val="2"/>
            <w:shd w:val="clear" w:color="auto" w:fill="EAEAEA"/>
          </w:tcPr>
          <w:p>
            <w:pPr>
              <w:jc w:val="right"/>
              <w:ind w:right="100"/>
              <w:spacing w:after="0"/>
              <w:rPr>
                <w:sz w:val="20"/>
                <w:szCs w:val="20"/>
                <w:color w:val="auto"/>
              </w:rPr>
            </w:pPr>
            <w:r>
              <w:rPr>
                <w:rFonts w:ascii="Arial" w:cs="Arial" w:eastAsia="Arial" w:hAnsi="Arial"/>
                <w:sz w:val="17"/>
                <w:szCs w:val="17"/>
                <w:color w:val="auto"/>
                <w:shd w:val="clear" w:color="auto" w:fill="EAEAEA"/>
              </w:rPr>
              <w:t>3/11/2025</w:t>
            </w: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gridSpan w:val="2"/>
            <w:shd w:val="clear" w:color="auto" w:fill="EAEAEA"/>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gridSpan w:val="2"/>
            <w:shd w:val="clear" w:color="auto" w:fill="EAEAEA"/>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1640" w:type="dxa"/>
            <w:vAlign w:val="bottom"/>
            <w:vMerge w:val="restart"/>
          </w:tcPr>
          <w:p>
            <w:pPr>
              <w:ind w:left="60"/>
              <w:spacing w:after="0"/>
              <w:rPr>
                <w:sz w:val="20"/>
                <w:szCs w:val="20"/>
                <w:color w:val="auto"/>
              </w:rPr>
            </w:pPr>
            <w:r>
              <w:rPr>
                <w:rFonts w:ascii="Arial" w:cs="Arial" w:eastAsia="Arial" w:hAnsi="Arial"/>
                <w:sz w:val="17"/>
                <w:szCs w:val="17"/>
                <w:b w:val="1"/>
                <w:bCs w:val="1"/>
                <w:color w:val="0066BA"/>
              </w:rPr>
              <w:t>Vincent</w:t>
            </w: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3/9/2016</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46,353</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20,353</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54.93</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3/9/2026</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640" w:type="dxa"/>
            <w:vAlign w:val="bottom"/>
            <w:vMerge w:val="continue"/>
          </w:tcPr>
          <w:p>
            <w:pPr>
              <w:spacing w:after="0"/>
              <w:rPr>
                <w:sz w:val="5"/>
                <w:szCs w:val="5"/>
                <w:color w:val="auto"/>
              </w:rPr>
            </w:pPr>
          </w:p>
        </w:tc>
        <w:tc>
          <w:tcPr>
            <w:tcW w:w="100" w:type="dxa"/>
            <w:vAlign w:val="bottom"/>
            <w:shd w:val="clear" w:color="auto" w:fill="EAEAEA"/>
          </w:tcPr>
          <w:p>
            <w:pPr>
              <w:spacing w:after="0"/>
              <w:rPr>
                <w:sz w:val="5"/>
                <w:szCs w:val="5"/>
                <w:color w:val="auto"/>
              </w:rPr>
            </w:pPr>
          </w:p>
        </w:tc>
        <w:tc>
          <w:tcPr>
            <w:tcW w:w="94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3/8/2017</w:t>
            </w:r>
          </w:p>
        </w:tc>
        <w:tc>
          <w:tcPr>
            <w:tcW w:w="100" w:type="dxa"/>
            <w:vAlign w:val="bottom"/>
            <w:shd w:val="clear" w:color="auto" w:fill="EAEAEA"/>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7"/>
                <w:szCs w:val="17"/>
                <w:color w:val="auto"/>
              </w:rPr>
              <w:t>68,613</w:t>
            </w:r>
          </w:p>
        </w:tc>
        <w:tc>
          <w:tcPr>
            <w:tcW w:w="120" w:type="dxa"/>
            <w:vAlign w:val="bottom"/>
            <w:shd w:val="clear" w:color="auto" w:fill="EAEAEA"/>
          </w:tcPr>
          <w:p>
            <w:pPr>
              <w:spacing w:after="0"/>
              <w:rPr>
                <w:sz w:val="5"/>
                <w:szCs w:val="5"/>
                <w:color w:val="auto"/>
              </w:rPr>
            </w:pPr>
          </w:p>
        </w:tc>
        <w:tc>
          <w:tcPr>
            <w:tcW w:w="84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45,743</w:t>
            </w:r>
          </w:p>
        </w:tc>
        <w:tc>
          <w:tcPr>
            <w:tcW w:w="100" w:type="dxa"/>
            <w:vAlign w:val="bottom"/>
            <w:shd w:val="clear" w:color="auto" w:fill="EAEAEA"/>
          </w:tcPr>
          <w:p>
            <w:pPr>
              <w:spacing w:after="0"/>
              <w:rPr>
                <w:sz w:val="5"/>
                <w:szCs w:val="5"/>
                <w:color w:val="auto"/>
              </w:rPr>
            </w:pPr>
          </w:p>
        </w:tc>
        <w:tc>
          <w:tcPr>
            <w:tcW w:w="680" w:type="dxa"/>
            <w:vAlign w:val="bottom"/>
            <w:vMerge w:val="restart"/>
          </w:tcPr>
          <w:p>
            <w:pPr>
              <w:jc w:val="right"/>
              <w:ind w:right="15"/>
              <w:spacing w:after="0"/>
              <w:rPr>
                <w:sz w:val="20"/>
                <w:szCs w:val="20"/>
                <w:color w:val="auto"/>
              </w:rPr>
            </w:pPr>
            <w:r>
              <w:rPr>
                <w:rFonts w:ascii="Arial" w:cs="Arial" w:eastAsia="Arial" w:hAnsi="Arial"/>
                <w:sz w:val="17"/>
                <w:szCs w:val="17"/>
                <w:color w:val="auto"/>
              </w:rPr>
              <w:t>83.48</w:t>
            </w:r>
          </w:p>
        </w:tc>
        <w:tc>
          <w:tcPr>
            <w:tcW w:w="120" w:type="dxa"/>
            <w:vAlign w:val="bottom"/>
            <w:shd w:val="clear" w:color="auto" w:fill="EAEAEA"/>
          </w:tcPr>
          <w:p>
            <w:pPr>
              <w:spacing w:after="0"/>
              <w:rPr>
                <w:sz w:val="5"/>
                <w:szCs w:val="5"/>
                <w:color w:val="auto"/>
              </w:rPr>
            </w:pPr>
          </w:p>
        </w:tc>
        <w:tc>
          <w:tcPr>
            <w:tcW w:w="90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3/8/2027</w:t>
            </w:r>
          </w:p>
        </w:tc>
        <w:tc>
          <w:tcPr>
            <w:tcW w:w="100" w:type="dxa"/>
            <w:vAlign w:val="bottom"/>
            <w:shd w:val="clear" w:color="auto" w:fill="EAEAEA"/>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jc w:val="right"/>
              <w:ind w:right="22"/>
              <w:spacing w:after="0"/>
              <w:rPr>
                <w:sz w:val="20"/>
                <w:szCs w:val="20"/>
                <w:color w:val="auto"/>
              </w:rPr>
            </w:pPr>
            <w:r>
              <w:rPr>
                <w:rFonts w:ascii="Arial" w:cs="Arial" w:eastAsia="Arial" w:hAnsi="Arial"/>
                <w:sz w:val="17"/>
                <w:szCs w:val="17"/>
                <w:color w:val="auto"/>
              </w:rPr>
              <w:t>—</w:t>
            </w:r>
          </w:p>
        </w:tc>
        <w:tc>
          <w:tcPr>
            <w:tcW w:w="100" w:type="dxa"/>
            <w:vAlign w:val="bottom"/>
            <w:shd w:val="clear" w:color="auto" w:fill="EAEAEA"/>
          </w:tcPr>
          <w:p>
            <w:pPr>
              <w:spacing w:after="0"/>
              <w:rPr>
                <w:sz w:val="5"/>
                <w:szCs w:val="5"/>
                <w:color w:val="auto"/>
              </w:rPr>
            </w:pPr>
          </w:p>
        </w:tc>
        <w:tc>
          <w:tcPr>
            <w:tcW w:w="78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EAEAEA"/>
          </w:tcPr>
          <w:p>
            <w:pPr>
              <w:spacing w:after="0"/>
              <w:rPr>
                <w:sz w:val="5"/>
                <w:szCs w:val="5"/>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EAEAEA"/>
          </w:tcPr>
          <w:p>
            <w:pPr>
              <w:spacing w:after="0"/>
              <w:rPr>
                <w:sz w:val="5"/>
                <w:szCs w:val="5"/>
                <w:color w:val="auto"/>
              </w:rPr>
            </w:pPr>
          </w:p>
        </w:tc>
        <w:tc>
          <w:tcPr>
            <w:tcW w:w="80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640" w:type="dxa"/>
            <w:vAlign w:val="bottom"/>
            <w:vMerge w:val="restart"/>
          </w:tcPr>
          <w:p>
            <w:pPr>
              <w:ind w:left="60"/>
              <w:spacing w:after="0"/>
              <w:rPr>
                <w:sz w:val="20"/>
                <w:szCs w:val="20"/>
                <w:color w:val="auto"/>
              </w:rPr>
            </w:pPr>
            <w:r>
              <w:rPr>
                <w:rFonts w:ascii="Arial" w:cs="Arial" w:eastAsia="Arial" w:hAnsi="Arial"/>
                <w:sz w:val="17"/>
                <w:szCs w:val="17"/>
                <w:b w:val="1"/>
                <w:bCs w:val="1"/>
                <w:color w:val="0066BA"/>
              </w:rPr>
              <w:t>Roche</w:t>
            </w:r>
          </w:p>
        </w:tc>
        <w:tc>
          <w:tcPr>
            <w:tcW w:w="100" w:type="dxa"/>
            <w:vAlign w:val="bottom"/>
            <w:tcBorders>
              <w:bottom w:val="single" w:sz="8" w:color="auto"/>
            </w:tcBorders>
            <w:shd w:val="clear" w:color="auto" w:fill="EAEAEA"/>
          </w:tcPr>
          <w:p>
            <w:pPr>
              <w:spacing w:after="0"/>
              <w:rPr>
                <w:sz w:val="11"/>
                <w:szCs w:val="11"/>
                <w:color w:val="auto"/>
              </w:rPr>
            </w:pPr>
          </w:p>
        </w:tc>
        <w:tc>
          <w:tcPr>
            <w:tcW w:w="94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84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90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780" w:type="dxa"/>
            <w:vAlign w:val="bottom"/>
            <w:tcBorders>
              <w:bottom w:val="single" w:sz="8" w:color="auto"/>
            </w:tcBorders>
            <w:vMerge w:val="continue"/>
            <w:shd w:val="clear" w:color="auto" w:fill="EAEAEA"/>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80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1640" w:type="dxa"/>
            <w:vAlign w:val="bottom"/>
            <w:vMerge w:val="continue"/>
          </w:tcPr>
          <w:p>
            <w:pPr>
              <w:spacing w:after="0"/>
              <w:rPr>
                <w:sz w:val="6"/>
                <w:szCs w:val="6"/>
                <w:color w:val="auto"/>
              </w:rPr>
            </w:pPr>
          </w:p>
        </w:tc>
        <w:tc>
          <w:tcPr>
            <w:tcW w:w="100" w:type="dxa"/>
            <w:vAlign w:val="bottom"/>
            <w:shd w:val="clear" w:color="auto" w:fill="EAEAEA"/>
          </w:tcPr>
          <w:p>
            <w:pPr>
              <w:spacing w:after="0"/>
              <w:rPr>
                <w:sz w:val="6"/>
                <w:szCs w:val="6"/>
                <w:color w:val="auto"/>
              </w:rPr>
            </w:pPr>
          </w:p>
        </w:tc>
        <w:tc>
          <w:tcPr>
            <w:tcW w:w="94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3/29/2018</w:t>
            </w:r>
          </w:p>
        </w:tc>
        <w:tc>
          <w:tcPr>
            <w:tcW w:w="100" w:type="dxa"/>
            <w:vAlign w:val="bottom"/>
            <w:shd w:val="clear" w:color="auto" w:fill="EAEAEA"/>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7"/>
                <w:szCs w:val="17"/>
                <w:color w:val="auto"/>
              </w:rPr>
              <w:t>55,330</w:t>
            </w:r>
          </w:p>
        </w:tc>
        <w:tc>
          <w:tcPr>
            <w:tcW w:w="120" w:type="dxa"/>
            <w:vAlign w:val="bottom"/>
            <w:shd w:val="clear" w:color="auto" w:fill="EAEAEA"/>
          </w:tcPr>
          <w:p>
            <w:pPr>
              <w:spacing w:after="0"/>
              <w:rPr>
                <w:sz w:val="6"/>
                <w:szCs w:val="6"/>
                <w:color w:val="auto"/>
              </w:rPr>
            </w:pPr>
          </w:p>
        </w:tc>
        <w:tc>
          <w:tcPr>
            <w:tcW w:w="84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55,331</w:t>
            </w:r>
          </w:p>
        </w:tc>
        <w:tc>
          <w:tcPr>
            <w:tcW w:w="100" w:type="dxa"/>
            <w:vAlign w:val="bottom"/>
            <w:shd w:val="clear" w:color="auto" w:fill="EAEAEA"/>
          </w:tcPr>
          <w:p>
            <w:pPr>
              <w:spacing w:after="0"/>
              <w:rPr>
                <w:sz w:val="6"/>
                <w:szCs w:val="6"/>
                <w:color w:val="auto"/>
              </w:rPr>
            </w:pPr>
          </w:p>
        </w:tc>
        <w:tc>
          <w:tcPr>
            <w:tcW w:w="680" w:type="dxa"/>
            <w:vAlign w:val="bottom"/>
            <w:vMerge w:val="restart"/>
          </w:tcPr>
          <w:p>
            <w:pPr>
              <w:jc w:val="right"/>
              <w:ind w:right="15"/>
              <w:spacing w:after="0"/>
              <w:rPr>
                <w:sz w:val="20"/>
                <w:szCs w:val="20"/>
                <w:color w:val="auto"/>
              </w:rPr>
            </w:pPr>
            <w:r>
              <w:rPr>
                <w:rFonts w:ascii="Arial" w:cs="Arial" w:eastAsia="Arial" w:hAnsi="Arial"/>
                <w:sz w:val="17"/>
                <w:szCs w:val="17"/>
                <w:color w:val="auto"/>
              </w:rPr>
              <w:t>91.13</w:t>
            </w:r>
          </w:p>
        </w:tc>
        <w:tc>
          <w:tcPr>
            <w:tcW w:w="120" w:type="dxa"/>
            <w:vAlign w:val="bottom"/>
            <w:shd w:val="clear" w:color="auto" w:fill="EAEAEA"/>
          </w:tcPr>
          <w:p>
            <w:pPr>
              <w:spacing w:after="0"/>
              <w:rPr>
                <w:sz w:val="6"/>
                <w:szCs w:val="6"/>
                <w:color w:val="auto"/>
              </w:rPr>
            </w:pPr>
          </w:p>
        </w:tc>
        <w:tc>
          <w:tcPr>
            <w:tcW w:w="90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3/29/2028</w:t>
            </w:r>
          </w:p>
        </w:tc>
        <w:tc>
          <w:tcPr>
            <w:tcW w:w="100" w:type="dxa"/>
            <w:vAlign w:val="bottom"/>
            <w:shd w:val="clear" w:color="auto" w:fill="EAEAEA"/>
          </w:tcPr>
          <w:p>
            <w:pPr>
              <w:spacing w:after="0"/>
              <w:rPr>
                <w:sz w:val="6"/>
                <w:szCs w:val="6"/>
                <w:color w:val="auto"/>
              </w:rPr>
            </w:pPr>
          </w:p>
        </w:tc>
        <w:tc>
          <w:tcPr>
            <w:tcW w:w="860" w:type="dxa"/>
            <w:vAlign w:val="bottom"/>
            <w:gridSpan w:val="2"/>
            <w:vMerge w:val="restart"/>
          </w:tcPr>
          <w:p>
            <w:pPr>
              <w:jc w:val="right"/>
              <w:ind w:right="22"/>
              <w:spacing w:after="0"/>
              <w:rPr>
                <w:sz w:val="20"/>
                <w:szCs w:val="20"/>
                <w:color w:val="auto"/>
              </w:rPr>
            </w:pPr>
            <w:r>
              <w:rPr>
                <w:rFonts w:ascii="Arial" w:cs="Arial" w:eastAsia="Arial" w:hAnsi="Arial"/>
                <w:sz w:val="17"/>
                <w:szCs w:val="17"/>
                <w:color w:val="auto"/>
              </w:rPr>
              <w:t>13,183</w:t>
            </w:r>
          </w:p>
        </w:tc>
        <w:tc>
          <w:tcPr>
            <w:tcW w:w="100" w:type="dxa"/>
            <w:vAlign w:val="bottom"/>
            <w:shd w:val="clear" w:color="auto" w:fill="EAEAEA"/>
          </w:tcPr>
          <w:p>
            <w:pPr>
              <w:spacing w:after="0"/>
              <w:rPr>
                <w:sz w:val="6"/>
                <w:szCs w:val="6"/>
                <w:color w:val="auto"/>
              </w:rPr>
            </w:pPr>
          </w:p>
        </w:tc>
        <w:tc>
          <w:tcPr>
            <w:tcW w:w="78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1,562,581</w:t>
            </w:r>
          </w:p>
        </w:tc>
        <w:tc>
          <w:tcPr>
            <w:tcW w:w="120" w:type="dxa"/>
            <w:vAlign w:val="bottom"/>
            <w:shd w:val="clear" w:color="auto" w:fill="EAEAEA"/>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26,366</w:t>
            </w:r>
          </w:p>
        </w:tc>
        <w:tc>
          <w:tcPr>
            <w:tcW w:w="120" w:type="dxa"/>
            <w:vAlign w:val="bottom"/>
            <w:shd w:val="clear" w:color="auto" w:fill="EAEAEA"/>
          </w:tcPr>
          <w:p>
            <w:pPr>
              <w:spacing w:after="0"/>
              <w:rPr>
                <w:sz w:val="6"/>
                <w:szCs w:val="6"/>
                <w:color w:val="auto"/>
              </w:rPr>
            </w:pPr>
          </w:p>
        </w:tc>
        <w:tc>
          <w:tcPr>
            <w:tcW w:w="80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3,125,162</w:t>
            </w:r>
          </w:p>
        </w:tc>
        <w:tc>
          <w:tcPr>
            <w:tcW w:w="100" w:type="dxa"/>
            <w:vAlign w:val="bottom"/>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94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84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90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86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780" w:type="dxa"/>
            <w:vAlign w:val="bottom"/>
            <w:tcBorders>
              <w:bottom w:val="single" w:sz="8" w:color="auto"/>
            </w:tcBorders>
            <w:vMerge w:val="continue"/>
            <w:shd w:val="clear" w:color="auto" w:fill="EAEAEA"/>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80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3/13/2019</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25,200</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75,603</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108.08</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3/13/2029</w:t>
            </w:r>
          </w:p>
        </w:tc>
        <w:tc>
          <w:tcPr>
            <w:tcW w:w="100" w:type="dxa"/>
            <w:vAlign w:val="bottom"/>
            <w:tcBorders>
              <w:bottom w:val="single" w:sz="8" w:color="auto"/>
            </w:tcBorders>
            <w:shd w:val="clear" w:color="auto" w:fill="EAEAEA"/>
          </w:tcPr>
          <w:p>
            <w:pPr>
              <w:spacing w:after="0"/>
              <w:rPr>
                <w:sz w:val="17"/>
                <w:szCs w:val="17"/>
                <w:color w:val="auto"/>
              </w:rPr>
            </w:pPr>
          </w:p>
        </w:tc>
        <w:tc>
          <w:tcPr>
            <w:tcW w:w="8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7"/>
                <w:szCs w:val="17"/>
                <w:color w:val="auto"/>
              </w:rPr>
              <w:t>17,073</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2,023,663</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22,763</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2,698,098</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tcBorders>
              <w:bottom w:val="single" w:sz="8" w:color="0066BA"/>
            </w:tcBorders>
          </w:tcPr>
          <w:p>
            <w:pPr>
              <w:spacing w:after="0"/>
              <w:rPr>
                <w:sz w:val="17"/>
                <w:szCs w:val="17"/>
                <w:color w:val="auto"/>
              </w:rPr>
            </w:pPr>
          </w:p>
        </w:tc>
        <w:tc>
          <w:tcPr>
            <w:tcW w:w="100" w:type="dxa"/>
            <w:vAlign w:val="bottom"/>
            <w:tcBorders>
              <w:bottom w:val="single" w:sz="8" w:color="0066BA"/>
            </w:tcBorders>
            <w:shd w:val="clear" w:color="auto" w:fill="EAEAEA"/>
          </w:tcPr>
          <w:p>
            <w:pPr>
              <w:spacing w:after="0"/>
              <w:rPr>
                <w:sz w:val="17"/>
                <w:szCs w:val="17"/>
                <w:color w:val="auto"/>
              </w:rPr>
            </w:pPr>
          </w:p>
        </w:tc>
        <w:tc>
          <w:tcPr>
            <w:tcW w:w="9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3/11/2020</w:t>
            </w:r>
          </w:p>
        </w:tc>
        <w:tc>
          <w:tcPr>
            <w:tcW w:w="100" w:type="dxa"/>
            <w:vAlign w:val="bottom"/>
            <w:tcBorders>
              <w:bottom w:val="single" w:sz="8" w:color="0066BA"/>
            </w:tcBorders>
            <w:shd w:val="clear" w:color="auto" w:fill="EAEAEA"/>
          </w:tcPr>
          <w:p>
            <w:pPr>
              <w:spacing w:after="0"/>
              <w:rPr>
                <w:sz w:val="17"/>
                <w:szCs w:val="17"/>
                <w:color w:val="auto"/>
              </w:rPr>
            </w:pPr>
          </w:p>
        </w:tc>
        <w:tc>
          <w:tcPr>
            <w:tcW w:w="60" w:type="dxa"/>
            <w:vAlign w:val="bottom"/>
            <w:tcBorders>
              <w:bottom w:val="single" w:sz="8" w:color="0066BA"/>
            </w:tcBorders>
          </w:tcPr>
          <w:p>
            <w:pPr>
              <w:spacing w:after="0"/>
              <w:rPr>
                <w:sz w:val="17"/>
                <w:szCs w:val="17"/>
                <w:color w:val="auto"/>
              </w:rPr>
            </w:pPr>
          </w:p>
        </w:tc>
        <w:tc>
          <w:tcPr>
            <w:tcW w:w="740" w:type="dxa"/>
            <w:vAlign w:val="bottom"/>
            <w:tcBorders>
              <w:bottom w:val="single" w:sz="8" w:color="0066BA"/>
            </w:tcBorders>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0066BA"/>
            </w:tcBorders>
            <w:shd w:val="clear" w:color="auto" w:fill="EAEAEA"/>
          </w:tcPr>
          <w:p>
            <w:pPr>
              <w:spacing w:after="0"/>
              <w:rPr>
                <w:sz w:val="17"/>
                <w:szCs w:val="17"/>
                <w:color w:val="auto"/>
              </w:rPr>
            </w:pPr>
          </w:p>
        </w:tc>
        <w:tc>
          <w:tcPr>
            <w:tcW w:w="8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134,620</w:t>
            </w:r>
          </w:p>
        </w:tc>
        <w:tc>
          <w:tcPr>
            <w:tcW w:w="100" w:type="dxa"/>
            <w:vAlign w:val="bottom"/>
            <w:tcBorders>
              <w:bottom w:val="single" w:sz="8" w:color="0066BA"/>
            </w:tcBorders>
            <w:shd w:val="clear" w:color="auto" w:fill="EAEAEA"/>
          </w:tcPr>
          <w:p>
            <w:pPr>
              <w:spacing w:after="0"/>
              <w:rPr>
                <w:sz w:val="17"/>
                <w:szCs w:val="17"/>
                <w:color w:val="auto"/>
              </w:rPr>
            </w:pPr>
          </w:p>
        </w:tc>
        <w:tc>
          <w:tcPr>
            <w:tcW w:w="680" w:type="dxa"/>
            <w:vAlign w:val="bottom"/>
            <w:tcBorders>
              <w:bottom w:val="single" w:sz="8" w:color="0066BA"/>
            </w:tcBorders>
          </w:tcPr>
          <w:p>
            <w:pPr>
              <w:jc w:val="right"/>
              <w:ind w:right="15"/>
              <w:spacing w:after="0"/>
              <w:rPr>
                <w:sz w:val="20"/>
                <w:szCs w:val="20"/>
                <w:color w:val="auto"/>
              </w:rPr>
            </w:pPr>
            <w:r>
              <w:rPr>
                <w:rFonts w:ascii="Arial" w:cs="Arial" w:eastAsia="Arial" w:hAnsi="Arial"/>
                <w:sz w:val="17"/>
                <w:szCs w:val="17"/>
                <w:color w:val="auto"/>
              </w:rPr>
              <w:t>94.41</w:t>
            </w:r>
          </w:p>
        </w:tc>
        <w:tc>
          <w:tcPr>
            <w:tcW w:w="120" w:type="dxa"/>
            <w:vAlign w:val="bottom"/>
            <w:tcBorders>
              <w:bottom w:val="single" w:sz="8" w:color="0066BA"/>
            </w:tcBorders>
            <w:shd w:val="clear" w:color="auto" w:fill="EAEAEA"/>
          </w:tcPr>
          <w:p>
            <w:pPr>
              <w:spacing w:after="0"/>
              <w:rPr>
                <w:sz w:val="17"/>
                <w:szCs w:val="17"/>
                <w:color w:val="auto"/>
              </w:rPr>
            </w:pPr>
          </w:p>
        </w:tc>
        <w:tc>
          <w:tcPr>
            <w:tcW w:w="9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3/11/2030</w:t>
            </w:r>
          </w:p>
        </w:tc>
        <w:tc>
          <w:tcPr>
            <w:tcW w:w="100" w:type="dxa"/>
            <w:vAlign w:val="bottom"/>
            <w:tcBorders>
              <w:bottom w:val="single" w:sz="8" w:color="0066BA"/>
            </w:tcBorders>
            <w:shd w:val="clear" w:color="auto" w:fill="EAEAEA"/>
          </w:tcPr>
          <w:p>
            <w:pPr>
              <w:spacing w:after="0"/>
              <w:rPr>
                <w:sz w:val="17"/>
                <w:szCs w:val="17"/>
                <w:color w:val="auto"/>
              </w:rPr>
            </w:pPr>
          </w:p>
        </w:tc>
        <w:tc>
          <w:tcPr>
            <w:tcW w:w="860" w:type="dxa"/>
            <w:vAlign w:val="bottom"/>
            <w:tcBorders>
              <w:bottom w:val="single" w:sz="8" w:color="0066BA"/>
            </w:tcBorders>
            <w:gridSpan w:val="2"/>
          </w:tcPr>
          <w:p>
            <w:pPr>
              <w:jc w:val="right"/>
              <w:ind w:right="22"/>
              <w:spacing w:after="0"/>
              <w:rPr>
                <w:sz w:val="20"/>
                <w:szCs w:val="20"/>
                <w:color w:val="auto"/>
              </w:rPr>
            </w:pPr>
            <w:r>
              <w:rPr>
                <w:rFonts w:ascii="Arial" w:cs="Arial" w:eastAsia="Arial" w:hAnsi="Arial"/>
                <w:sz w:val="17"/>
                <w:szCs w:val="17"/>
                <w:color w:val="auto"/>
              </w:rPr>
              <w:t>27,368</w:t>
            </w:r>
          </w:p>
        </w:tc>
        <w:tc>
          <w:tcPr>
            <w:tcW w:w="100" w:type="dxa"/>
            <w:vAlign w:val="bottom"/>
            <w:tcBorders>
              <w:bottom w:val="single" w:sz="8" w:color="0066BA"/>
            </w:tcBorders>
            <w:shd w:val="clear" w:color="auto" w:fill="EAEAEA"/>
          </w:tcPr>
          <w:p>
            <w:pPr>
              <w:spacing w:after="0"/>
              <w:rPr>
                <w:sz w:val="17"/>
                <w:szCs w:val="17"/>
                <w:color w:val="auto"/>
              </w:rPr>
            </w:pPr>
          </w:p>
        </w:tc>
        <w:tc>
          <w:tcPr>
            <w:tcW w:w="78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3,243,929</w:t>
            </w:r>
          </w:p>
        </w:tc>
        <w:tc>
          <w:tcPr>
            <w:tcW w:w="120" w:type="dxa"/>
            <w:vAlign w:val="bottom"/>
            <w:tcBorders>
              <w:bottom w:val="single" w:sz="8" w:color="0066BA"/>
            </w:tcBorders>
            <w:shd w:val="clear" w:color="auto" w:fill="EAEAEA"/>
          </w:tcPr>
          <w:p>
            <w:pPr>
              <w:spacing w:after="0"/>
              <w:rPr>
                <w:sz w:val="17"/>
                <w:szCs w:val="17"/>
                <w:color w:val="auto"/>
              </w:rPr>
            </w:pPr>
          </w:p>
        </w:tc>
        <w:tc>
          <w:tcPr>
            <w:tcW w:w="960" w:type="dxa"/>
            <w:vAlign w:val="bottom"/>
            <w:tcBorders>
              <w:bottom w:val="single" w:sz="8" w:color="0066BA"/>
            </w:tcBorders>
          </w:tcPr>
          <w:p>
            <w:pPr>
              <w:jc w:val="right"/>
              <w:spacing w:after="0"/>
              <w:rPr>
                <w:sz w:val="20"/>
                <w:szCs w:val="20"/>
                <w:color w:val="auto"/>
              </w:rPr>
            </w:pPr>
            <w:r>
              <w:rPr>
                <w:rFonts w:ascii="Arial" w:cs="Arial" w:eastAsia="Arial" w:hAnsi="Arial"/>
                <w:sz w:val="17"/>
                <w:szCs w:val="17"/>
                <w:color w:val="auto"/>
              </w:rPr>
              <w:t>80,763</w:t>
            </w:r>
          </w:p>
        </w:tc>
        <w:tc>
          <w:tcPr>
            <w:tcW w:w="120" w:type="dxa"/>
            <w:vAlign w:val="bottom"/>
            <w:tcBorders>
              <w:bottom w:val="single" w:sz="8" w:color="0066BA"/>
            </w:tcBorders>
            <w:shd w:val="clear" w:color="auto" w:fill="EAEAEA"/>
          </w:tcPr>
          <w:p>
            <w:pPr>
              <w:spacing w:after="0"/>
              <w:rPr>
                <w:sz w:val="17"/>
                <w:szCs w:val="17"/>
                <w:color w:val="auto"/>
              </w:rPr>
            </w:pPr>
          </w:p>
        </w:tc>
        <w:tc>
          <w:tcPr>
            <w:tcW w:w="8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9,572,838</w:t>
            </w:r>
          </w:p>
        </w:tc>
        <w:tc>
          <w:tcPr>
            <w:tcW w:w="100" w:type="dxa"/>
            <w:vAlign w:val="bottom"/>
            <w:tcBorders>
              <w:bottom w:val="single" w:sz="8" w:color="0066B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640" w:type="dxa"/>
            <w:vAlign w:val="bottom"/>
          </w:tcPr>
          <w:p>
            <w:pPr>
              <w:ind w:left="60"/>
              <w:spacing w:after="0"/>
              <w:rPr>
                <w:sz w:val="20"/>
                <w:szCs w:val="20"/>
                <w:color w:val="auto"/>
              </w:rPr>
            </w:pPr>
            <w:r>
              <w:rPr>
                <w:rFonts w:ascii="Arial" w:cs="Arial" w:eastAsia="Arial" w:hAnsi="Arial"/>
                <w:sz w:val="17"/>
                <w:szCs w:val="17"/>
                <w:b w:val="1"/>
                <w:bCs w:val="1"/>
                <w:color w:val="0066BA"/>
              </w:rPr>
              <w:t>Prashanth</w:t>
            </w:r>
          </w:p>
        </w:tc>
        <w:tc>
          <w:tcPr>
            <w:tcW w:w="100" w:type="dxa"/>
            <w:vAlign w:val="bottom"/>
            <w:tcBorders>
              <w:bottom w:val="single" w:sz="8" w:color="auto"/>
            </w:tcBorders>
            <w:shd w:val="clear" w:color="auto" w:fill="EAEAEA"/>
          </w:tcPr>
          <w:p>
            <w:pPr>
              <w:spacing w:after="0"/>
              <w:rPr>
                <w:sz w:val="22"/>
                <w:szCs w:val="22"/>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3/29/2018</w:t>
            </w:r>
          </w:p>
        </w:tc>
        <w:tc>
          <w:tcPr>
            <w:tcW w:w="100" w:type="dxa"/>
            <w:vAlign w:val="bottom"/>
            <w:tcBorders>
              <w:bottom w:val="single" w:sz="8" w:color="auto"/>
            </w:tcBorders>
            <w:shd w:val="clear" w:color="auto" w:fill="EAEAEA"/>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17,389</w:t>
            </w:r>
          </w:p>
        </w:tc>
        <w:tc>
          <w:tcPr>
            <w:tcW w:w="120" w:type="dxa"/>
            <w:vAlign w:val="bottom"/>
            <w:tcBorders>
              <w:bottom w:val="single" w:sz="8" w:color="auto"/>
            </w:tcBorders>
            <w:shd w:val="clear" w:color="auto" w:fill="EAEAEA"/>
          </w:tcPr>
          <w:p>
            <w:pPr>
              <w:spacing w:after="0"/>
              <w:rPr>
                <w:sz w:val="22"/>
                <w:szCs w:val="22"/>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17,390</w:t>
            </w:r>
          </w:p>
        </w:tc>
        <w:tc>
          <w:tcPr>
            <w:tcW w:w="100" w:type="dxa"/>
            <w:vAlign w:val="bottom"/>
            <w:tcBorders>
              <w:bottom w:val="single" w:sz="8" w:color="auto"/>
            </w:tcBorders>
            <w:shd w:val="clear" w:color="auto" w:fill="EAEAEA"/>
          </w:tcPr>
          <w:p>
            <w:pPr>
              <w:spacing w:after="0"/>
              <w:rPr>
                <w:sz w:val="22"/>
                <w:szCs w:val="22"/>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91.13</w:t>
            </w:r>
          </w:p>
        </w:tc>
        <w:tc>
          <w:tcPr>
            <w:tcW w:w="120" w:type="dxa"/>
            <w:vAlign w:val="bottom"/>
            <w:tcBorders>
              <w:bottom w:val="single" w:sz="8" w:color="auto"/>
            </w:tcBorders>
            <w:shd w:val="clear" w:color="auto" w:fill="EAEAEA"/>
          </w:tcPr>
          <w:p>
            <w:pPr>
              <w:spacing w:after="0"/>
              <w:rPr>
                <w:sz w:val="22"/>
                <w:szCs w:val="22"/>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3/29/2028</w:t>
            </w:r>
          </w:p>
        </w:tc>
        <w:tc>
          <w:tcPr>
            <w:tcW w:w="100" w:type="dxa"/>
            <w:vAlign w:val="bottom"/>
            <w:tcBorders>
              <w:bottom w:val="single" w:sz="8" w:color="auto"/>
            </w:tcBorders>
            <w:shd w:val="clear" w:color="auto" w:fill="EAEAEA"/>
          </w:tcPr>
          <w:p>
            <w:pPr>
              <w:spacing w:after="0"/>
              <w:rPr>
                <w:sz w:val="22"/>
                <w:szCs w:val="22"/>
                <w:color w:val="auto"/>
              </w:rPr>
            </w:pPr>
          </w:p>
        </w:tc>
        <w:tc>
          <w:tcPr>
            <w:tcW w:w="8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7"/>
                <w:szCs w:val="17"/>
                <w:color w:val="auto"/>
              </w:rPr>
              <w:t>4,144</w:t>
            </w:r>
          </w:p>
        </w:tc>
        <w:tc>
          <w:tcPr>
            <w:tcW w:w="100" w:type="dxa"/>
            <w:vAlign w:val="bottom"/>
            <w:tcBorders>
              <w:bottom w:val="single" w:sz="8" w:color="auto"/>
            </w:tcBorders>
            <w:shd w:val="clear" w:color="auto" w:fill="EAEAEA"/>
          </w:tcPr>
          <w:p>
            <w:pPr>
              <w:spacing w:after="0"/>
              <w:rPr>
                <w:sz w:val="22"/>
                <w:szCs w:val="22"/>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491,188</w:t>
            </w:r>
          </w:p>
        </w:tc>
        <w:tc>
          <w:tcPr>
            <w:tcW w:w="120" w:type="dxa"/>
            <w:vAlign w:val="bottom"/>
            <w:tcBorders>
              <w:bottom w:val="single" w:sz="8" w:color="auto"/>
            </w:tcBorders>
            <w:shd w:val="clear" w:color="auto" w:fill="EAEAEA"/>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8,287</w:t>
            </w:r>
          </w:p>
        </w:tc>
        <w:tc>
          <w:tcPr>
            <w:tcW w:w="120" w:type="dxa"/>
            <w:vAlign w:val="bottom"/>
            <w:tcBorders>
              <w:bottom w:val="single" w:sz="8" w:color="auto"/>
            </w:tcBorders>
            <w:shd w:val="clear" w:color="auto" w:fill="EAEAEA"/>
          </w:tcPr>
          <w:p>
            <w:pPr>
              <w:spacing w:after="0"/>
              <w:rPr>
                <w:sz w:val="22"/>
                <w:szCs w:val="22"/>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982,258</w:t>
            </w:r>
          </w:p>
        </w:tc>
        <w:tc>
          <w:tcPr>
            <w:tcW w:w="100" w:type="dxa"/>
            <w:vAlign w:val="bottom"/>
            <w:tcBorders>
              <w:bottom w:val="single" w:sz="8" w:color="auto"/>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640" w:type="dxa"/>
            <w:vAlign w:val="bottom"/>
          </w:tcPr>
          <w:p>
            <w:pPr>
              <w:ind w:left="60"/>
              <w:spacing w:after="0" w:line="170" w:lineRule="exact"/>
              <w:rPr>
                <w:sz w:val="20"/>
                <w:szCs w:val="20"/>
                <w:color w:val="auto"/>
              </w:rPr>
            </w:pPr>
            <w:r>
              <w:rPr>
                <w:rFonts w:ascii="Arial" w:cs="Arial" w:eastAsia="Arial" w:hAnsi="Arial"/>
                <w:sz w:val="17"/>
                <w:szCs w:val="17"/>
                <w:b w:val="1"/>
                <w:bCs w:val="1"/>
                <w:color w:val="0066BA"/>
              </w:rPr>
              <w:t>Mahendra-</w:t>
            </w:r>
          </w:p>
        </w:tc>
        <w:tc>
          <w:tcPr>
            <w:tcW w:w="100" w:type="dxa"/>
            <w:vAlign w:val="bottom"/>
            <w:shd w:val="clear" w:color="auto" w:fill="EAEAEA"/>
          </w:tcPr>
          <w:p>
            <w:pPr>
              <w:spacing w:after="0"/>
              <w:rPr>
                <w:sz w:val="14"/>
                <w:szCs w:val="14"/>
                <w:color w:val="auto"/>
              </w:rPr>
            </w:pPr>
          </w:p>
        </w:tc>
        <w:tc>
          <w:tcPr>
            <w:tcW w:w="940" w:type="dxa"/>
            <w:vAlign w:val="bottom"/>
            <w:shd w:val="clear" w:color="auto" w:fill="EAEAEA"/>
          </w:tcPr>
          <w:p>
            <w:pPr>
              <w:jc w:val="right"/>
              <w:spacing w:after="0" w:line="170" w:lineRule="exact"/>
              <w:rPr>
                <w:sz w:val="20"/>
                <w:szCs w:val="20"/>
                <w:color w:val="auto"/>
              </w:rPr>
            </w:pPr>
            <w:r>
              <w:rPr>
                <w:rFonts w:ascii="Arial" w:cs="Arial" w:eastAsia="Arial" w:hAnsi="Arial"/>
                <w:sz w:val="17"/>
                <w:szCs w:val="17"/>
                <w:color w:val="auto"/>
              </w:rPr>
              <w:t>3/13/2019</w:t>
            </w:r>
          </w:p>
        </w:tc>
        <w:tc>
          <w:tcPr>
            <w:tcW w:w="100" w:type="dxa"/>
            <w:vAlign w:val="bottom"/>
            <w:shd w:val="clear" w:color="auto" w:fill="EAEAEA"/>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7"/>
              <w:spacing w:after="0" w:line="170" w:lineRule="exact"/>
              <w:rPr>
                <w:sz w:val="20"/>
                <w:szCs w:val="20"/>
                <w:color w:val="auto"/>
              </w:rPr>
            </w:pPr>
            <w:r>
              <w:rPr>
                <w:rFonts w:ascii="Arial" w:cs="Arial" w:eastAsia="Arial" w:hAnsi="Arial"/>
                <w:sz w:val="17"/>
                <w:szCs w:val="17"/>
                <w:color w:val="auto"/>
              </w:rPr>
              <w:t>6,628</w:t>
            </w:r>
          </w:p>
        </w:tc>
        <w:tc>
          <w:tcPr>
            <w:tcW w:w="120" w:type="dxa"/>
            <w:vAlign w:val="bottom"/>
            <w:shd w:val="clear" w:color="auto" w:fill="EAEAEA"/>
          </w:tcPr>
          <w:p>
            <w:pPr>
              <w:spacing w:after="0"/>
              <w:rPr>
                <w:sz w:val="14"/>
                <w:szCs w:val="14"/>
                <w:color w:val="auto"/>
              </w:rPr>
            </w:pPr>
          </w:p>
        </w:tc>
        <w:tc>
          <w:tcPr>
            <w:tcW w:w="840" w:type="dxa"/>
            <w:vAlign w:val="bottom"/>
            <w:shd w:val="clear" w:color="auto" w:fill="EAEAEA"/>
          </w:tcPr>
          <w:p>
            <w:pPr>
              <w:jc w:val="right"/>
              <w:spacing w:after="0" w:line="170" w:lineRule="exact"/>
              <w:rPr>
                <w:sz w:val="20"/>
                <w:szCs w:val="20"/>
                <w:color w:val="auto"/>
              </w:rPr>
            </w:pPr>
            <w:r>
              <w:rPr>
                <w:rFonts w:ascii="Arial" w:cs="Arial" w:eastAsia="Arial" w:hAnsi="Arial"/>
                <w:sz w:val="17"/>
                <w:szCs w:val="17"/>
                <w:color w:val="auto"/>
              </w:rPr>
              <w:t>19,885</w:t>
            </w:r>
          </w:p>
        </w:tc>
        <w:tc>
          <w:tcPr>
            <w:tcW w:w="100" w:type="dxa"/>
            <w:vAlign w:val="bottom"/>
            <w:shd w:val="clear" w:color="auto" w:fill="EAEAEA"/>
          </w:tcPr>
          <w:p>
            <w:pPr>
              <w:spacing w:after="0"/>
              <w:rPr>
                <w:sz w:val="14"/>
                <w:szCs w:val="14"/>
                <w:color w:val="auto"/>
              </w:rPr>
            </w:pPr>
          </w:p>
        </w:tc>
        <w:tc>
          <w:tcPr>
            <w:tcW w:w="680" w:type="dxa"/>
            <w:vAlign w:val="bottom"/>
          </w:tcPr>
          <w:p>
            <w:pPr>
              <w:jc w:val="right"/>
              <w:ind w:right="15"/>
              <w:spacing w:after="0" w:line="170" w:lineRule="exact"/>
              <w:rPr>
                <w:sz w:val="20"/>
                <w:szCs w:val="20"/>
                <w:color w:val="auto"/>
              </w:rPr>
            </w:pPr>
            <w:r>
              <w:rPr>
                <w:rFonts w:ascii="Arial" w:cs="Arial" w:eastAsia="Arial" w:hAnsi="Arial"/>
                <w:sz w:val="17"/>
                <w:szCs w:val="17"/>
                <w:color w:val="auto"/>
              </w:rPr>
              <w:t>108.08</w:t>
            </w:r>
          </w:p>
        </w:tc>
        <w:tc>
          <w:tcPr>
            <w:tcW w:w="120" w:type="dxa"/>
            <w:vAlign w:val="bottom"/>
            <w:shd w:val="clear" w:color="auto" w:fill="EAEAEA"/>
          </w:tcPr>
          <w:p>
            <w:pPr>
              <w:spacing w:after="0"/>
              <w:rPr>
                <w:sz w:val="14"/>
                <w:szCs w:val="14"/>
                <w:color w:val="auto"/>
              </w:rPr>
            </w:pPr>
          </w:p>
        </w:tc>
        <w:tc>
          <w:tcPr>
            <w:tcW w:w="900" w:type="dxa"/>
            <w:vAlign w:val="bottom"/>
            <w:shd w:val="clear" w:color="auto" w:fill="EAEAEA"/>
          </w:tcPr>
          <w:p>
            <w:pPr>
              <w:jc w:val="right"/>
              <w:spacing w:after="0" w:line="170" w:lineRule="exact"/>
              <w:rPr>
                <w:sz w:val="20"/>
                <w:szCs w:val="20"/>
                <w:color w:val="auto"/>
              </w:rPr>
            </w:pPr>
            <w:r>
              <w:rPr>
                <w:rFonts w:ascii="Arial" w:cs="Arial" w:eastAsia="Arial" w:hAnsi="Arial"/>
                <w:sz w:val="17"/>
                <w:szCs w:val="17"/>
                <w:color w:val="auto"/>
              </w:rPr>
              <w:t>3/13/2029</w:t>
            </w:r>
          </w:p>
        </w:tc>
        <w:tc>
          <w:tcPr>
            <w:tcW w:w="100" w:type="dxa"/>
            <w:vAlign w:val="bottom"/>
            <w:shd w:val="clear" w:color="auto" w:fill="EAEAEA"/>
          </w:tcPr>
          <w:p>
            <w:pPr>
              <w:spacing w:after="0"/>
              <w:rPr>
                <w:sz w:val="14"/>
                <w:szCs w:val="14"/>
                <w:color w:val="auto"/>
              </w:rPr>
            </w:pPr>
          </w:p>
        </w:tc>
        <w:tc>
          <w:tcPr>
            <w:tcW w:w="860" w:type="dxa"/>
            <w:vAlign w:val="bottom"/>
            <w:gridSpan w:val="2"/>
          </w:tcPr>
          <w:p>
            <w:pPr>
              <w:jc w:val="right"/>
              <w:ind w:right="22"/>
              <w:spacing w:after="0" w:line="170" w:lineRule="exact"/>
              <w:rPr>
                <w:sz w:val="20"/>
                <w:szCs w:val="20"/>
                <w:color w:val="auto"/>
              </w:rPr>
            </w:pPr>
            <w:r>
              <w:rPr>
                <w:rFonts w:ascii="Arial" w:cs="Arial" w:eastAsia="Arial" w:hAnsi="Arial"/>
                <w:sz w:val="17"/>
                <w:szCs w:val="17"/>
                <w:color w:val="auto"/>
              </w:rPr>
              <w:t>4,491</w:t>
            </w:r>
          </w:p>
        </w:tc>
        <w:tc>
          <w:tcPr>
            <w:tcW w:w="10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line="170" w:lineRule="exact"/>
              <w:rPr>
                <w:sz w:val="20"/>
                <w:szCs w:val="20"/>
                <w:color w:val="auto"/>
              </w:rPr>
            </w:pPr>
            <w:r>
              <w:rPr>
                <w:rFonts w:ascii="Arial" w:cs="Arial" w:eastAsia="Arial" w:hAnsi="Arial"/>
                <w:sz w:val="17"/>
                <w:szCs w:val="17"/>
                <w:color w:val="auto"/>
              </w:rPr>
              <w:t>532,318</w:t>
            </w:r>
          </w:p>
        </w:tc>
        <w:tc>
          <w:tcPr>
            <w:tcW w:w="120" w:type="dxa"/>
            <w:vAlign w:val="bottom"/>
            <w:shd w:val="clear" w:color="auto" w:fill="EAEAEA"/>
          </w:tcPr>
          <w:p>
            <w:pPr>
              <w:spacing w:after="0"/>
              <w:rPr>
                <w:sz w:val="14"/>
                <w:szCs w:val="14"/>
                <w:color w:val="auto"/>
              </w:rPr>
            </w:pPr>
          </w:p>
        </w:tc>
        <w:tc>
          <w:tcPr>
            <w:tcW w:w="960" w:type="dxa"/>
            <w:vAlign w:val="bottom"/>
          </w:tcPr>
          <w:p>
            <w:pPr>
              <w:jc w:val="right"/>
              <w:spacing w:after="0" w:line="170" w:lineRule="exact"/>
              <w:rPr>
                <w:sz w:val="20"/>
                <w:szCs w:val="20"/>
                <w:color w:val="auto"/>
              </w:rPr>
            </w:pPr>
            <w:r>
              <w:rPr>
                <w:rFonts w:ascii="Arial" w:cs="Arial" w:eastAsia="Arial" w:hAnsi="Arial"/>
                <w:sz w:val="17"/>
                <w:szCs w:val="17"/>
                <w:color w:val="auto"/>
              </w:rPr>
              <w:t>5,987</w:t>
            </w:r>
          </w:p>
        </w:tc>
        <w:tc>
          <w:tcPr>
            <w:tcW w:w="120" w:type="dxa"/>
            <w:vAlign w:val="bottom"/>
            <w:shd w:val="clear" w:color="auto" w:fill="EAEAEA"/>
          </w:tcPr>
          <w:p>
            <w:pPr>
              <w:spacing w:after="0"/>
              <w:rPr>
                <w:sz w:val="14"/>
                <w:szCs w:val="14"/>
                <w:color w:val="auto"/>
              </w:rPr>
            </w:pPr>
          </w:p>
        </w:tc>
        <w:tc>
          <w:tcPr>
            <w:tcW w:w="800" w:type="dxa"/>
            <w:vAlign w:val="bottom"/>
            <w:shd w:val="clear" w:color="auto" w:fill="EAEAEA"/>
          </w:tcPr>
          <w:p>
            <w:pPr>
              <w:jc w:val="right"/>
              <w:spacing w:after="0" w:line="170" w:lineRule="exact"/>
              <w:rPr>
                <w:sz w:val="20"/>
                <w:szCs w:val="20"/>
                <w:color w:val="auto"/>
              </w:rPr>
            </w:pPr>
            <w:r>
              <w:rPr>
                <w:rFonts w:ascii="Arial" w:cs="Arial" w:eastAsia="Arial" w:hAnsi="Arial"/>
                <w:sz w:val="17"/>
                <w:szCs w:val="17"/>
                <w:color w:val="auto"/>
              </w:rPr>
              <w:t>709,639</w:t>
            </w:r>
          </w:p>
        </w:tc>
        <w:tc>
          <w:tcPr>
            <w:tcW w:w="10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1640" w:type="dxa"/>
            <w:vAlign w:val="bottom"/>
            <w:vMerge w:val="restart"/>
          </w:tcPr>
          <w:p>
            <w:pPr>
              <w:ind w:left="60"/>
              <w:spacing w:after="0"/>
              <w:rPr>
                <w:sz w:val="20"/>
                <w:szCs w:val="20"/>
                <w:color w:val="auto"/>
              </w:rPr>
            </w:pPr>
            <w:r>
              <w:rPr>
                <w:rFonts w:ascii="Arial" w:cs="Arial" w:eastAsia="Arial" w:hAnsi="Arial"/>
                <w:sz w:val="17"/>
                <w:szCs w:val="17"/>
                <w:b w:val="1"/>
                <w:bCs w:val="1"/>
                <w:color w:val="0066BA"/>
              </w:rPr>
              <w:t>Rajah</w:t>
            </w:r>
          </w:p>
        </w:tc>
        <w:tc>
          <w:tcPr>
            <w:tcW w:w="100" w:type="dxa"/>
            <w:vAlign w:val="bottom"/>
            <w:tcBorders>
              <w:bottom w:val="single" w:sz="8" w:color="auto"/>
            </w:tcBorders>
            <w:shd w:val="clear" w:color="auto" w:fill="EAEAEA"/>
          </w:tcPr>
          <w:p>
            <w:pPr>
              <w:spacing w:after="0"/>
              <w:rPr>
                <w:sz w:val="7"/>
                <w:szCs w:val="7"/>
                <w:color w:val="auto"/>
              </w:rPr>
            </w:pPr>
          </w:p>
        </w:tc>
        <w:tc>
          <w:tcPr>
            <w:tcW w:w="940" w:type="dxa"/>
            <w:vAlign w:val="bottom"/>
            <w:tcBorders>
              <w:bottom w:val="single" w:sz="8" w:color="auto"/>
            </w:tcBorders>
            <w:shd w:val="clear" w:color="auto" w:fill="EAEAEA"/>
          </w:tcPr>
          <w:p>
            <w:pPr>
              <w:spacing w:after="0"/>
              <w:rPr>
                <w:sz w:val="7"/>
                <w:szCs w:val="7"/>
                <w:color w:val="auto"/>
              </w:rPr>
            </w:pPr>
          </w:p>
        </w:tc>
        <w:tc>
          <w:tcPr>
            <w:tcW w:w="100" w:type="dxa"/>
            <w:vAlign w:val="bottom"/>
            <w:tcBorders>
              <w:bottom w:val="single" w:sz="8" w:color="auto"/>
            </w:tcBorders>
            <w:shd w:val="clear" w:color="auto" w:fill="EAEAEA"/>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shd w:val="clear" w:color="auto" w:fill="EAEAEA"/>
          </w:tcPr>
          <w:p>
            <w:pPr>
              <w:spacing w:after="0"/>
              <w:rPr>
                <w:sz w:val="7"/>
                <w:szCs w:val="7"/>
                <w:color w:val="auto"/>
              </w:rPr>
            </w:pPr>
          </w:p>
        </w:tc>
        <w:tc>
          <w:tcPr>
            <w:tcW w:w="840" w:type="dxa"/>
            <w:vAlign w:val="bottom"/>
            <w:tcBorders>
              <w:bottom w:val="single" w:sz="8" w:color="auto"/>
            </w:tcBorders>
            <w:shd w:val="clear" w:color="auto" w:fill="EAEAEA"/>
          </w:tcPr>
          <w:p>
            <w:pPr>
              <w:spacing w:after="0"/>
              <w:rPr>
                <w:sz w:val="7"/>
                <w:szCs w:val="7"/>
                <w:color w:val="auto"/>
              </w:rPr>
            </w:pPr>
          </w:p>
        </w:tc>
        <w:tc>
          <w:tcPr>
            <w:tcW w:w="100" w:type="dxa"/>
            <w:vAlign w:val="bottom"/>
            <w:tcBorders>
              <w:bottom w:val="single" w:sz="8" w:color="auto"/>
            </w:tcBorders>
            <w:shd w:val="clear" w:color="auto" w:fill="EAEAEA"/>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shd w:val="clear" w:color="auto" w:fill="EAEAEA"/>
          </w:tcPr>
          <w:p>
            <w:pPr>
              <w:spacing w:after="0"/>
              <w:rPr>
                <w:sz w:val="7"/>
                <w:szCs w:val="7"/>
                <w:color w:val="auto"/>
              </w:rPr>
            </w:pPr>
          </w:p>
        </w:tc>
        <w:tc>
          <w:tcPr>
            <w:tcW w:w="900" w:type="dxa"/>
            <w:vAlign w:val="bottom"/>
            <w:tcBorders>
              <w:bottom w:val="single" w:sz="8" w:color="auto"/>
            </w:tcBorders>
            <w:shd w:val="clear" w:color="auto" w:fill="EAEAEA"/>
          </w:tcPr>
          <w:p>
            <w:pPr>
              <w:spacing w:after="0"/>
              <w:rPr>
                <w:sz w:val="7"/>
                <w:szCs w:val="7"/>
                <w:color w:val="auto"/>
              </w:rPr>
            </w:pPr>
          </w:p>
        </w:tc>
        <w:tc>
          <w:tcPr>
            <w:tcW w:w="100" w:type="dxa"/>
            <w:vAlign w:val="bottom"/>
            <w:tcBorders>
              <w:bottom w:val="single" w:sz="8" w:color="auto"/>
            </w:tcBorders>
            <w:shd w:val="clear" w:color="auto" w:fill="EAEAEA"/>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shd w:val="clear" w:color="auto" w:fill="EAEAEA"/>
          </w:tcPr>
          <w:p>
            <w:pPr>
              <w:spacing w:after="0"/>
              <w:rPr>
                <w:sz w:val="7"/>
                <w:szCs w:val="7"/>
                <w:color w:val="auto"/>
              </w:rPr>
            </w:pPr>
          </w:p>
        </w:tc>
        <w:tc>
          <w:tcPr>
            <w:tcW w:w="780" w:type="dxa"/>
            <w:vAlign w:val="bottom"/>
            <w:tcBorders>
              <w:bottom w:val="single" w:sz="8" w:color="auto"/>
            </w:tcBorders>
            <w:shd w:val="clear" w:color="auto" w:fill="EAEAEA"/>
          </w:tcPr>
          <w:p>
            <w:pPr>
              <w:spacing w:after="0"/>
              <w:rPr>
                <w:sz w:val="7"/>
                <w:szCs w:val="7"/>
                <w:color w:val="auto"/>
              </w:rPr>
            </w:pPr>
          </w:p>
        </w:tc>
        <w:tc>
          <w:tcPr>
            <w:tcW w:w="120" w:type="dxa"/>
            <w:vAlign w:val="bottom"/>
            <w:tcBorders>
              <w:bottom w:val="single" w:sz="8" w:color="auto"/>
            </w:tcBorders>
            <w:shd w:val="clear" w:color="auto" w:fill="EAEAEA"/>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shd w:val="clear" w:color="auto" w:fill="EAEAEA"/>
          </w:tcPr>
          <w:p>
            <w:pPr>
              <w:spacing w:after="0"/>
              <w:rPr>
                <w:sz w:val="7"/>
                <w:szCs w:val="7"/>
                <w:color w:val="auto"/>
              </w:rPr>
            </w:pPr>
          </w:p>
        </w:tc>
        <w:tc>
          <w:tcPr>
            <w:tcW w:w="800" w:type="dxa"/>
            <w:vAlign w:val="bottom"/>
            <w:tcBorders>
              <w:bottom w:val="single" w:sz="8" w:color="auto"/>
            </w:tcBorders>
            <w:shd w:val="clear" w:color="auto" w:fill="EAEAEA"/>
          </w:tcPr>
          <w:p>
            <w:pPr>
              <w:spacing w:after="0"/>
              <w:rPr>
                <w:sz w:val="7"/>
                <w:szCs w:val="7"/>
                <w:color w:val="auto"/>
              </w:rPr>
            </w:pPr>
          </w:p>
        </w:tc>
        <w:tc>
          <w:tcPr>
            <w:tcW w:w="100" w:type="dxa"/>
            <w:vAlign w:val="bottom"/>
            <w:tcBorders>
              <w:bottom w:val="single" w:sz="8" w:color="auto"/>
            </w:tcBorders>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640" w:type="dxa"/>
            <w:vAlign w:val="bottom"/>
            <w:vMerge w:val="continue"/>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94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3/11/2020</w:t>
            </w:r>
          </w:p>
        </w:tc>
        <w:tc>
          <w:tcPr>
            <w:tcW w:w="100" w:type="dxa"/>
            <w:vAlign w:val="bottom"/>
            <w:shd w:val="clear" w:color="auto" w:fill="EAEAEA"/>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shd w:val="clear" w:color="auto" w:fill="EAEAEA"/>
          </w:tcPr>
          <w:p>
            <w:pPr>
              <w:spacing w:after="0"/>
              <w:rPr>
                <w:sz w:val="10"/>
                <w:szCs w:val="10"/>
                <w:color w:val="auto"/>
              </w:rPr>
            </w:pPr>
          </w:p>
        </w:tc>
        <w:tc>
          <w:tcPr>
            <w:tcW w:w="84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35,001</w:t>
            </w:r>
          </w:p>
        </w:tc>
        <w:tc>
          <w:tcPr>
            <w:tcW w:w="100" w:type="dxa"/>
            <w:vAlign w:val="bottom"/>
            <w:shd w:val="clear" w:color="auto" w:fill="EAEAEA"/>
          </w:tcPr>
          <w:p>
            <w:pPr>
              <w:spacing w:after="0"/>
              <w:rPr>
                <w:sz w:val="10"/>
                <w:szCs w:val="10"/>
                <w:color w:val="auto"/>
              </w:rPr>
            </w:pPr>
          </w:p>
        </w:tc>
        <w:tc>
          <w:tcPr>
            <w:tcW w:w="680" w:type="dxa"/>
            <w:vAlign w:val="bottom"/>
            <w:vMerge w:val="restart"/>
          </w:tcPr>
          <w:p>
            <w:pPr>
              <w:jc w:val="right"/>
              <w:ind w:right="15"/>
              <w:spacing w:after="0"/>
              <w:rPr>
                <w:sz w:val="20"/>
                <w:szCs w:val="20"/>
                <w:color w:val="auto"/>
              </w:rPr>
            </w:pPr>
            <w:r>
              <w:rPr>
                <w:rFonts w:ascii="Arial" w:cs="Arial" w:eastAsia="Arial" w:hAnsi="Arial"/>
                <w:sz w:val="17"/>
                <w:szCs w:val="17"/>
                <w:color w:val="auto"/>
              </w:rPr>
              <w:t>94.41</w:t>
            </w:r>
          </w:p>
        </w:tc>
        <w:tc>
          <w:tcPr>
            <w:tcW w:w="120" w:type="dxa"/>
            <w:vAlign w:val="bottom"/>
            <w:shd w:val="clear" w:color="auto" w:fill="EAEAEA"/>
          </w:tcPr>
          <w:p>
            <w:pPr>
              <w:spacing w:after="0"/>
              <w:rPr>
                <w:sz w:val="10"/>
                <w:szCs w:val="10"/>
                <w:color w:val="auto"/>
              </w:rPr>
            </w:pPr>
          </w:p>
        </w:tc>
        <w:tc>
          <w:tcPr>
            <w:tcW w:w="90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3/11/2030</w:t>
            </w:r>
          </w:p>
        </w:tc>
        <w:tc>
          <w:tcPr>
            <w:tcW w:w="100" w:type="dxa"/>
            <w:vAlign w:val="bottom"/>
            <w:shd w:val="clear" w:color="auto" w:fill="EAEAEA"/>
          </w:tcPr>
          <w:p>
            <w:pPr>
              <w:spacing w:after="0"/>
              <w:rPr>
                <w:sz w:val="10"/>
                <w:szCs w:val="10"/>
                <w:color w:val="auto"/>
              </w:rPr>
            </w:pPr>
          </w:p>
        </w:tc>
        <w:tc>
          <w:tcPr>
            <w:tcW w:w="860" w:type="dxa"/>
            <w:vAlign w:val="bottom"/>
            <w:gridSpan w:val="2"/>
            <w:vMerge w:val="restart"/>
          </w:tcPr>
          <w:p>
            <w:pPr>
              <w:jc w:val="right"/>
              <w:ind w:right="22"/>
              <w:spacing w:after="0"/>
              <w:rPr>
                <w:sz w:val="20"/>
                <w:szCs w:val="20"/>
                <w:color w:val="auto"/>
              </w:rPr>
            </w:pPr>
            <w:r>
              <w:rPr>
                <w:rFonts w:ascii="Arial" w:cs="Arial" w:eastAsia="Arial" w:hAnsi="Arial"/>
                <w:sz w:val="17"/>
                <w:szCs w:val="17"/>
                <w:color w:val="auto"/>
              </w:rPr>
              <w:t>7,116</w:t>
            </w:r>
          </w:p>
        </w:tc>
        <w:tc>
          <w:tcPr>
            <w:tcW w:w="100" w:type="dxa"/>
            <w:vAlign w:val="bottom"/>
            <w:shd w:val="clear" w:color="auto" w:fill="EAEAEA"/>
          </w:tcPr>
          <w:p>
            <w:pPr>
              <w:spacing w:after="0"/>
              <w:rPr>
                <w:sz w:val="10"/>
                <w:szCs w:val="10"/>
                <w:color w:val="auto"/>
              </w:rPr>
            </w:pPr>
          </w:p>
        </w:tc>
        <w:tc>
          <w:tcPr>
            <w:tcW w:w="78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843,459</w:t>
            </w:r>
          </w:p>
        </w:tc>
        <w:tc>
          <w:tcPr>
            <w:tcW w:w="120" w:type="dxa"/>
            <w:vAlign w:val="bottom"/>
            <w:shd w:val="clear" w:color="auto" w:fill="EAEAEA"/>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20,999</w:t>
            </w:r>
          </w:p>
        </w:tc>
        <w:tc>
          <w:tcPr>
            <w:tcW w:w="120" w:type="dxa"/>
            <w:vAlign w:val="bottom"/>
            <w:shd w:val="clear" w:color="auto" w:fill="EAEAEA"/>
          </w:tcPr>
          <w:p>
            <w:pPr>
              <w:spacing w:after="0"/>
              <w:rPr>
                <w:sz w:val="10"/>
                <w:szCs w:val="10"/>
                <w:color w:val="auto"/>
              </w:rPr>
            </w:pPr>
          </w:p>
        </w:tc>
        <w:tc>
          <w:tcPr>
            <w:tcW w:w="80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2,489,011</w:t>
            </w:r>
          </w:p>
        </w:tc>
        <w:tc>
          <w:tcPr>
            <w:tcW w:w="100" w:type="dxa"/>
            <w:vAlign w:val="bottom"/>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100" w:type="dxa"/>
            <w:vAlign w:val="bottom"/>
            <w:tcBorders>
              <w:bottom w:val="single" w:sz="8" w:color="EAEAEA"/>
            </w:tcBorders>
            <w:shd w:val="clear" w:color="auto" w:fill="EAEAEA"/>
          </w:tcPr>
          <w:p>
            <w:pPr>
              <w:spacing w:after="0"/>
              <w:rPr>
                <w:sz w:val="11"/>
                <w:szCs w:val="11"/>
                <w:color w:val="auto"/>
              </w:rPr>
            </w:pPr>
          </w:p>
        </w:tc>
        <w:tc>
          <w:tcPr>
            <w:tcW w:w="940" w:type="dxa"/>
            <w:vAlign w:val="bottom"/>
            <w:tcBorders>
              <w:bottom w:val="single" w:sz="8" w:color="EAEAEA"/>
            </w:tcBorders>
            <w:vMerge w:val="continue"/>
            <w:shd w:val="clear" w:color="auto" w:fill="EAEAEA"/>
          </w:tcPr>
          <w:p>
            <w:pPr>
              <w:spacing w:after="0"/>
              <w:rPr>
                <w:sz w:val="11"/>
                <w:szCs w:val="11"/>
                <w:color w:val="auto"/>
              </w:rPr>
            </w:pPr>
          </w:p>
        </w:tc>
        <w:tc>
          <w:tcPr>
            <w:tcW w:w="100" w:type="dxa"/>
            <w:vAlign w:val="bottom"/>
            <w:tcBorders>
              <w:bottom w:val="single" w:sz="8" w:color="EAEAEA"/>
            </w:tcBorders>
            <w:shd w:val="clear" w:color="auto" w:fill="EAEAEA"/>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Borders>
              <w:bottom w:val="single" w:sz="8" w:color="EAEAEA"/>
            </w:tcBorders>
            <w:shd w:val="clear" w:color="auto" w:fill="EAEAEA"/>
          </w:tcPr>
          <w:p>
            <w:pPr>
              <w:spacing w:after="0"/>
              <w:rPr>
                <w:sz w:val="11"/>
                <w:szCs w:val="11"/>
                <w:color w:val="auto"/>
              </w:rPr>
            </w:pPr>
          </w:p>
        </w:tc>
        <w:tc>
          <w:tcPr>
            <w:tcW w:w="840" w:type="dxa"/>
            <w:vAlign w:val="bottom"/>
            <w:tcBorders>
              <w:bottom w:val="single" w:sz="8" w:color="EAEAEA"/>
            </w:tcBorders>
            <w:vMerge w:val="continue"/>
            <w:shd w:val="clear" w:color="auto" w:fill="EAEAEA"/>
          </w:tcPr>
          <w:p>
            <w:pPr>
              <w:spacing w:after="0"/>
              <w:rPr>
                <w:sz w:val="11"/>
                <w:szCs w:val="11"/>
                <w:color w:val="auto"/>
              </w:rPr>
            </w:pPr>
          </w:p>
        </w:tc>
        <w:tc>
          <w:tcPr>
            <w:tcW w:w="100" w:type="dxa"/>
            <w:vAlign w:val="bottom"/>
            <w:tcBorders>
              <w:bottom w:val="single" w:sz="8" w:color="EAEAEA"/>
            </w:tcBorders>
            <w:shd w:val="clear" w:color="auto" w:fill="EAEAEA"/>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Borders>
              <w:bottom w:val="single" w:sz="8" w:color="EAEAEA"/>
            </w:tcBorders>
            <w:shd w:val="clear" w:color="auto" w:fill="EAEAEA"/>
          </w:tcPr>
          <w:p>
            <w:pPr>
              <w:spacing w:after="0"/>
              <w:rPr>
                <w:sz w:val="11"/>
                <w:szCs w:val="11"/>
                <w:color w:val="auto"/>
              </w:rPr>
            </w:pPr>
          </w:p>
        </w:tc>
        <w:tc>
          <w:tcPr>
            <w:tcW w:w="900" w:type="dxa"/>
            <w:vAlign w:val="bottom"/>
            <w:tcBorders>
              <w:bottom w:val="single" w:sz="8" w:color="EAEAEA"/>
            </w:tcBorders>
            <w:vMerge w:val="continue"/>
            <w:shd w:val="clear" w:color="auto" w:fill="EAEAEA"/>
          </w:tcPr>
          <w:p>
            <w:pPr>
              <w:spacing w:after="0"/>
              <w:rPr>
                <w:sz w:val="11"/>
                <w:szCs w:val="11"/>
                <w:color w:val="auto"/>
              </w:rPr>
            </w:pPr>
          </w:p>
        </w:tc>
        <w:tc>
          <w:tcPr>
            <w:tcW w:w="100" w:type="dxa"/>
            <w:vAlign w:val="bottom"/>
            <w:tcBorders>
              <w:bottom w:val="single" w:sz="8" w:color="EAEAEA"/>
            </w:tcBorders>
            <w:shd w:val="clear" w:color="auto" w:fill="EAEAEA"/>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Borders>
              <w:bottom w:val="single" w:sz="8" w:color="EAEAEA"/>
            </w:tcBorders>
            <w:shd w:val="clear" w:color="auto" w:fill="EAEAEA"/>
          </w:tcPr>
          <w:p>
            <w:pPr>
              <w:spacing w:after="0"/>
              <w:rPr>
                <w:sz w:val="11"/>
                <w:szCs w:val="11"/>
                <w:color w:val="auto"/>
              </w:rPr>
            </w:pPr>
          </w:p>
        </w:tc>
        <w:tc>
          <w:tcPr>
            <w:tcW w:w="780" w:type="dxa"/>
            <w:vAlign w:val="bottom"/>
            <w:tcBorders>
              <w:bottom w:val="single" w:sz="8" w:color="EAEAEA"/>
            </w:tcBorders>
            <w:vMerge w:val="continue"/>
            <w:shd w:val="clear" w:color="auto" w:fill="EAEAEA"/>
          </w:tcPr>
          <w:p>
            <w:pPr>
              <w:spacing w:after="0"/>
              <w:rPr>
                <w:sz w:val="11"/>
                <w:szCs w:val="11"/>
                <w:color w:val="auto"/>
              </w:rPr>
            </w:pPr>
          </w:p>
        </w:tc>
        <w:tc>
          <w:tcPr>
            <w:tcW w:w="120" w:type="dxa"/>
            <w:vAlign w:val="bottom"/>
            <w:tcBorders>
              <w:bottom w:val="single" w:sz="8" w:color="EAEAEA"/>
            </w:tcBorders>
            <w:shd w:val="clear" w:color="auto" w:fill="EAEAEA"/>
          </w:tcPr>
          <w:p>
            <w:pPr>
              <w:spacing w:after="0"/>
              <w:rPr>
                <w:sz w:val="11"/>
                <w:szCs w:val="11"/>
                <w:color w:val="auto"/>
              </w:rPr>
            </w:pPr>
          </w:p>
        </w:tc>
        <w:tc>
          <w:tcPr>
            <w:tcW w:w="960" w:type="dxa"/>
            <w:vAlign w:val="bottom"/>
            <w:vMerge w:val="continue"/>
          </w:tcPr>
          <w:p>
            <w:pPr>
              <w:spacing w:after="0"/>
              <w:rPr>
                <w:sz w:val="11"/>
                <w:szCs w:val="11"/>
                <w:color w:val="auto"/>
              </w:rPr>
            </w:pPr>
          </w:p>
        </w:tc>
        <w:tc>
          <w:tcPr>
            <w:tcW w:w="120" w:type="dxa"/>
            <w:vAlign w:val="bottom"/>
            <w:tcBorders>
              <w:bottom w:val="single" w:sz="8" w:color="EAEAEA"/>
            </w:tcBorders>
            <w:shd w:val="clear" w:color="auto" w:fill="EAEAEA"/>
          </w:tcPr>
          <w:p>
            <w:pPr>
              <w:spacing w:after="0"/>
              <w:rPr>
                <w:sz w:val="11"/>
                <w:szCs w:val="11"/>
                <w:color w:val="auto"/>
              </w:rPr>
            </w:pPr>
          </w:p>
        </w:tc>
        <w:tc>
          <w:tcPr>
            <w:tcW w:w="800" w:type="dxa"/>
            <w:vAlign w:val="bottom"/>
            <w:tcBorders>
              <w:bottom w:val="single" w:sz="8" w:color="EAEAEA"/>
            </w:tcBorders>
            <w:vMerge w:val="continue"/>
            <w:shd w:val="clear" w:color="auto" w:fill="EAEAEA"/>
          </w:tcPr>
          <w:p>
            <w:pPr>
              <w:spacing w:after="0"/>
              <w:rPr>
                <w:sz w:val="11"/>
                <w:szCs w:val="11"/>
                <w:color w:val="auto"/>
              </w:rPr>
            </w:pPr>
          </w:p>
        </w:tc>
        <w:tc>
          <w:tcPr>
            <w:tcW w:w="100" w:type="dxa"/>
            <w:vAlign w:val="bottom"/>
            <w:tcBorders>
              <w:bottom w:val="single" w:sz="8" w:color="EAEAEA"/>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640" w:type="dxa"/>
            <w:vAlign w:val="bottom"/>
            <w:tcBorders>
              <w:top w:val="single" w:sz="8" w:color="0066BA"/>
            </w:tcBorders>
          </w:tcPr>
          <w:p>
            <w:pPr>
              <w:spacing w:after="0"/>
              <w:rPr>
                <w:sz w:val="17"/>
                <w:szCs w:val="17"/>
                <w:color w:val="auto"/>
              </w:rPr>
            </w:pPr>
          </w:p>
        </w:tc>
        <w:tc>
          <w:tcPr>
            <w:tcW w:w="100" w:type="dxa"/>
            <w:vAlign w:val="bottom"/>
            <w:tcBorders>
              <w:top w:val="single" w:sz="8" w:color="0066BA"/>
              <w:bottom w:val="single" w:sz="8" w:color="auto"/>
            </w:tcBorders>
            <w:shd w:val="clear" w:color="auto" w:fill="EAEAEA"/>
          </w:tcPr>
          <w:p>
            <w:pPr>
              <w:spacing w:after="0"/>
              <w:rPr>
                <w:sz w:val="17"/>
                <w:szCs w:val="17"/>
                <w:color w:val="auto"/>
              </w:rPr>
            </w:pPr>
          </w:p>
        </w:tc>
        <w:tc>
          <w:tcPr>
            <w:tcW w:w="940" w:type="dxa"/>
            <w:vAlign w:val="bottom"/>
            <w:tcBorders>
              <w:top w:val="single" w:sz="8" w:color="0066BA"/>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3/12/2014</w:t>
            </w:r>
          </w:p>
        </w:tc>
        <w:tc>
          <w:tcPr>
            <w:tcW w:w="100" w:type="dxa"/>
            <w:vAlign w:val="bottom"/>
            <w:tcBorders>
              <w:top w:val="single" w:sz="8" w:color="0066BA"/>
              <w:bottom w:val="single" w:sz="8" w:color="auto"/>
            </w:tcBorders>
            <w:shd w:val="clear" w:color="auto" w:fill="EAEAEA"/>
          </w:tcPr>
          <w:p>
            <w:pPr>
              <w:spacing w:after="0"/>
              <w:rPr>
                <w:sz w:val="17"/>
                <w:szCs w:val="17"/>
                <w:color w:val="auto"/>
              </w:rPr>
            </w:pPr>
          </w:p>
        </w:tc>
        <w:tc>
          <w:tcPr>
            <w:tcW w:w="60" w:type="dxa"/>
            <w:vAlign w:val="bottom"/>
            <w:tcBorders>
              <w:top w:val="single" w:sz="8" w:color="0066BA"/>
              <w:bottom w:val="single" w:sz="8" w:color="auto"/>
            </w:tcBorders>
          </w:tcPr>
          <w:p>
            <w:pPr>
              <w:spacing w:after="0"/>
              <w:rPr>
                <w:sz w:val="17"/>
                <w:szCs w:val="17"/>
                <w:color w:val="auto"/>
              </w:rPr>
            </w:pPr>
          </w:p>
        </w:tc>
        <w:tc>
          <w:tcPr>
            <w:tcW w:w="740" w:type="dxa"/>
            <w:vAlign w:val="bottom"/>
            <w:tcBorders>
              <w:top w:val="single" w:sz="8" w:color="0066BA"/>
              <w:bottom w:val="single" w:sz="8" w:color="auto"/>
            </w:tcBorders>
          </w:tcPr>
          <w:p>
            <w:pPr>
              <w:jc w:val="right"/>
              <w:ind w:right="17"/>
              <w:spacing w:after="0"/>
              <w:rPr>
                <w:sz w:val="20"/>
                <w:szCs w:val="20"/>
                <w:color w:val="auto"/>
              </w:rPr>
            </w:pPr>
            <w:r>
              <w:rPr>
                <w:rFonts w:ascii="Arial" w:cs="Arial" w:eastAsia="Arial" w:hAnsi="Arial"/>
                <w:sz w:val="17"/>
                <w:szCs w:val="17"/>
                <w:color w:val="auto"/>
              </w:rPr>
              <w:t>12,210</w:t>
            </w:r>
          </w:p>
        </w:tc>
        <w:tc>
          <w:tcPr>
            <w:tcW w:w="120" w:type="dxa"/>
            <w:vAlign w:val="bottom"/>
            <w:tcBorders>
              <w:top w:val="single" w:sz="8" w:color="0066BA"/>
              <w:bottom w:val="single" w:sz="8" w:color="auto"/>
            </w:tcBorders>
            <w:shd w:val="clear" w:color="auto" w:fill="EAEAEA"/>
          </w:tcPr>
          <w:p>
            <w:pPr>
              <w:spacing w:after="0"/>
              <w:rPr>
                <w:sz w:val="17"/>
                <w:szCs w:val="17"/>
                <w:color w:val="auto"/>
              </w:rPr>
            </w:pPr>
          </w:p>
        </w:tc>
        <w:tc>
          <w:tcPr>
            <w:tcW w:w="840" w:type="dxa"/>
            <w:vAlign w:val="bottom"/>
            <w:tcBorders>
              <w:top w:val="single" w:sz="8" w:color="0066BA"/>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0066BA"/>
              <w:bottom w:val="single" w:sz="8" w:color="auto"/>
            </w:tcBorders>
            <w:shd w:val="clear" w:color="auto" w:fill="EAEAEA"/>
          </w:tcPr>
          <w:p>
            <w:pPr>
              <w:spacing w:after="0"/>
              <w:rPr>
                <w:sz w:val="17"/>
                <w:szCs w:val="17"/>
                <w:color w:val="auto"/>
              </w:rPr>
            </w:pPr>
          </w:p>
        </w:tc>
        <w:tc>
          <w:tcPr>
            <w:tcW w:w="680" w:type="dxa"/>
            <w:vAlign w:val="bottom"/>
            <w:tcBorders>
              <w:top w:val="single" w:sz="8" w:color="0066BA"/>
              <w:bottom w:val="single" w:sz="8" w:color="auto"/>
            </w:tcBorders>
          </w:tcPr>
          <w:p>
            <w:pPr>
              <w:jc w:val="right"/>
              <w:ind w:right="15"/>
              <w:spacing w:after="0"/>
              <w:rPr>
                <w:sz w:val="20"/>
                <w:szCs w:val="20"/>
                <w:color w:val="auto"/>
              </w:rPr>
            </w:pPr>
            <w:r>
              <w:rPr>
                <w:rFonts w:ascii="Arial" w:cs="Arial" w:eastAsia="Arial" w:hAnsi="Arial"/>
                <w:sz w:val="17"/>
                <w:szCs w:val="17"/>
                <w:color w:val="auto"/>
              </w:rPr>
              <w:t>51.73</w:t>
            </w:r>
          </w:p>
        </w:tc>
        <w:tc>
          <w:tcPr>
            <w:tcW w:w="120" w:type="dxa"/>
            <w:vAlign w:val="bottom"/>
            <w:tcBorders>
              <w:top w:val="single" w:sz="8" w:color="0066BA"/>
              <w:bottom w:val="single" w:sz="8" w:color="auto"/>
            </w:tcBorders>
            <w:shd w:val="clear" w:color="auto" w:fill="EAEAEA"/>
          </w:tcPr>
          <w:p>
            <w:pPr>
              <w:spacing w:after="0"/>
              <w:rPr>
                <w:sz w:val="17"/>
                <w:szCs w:val="17"/>
                <w:color w:val="auto"/>
              </w:rPr>
            </w:pPr>
          </w:p>
        </w:tc>
        <w:tc>
          <w:tcPr>
            <w:tcW w:w="900" w:type="dxa"/>
            <w:vAlign w:val="bottom"/>
            <w:tcBorders>
              <w:top w:val="single" w:sz="8" w:color="0066BA"/>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3/12/2024</w:t>
            </w:r>
          </w:p>
        </w:tc>
        <w:tc>
          <w:tcPr>
            <w:tcW w:w="100" w:type="dxa"/>
            <w:vAlign w:val="bottom"/>
            <w:tcBorders>
              <w:top w:val="single" w:sz="8" w:color="0066BA"/>
              <w:bottom w:val="single" w:sz="8" w:color="auto"/>
            </w:tcBorders>
            <w:shd w:val="clear" w:color="auto" w:fill="EAEAEA"/>
          </w:tcPr>
          <w:p>
            <w:pPr>
              <w:spacing w:after="0"/>
              <w:rPr>
                <w:sz w:val="17"/>
                <w:szCs w:val="17"/>
                <w:color w:val="auto"/>
              </w:rPr>
            </w:pPr>
          </w:p>
        </w:tc>
        <w:tc>
          <w:tcPr>
            <w:tcW w:w="60" w:type="dxa"/>
            <w:vAlign w:val="bottom"/>
            <w:tcBorders>
              <w:top w:val="single" w:sz="8" w:color="0066BA"/>
              <w:bottom w:val="single" w:sz="8" w:color="auto"/>
            </w:tcBorders>
          </w:tcPr>
          <w:p>
            <w:pPr>
              <w:spacing w:after="0"/>
              <w:rPr>
                <w:sz w:val="17"/>
                <w:szCs w:val="17"/>
                <w:color w:val="auto"/>
              </w:rPr>
            </w:pPr>
          </w:p>
        </w:tc>
        <w:tc>
          <w:tcPr>
            <w:tcW w:w="800" w:type="dxa"/>
            <w:vAlign w:val="bottom"/>
            <w:tcBorders>
              <w:top w:val="single" w:sz="8" w:color="0066BA"/>
              <w:bottom w:val="single" w:sz="8" w:color="auto"/>
            </w:tcBorders>
          </w:tcPr>
          <w:p>
            <w:pPr>
              <w:jc w:val="right"/>
              <w:ind w:right="22"/>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0066BA"/>
              <w:bottom w:val="single" w:sz="8" w:color="auto"/>
            </w:tcBorders>
            <w:shd w:val="clear" w:color="auto" w:fill="EAEAEA"/>
          </w:tcPr>
          <w:p>
            <w:pPr>
              <w:spacing w:after="0"/>
              <w:rPr>
                <w:sz w:val="17"/>
                <w:szCs w:val="17"/>
                <w:color w:val="auto"/>
              </w:rPr>
            </w:pPr>
          </w:p>
        </w:tc>
        <w:tc>
          <w:tcPr>
            <w:tcW w:w="780" w:type="dxa"/>
            <w:vAlign w:val="bottom"/>
            <w:tcBorders>
              <w:top w:val="single" w:sz="8" w:color="0066BA"/>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0066BA"/>
              <w:bottom w:val="single" w:sz="8" w:color="auto"/>
            </w:tcBorders>
            <w:shd w:val="clear" w:color="auto" w:fill="EAEAEA"/>
          </w:tcPr>
          <w:p>
            <w:pPr>
              <w:spacing w:after="0"/>
              <w:rPr>
                <w:sz w:val="17"/>
                <w:szCs w:val="17"/>
                <w:color w:val="auto"/>
              </w:rPr>
            </w:pPr>
          </w:p>
        </w:tc>
        <w:tc>
          <w:tcPr>
            <w:tcW w:w="960" w:type="dxa"/>
            <w:vAlign w:val="bottom"/>
            <w:tcBorders>
              <w:top w:val="single" w:sz="8" w:color="0066BA"/>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0066BA"/>
              <w:bottom w:val="single" w:sz="8" w:color="auto"/>
            </w:tcBorders>
            <w:shd w:val="clear" w:color="auto" w:fill="EAEAEA"/>
          </w:tcPr>
          <w:p>
            <w:pPr>
              <w:spacing w:after="0"/>
              <w:rPr>
                <w:sz w:val="17"/>
                <w:szCs w:val="17"/>
                <w:color w:val="auto"/>
              </w:rPr>
            </w:pPr>
          </w:p>
        </w:tc>
        <w:tc>
          <w:tcPr>
            <w:tcW w:w="800" w:type="dxa"/>
            <w:vAlign w:val="bottom"/>
            <w:tcBorders>
              <w:top w:val="single" w:sz="8" w:color="0066BA"/>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0066BA"/>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3/11/2015</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10,750</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57.29</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3/11/2025</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3/9/2016</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6,949</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1,738</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54.93</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3/9/2026</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vMerge w:val="restart"/>
          </w:tcPr>
          <w:p>
            <w:pPr>
              <w:ind w:left="60"/>
              <w:spacing w:after="0"/>
              <w:rPr>
                <w:sz w:val="20"/>
                <w:szCs w:val="20"/>
                <w:color w:val="auto"/>
              </w:rPr>
            </w:pPr>
            <w:r>
              <w:rPr>
                <w:rFonts w:ascii="Arial" w:cs="Arial" w:eastAsia="Arial" w:hAnsi="Arial"/>
                <w:sz w:val="17"/>
                <w:szCs w:val="17"/>
                <w:b w:val="1"/>
                <w:bCs w:val="1"/>
                <w:color w:val="0066BA"/>
              </w:rPr>
              <w:t>Martin</w:t>
            </w: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10/17/2016</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21,599</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5,400</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61.70</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10/17/2026</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vMerge w:val="continue"/>
          </w:tcPr>
          <w:p>
            <w:pPr>
              <w:spacing w:after="0"/>
              <w:rPr>
                <w:sz w:val="17"/>
                <w:szCs w:val="17"/>
                <w:color w:val="auto"/>
              </w:rPr>
            </w:pP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3/8/2017</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10,556</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7,038</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83.48</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3/8/2027</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tcPr>
          <w:p>
            <w:pPr>
              <w:ind w:left="60"/>
              <w:spacing w:after="0"/>
              <w:rPr>
                <w:sz w:val="20"/>
                <w:szCs w:val="20"/>
                <w:color w:val="auto"/>
              </w:rPr>
            </w:pPr>
            <w:r>
              <w:rPr>
                <w:rFonts w:ascii="Arial" w:cs="Arial" w:eastAsia="Arial" w:hAnsi="Arial"/>
                <w:sz w:val="17"/>
                <w:szCs w:val="17"/>
                <w:b w:val="1"/>
                <w:bCs w:val="1"/>
                <w:color w:val="0066BA"/>
              </w:rPr>
              <w:t>Cotter</w:t>
            </w: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3/29/2018</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10,276</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10,276</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91.13</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3/29/2028</w:t>
            </w:r>
          </w:p>
        </w:tc>
        <w:tc>
          <w:tcPr>
            <w:tcW w:w="100" w:type="dxa"/>
            <w:vAlign w:val="bottom"/>
            <w:tcBorders>
              <w:bottom w:val="single" w:sz="8" w:color="auto"/>
            </w:tcBorders>
            <w:shd w:val="clear" w:color="auto" w:fill="EAEAEA"/>
          </w:tcPr>
          <w:p>
            <w:pPr>
              <w:spacing w:after="0"/>
              <w:rPr>
                <w:sz w:val="17"/>
                <w:szCs w:val="17"/>
                <w:color w:val="auto"/>
              </w:rPr>
            </w:pPr>
          </w:p>
        </w:tc>
        <w:tc>
          <w:tcPr>
            <w:tcW w:w="8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7"/>
                <w:szCs w:val="17"/>
                <w:color w:val="auto"/>
              </w:rPr>
              <w:t>2,449</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290,280</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4,897</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580,441</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9/17/2018</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8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7"/>
                <w:szCs w:val="17"/>
                <w:color w:val="auto"/>
              </w:rPr>
              <w:t>1,667</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197,590</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3/13/2019</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2,541</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7,623</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108.08</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3/13/2029</w:t>
            </w:r>
          </w:p>
        </w:tc>
        <w:tc>
          <w:tcPr>
            <w:tcW w:w="100" w:type="dxa"/>
            <w:vAlign w:val="bottom"/>
            <w:tcBorders>
              <w:bottom w:val="single" w:sz="8" w:color="auto"/>
            </w:tcBorders>
            <w:shd w:val="clear" w:color="auto" w:fill="EAEAEA"/>
          </w:tcPr>
          <w:p>
            <w:pPr>
              <w:spacing w:after="0"/>
              <w:rPr>
                <w:sz w:val="17"/>
                <w:szCs w:val="17"/>
                <w:color w:val="auto"/>
              </w:rPr>
            </w:pPr>
          </w:p>
        </w:tc>
        <w:tc>
          <w:tcPr>
            <w:tcW w:w="8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7"/>
                <w:szCs w:val="17"/>
                <w:color w:val="auto"/>
              </w:rPr>
              <w:t>1,722</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204,109</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2,295</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272,026</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6/17/2019</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1,878</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5,634</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108.08</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3/13/2029</w:t>
            </w:r>
          </w:p>
        </w:tc>
        <w:tc>
          <w:tcPr>
            <w:tcW w:w="100" w:type="dxa"/>
            <w:vAlign w:val="bottom"/>
            <w:tcBorders>
              <w:bottom w:val="single" w:sz="8" w:color="auto"/>
            </w:tcBorders>
            <w:shd w:val="clear" w:color="auto" w:fill="EAEAEA"/>
          </w:tcPr>
          <w:p>
            <w:pPr>
              <w:spacing w:after="0"/>
              <w:rPr>
                <w:sz w:val="17"/>
                <w:szCs w:val="17"/>
                <w:color w:val="auto"/>
              </w:rPr>
            </w:pPr>
          </w:p>
        </w:tc>
        <w:tc>
          <w:tcPr>
            <w:tcW w:w="8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7"/>
                <w:szCs w:val="17"/>
                <w:color w:val="auto"/>
              </w:rPr>
              <w:t>1,273</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150,889</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1,697</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201,145</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tcBorders>
              <w:bottom w:val="single" w:sz="8" w:color="0066BA"/>
            </w:tcBorders>
          </w:tcPr>
          <w:p>
            <w:pPr>
              <w:spacing w:after="0"/>
              <w:rPr>
                <w:sz w:val="17"/>
                <w:szCs w:val="17"/>
                <w:color w:val="auto"/>
              </w:rPr>
            </w:pPr>
          </w:p>
        </w:tc>
        <w:tc>
          <w:tcPr>
            <w:tcW w:w="100" w:type="dxa"/>
            <w:vAlign w:val="bottom"/>
            <w:tcBorders>
              <w:bottom w:val="single" w:sz="8" w:color="0066BA"/>
            </w:tcBorders>
            <w:shd w:val="clear" w:color="auto" w:fill="EAEAEA"/>
          </w:tcPr>
          <w:p>
            <w:pPr>
              <w:spacing w:after="0"/>
              <w:rPr>
                <w:sz w:val="17"/>
                <w:szCs w:val="17"/>
                <w:color w:val="auto"/>
              </w:rPr>
            </w:pPr>
          </w:p>
        </w:tc>
        <w:tc>
          <w:tcPr>
            <w:tcW w:w="9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3/11/2020</w:t>
            </w:r>
          </w:p>
        </w:tc>
        <w:tc>
          <w:tcPr>
            <w:tcW w:w="100" w:type="dxa"/>
            <w:vAlign w:val="bottom"/>
            <w:tcBorders>
              <w:bottom w:val="single" w:sz="8" w:color="0066BA"/>
            </w:tcBorders>
            <w:shd w:val="clear" w:color="auto" w:fill="EAEAEA"/>
          </w:tcPr>
          <w:p>
            <w:pPr>
              <w:spacing w:after="0"/>
              <w:rPr>
                <w:sz w:val="17"/>
                <w:szCs w:val="17"/>
                <w:color w:val="auto"/>
              </w:rPr>
            </w:pPr>
          </w:p>
        </w:tc>
        <w:tc>
          <w:tcPr>
            <w:tcW w:w="60" w:type="dxa"/>
            <w:vAlign w:val="bottom"/>
            <w:tcBorders>
              <w:bottom w:val="single" w:sz="8" w:color="0066BA"/>
            </w:tcBorders>
          </w:tcPr>
          <w:p>
            <w:pPr>
              <w:spacing w:after="0"/>
              <w:rPr>
                <w:sz w:val="17"/>
                <w:szCs w:val="17"/>
                <w:color w:val="auto"/>
              </w:rPr>
            </w:pPr>
          </w:p>
        </w:tc>
        <w:tc>
          <w:tcPr>
            <w:tcW w:w="740" w:type="dxa"/>
            <w:vAlign w:val="bottom"/>
            <w:tcBorders>
              <w:bottom w:val="single" w:sz="8" w:color="0066BA"/>
            </w:tcBorders>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0066BA"/>
            </w:tcBorders>
            <w:shd w:val="clear" w:color="auto" w:fill="EAEAEA"/>
          </w:tcPr>
          <w:p>
            <w:pPr>
              <w:spacing w:after="0"/>
              <w:rPr>
                <w:sz w:val="17"/>
                <w:szCs w:val="17"/>
                <w:color w:val="auto"/>
              </w:rPr>
            </w:pPr>
          </w:p>
        </w:tc>
        <w:tc>
          <w:tcPr>
            <w:tcW w:w="8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24,232</w:t>
            </w:r>
          </w:p>
        </w:tc>
        <w:tc>
          <w:tcPr>
            <w:tcW w:w="100" w:type="dxa"/>
            <w:vAlign w:val="bottom"/>
            <w:tcBorders>
              <w:bottom w:val="single" w:sz="8" w:color="0066BA"/>
            </w:tcBorders>
            <w:shd w:val="clear" w:color="auto" w:fill="EAEAEA"/>
          </w:tcPr>
          <w:p>
            <w:pPr>
              <w:spacing w:after="0"/>
              <w:rPr>
                <w:sz w:val="17"/>
                <w:szCs w:val="17"/>
                <w:color w:val="auto"/>
              </w:rPr>
            </w:pPr>
          </w:p>
        </w:tc>
        <w:tc>
          <w:tcPr>
            <w:tcW w:w="680" w:type="dxa"/>
            <w:vAlign w:val="bottom"/>
            <w:tcBorders>
              <w:bottom w:val="single" w:sz="8" w:color="0066BA"/>
            </w:tcBorders>
          </w:tcPr>
          <w:p>
            <w:pPr>
              <w:jc w:val="right"/>
              <w:ind w:right="15"/>
              <w:spacing w:after="0"/>
              <w:rPr>
                <w:sz w:val="20"/>
                <w:szCs w:val="20"/>
                <w:color w:val="auto"/>
              </w:rPr>
            </w:pPr>
            <w:r>
              <w:rPr>
                <w:rFonts w:ascii="Arial" w:cs="Arial" w:eastAsia="Arial" w:hAnsi="Arial"/>
                <w:sz w:val="17"/>
                <w:szCs w:val="17"/>
                <w:color w:val="auto"/>
              </w:rPr>
              <w:t>94.41</w:t>
            </w:r>
          </w:p>
        </w:tc>
        <w:tc>
          <w:tcPr>
            <w:tcW w:w="120" w:type="dxa"/>
            <w:vAlign w:val="bottom"/>
            <w:tcBorders>
              <w:bottom w:val="single" w:sz="8" w:color="0066BA"/>
            </w:tcBorders>
            <w:shd w:val="clear" w:color="auto" w:fill="EAEAEA"/>
          </w:tcPr>
          <w:p>
            <w:pPr>
              <w:spacing w:after="0"/>
              <w:rPr>
                <w:sz w:val="17"/>
                <w:szCs w:val="17"/>
                <w:color w:val="auto"/>
              </w:rPr>
            </w:pPr>
          </w:p>
        </w:tc>
        <w:tc>
          <w:tcPr>
            <w:tcW w:w="9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3/11/2030</w:t>
            </w:r>
          </w:p>
        </w:tc>
        <w:tc>
          <w:tcPr>
            <w:tcW w:w="100" w:type="dxa"/>
            <w:vAlign w:val="bottom"/>
            <w:tcBorders>
              <w:bottom w:val="single" w:sz="8" w:color="0066BA"/>
            </w:tcBorders>
            <w:shd w:val="clear" w:color="auto" w:fill="EAEAEA"/>
          </w:tcPr>
          <w:p>
            <w:pPr>
              <w:spacing w:after="0"/>
              <w:rPr>
                <w:sz w:val="17"/>
                <w:szCs w:val="17"/>
                <w:color w:val="auto"/>
              </w:rPr>
            </w:pPr>
          </w:p>
        </w:tc>
        <w:tc>
          <w:tcPr>
            <w:tcW w:w="860" w:type="dxa"/>
            <w:vAlign w:val="bottom"/>
            <w:tcBorders>
              <w:bottom w:val="single" w:sz="8" w:color="0066BA"/>
            </w:tcBorders>
            <w:gridSpan w:val="2"/>
          </w:tcPr>
          <w:p>
            <w:pPr>
              <w:jc w:val="right"/>
              <w:ind w:right="22"/>
              <w:spacing w:after="0"/>
              <w:rPr>
                <w:sz w:val="20"/>
                <w:szCs w:val="20"/>
                <w:color w:val="auto"/>
              </w:rPr>
            </w:pPr>
            <w:r>
              <w:rPr>
                <w:rFonts w:ascii="Arial" w:cs="Arial" w:eastAsia="Arial" w:hAnsi="Arial"/>
                <w:sz w:val="17"/>
                <w:szCs w:val="17"/>
                <w:color w:val="auto"/>
              </w:rPr>
              <w:t>4,927</w:t>
            </w:r>
          </w:p>
        </w:tc>
        <w:tc>
          <w:tcPr>
            <w:tcW w:w="100" w:type="dxa"/>
            <w:vAlign w:val="bottom"/>
            <w:tcBorders>
              <w:bottom w:val="single" w:sz="8" w:color="0066BA"/>
            </w:tcBorders>
            <w:shd w:val="clear" w:color="auto" w:fill="EAEAEA"/>
          </w:tcPr>
          <w:p>
            <w:pPr>
              <w:spacing w:after="0"/>
              <w:rPr>
                <w:sz w:val="17"/>
                <w:szCs w:val="17"/>
                <w:color w:val="auto"/>
              </w:rPr>
            </w:pPr>
          </w:p>
        </w:tc>
        <w:tc>
          <w:tcPr>
            <w:tcW w:w="78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583,997</w:t>
            </w:r>
          </w:p>
        </w:tc>
        <w:tc>
          <w:tcPr>
            <w:tcW w:w="120" w:type="dxa"/>
            <w:vAlign w:val="bottom"/>
            <w:tcBorders>
              <w:bottom w:val="single" w:sz="8" w:color="0066BA"/>
            </w:tcBorders>
            <w:shd w:val="clear" w:color="auto" w:fill="EAEAEA"/>
          </w:tcPr>
          <w:p>
            <w:pPr>
              <w:spacing w:after="0"/>
              <w:rPr>
                <w:sz w:val="17"/>
                <w:szCs w:val="17"/>
                <w:color w:val="auto"/>
              </w:rPr>
            </w:pPr>
          </w:p>
        </w:tc>
        <w:tc>
          <w:tcPr>
            <w:tcW w:w="960" w:type="dxa"/>
            <w:vAlign w:val="bottom"/>
            <w:tcBorders>
              <w:bottom w:val="single" w:sz="8" w:color="0066BA"/>
            </w:tcBorders>
          </w:tcPr>
          <w:p>
            <w:pPr>
              <w:jc w:val="right"/>
              <w:spacing w:after="0"/>
              <w:rPr>
                <w:sz w:val="20"/>
                <w:szCs w:val="20"/>
                <w:color w:val="auto"/>
              </w:rPr>
            </w:pPr>
            <w:r>
              <w:rPr>
                <w:rFonts w:ascii="Arial" w:cs="Arial" w:eastAsia="Arial" w:hAnsi="Arial"/>
                <w:sz w:val="17"/>
                <w:szCs w:val="17"/>
                <w:color w:val="auto"/>
              </w:rPr>
              <w:t>14,540</w:t>
            </w:r>
          </w:p>
        </w:tc>
        <w:tc>
          <w:tcPr>
            <w:tcW w:w="120" w:type="dxa"/>
            <w:vAlign w:val="bottom"/>
            <w:tcBorders>
              <w:bottom w:val="single" w:sz="8" w:color="0066BA"/>
            </w:tcBorders>
            <w:shd w:val="clear" w:color="auto" w:fill="EAEAEA"/>
          </w:tcPr>
          <w:p>
            <w:pPr>
              <w:spacing w:after="0"/>
              <w:rPr>
                <w:sz w:val="17"/>
                <w:szCs w:val="17"/>
                <w:color w:val="auto"/>
              </w:rPr>
            </w:pPr>
          </w:p>
        </w:tc>
        <w:tc>
          <w:tcPr>
            <w:tcW w:w="8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1,723,426</w:t>
            </w:r>
          </w:p>
        </w:tc>
        <w:tc>
          <w:tcPr>
            <w:tcW w:w="100" w:type="dxa"/>
            <w:vAlign w:val="bottom"/>
            <w:tcBorders>
              <w:bottom w:val="single" w:sz="8" w:color="0066B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3/9/2016</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4,074</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54.93</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3/9/2026</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vMerge w:val="restart"/>
          </w:tcPr>
          <w:p>
            <w:pPr>
              <w:ind w:left="60"/>
              <w:spacing w:after="0"/>
              <w:rPr>
                <w:sz w:val="20"/>
                <w:szCs w:val="20"/>
                <w:color w:val="auto"/>
              </w:rPr>
            </w:pPr>
            <w:r>
              <w:rPr>
                <w:rFonts w:ascii="Arial" w:cs="Arial" w:eastAsia="Arial" w:hAnsi="Arial"/>
                <w:sz w:val="17"/>
                <w:szCs w:val="17"/>
                <w:b w:val="1"/>
                <w:bCs w:val="1"/>
                <w:color w:val="0066BA"/>
              </w:rPr>
              <w:t>John</w:t>
            </w: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3/8/2017</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11,728</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7,820</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83.48</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3/8/2027</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vMerge w:val="continue"/>
          </w:tcPr>
          <w:p>
            <w:pPr>
              <w:spacing w:after="0"/>
              <w:rPr>
                <w:sz w:val="17"/>
                <w:szCs w:val="17"/>
                <w:color w:val="auto"/>
              </w:rPr>
            </w:pP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3/29/2018</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10,276</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10,276</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91.13</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3/29/2028</w:t>
            </w:r>
          </w:p>
        </w:tc>
        <w:tc>
          <w:tcPr>
            <w:tcW w:w="100" w:type="dxa"/>
            <w:vAlign w:val="bottom"/>
            <w:tcBorders>
              <w:bottom w:val="single" w:sz="8" w:color="auto"/>
            </w:tcBorders>
            <w:shd w:val="clear" w:color="auto" w:fill="EAEAEA"/>
          </w:tcPr>
          <w:p>
            <w:pPr>
              <w:spacing w:after="0"/>
              <w:rPr>
                <w:sz w:val="17"/>
                <w:szCs w:val="17"/>
                <w:color w:val="auto"/>
              </w:rPr>
            </w:pPr>
          </w:p>
        </w:tc>
        <w:tc>
          <w:tcPr>
            <w:tcW w:w="8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7"/>
                <w:szCs w:val="17"/>
                <w:color w:val="auto"/>
              </w:rPr>
              <w:t>2,449</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290,280</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4,897</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580,441</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tcPr>
          <w:p>
            <w:pPr>
              <w:ind w:left="60"/>
              <w:spacing w:after="0"/>
              <w:rPr>
                <w:sz w:val="20"/>
                <w:szCs w:val="20"/>
                <w:color w:val="auto"/>
              </w:rPr>
            </w:pPr>
            <w:r>
              <w:rPr>
                <w:rFonts w:ascii="Arial" w:cs="Arial" w:eastAsia="Arial" w:hAnsi="Arial"/>
                <w:sz w:val="17"/>
                <w:szCs w:val="17"/>
                <w:b w:val="1"/>
                <w:bCs w:val="1"/>
                <w:color w:val="0066BA"/>
              </w:rPr>
              <w:t>Hassett</w:t>
            </w: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9/17/2018</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8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7"/>
                <w:szCs w:val="17"/>
                <w:color w:val="auto"/>
              </w:rPr>
              <w:t>1,667</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197,590</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3/13/2019</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4,419</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13,257</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108.08</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3/13/2029</w:t>
            </w:r>
          </w:p>
        </w:tc>
        <w:tc>
          <w:tcPr>
            <w:tcW w:w="100" w:type="dxa"/>
            <w:vAlign w:val="bottom"/>
            <w:tcBorders>
              <w:bottom w:val="single" w:sz="8" w:color="auto"/>
            </w:tcBorders>
            <w:shd w:val="clear" w:color="auto" w:fill="EAEAEA"/>
          </w:tcPr>
          <w:p>
            <w:pPr>
              <w:spacing w:after="0"/>
              <w:rPr>
                <w:sz w:val="17"/>
                <w:szCs w:val="17"/>
                <w:color w:val="auto"/>
              </w:rPr>
            </w:pPr>
          </w:p>
        </w:tc>
        <w:tc>
          <w:tcPr>
            <w:tcW w:w="8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7"/>
                <w:szCs w:val="17"/>
                <w:color w:val="auto"/>
              </w:rPr>
              <w:t>2,994</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354,879</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3,992</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473,172</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tcBorders>
              <w:bottom w:val="single" w:sz="8" w:color="0066BA"/>
            </w:tcBorders>
          </w:tcPr>
          <w:p>
            <w:pPr>
              <w:spacing w:after="0"/>
              <w:rPr>
                <w:sz w:val="17"/>
                <w:szCs w:val="17"/>
                <w:color w:val="auto"/>
              </w:rPr>
            </w:pPr>
          </w:p>
        </w:tc>
        <w:tc>
          <w:tcPr>
            <w:tcW w:w="100" w:type="dxa"/>
            <w:vAlign w:val="bottom"/>
            <w:tcBorders>
              <w:bottom w:val="single" w:sz="8" w:color="0066BA"/>
            </w:tcBorders>
            <w:shd w:val="clear" w:color="auto" w:fill="EAEAEA"/>
          </w:tcPr>
          <w:p>
            <w:pPr>
              <w:spacing w:after="0"/>
              <w:rPr>
                <w:sz w:val="17"/>
                <w:szCs w:val="17"/>
                <w:color w:val="auto"/>
              </w:rPr>
            </w:pPr>
          </w:p>
        </w:tc>
        <w:tc>
          <w:tcPr>
            <w:tcW w:w="9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3/11/2020</w:t>
            </w:r>
          </w:p>
        </w:tc>
        <w:tc>
          <w:tcPr>
            <w:tcW w:w="100" w:type="dxa"/>
            <w:vAlign w:val="bottom"/>
            <w:tcBorders>
              <w:bottom w:val="single" w:sz="8" w:color="0066BA"/>
            </w:tcBorders>
            <w:shd w:val="clear" w:color="auto" w:fill="EAEAEA"/>
          </w:tcPr>
          <w:p>
            <w:pPr>
              <w:spacing w:after="0"/>
              <w:rPr>
                <w:sz w:val="17"/>
                <w:szCs w:val="17"/>
                <w:color w:val="auto"/>
              </w:rPr>
            </w:pPr>
          </w:p>
        </w:tc>
        <w:tc>
          <w:tcPr>
            <w:tcW w:w="60" w:type="dxa"/>
            <w:vAlign w:val="bottom"/>
            <w:tcBorders>
              <w:bottom w:val="single" w:sz="8" w:color="0066BA"/>
            </w:tcBorders>
          </w:tcPr>
          <w:p>
            <w:pPr>
              <w:spacing w:after="0"/>
              <w:rPr>
                <w:sz w:val="17"/>
                <w:szCs w:val="17"/>
                <w:color w:val="auto"/>
              </w:rPr>
            </w:pPr>
          </w:p>
        </w:tc>
        <w:tc>
          <w:tcPr>
            <w:tcW w:w="740" w:type="dxa"/>
            <w:vAlign w:val="bottom"/>
            <w:tcBorders>
              <w:bottom w:val="single" w:sz="8" w:color="0066BA"/>
            </w:tcBorders>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0066BA"/>
            </w:tcBorders>
            <w:shd w:val="clear" w:color="auto" w:fill="EAEAEA"/>
          </w:tcPr>
          <w:p>
            <w:pPr>
              <w:spacing w:after="0"/>
              <w:rPr>
                <w:sz w:val="17"/>
                <w:szCs w:val="17"/>
                <w:color w:val="auto"/>
              </w:rPr>
            </w:pPr>
          </w:p>
        </w:tc>
        <w:tc>
          <w:tcPr>
            <w:tcW w:w="8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24,232</w:t>
            </w:r>
          </w:p>
        </w:tc>
        <w:tc>
          <w:tcPr>
            <w:tcW w:w="100" w:type="dxa"/>
            <w:vAlign w:val="bottom"/>
            <w:tcBorders>
              <w:bottom w:val="single" w:sz="8" w:color="0066BA"/>
            </w:tcBorders>
            <w:shd w:val="clear" w:color="auto" w:fill="EAEAEA"/>
          </w:tcPr>
          <w:p>
            <w:pPr>
              <w:spacing w:after="0"/>
              <w:rPr>
                <w:sz w:val="17"/>
                <w:szCs w:val="17"/>
                <w:color w:val="auto"/>
              </w:rPr>
            </w:pPr>
          </w:p>
        </w:tc>
        <w:tc>
          <w:tcPr>
            <w:tcW w:w="680" w:type="dxa"/>
            <w:vAlign w:val="bottom"/>
            <w:tcBorders>
              <w:bottom w:val="single" w:sz="8" w:color="0066BA"/>
            </w:tcBorders>
          </w:tcPr>
          <w:p>
            <w:pPr>
              <w:jc w:val="right"/>
              <w:ind w:right="15"/>
              <w:spacing w:after="0"/>
              <w:rPr>
                <w:sz w:val="20"/>
                <w:szCs w:val="20"/>
                <w:color w:val="auto"/>
              </w:rPr>
            </w:pPr>
            <w:r>
              <w:rPr>
                <w:rFonts w:ascii="Arial" w:cs="Arial" w:eastAsia="Arial" w:hAnsi="Arial"/>
                <w:sz w:val="17"/>
                <w:szCs w:val="17"/>
                <w:color w:val="auto"/>
              </w:rPr>
              <w:t>94.41</w:t>
            </w:r>
          </w:p>
        </w:tc>
        <w:tc>
          <w:tcPr>
            <w:tcW w:w="120" w:type="dxa"/>
            <w:vAlign w:val="bottom"/>
            <w:tcBorders>
              <w:bottom w:val="single" w:sz="8" w:color="0066BA"/>
            </w:tcBorders>
            <w:shd w:val="clear" w:color="auto" w:fill="EAEAEA"/>
          </w:tcPr>
          <w:p>
            <w:pPr>
              <w:spacing w:after="0"/>
              <w:rPr>
                <w:sz w:val="17"/>
                <w:szCs w:val="17"/>
                <w:color w:val="auto"/>
              </w:rPr>
            </w:pPr>
          </w:p>
        </w:tc>
        <w:tc>
          <w:tcPr>
            <w:tcW w:w="9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3/11/2030</w:t>
            </w:r>
          </w:p>
        </w:tc>
        <w:tc>
          <w:tcPr>
            <w:tcW w:w="100" w:type="dxa"/>
            <w:vAlign w:val="bottom"/>
            <w:tcBorders>
              <w:bottom w:val="single" w:sz="8" w:color="0066BA"/>
            </w:tcBorders>
            <w:shd w:val="clear" w:color="auto" w:fill="EAEAEA"/>
          </w:tcPr>
          <w:p>
            <w:pPr>
              <w:spacing w:after="0"/>
              <w:rPr>
                <w:sz w:val="17"/>
                <w:szCs w:val="17"/>
                <w:color w:val="auto"/>
              </w:rPr>
            </w:pPr>
          </w:p>
        </w:tc>
        <w:tc>
          <w:tcPr>
            <w:tcW w:w="860" w:type="dxa"/>
            <w:vAlign w:val="bottom"/>
            <w:tcBorders>
              <w:bottom w:val="single" w:sz="8" w:color="0066BA"/>
            </w:tcBorders>
            <w:gridSpan w:val="2"/>
          </w:tcPr>
          <w:p>
            <w:pPr>
              <w:jc w:val="right"/>
              <w:ind w:right="22"/>
              <w:spacing w:after="0"/>
              <w:rPr>
                <w:sz w:val="20"/>
                <w:szCs w:val="20"/>
                <w:color w:val="auto"/>
              </w:rPr>
            </w:pPr>
            <w:r>
              <w:rPr>
                <w:rFonts w:ascii="Arial" w:cs="Arial" w:eastAsia="Arial" w:hAnsi="Arial"/>
                <w:sz w:val="17"/>
                <w:szCs w:val="17"/>
                <w:color w:val="auto"/>
              </w:rPr>
              <w:t>4,927</w:t>
            </w:r>
          </w:p>
        </w:tc>
        <w:tc>
          <w:tcPr>
            <w:tcW w:w="100" w:type="dxa"/>
            <w:vAlign w:val="bottom"/>
            <w:tcBorders>
              <w:bottom w:val="single" w:sz="8" w:color="0066BA"/>
            </w:tcBorders>
            <w:shd w:val="clear" w:color="auto" w:fill="EAEAEA"/>
          </w:tcPr>
          <w:p>
            <w:pPr>
              <w:spacing w:after="0"/>
              <w:rPr>
                <w:sz w:val="17"/>
                <w:szCs w:val="17"/>
                <w:color w:val="auto"/>
              </w:rPr>
            </w:pPr>
          </w:p>
        </w:tc>
        <w:tc>
          <w:tcPr>
            <w:tcW w:w="78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583,997</w:t>
            </w:r>
          </w:p>
        </w:tc>
        <w:tc>
          <w:tcPr>
            <w:tcW w:w="120" w:type="dxa"/>
            <w:vAlign w:val="bottom"/>
            <w:tcBorders>
              <w:bottom w:val="single" w:sz="8" w:color="0066BA"/>
            </w:tcBorders>
            <w:shd w:val="clear" w:color="auto" w:fill="EAEAEA"/>
          </w:tcPr>
          <w:p>
            <w:pPr>
              <w:spacing w:after="0"/>
              <w:rPr>
                <w:sz w:val="17"/>
                <w:szCs w:val="17"/>
                <w:color w:val="auto"/>
              </w:rPr>
            </w:pPr>
          </w:p>
        </w:tc>
        <w:tc>
          <w:tcPr>
            <w:tcW w:w="960" w:type="dxa"/>
            <w:vAlign w:val="bottom"/>
            <w:tcBorders>
              <w:bottom w:val="single" w:sz="8" w:color="0066BA"/>
            </w:tcBorders>
          </w:tcPr>
          <w:p>
            <w:pPr>
              <w:jc w:val="right"/>
              <w:spacing w:after="0"/>
              <w:rPr>
                <w:sz w:val="20"/>
                <w:szCs w:val="20"/>
                <w:color w:val="auto"/>
              </w:rPr>
            </w:pPr>
            <w:r>
              <w:rPr>
                <w:rFonts w:ascii="Arial" w:cs="Arial" w:eastAsia="Arial" w:hAnsi="Arial"/>
                <w:sz w:val="17"/>
                <w:szCs w:val="17"/>
                <w:color w:val="auto"/>
              </w:rPr>
              <w:t>14,540</w:t>
            </w:r>
          </w:p>
        </w:tc>
        <w:tc>
          <w:tcPr>
            <w:tcW w:w="120" w:type="dxa"/>
            <w:vAlign w:val="bottom"/>
            <w:tcBorders>
              <w:bottom w:val="single" w:sz="8" w:color="0066BA"/>
            </w:tcBorders>
            <w:shd w:val="clear" w:color="auto" w:fill="EAEAEA"/>
          </w:tcPr>
          <w:p>
            <w:pPr>
              <w:spacing w:after="0"/>
              <w:rPr>
                <w:sz w:val="17"/>
                <w:szCs w:val="17"/>
                <w:color w:val="auto"/>
              </w:rPr>
            </w:pPr>
          </w:p>
        </w:tc>
        <w:tc>
          <w:tcPr>
            <w:tcW w:w="8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1,723,426</w:t>
            </w:r>
          </w:p>
        </w:tc>
        <w:tc>
          <w:tcPr>
            <w:tcW w:w="100" w:type="dxa"/>
            <w:vAlign w:val="bottom"/>
            <w:tcBorders>
              <w:bottom w:val="single" w:sz="8" w:color="0066B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w w:val="95"/>
              </w:rPr>
              <w:t>3/10/2017(6)</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8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7"/>
                <w:szCs w:val="17"/>
                <w:color w:val="auto"/>
              </w:rPr>
              <w:t>5,968</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707,387</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6/15/2017</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18,234</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12,157</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79.75</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6/15/2027</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7/17/2017</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vMerge w:val="restart"/>
          </w:tcPr>
          <w:p>
            <w:pPr>
              <w:ind w:left="60"/>
              <w:spacing w:after="0"/>
              <w:rPr>
                <w:sz w:val="20"/>
                <w:szCs w:val="20"/>
                <w:color w:val="auto"/>
              </w:rPr>
            </w:pPr>
            <w:r>
              <w:rPr>
                <w:rFonts w:ascii="Arial" w:cs="Arial" w:eastAsia="Arial" w:hAnsi="Arial"/>
                <w:sz w:val="17"/>
                <w:szCs w:val="17"/>
                <w:b w:val="1"/>
                <w:bCs w:val="1"/>
                <w:color w:val="0066BA"/>
              </w:rPr>
              <w:t>Steve</w:t>
            </w: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10/16/2017</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8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7"/>
                <w:szCs w:val="17"/>
                <w:color w:val="auto"/>
              </w:rPr>
              <w:t>6,943</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822,954</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640" w:type="dxa"/>
            <w:vAlign w:val="bottom"/>
            <w:vMerge w:val="continue"/>
          </w:tcPr>
          <w:p>
            <w:pPr>
              <w:spacing w:after="0"/>
              <w:rPr>
                <w:sz w:val="5"/>
                <w:szCs w:val="5"/>
                <w:color w:val="auto"/>
              </w:rPr>
            </w:pPr>
          </w:p>
        </w:tc>
        <w:tc>
          <w:tcPr>
            <w:tcW w:w="100" w:type="dxa"/>
            <w:vAlign w:val="bottom"/>
            <w:shd w:val="clear" w:color="auto" w:fill="EAEAEA"/>
          </w:tcPr>
          <w:p>
            <w:pPr>
              <w:spacing w:after="0"/>
              <w:rPr>
                <w:sz w:val="5"/>
                <w:szCs w:val="5"/>
                <w:color w:val="auto"/>
              </w:rPr>
            </w:pPr>
          </w:p>
        </w:tc>
        <w:tc>
          <w:tcPr>
            <w:tcW w:w="94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3/29/2018</w:t>
            </w:r>
          </w:p>
        </w:tc>
        <w:tc>
          <w:tcPr>
            <w:tcW w:w="100" w:type="dxa"/>
            <w:vAlign w:val="bottom"/>
            <w:shd w:val="clear" w:color="auto" w:fill="EAEAEA"/>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7"/>
                <w:szCs w:val="17"/>
                <w:color w:val="auto"/>
              </w:rPr>
              <w:t>11,856</w:t>
            </w:r>
          </w:p>
        </w:tc>
        <w:tc>
          <w:tcPr>
            <w:tcW w:w="120" w:type="dxa"/>
            <w:vAlign w:val="bottom"/>
            <w:shd w:val="clear" w:color="auto" w:fill="EAEAEA"/>
          </w:tcPr>
          <w:p>
            <w:pPr>
              <w:spacing w:after="0"/>
              <w:rPr>
                <w:sz w:val="5"/>
                <w:szCs w:val="5"/>
                <w:color w:val="auto"/>
              </w:rPr>
            </w:pPr>
          </w:p>
        </w:tc>
        <w:tc>
          <w:tcPr>
            <w:tcW w:w="84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11,857</w:t>
            </w:r>
          </w:p>
        </w:tc>
        <w:tc>
          <w:tcPr>
            <w:tcW w:w="100" w:type="dxa"/>
            <w:vAlign w:val="bottom"/>
            <w:shd w:val="clear" w:color="auto" w:fill="EAEAEA"/>
          </w:tcPr>
          <w:p>
            <w:pPr>
              <w:spacing w:after="0"/>
              <w:rPr>
                <w:sz w:val="5"/>
                <w:szCs w:val="5"/>
                <w:color w:val="auto"/>
              </w:rPr>
            </w:pPr>
          </w:p>
        </w:tc>
        <w:tc>
          <w:tcPr>
            <w:tcW w:w="680" w:type="dxa"/>
            <w:vAlign w:val="bottom"/>
            <w:vMerge w:val="restart"/>
          </w:tcPr>
          <w:p>
            <w:pPr>
              <w:jc w:val="right"/>
              <w:ind w:right="15"/>
              <w:spacing w:after="0"/>
              <w:rPr>
                <w:sz w:val="20"/>
                <w:szCs w:val="20"/>
                <w:color w:val="auto"/>
              </w:rPr>
            </w:pPr>
            <w:r>
              <w:rPr>
                <w:rFonts w:ascii="Arial" w:cs="Arial" w:eastAsia="Arial" w:hAnsi="Arial"/>
                <w:sz w:val="17"/>
                <w:szCs w:val="17"/>
                <w:color w:val="auto"/>
              </w:rPr>
              <w:t>91.13</w:t>
            </w:r>
          </w:p>
        </w:tc>
        <w:tc>
          <w:tcPr>
            <w:tcW w:w="120" w:type="dxa"/>
            <w:vAlign w:val="bottom"/>
            <w:shd w:val="clear" w:color="auto" w:fill="EAEAEA"/>
          </w:tcPr>
          <w:p>
            <w:pPr>
              <w:spacing w:after="0"/>
              <w:rPr>
                <w:sz w:val="5"/>
                <w:szCs w:val="5"/>
                <w:color w:val="auto"/>
              </w:rPr>
            </w:pPr>
          </w:p>
        </w:tc>
        <w:tc>
          <w:tcPr>
            <w:tcW w:w="90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3/29/2028</w:t>
            </w:r>
          </w:p>
        </w:tc>
        <w:tc>
          <w:tcPr>
            <w:tcW w:w="100" w:type="dxa"/>
            <w:vAlign w:val="bottom"/>
            <w:shd w:val="clear" w:color="auto" w:fill="EAEAEA"/>
          </w:tcPr>
          <w:p>
            <w:pPr>
              <w:spacing w:after="0"/>
              <w:rPr>
                <w:sz w:val="5"/>
                <w:szCs w:val="5"/>
                <w:color w:val="auto"/>
              </w:rPr>
            </w:pPr>
          </w:p>
        </w:tc>
        <w:tc>
          <w:tcPr>
            <w:tcW w:w="860" w:type="dxa"/>
            <w:vAlign w:val="bottom"/>
            <w:gridSpan w:val="2"/>
            <w:vMerge w:val="restart"/>
          </w:tcPr>
          <w:p>
            <w:pPr>
              <w:jc w:val="right"/>
              <w:ind w:right="22"/>
              <w:spacing w:after="0"/>
              <w:rPr>
                <w:sz w:val="20"/>
                <w:szCs w:val="20"/>
                <w:color w:val="auto"/>
              </w:rPr>
            </w:pPr>
            <w:r>
              <w:rPr>
                <w:rFonts w:ascii="Arial" w:cs="Arial" w:eastAsia="Arial" w:hAnsi="Arial"/>
                <w:sz w:val="17"/>
                <w:szCs w:val="17"/>
                <w:color w:val="auto"/>
              </w:rPr>
              <w:t>2,825</w:t>
            </w:r>
          </w:p>
        </w:tc>
        <w:tc>
          <w:tcPr>
            <w:tcW w:w="100" w:type="dxa"/>
            <w:vAlign w:val="bottom"/>
            <w:shd w:val="clear" w:color="auto" w:fill="EAEAEA"/>
          </w:tcPr>
          <w:p>
            <w:pPr>
              <w:spacing w:after="0"/>
              <w:rPr>
                <w:sz w:val="5"/>
                <w:szCs w:val="5"/>
                <w:color w:val="auto"/>
              </w:rPr>
            </w:pPr>
          </w:p>
        </w:tc>
        <w:tc>
          <w:tcPr>
            <w:tcW w:w="78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334,847</w:t>
            </w:r>
          </w:p>
        </w:tc>
        <w:tc>
          <w:tcPr>
            <w:tcW w:w="120" w:type="dxa"/>
            <w:vAlign w:val="bottom"/>
            <w:shd w:val="clear" w:color="auto" w:fill="EAEAEA"/>
          </w:tcPr>
          <w:p>
            <w:pPr>
              <w:spacing w:after="0"/>
              <w:rPr>
                <w:sz w:val="5"/>
                <w:szCs w:val="5"/>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5,650</w:t>
            </w:r>
          </w:p>
        </w:tc>
        <w:tc>
          <w:tcPr>
            <w:tcW w:w="120" w:type="dxa"/>
            <w:vAlign w:val="bottom"/>
            <w:shd w:val="clear" w:color="auto" w:fill="EAEAEA"/>
          </w:tcPr>
          <w:p>
            <w:pPr>
              <w:spacing w:after="0"/>
              <w:rPr>
                <w:sz w:val="5"/>
                <w:szCs w:val="5"/>
                <w:color w:val="auto"/>
              </w:rPr>
            </w:pPr>
          </w:p>
        </w:tc>
        <w:tc>
          <w:tcPr>
            <w:tcW w:w="80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669,695</w:t>
            </w:r>
          </w:p>
        </w:tc>
        <w:tc>
          <w:tcPr>
            <w:tcW w:w="10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640" w:type="dxa"/>
            <w:vAlign w:val="bottom"/>
            <w:vMerge w:val="restart"/>
          </w:tcPr>
          <w:p>
            <w:pPr>
              <w:ind w:left="60"/>
              <w:spacing w:after="0"/>
              <w:rPr>
                <w:sz w:val="20"/>
                <w:szCs w:val="20"/>
                <w:color w:val="auto"/>
              </w:rPr>
            </w:pPr>
            <w:r>
              <w:rPr>
                <w:rFonts w:ascii="Arial" w:cs="Arial" w:eastAsia="Arial" w:hAnsi="Arial"/>
                <w:sz w:val="17"/>
                <w:szCs w:val="17"/>
                <w:b w:val="1"/>
                <w:bCs w:val="1"/>
                <w:color w:val="0066BA"/>
              </w:rPr>
              <w:t>Pietkiewicz</w:t>
            </w:r>
          </w:p>
        </w:tc>
        <w:tc>
          <w:tcPr>
            <w:tcW w:w="100" w:type="dxa"/>
            <w:vAlign w:val="bottom"/>
            <w:tcBorders>
              <w:bottom w:val="single" w:sz="8" w:color="auto"/>
            </w:tcBorders>
            <w:shd w:val="clear" w:color="auto" w:fill="EAEAEA"/>
          </w:tcPr>
          <w:p>
            <w:pPr>
              <w:spacing w:after="0"/>
              <w:rPr>
                <w:sz w:val="11"/>
                <w:szCs w:val="11"/>
                <w:color w:val="auto"/>
              </w:rPr>
            </w:pPr>
          </w:p>
        </w:tc>
        <w:tc>
          <w:tcPr>
            <w:tcW w:w="94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84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90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86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780" w:type="dxa"/>
            <w:vAlign w:val="bottom"/>
            <w:tcBorders>
              <w:bottom w:val="single" w:sz="8" w:color="auto"/>
            </w:tcBorders>
            <w:vMerge w:val="continue"/>
            <w:shd w:val="clear" w:color="auto" w:fill="EAEAEA"/>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80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1640" w:type="dxa"/>
            <w:vAlign w:val="bottom"/>
            <w:vMerge w:val="continue"/>
          </w:tcPr>
          <w:p>
            <w:pPr>
              <w:spacing w:after="0"/>
              <w:rPr>
                <w:sz w:val="6"/>
                <w:szCs w:val="6"/>
                <w:color w:val="auto"/>
              </w:rPr>
            </w:pPr>
          </w:p>
        </w:tc>
        <w:tc>
          <w:tcPr>
            <w:tcW w:w="100" w:type="dxa"/>
            <w:vAlign w:val="bottom"/>
            <w:shd w:val="clear" w:color="auto" w:fill="EAEAEA"/>
          </w:tcPr>
          <w:p>
            <w:pPr>
              <w:spacing w:after="0"/>
              <w:rPr>
                <w:sz w:val="6"/>
                <w:szCs w:val="6"/>
                <w:color w:val="auto"/>
              </w:rPr>
            </w:pPr>
          </w:p>
        </w:tc>
        <w:tc>
          <w:tcPr>
            <w:tcW w:w="94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6/15/2018</w:t>
            </w:r>
          </w:p>
        </w:tc>
        <w:tc>
          <w:tcPr>
            <w:tcW w:w="100" w:type="dxa"/>
            <w:vAlign w:val="bottom"/>
            <w:shd w:val="clear" w:color="auto" w:fill="EAEAEA"/>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shd w:val="clear" w:color="auto" w:fill="EAEAEA"/>
          </w:tcPr>
          <w:p>
            <w:pPr>
              <w:spacing w:after="0"/>
              <w:rPr>
                <w:sz w:val="6"/>
                <w:szCs w:val="6"/>
                <w:color w:val="auto"/>
              </w:rPr>
            </w:pPr>
          </w:p>
        </w:tc>
        <w:tc>
          <w:tcPr>
            <w:tcW w:w="84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AEAEA"/>
          </w:tcPr>
          <w:p>
            <w:pPr>
              <w:spacing w:after="0"/>
              <w:rPr>
                <w:sz w:val="6"/>
                <w:szCs w:val="6"/>
                <w:color w:val="auto"/>
              </w:rPr>
            </w:pPr>
          </w:p>
        </w:tc>
        <w:tc>
          <w:tcPr>
            <w:tcW w:w="68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shd w:val="clear" w:color="auto" w:fill="EAEAEA"/>
          </w:tcPr>
          <w:p>
            <w:pPr>
              <w:spacing w:after="0"/>
              <w:rPr>
                <w:sz w:val="6"/>
                <w:szCs w:val="6"/>
                <w:color w:val="auto"/>
              </w:rPr>
            </w:pPr>
          </w:p>
        </w:tc>
        <w:tc>
          <w:tcPr>
            <w:tcW w:w="90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AEAEA"/>
          </w:tcPr>
          <w:p>
            <w:pPr>
              <w:spacing w:after="0"/>
              <w:rPr>
                <w:sz w:val="6"/>
                <w:szCs w:val="6"/>
                <w:color w:val="auto"/>
              </w:rPr>
            </w:pPr>
          </w:p>
        </w:tc>
        <w:tc>
          <w:tcPr>
            <w:tcW w:w="860" w:type="dxa"/>
            <w:vAlign w:val="bottom"/>
            <w:gridSpan w:val="2"/>
            <w:vMerge w:val="restart"/>
          </w:tcPr>
          <w:p>
            <w:pPr>
              <w:jc w:val="right"/>
              <w:ind w:right="22"/>
              <w:spacing w:after="0"/>
              <w:rPr>
                <w:sz w:val="20"/>
                <w:szCs w:val="20"/>
                <w:color w:val="auto"/>
              </w:rPr>
            </w:pPr>
            <w:r>
              <w:rPr>
                <w:rFonts w:ascii="Arial" w:cs="Arial" w:eastAsia="Arial" w:hAnsi="Arial"/>
                <w:sz w:val="17"/>
                <w:szCs w:val="17"/>
                <w:color w:val="auto"/>
              </w:rPr>
              <w:t>2,014</w:t>
            </w:r>
          </w:p>
        </w:tc>
        <w:tc>
          <w:tcPr>
            <w:tcW w:w="100" w:type="dxa"/>
            <w:vAlign w:val="bottom"/>
            <w:shd w:val="clear" w:color="auto" w:fill="EAEAEA"/>
          </w:tcPr>
          <w:p>
            <w:pPr>
              <w:spacing w:after="0"/>
              <w:rPr>
                <w:sz w:val="6"/>
                <w:szCs w:val="6"/>
                <w:color w:val="auto"/>
              </w:rPr>
            </w:pPr>
          </w:p>
        </w:tc>
        <w:tc>
          <w:tcPr>
            <w:tcW w:w="78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238,719</w:t>
            </w:r>
          </w:p>
        </w:tc>
        <w:tc>
          <w:tcPr>
            <w:tcW w:w="120" w:type="dxa"/>
            <w:vAlign w:val="bottom"/>
            <w:shd w:val="clear" w:color="auto" w:fill="EAEAEA"/>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EAEAEA"/>
          </w:tcPr>
          <w:p>
            <w:pPr>
              <w:spacing w:after="0"/>
              <w:rPr>
                <w:sz w:val="6"/>
                <w:szCs w:val="6"/>
                <w:color w:val="auto"/>
              </w:rPr>
            </w:pPr>
          </w:p>
        </w:tc>
        <w:tc>
          <w:tcPr>
            <w:tcW w:w="800" w:type="dxa"/>
            <w:vAlign w:val="bottom"/>
            <w:vMerge w:val="restart"/>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94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84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90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86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780" w:type="dxa"/>
            <w:vAlign w:val="bottom"/>
            <w:tcBorders>
              <w:bottom w:val="single" w:sz="8" w:color="auto"/>
            </w:tcBorders>
            <w:vMerge w:val="continue"/>
            <w:shd w:val="clear" w:color="auto" w:fill="EAEAEA"/>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80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3/13/2019</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4,419</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13,257</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108.08</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3/13/2029</w:t>
            </w:r>
          </w:p>
        </w:tc>
        <w:tc>
          <w:tcPr>
            <w:tcW w:w="100" w:type="dxa"/>
            <w:vAlign w:val="bottom"/>
            <w:tcBorders>
              <w:bottom w:val="single" w:sz="8" w:color="auto"/>
            </w:tcBorders>
            <w:shd w:val="clear" w:color="auto" w:fill="EAEAEA"/>
          </w:tcPr>
          <w:p>
            <w:pPr>
              <w:spacing w:after="0"/>
              <w:rPr>
                <w:sz w:val="17"/>
                <w:szCs w:val="17"/>
                <w:color w:val="auto"/>
              </w:rPr>
            </w:pPr>
          </w:p>
        </w:tc>
        <w:tc>
          <w:tcPr>
            <w:tcW w:w="8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7"/>
                <w:szCs w:val="17"/>
                <w:color w:val="auto"/>
              </w:rPr>
              <w:t>2,994</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354,879</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3,992</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473,172</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00" w:type="dxa"/>
            <w:vAlign w:val="bottom"/>
            <w:tcBorders>
              <w:bottom w:val="single" w:sz="8" w:color="auto"/>
            </w:tcBorders>
            <w:shd w:val="clear" w:color="auto" w:fill="EAEAEA"/>
          </w:tcPr>
          <w:p>
            <w:pPr>
              <w:spacing w:after="0"/>
              <w:rPr>
                <w:sz w:val="17"/>
                <w:szCs w:val="17"/>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6/17/2019</w:t>
            </w:r>
          </w:p>
        </w:tc>
        <w:tc>
          <w:tcPr>
            <w:tcW w:w="100" w:type="dxa"/>
            <w:vAlign w:val="bottom"/>
            <w:tcBorders>
              <w:bottom w:val="single" w:sz="8" w:color="auto"/>
            </w:tcBorders>
            <w:shd w:val="clear" w:color="auto" w:fill="EAEAEA"/>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8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7"/>
                <w:szCs w:val="17"/>
                <w:color w:val="auto"/>
              </w:rPr>
              <w:t>2,887</w:t>
            </w:r>
          </w:p>
        </w:tc>
        <w:tc>
          <w:tcPr>
            <w:tcW w:w="100" w:type="dxa"/>
            <w:vAlign w:val="bottom"/>
            <w:tcBorders>
              <w:bottom w:val="single" w:sz="8" w:color="auto"/>
            </w:tcBorders>
            <w:shd w:val="clear" w:color="auto" w:fill="EAEAEA"/>
          </w:tcPr>
          <w:p>
            <w:pPr>
              <w:spacing w:after="0"/>
              <w:rPr>
                <w:sz w:val="17"/>
                <w:szCs w:val="17"/>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342,196</w:t>
            </w:r>
          </w:p>
        </w:tc>
        <w:tc>
          <w:tcPr>
            <w:tcW w:w="120" w:type="dxa"/>
            <w:vAlign w:val="bottom"/>
            <w:tcBorders>
              <w:bottom w:val="single" w:sz="8" w:color="auto"/>
            </w:tcBorders>
            <w:shd w:val="clear" w:color="auto" w:fill="EAEAEA"/>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tcBorders>
              <w:bottom w:val="single" w:sz="8" w:color="0066BA"/>
            </w:tcBorders>
          </w:tcPr>
          <w:p>
            <w:pPr>
              <w:spacing w:after="0"/>
              <w:rPr>
                <w:sz w:val="17"/>
                <w:szCs w:val="17"/>
                <w:color w:val="auto"/>
              </w:rPr>
            </w:pPr>
          </w:p>
        </w:tc>
        <w:tc>
          <w:tcPr>
            <w:tcW w:w="100" w:type="dxa"/>
            <w:vAlign w:val="bottom"/>
            <w:tcBorders>
              <w:bottom w:val="single" w:sz="8" w:color="0066BA"/>
            </w:tcBorders>
            <w:shd w:val="clear" w:color="auto" w:fill="EAEAEA"/>
          </w:tcPr>
          <w:p>
            <w:pPr>
              <w:spacing w:after="0"/>
              <w:rPr>
                <w:sz w:val="17"/>
                <w:szCs w:val="17"/>
                <w:color w:val="auto"/>
              </w:rPr>
            </w:pPr>
          </w:p>
        </w:tc>
        <w:tc>
          <w:tcPr>
            <w:tcW w:w="9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3/11/2020</w:t>
            </w:r>
          </w:p>
        </w:tc>
        <w:tc>
          <w:tcPr>
            <w:tcW w:w="100" w:type="dxa"/>
            <w:vAlign w:val="bottom"/>
            <w:tcBorders>
              <w:bottom w:val="single" w:sz="8" w:color="0066BA"/>
            </w:tcBorders>
            <w:shd w:val="clear" w:color="auto" w:fill="EAEAEA"/>
          </w:tcPr>
          <w:p>
            <w:pPr>
              <w:spacing w:after="0"/>
              <w:rPr>
                <w:sz w:val="17"/>
                <w:szCs w:val="17"/>
                <w:color w:val="auto"/>
              </w:rPr>
            </w:pPr>
          </w:p>
        </w:tc>
        <w:tc>
          <w:tcPr>
            <w:tcW w:w="60" w:type="dxa"/>
            <w:vAlign w:val="bottom"/>
            <w:tcBorders>
              <w:bottom w:val="single" w:sz="8" w:color="0066BA"/>
            </w:tcBorders>
          </w:tcPr>
          <w:p>
            <w:pPr>
              <w:spacing w:after="0"/>
              <w:rPr>
                <w:sz w:val="17"/>
                <w:szCs w:val="17"/>
                <w:color w:val="auto"/>
              </w:rPr>
            </w:pPr>
          </w:p>
        </w:tc>
        <w:tc>
          <w:tcPr>
            <w:tcW w:w="740" w:type="dxa"/>
            <w:vAlign w:val="bottom"/>
            <w:tcBorders>
              <w:bottom w:val="single" w:sz="8" w:color="0066BA"/>
            </w:tcBorders>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0066BA"/>
            </w:tcBorders>
            <w:shd w:val="clear" w:color="auto" w:fill="EAEAEA"/>
          </w:tcPr>
          <w:p>
            <w:pPr>
              <w:spacing w:after="0"/>
              <w:rPr>
                <w:sz w:val="17"/>
                <w:szCs w:val="17"/>
                <w:color w:val="auto"/>
              </w:rPr>
            </w:pPr>
          </w:p>
        </w:tc>
        <w:tc>
          <w:tcPr>
            <w:tcW w:w="8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24,232</w:t>
            </w:r>
          </w:p>
        </w:tc>
        <w:tc>
          <w:tcPr>
            <w:tcW w:w="100" w:type="dxa"/>
            <w:vAlign w:val="bottom"/>
            <w:tcBorders>
              <w:bottom w:val="single" w:sz="8" w:color="0066BA"/>
            </w:tcBorders>
            <w:shd w:val="clear" w:color="auto" w:fill="EAEAEA"/>
          </w:tcPr>
          <w:p>
            <w:pPr>
              <w:spacing w:after="0"/>
              <w:rPr>
                <w:sz w:val="17"/>
                <w:szCs w:val="17"/>
                <w:color w:val="auto"/>
              </w:rPr>
            </w:pPr>
          </w:p>
        </w:tc>
        <w:tc>
          <w:tcPr>
            <w:tcW w:w="680" w:type="dxa"/>
            <w:vAlign w:val="bottom"/>
            <w:tcBorders>
              <w:bottom w:val="single" w:sz="8" w:color="0066BA"/>
            </w:tcBorders>
          </w:tcPr>
          <w:p>
            <w:pPr>
              <w:jc w:val="right"/>
              <w:ind w:right="15"/>
              <w:spacing w:after="0"/>
              <w:rPr>
                <w:sz w:val="20"/>
                <w:szCs w:val="20"/>
                <w:color w:val="auto"/>
              </w:rPr>
            </w:pPr>
            <w:r>
              <w:rPr>
                <w:rFonts w:ascii="Arial" w:cs="Arial" w:eastAsia="Arial" w:hAnsi="Arial"/>
                <w:sz w:val="17"/>
                <w:szCs w:val="17"/>
                <w:color w:val="auto"/>
              </w:rPr>
              <w:t>94.41</w:t>
            </w:r>
          </w:p>
        </w:tc>
        <w:tc>
          <w:tcPr>
            <w:tcW w:w="120" w:type="dxa"/>
            <w:vAlign w:val="bottom"/>
            <w:tcBorders>
              <w:bottom w:val="single" w:sz="8" w:color="0066BA"/>
            </w:tcBorders>
            <w:shd w:val="clear" w:color="auto" w:fill="EAEAEA"/>
          </w:tcPr>
          <w:p>
            <w:pPr>
              <w:spacing w:after="0"/>
              <w:rPr>
                <w:sz w:val="17"/>
                <w:szCs w:val="17"/>
                <w:color w:val="auto"/>
              </w:rPr>
            </w:pPr>
          </w:p>
        </w:tc>
        <w:tc>
          <w:tcPr>
            <w:tcW w:w="9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3/11/2030</w:t>
            </w:r>
          </w:p>
        </w:tc>
        <w:tc>
          <w:tcPr>
            <w:tcW w:w="100" w:type="dxa"/>
            <w:vAlign w:val="bottom"/>
            <w:tcBorders>
              <w:bottom w:val="single" w:sz="8" w:color="0066BA"/>
            </w:tcBorders>
            <w:shd w:val="clear" w:color="auto" w:fill="EAEAEA"/>
          </w:tcPr>
          <w:p>
            <w:pPr>
              <w:spacing w:after="0"/>
              <w:rPr>
                <w:sz w:val="17"/>
                <w:szCs w:val="17"/>
                <w:color w:val="auto"/>
              </w:rPr>
            </w:pPr>
          </w:p>
        </w:tc>
        <w:tc>
          <w:tcPr>
            <w:tcW w:w="860" w:type="dxa"/>
            <w:vAlign w:val="bottom"/>
            <w:tcBorders>
              <w:bottom w:val="single" w:sz="8" w:color="0066BA"/>
            </w:tcBorders>
            <w:gridSpan w:val="2"/>
          </w:tcPr>
          <w:p>
            <w:pPr>
              <w:jc w:val="right"/>
              <w:ind w:right="22"/>
              <w:spacing w:after="0"/>
              <w:rPr>
                <w:sz w:val="20"/>
                <w:szCs w:val="20"/>
                <w:color w:val="auto"/>
              </w:rPr>
            </w:pPr>
            <w:r>
              <w:rPr>
                <w:rFonts w:ascii="Arial" w:cs="Arial" w:eastAsia="Arial" w:hAnsi="Arial"/>
                <w:sz w:val="17"/>
                <w:szCs w:val="17"/>
                <w:color w:val="auto"/>
              </w:rPr>
              <w:t>4,927</w:t>
            </w:r>
          </w:p>
        </w:tc>
        <w:tc>
          <w:tcPr>
            <w:tcW w:w="100" w:type="dxa"/>
            <w:vAlign w:val="bottom"/>
            <w:tcBorders>
              <w:bottom w:val="single" w:sz="8" w:color="0066BA"/>
            </w:tcBorders>
            <w:shd w:val="clear" w:color="auto" w:fill="EAEAEA"/>
          </w:tcPr>
          <w:p>
            <w:pPr>
              <w:spacing w:after="0"/>
              <w:rPr>
                <w:sz w:val="17"/>
                <w:szCs w:val="17"/>
                <w:color w:val="auto"/>
              </w:rPr>
            </w:pPr>
          </w:p>
        </w:tc>
        <w:tc>
          <w:tcPr>
            <w:tcW w:w="78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583,997</w:t>
            </w:r>
          </w:p>
        </w:tc>
        <w:tc>
          <w:tcPr>
            <w:tcW w:w="120" w:type="dxa"/>
            <w:vAlign w:val="bottom"/>
            <w:tcBorders>
              <w:bottom w:val="single" w:sz="8" w:color="0066BA"/>
            </w:tcBorders>
            <w:shd w:val="clear" w:color="auto" w:fill="EAEAEA"/>
          </w:tcPr>
          <w:p>
            <w:pPr>
              <w:spacing w:after="0"/>
              <w:rPr>
                <w:sz w:val="17"/>
                <w:szCs w:val="17"/>
                <w:color w:val="auto"/>
              </w:rPr>
            </w:pPr>
          </w:p>
        </w:tc>
        <w:tc>
          <w:tcPr>
            <w:tcW w:w="960" w:type="dxa"/>
            <w:vAlign w:val="bottom"/>
            <w:tcBorders>
              <w:bottom w:val="single" w:sz="8" w:color="0066BA"/>
            </w:tcBorders>
          </w:tcPr>
          <w:p>
            <w:pPr>
              <w:jc w:val="right"/>
              <w:spacing w:after="0"/>
              <w:rPr>
                <w:sz w:val="20"/>
                <w:szCs w:val="20"/>
                <w:color w:val="auto"/>
              </w:rPr>
            </w:pPr>
            <w:r>
              <w:rPr>
                <w:rFonts w:ascii="Arial" w:cs="Arial" w:eastAsia="Arial" w:hAnsi="Arial"/>
                <w:sz w:val="17"/>
                <w:szCs w:val="17"/>
                <w:color w:val="auto"/>
              </w:rPr>
              <w:t>14,540</w:t>
            </w:r>
          </w:p>
        </w:tc>
        <w:tc>
          <w:tcPr>
            <w:tcW w:w="120" w:type="dxa"/>
            <w:vAlign w:val="bottom"/>
            <w:tcBorders>
              <w:bottom w:val="single" w:sz="8" w:color="0066BA"/>
            </w:tcBorders>
            <w:shd w:val="clear" w:color="auto" w:fill="EAEAEA"/>
          </w:tcPr>
          <w:p>
            <w:pPr>
              <w:spacing w:after="0"/>
              <w:rPr>
                <w:sz w:val="17"/>
                <w:szCs w:val="17"/>
                <w:color w:val="auto"/>
              </w:rPr>
            </w:pPr>
          </w:p>
        </w:tc>
        <w:tc>
          <w:tcPr>
            <w:tcW w:w="8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1,723,426</w:t>
            </w:r>
          </w:p>
        </w:tc>
        <w:tc>
          <w:tcPr>
            <w:tcW w:w="100" w:type="dxa"/>
            <w:vAlign w:val="bottom"/>
            <w:tcBorders>
              <w:bottom w:val="single" w:sz="8" w:color="0066B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0760"/>
          </w:cols>
          <w:pgMar w:left="320" w:top="447" w:right="81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43" w:lineRule="exact"/>
        <w:rPr>
          <w:sz w:val="20"/>
          <w:szCs w:val="20"/>
          <w:color w:val="auto"/>
        </w:rPr>
      </w:pPr>
    </w:p>
    <w:p>
      <w:pPr>
        <w:ind w:left="2420" w:right="2240" w:hanging="514"/>
        <w:spacing w:after="0" w:line="286" w:lineRule="auto"/>
        <w:tabs>
          <w:tab w:leader="none" w:pos="2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unexercisable options held by these officers vest, subject to continued employment, as follows:</w:t>
      </w:r>
    </w:p>
    <w:p>
      <w:pPr>
        <w:spacing w:after="0" w:line="197" w:lineRule="exact"/>
        <w:rPr>
          <w:sz w:val="20"/>
          <w:szCs w:val="20"/>
          <w:color w:val="auto"/>
        </w:rPr>
      </w:pPr>
    </w:p>
    <w:tbl>
      <w:tblPr>
        <w:tblLayout w:type="fixed"/>
        <w:tblInd w:w="1920" w:type="dxa"/>
        <w:tblCellMar>
          <w:top w:w="0" w:type="dxa"/>
          <w:left w:w="0" w:type="dxa"/>
          <w:bottom w:w="0" w:type="dxa"/>
          <w:right w:w="0" w:type="dxa"/>
        </w:tblCellMar>
      </w:tblPr>
      <w:tr>
        <w:trPr>
          <w:trHeight w:val="171"/>
        </w:trPr>
        <w:tc>
          <w:tcPr>
            <w:tcW w:w="1760" w:type="dxa"/>
            <w:vAlign w:val="bottom"/>
            <w:shd w:val="clear" w:color="auto" w:fill="0066BA"/>
          </w:tcPr>
          <w:p>
            <w:pPr>
              <w:ind w:left="80"/>
              <w:spacing w:after="0"/>
              <w:rPr>
                <w:sz w:val="20"/>
                <w:szCs w:val="20"/>
                <w:color w:val="auto"/>
              </w:rPr>
            </w:pPr>
            <w:r>
              <w:rPr>
                <w:rFonts w:ascii="Arial" w:cs="Arial" w:eastAsia="Arial" w:hAnsi="Arial"/>
                <w:sz w:val="14"/>
                <w:szCs w:val="14"/>
                <w:b w:val="1"/>
                <w:bCs w:val="1"/>
                <w:color w:val="FFFFFF"/>
              </w:rPr>
              <w:t>Grant Date</w:t>
            </w:r>
          </w:p>
        </w:tc>
        <w:tc>
          <w:tcPr>
            <w:tcW w:w="1100" w:type="dxa"/>
            <w:vAlign w:val="bottom"/>
            <w:shd w:val="clear" w:color="auto" w:fill="0066BA"/>
          </w:tcPr>
          <w:p>
            <w:pPr>
              <w:jc w:val="right"/>
              <w:ind w:right="35"/>
              <w:spacing w:after="0"/>
              <w:rPr>
                <w:sz w:val="20"/>
                <w:szCs w:val="20"/>
                <w:color w:val="auto"/>
              </w:rPr>
            </w:pPr>
            <w:r>
              <w:rPr>
                <w:rFonts w:ascii="Arial" w:cs="Arial" w:eastAsia="Arial" w:hAnsi="Arial"/>
                <w:sz w:val="14"/>
                <w:szCs w:val="14"/>
                <w:b w:val="1"/>
                <w:bCs w:val="1"/>
                <w:color w:val="FFFFFF"/>
              </w:rPr>
              <w:t>Vest</w:t>
            </w:r>
          </w:p>
        </w:tc>
        <w:tc>
          <w:tcPr>
            <w:tcW w:w="860" w:type="dxa"/>
            <w:vAlign w:val="bottom"/>
            <w:shd w:val="clear" w:color="auto" w:fill="0066BA"/>
          </w:tcPr>
          <w:p>
            <w:pPr>
              <w:jc w:val="right"/>
              <w:ind w:right="35"/>
              <w:spacing w:after="0"/>
              <w:rPr>
                <w:sz w:val="20"/>
                <w:szCs w:val="20"/>
                <w:color w:val="auto"/>
              </w:rPr>
            </w:pPr>
            <w:r>
              <w:rPr>
                <w:rFonts w:ascii="Arial" w:cs="Arial" w:eastAsia="Arial" w:hAnsi="Arial"/>
                <w:sz w:val="14"/>
                <w:szCs w:val="14"/>
                <w:b w:val="1"/>
                <w:bCs w:val="1"/>
                <w:color w:val="FFFFFF"/>
              </w:rPr>
              <w:t>Vincent</w:t>
            </w:r>
          </w:p>
        </w:tc>
        <w:tc>
          <w:tcPr>
            <w:tcW w:w="1020" w:type="dxa"/>
            <w:vAlign w:val="bottom"/>
            <w:shd w:val="clear" w:color="auto" w:fill="0066BA"/>
          </w:tcPr>
          <w:p>
            <w:pPr>
              <w:jc w:val="right"/>
              <w:ind w:right="56"/>
              <w:spacing w:after="0"/>
              <w:rPr>
                <w:sz w:val="20"/>
                <w:szCs w:val="20"/>
                <w:color w:val="auto"/>
              </w:rPr>
            </w:pPr>
            <w:r>
              <w:rPr>
                <w:rFonts w:ascii="Arial" w:cs="Arial" w:eastAsia="Arial" w:hAnsi="Arial"/>
                <w:sz w:val="14"/>
                <w:szCs w:val="14"/>
                <w:b w:val="1"/>
                <w:bCs w:val="1"/>
                <w:color w:val="FFFFFF"/>
              </w:rPr>
              <w:t>Prashanth</w:t>
            </w:r>
          </w:p>
        </w:tc>
        <w:tc>
          <w:tcPr>
            <w:tcW w:w="760" w:type="dxa"/>
            <w:vAlign w:val="bottom"/>
            <w:shd w:val="clear" w:color="auto" w:fill="0066BA"/>
          </w:tcPr>
          <w:p>
            <w:pPr>
              <w:jc w:val="right"/>
              <w:ind w:right="35"/>
              <w:spacing w:after="0"/>
              <w:rPr>
                <w:sz w:val="20"/>
                <w:szCs w:val="20"/>
                <w:color w:val="auto"/>
              </w:rPr>
            </w:pPr>
            <w:r>
              <w:rPr>
                <w:rFonts w:ascii="Arial" w:cs="Arial" w:eastAsia="Arial" w:hAnsi="Arial"/>
                <w:sz w:val="14"/>
                <w:szCs w:val="14"/>
                <w:b w:val="1"/>
                <w:bCs w:val="1"/>
                <w:color w:val="FFFFFF"/>
              </w:rPr>
              <w:t>Martin</w:t>
            </w:r>
          </w:p>
        </w:tc>
        <w:tc>
          <w:tcPr>
            <w:tcW w:w="840" w:type="dxa"/>
            <w:vAlign w:val="bottom"/>
            <w:shd w:val="clear" w:color="auto" w:fill="0066BA"/>
          </w:tcPr>
          <w:p>
            <w:pPr>
              <w:jc w:val="right"/>
              <w:ind w:right="55"/>
              <w:spacing w:after="0"/>
              <w:rPr>
                <w:sz w:val="20"/>
                <w:szCs w:val="20"/>
                <w:color w:val="auto"/>
              </w:rPr>
            </w:pPr>
            <w:r>
              <w:rPr>
                <w:rFonts w:ascii="Arial" w:cs="Arial" w:eastAsia="Arial" w:hAnsi="Arial"/>
                <w:sz w:val="14"/>
                <w:szCs w:val="14"/>
                <w:b w:val="1"/>
                <w:bCs w:val="1"/>
                <w:color w:val="FFFFFF"/>
              </w:rPr>
              <w:t>John</w:t>
            </w:r>
          </w:p>
        </w:tc>
        <w:tc>
          <w:tcPr>
            <w:tcW w:w="1060" w:type="dxa"/>
            <w:vAlign w:val="bottom"/>
            <w:shd w:val="clear" w:color="auto" w:fill="0066BA"/>
          </w:tcPr>
          <w:p>
            <w:pPr>
              <w:jc w:val="right"/>
              <w:ind w:right="35"/>
              <w:spacing w:after="0"/>
              <w:rPr>
                <w:sz w:val="20"/>
                <w:szCs w:val="20"/>
                <w:color w:val="auto"/>
              </w:rPr>
            </w:pPr>
            <w:r>
              <w:rPr>
                <w:rFonts w:ascii="Arial" w:cs="Arial" w:eastAsia="Arial" w:hAnsi="Arial"/>
                <w:sz w:val="14"/>
                <w:szCs w:val="14"/>
                <w:b w:val="1"/>
                <w:bCs w:val="1"/>
                <w:color w:val="FFFFFF"/>
              </w:rPr>
              <w:t>Steve</w:t>
            </w:r>
          </w:p>
        </w:tc>
      </w:tr>
      <w:tr>
        <w:trPr>
          <w:trHeight w:val="156"/>
        </w:trPr>
        <w:tc>
          <w:tcPr>
            <w:tcW w:w="1760" w:type="dxa"/>
            <w:vAlign w:val="bottom"/>
            <w:shd w:val="clear" w:color="auto" w:fill="0066BA"/>
          </w:tcPr>
          <w:p>
            <w:pPr>
              <w:spacing w:after="0"/>
              <w:rPr>
                <w:sz w:val="13"/>
                <w:szCs w:val="13"/>
                <w:color w:val="auto"/>
              </w:rPr>
            </w:pPr>
          </w:p>
        </w:tc>
        <w:tc>
          <w:tcPr>
            <w:tcW w:w="1100" w:type="dxa"/>
            <w:vAlign w:val="bottom"/>
            <w:shd w:val="clear" w:color="auto" w:fill="0066BA"/>
          </w:tcPr>
          <w:p>
            <w:pPr>
              <w:jc w:val="right"/>
              <w:ind w:right="35"/>
              <w:spacing w:after="0" w:line="156" w:lineRule="exact"/>
              <w:rPr>
                <w:sz w:val="20"/>
                <w:szCs w:val="20"/>
                <w:color w:val="auto"/>
              </w:rPr>
            </w:pPr>
            <w:r>
              <w:rPr>
                <w:rFonts w:ascii="Arial" w:cs="Arial" w:eastAsia="Arial" w:hAnsi="Arial"/>
                <w:sz w:val="14"/>
                <w:szCs w:val="14"/>
                <w:b w:val="1"/>
                <w:bCs w:val="1"/>
                <w:color w:val="FFFFFF"/>
              </w:rPr>
              <w:t>Date</w:t>
            </w:r>
          </w:p>
        </w:tc>
        <w:tc>
          <w:tcPr>
            <w:tcW w:w="860" w:type="dxa"/>
            <w:vAlign w:val="bottom"/>
            <w:shd w:val="clear" w:color="auto" w:fill="0066BA"/>
          </w:tcPr>
          <w:p>
            <w:pPr>
              <w:jc w:val="right"/>
              <w:ind w:right="35"/>
              <w:spacing w:after="0" w:line="156" w:lineRule="exact"/>
              <w:rPr>
                <w:sz w:val="20"/>
                <w:szCs w:val="20"/>
                <w:color w:val="auto"/>
              </w:rPr>
            </w:pPr>
            <w:r>
              <w:rPr>
                <w:rFonts w:ascii="Arial" w:cs="Arial" w:eastAsia="Arial" w:hAnsi="Arial"/>
                <w:sz w:val="14"/>
                <w:szCs w:val="14"/>
                <w:b w:val="1"/>
                <w:bCs w:val="1"/>
                <w:color w:val="FFFFFF"/>
              </w:rPr>
              <w:t>Roche</w:t>
            </w:r>
          </w:p>
        </w:tc>
        <w:tc>
          <w:tcPr>
            <w:tcW w:w="1020" w:type="dxa"/>
            <w:vAlign w:val="bottom"/>
            <w:shd w:val="clear" w:color="auto" w:fill="0066BA"/>
          </w:tcPr>
          <w:p>
            <w:pPr>
              <w:jc w:val="right"/>
              <w:ind w:right="56"/>
              <w:spacing w:after="0" w:line="156" w:lineRule="exact"/>
              <w:rPr>
                <w:sz w:val="20"/>
                <w:szCs w:val="20"/>
                <w:color w:val="auto"/>
              </w:rPr>
            </w:pPr>
            <w:r>
              <w:rPr>
                <w:rFonts w:ascii="Arial" w:cs="Arial" w:eastAsia="Arial" w:hAnsi="Arial"/>
                <w:sz w:val="14"/>
                <w:szCs w:val="14"/>
                <w:b w:val="1"/>
                <w:bCs w:val="1"/>
                <w:color w:val="FFFFFF"/>
              </w:rPr>
              <w:t>Mahendra</w:t>
            </w:r>
          </w:p>
        </w:tc>
        <w:tc>
          <w:tcPr>
            <w:tcW w:w="760" w:type="dxa"/>
            <w:vAlign w:val="bottom"/>
            <w:shd w:val="clear" w:color="auto" w:fill="0066BA"/>
          </w:tcPr>
          <w:p>
            <w:pPr>
              <w:jc w:val="right"/>
              <w:ind w:right="35"/>
              <w:spacing w:after="0" w:line="156" w:lineRule="exact"/>
              <w:rPr>
                <w:sz w:val="20"/>
                <w:szCs w:val="20"/>
                <w:color w:val="auto"/>
              </w:rPr>
            </w:pPr>
            <w:r>
              <w:rPr>
                <w:rFonts w:ascii="Arial" w:cs="Arial" w:eastAsia="Arial" w:hAnsi="Arial"/>
                <w:sz w:val="14"/>
                <w:szCs w:val="14"/>
                <w:b w:val="1"/>
                <w:bCs w:val="1"/>
                <w:color w:val="FFFFFF"/>
              </w:rPr>
              <w:t>Cotter</w:t>
            </w:r>
          </w:p>
        </w:tc>
        <w:tc>
          <w:tcPr>
            <w:tcW w:w="840" w:type="dxa"/>
            <w:vAlign w:val="bottom"/>
            <w:shd w:val="clear" w:color="auto" w:fill="0066BA"/>
          </w:tcPr>
          <w:p>
            <w:pPr>
              <w:jc w:val="right"/>
              <w:ind w:right="55"/>
              <w:spacing w:after="0" w:line="156" w:lineRule="exact"/>
              <w:rPr>
                <w:sz w:val="20"/>
                <w:szCs w:val="20"/>
                <w:color w:val="auto"/>
              </w:rPr>
            </w:pPr>
            <w:r>
              <w:rPr>
                <w:rFonts w:ascii="Arial" w:cs="Arial" w:eastAsia="Arial" w:hAnsi="Arial"/>
                <w:sz w:val="14"/>
                <w:szCs w:val="14"/>
                <w:b w:val="1"/>
                <w:bCs w:val="1"/>
                <w:color w:val="FFFFFF"/>
              </w:rPr>
              <w:t>Hassett</w:t>
            </w:r>
          </w:p>
        </w:tc>
        <w:tc>
          <w:tcPr>
            <w:tcW w:w="1060" w:type="dxa"/>
            <w:vAlign w:val="bottom"/>
            <w:shd w:val="clear" w:color="auto" w:fill="0066BA"/>
          </w:tcPr>
          <w:p>
            <w:pPr>
              <w:jc w:val="right"/>
              <w:ind w:right="35"/>
              <w:spacing w:after="0" w:line="156" w:lineRule="exact"/>
              <w:rPr>
                <w:sz w:val="20"/>
                <w:szCs w:val="20"/>
                <w:color w:val="auto"/>
              </w:rPr>
            </w:pPr>
            <w:r>
              <w:rPr>
                <w:rFonts w:ascii="Arial" w:cs="Arial" w:eastAsia="Arial" w:hAnsi="Arial"/>
                <w:sz w:val="14"/>
                <w:szCs w:val="14"/>
                <w:b w:val="1"/>
                <w:bCs w:val="1"/>
                <w:color w:val="FFFFFF"/>
              </w:rPr>
              <w:t>Pietkiewicz</w:t>
            </w:r>
          </w:p>
        </w:tc>
      </w:tr>
      <w:tr>
        <w:trPr>
          <w:trHeight w:val="181"/>
        </w:trPr>
        <w:tc>
          <w:tcPr>
            <w:tcW w:w="1760" w:type="dxa"/>
            <w:vAlign w:val="bottom"/>
            <w:shd w:val="clear" w:color="auto" w:fill="0066BA"/>
          </w:tcPr>
          <w:p>
            <w:pPr>
              <w:spacing w:after="0"/>
              <w:rPr>
                <w:sz w:val="15"/>
                <w:szCs w:val="15"/>
                <w:color w:val="auto"/>
              </w:rPr>
            </w:pPr>
          </w:p>
        </w:tc>
        <w:tc>
          <w:tcPr>
            <w:tcW w:w="1100" w:type="dxa"/>
            <w:vAlign w:val="bottom"/>
            <w:shd w:val="clear" w:color="auto" w:fill="0066BA"/>
          </w:tcPr>
          <w:p>
            <w:pPr>
              <w:spacing w:after="0"/>
              <w:rPr>
                <w:sz w:val="15"/>
                <w:szCs w:val="15"/>
                <w:color w:val="auto"/>
              </w:rPr>
            </w:pPr>
          </w:p>
        </w:tc>
        <w:tc>
          <w:tcPr>
            <w:tcW w:w="860" w:type="dxa"/>
            <w:vAlign w:val="bottom"/>
            <w:shd w:val="clear" w:color="auto" w:fill="0066BA"/>
          </w:tcPr>
          <w:p>
            <w:pPr>
              <w:spacing w:after="0"/>
              <w:rPr>
                <w:sz w:val="15"/>
                <w:szCs w:val="15"/>
                <w:color w:val="auto"/>
              </w:rPr>
            </w:pPr>
          </w:p>
        </w:tc>
        <w:tc>
          <w:tcPr>
            <w:tcW w:w="1020" w:type="dxa"/>
            <w:vAlign w:val="bottom"/>
            <w:shd w:val="clear" w:color="auto" w:fill="0066BA"/>
          </w:tcPr>
          <w:p>
            <w:pPr>
              <w:jc w:val="right"/>
              <w:ind w:right="56"/>
              <w:spacing w:after="0"/>
              <w:rPr>
                <w:sz w:val="20"/>
                <w:szCs w:val="20"/>
                <w:color w:val="auto"/>
              </w:rPr>
            </w:pPr>
            <w:r>
              <w:rPr>
                <w:rFonts w:ascii="Arial" w:cs="Arial" w:eastAsia="Arial" w:hAnsi="Arial"/>
                <w:sz w:val="14"/>
                <w:szCs w:val="14"/>
                <w:b w:val="1"/>
                <w:bCs w:val="1"/>
                <w:color w:val="FFFFFF"/>
              </w:rPr>
              <w:t>-Rajah</w:t>
            </w:r>
          </w:p>
        </w:tc>
        <w:tc>
          <w:tcPr>
            <w:tcW w:w="760" w:type="dxa"/>
            <w:vAlign w:val="bottom"/>
            <w:shd w:val="clear" w:color="auto" w:fill="0066BA"/>
          </w:tcPr>
          <w:p>
            <w:pPr>
              <w:spacing w:after="0"/>
              <w:rPr>
                <w:sz w:val="15"/>
                <w:szCs w:val="15"/>
                <w:color w:val="auto"/>
              </w:rPr>
            </w:pPr>
          </w:p>
        </w:tc>
        <w:tc>
          <w:tcPr>
            <w:tcW w:w="840" w:type="dxa"/>
            <w:vAlign w:val="bottom"/>
            <w:shd w:val="clear" w:color="auto" w:fill="0066BA"/>
          </w:tcPr>
          <w:p>
            <w:pPr>
              <w:spacing w:after="0"/>
              <w:rPr>
                <w:sz w:val="15"/>
                <w:szCs w:val="15"/>
                <w:color w:val="auto"/>
              </w:rPr>
            </w:pPr>
          </w:p>
        </w:tc>
        <w:tc>
          <w:tcPr>
            <w:tcW w:w="1060" w:type="dxa"/>
            <w:vAlign w:val="bottom"/>
            <w:shd w:val="clear" w:color="auto" w:fill="0066BA"/>
          </w:tcPr>
          <w:p>
            <w:pPr>
              <w:spacing w:after="0"/>
              <w:rPr>
                <w:sz w:val="15"/>
                <w:szCs w:val="15"/>
                <w:color w:val="auto"/>
              </w:rPr>
            </w:pPr>
          </w:p>
        </w:tc>
      </w:tr>
      <w:tr>
        <w:trPr>
          <w:trHeight w:val="208"/>
        </w:trPr>
        <w:tc>
          <w:tcPr>
            <w:tcW w:w="1760" w:type="dxa"/>
            <w:vAlign w:val="bottom"/>
            <w:tcBorders>
              <w:bottom w:val="single" w:sz="8" w:color="0066BA"/>
            </w:tcBorders>
          </w:tcPr>
          <w:p>
            <w:pPr>
              <w:ind w:left="80"/>
              <w:spacing w:after="0"/>
              <w:rPr>
                <w:sz w:val="20"/>
                <w:szCs w:val="20"/>
                <w:color w:val="auto"/>
              </w:rPr>
            </w:pPr>
            <w:r>
              <w:rPr>
                <w:rFonts w:ascii="Arial" w:cs="Arial" w:eastAsia="Arial" w:hAnsi="Arial"/>
                <w:sz w:val="17"/>
                <w:szCs w:val="17"/>
                <w:b w:val="1"/>
                <w:bCs w:val="1"/>
                <w:color w:val="auto"/>
              </w:rPr>
              <w:t>3/9/2016</w:t>
            </w:r>
          </w:p>
        </w:tc>
        <w:tc>
          <w:tcPr>
            <w:tcW w:w="1100" w:type="dxa"/>
            <w:vAlign w:val="bottom"/>
            <w:tcBorders>
              <w:bottom w:val="single" w:sz="8" w:color="0066BA"/>
            </w:tcBorders>
            <w:shd w:val="clear" w:color="auto" w:fill="EAEAEA"/>
          </w:tcPr>
          <w:p>
            <w:pPr>
              <w:jc w:val="right"/>
              <w:ind w:right="35"/>
              <w:spacing w:after="0"/>
              <w:rPr>
                <w:sz w:val="20"/>
                <w:szCs w:val="20"/>
                <w:color w:val="auto"/>
              </w:rPr>
            </w:pPr>
            <w:r>
              <w:rPr>
                <w:rFonts w:ascii="Arial" w:cs="Arial" w:eastAsia="Arial" w:hAnsi="Arial"/>
                <w:sz w:val="17"/>
                <w:szCs w:val="17"/>
                <w:color w:val="auto"/>
                <w:shd w:val="clear" w:color="auto" w:fill="EAEAEA"/>
              </w:rPr>
              <w:t>3/9/2021</w:t>
            </w:r>
          </w:p>
        </w:tc>
        <w:tc>
          <w:tcPr>
            <w:tcW w:w="8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20,353</w:t>
            </w:r>
          </w:p>
        </w:tc>
        <w:tc>
          <w:tcPr>
            <w:tcW w:w="1020" w:type="dxa"/>
            <w:vAlign w:val="bottom"/>
            <w:tcBorders>
              <w:bottom w:val="single" w:sz="8" w:color="0066BA"/>
            </w:tcBorders>
            <w:shd w:val="clear" w:color="auto" w:fill="EAEAEA"/>
          </w:tcPr>
          <w:p>
            <w:pPr>
              <w:jc w:val="right"/>
              <w:ind w:right="5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1,738</w:t>
            </w:r>
          </w:p>
        </w:tc>
        <w:tc>
          <w:tcPr>
            <w:tcW w:w="840" w:type="dxa"/>
            <w:vAlign w:val="bottom"/>
            <w:tcBorders>
              <w:bottom w:val="single" w:sz="8" w:color="0066BA"/>
            </w:tcBorders>
            <w:shd w:val="clear" w:color="auto" w:fill="EAEAEA"/>
          </w:tcPr>
          <w:p>
            <w:pPr>
              <w:jc w:val="right"/>
              <w:ind w:right="55"/>
              <w:spacing w:after="0"/>
              <w:rPr>
                <w:sz w:val="20"/>
                <w:szCs w:val="20"/>
                <w:color w:val="auto"/>
              </w:rPr>
            </w:pPr>
            <w:r>
              <w:rPr>
                <w:rFonts w:ascii="Arial" w:cs="Arial" w:eastAsia="Arial" w:hAnsi="Arial"/>
                <w:sz w:val="17"/>
                <w:szCs w:val="17"/>
                <w:color w:val="auto"/>
                <w:shd w:val="clear" w:color="auto" w:fill="EAEAEA"/>
              </w:rPr>
              <w:t>4,074</w:t>
            </w:r>
          </w:p>
        </w:tc>
        <w:tc>
          <w:tcPr>
            <w:tcW w:w="10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w:t>
            </w:r>
          </w:p>
        </w:tc>
      </w:tr>
      <w:tr>
        <w:trPr>
          <w:trHeight w:val="201"/>
        </w:trPr>
        <w:tc>
          <w:tcPr>
            <w:tcW w:w="1760" w:type="dxa"/>
            <w:vAlign w:val="bottom"/>
            <w:tcBorders>
              <w:bottom w:val="single" w:sz="8" w:color="0066BA"/>
            </w:tcBorders>
          </w:tcPr>
          <w:p>
            <w:pPr>
              <w:ind w:left="80"/>
              <w:spacing w:after="0"/>
              <w:rPr>
                <w:sz w:val="20"/>
                <w:szCs w:val="20"/>
                <w:color w:val="auto"/>
              </w:rPr>
            </w:pPr>
            <w:r>
              <w:rPr>
                <w:rFonts w:ascii="Arial" w:cs="Arial" w:eastAsia="Arial" w:hAnsi="Arial"/>
                <w:sz w:val="17"/>
                <w:szCs w:val="17"/>
                <w:b w:val="1"/>
                <w:bCs w:val="1"/>
                <w:color w:val="auto"/>
              </w:rPr>
              <w:t>10/17/2016</w:t>
            </w:r>
          </w:p>
        </w:tc>
        <w:tc>
          <w:tcPr>
            <w:tcW w:w="1100" w:type="dxa"/>
            <w:vAlign w:val="bottom"/>
            <w:tcBorders>
              <w:bottom w:val="single" w:sz="8" w:color="0066BA"/>
            </w:tcBorders>
            <w:shd w:val="clear" w:color="auto" w:fill="EAEAEA"/>
          </w:tcPr>
          <w:p>
            <w:pPr>
              <w:jc w:val="right"/>
              <w:ind w:right="35"/>
              <w:spacing w:after="0"/>
              <w:rPr>
                <w:sz w:val="20"/>
                <w:szCs w:val="20"/>
                <w:color w:val="auto"/>
              </w:rPr>
            </w:pPr>
            <w:r>
              <w:rPr>
                <w:rFonts w:ascii="Arial" w:cs="Arial" w:eastAsia="Arial" w:hAnsi="Arial"/>
                <w:sz w:val="17"/>
                <w:szCs w:val="17"/>
                <w:color w:val="auto"/>
                <w:shd w:val="clear" w:color="auto" w:fill="EAEAEA"/>
              </w:rPr>
              <w:t>10/17/2021</w:t>
            </w:r>
          </w:p>
        </w:tc>
        <w:tc>
          <w:tcPr>
            <w:tcW w:w="8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0066BA"/>
            </w:tcBorders>
            <w:shd w:val="clear" w:color="auto" w:fill="EAEAEA"/>
          </w:tcPr>
          <w:p>
            <w:pPr>
              <w:jc w:val="right"/>
              <w:ind w:right="5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5,400</w:t>
            </w:r>
          </w:p>
        </w:tc>
        <w:tc>
          <w:tcPr>
            <w:tcW w:w="840" w:type="dxa"/>
            <w:vAlign w:val="bottom"/>
            <w:tcBorders>
              <w:bottom w:val="single" w:sz="8" w:color="0066BA"/>
            </w:tcBorders>
            <w:shd w:val="clear" w:color="auto" w:fill="EAEAEA"/>
          </w:tcPr>
          <w:p>
            <w:pPr>
              <w:jc w:val="right"/>
              <w:ind w:right="5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w:t>
            </w:r>
          </w:p>
        </w:tc>
      </w:tr>
      <w:tr>
        <w:trPr>
          <w:trHeight w:val="201"/>
        </w:trPr>
        <w:tc>
          <w:tcPr>
            <w:tcW w:w="176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3/8/2017</w:t>
            </w:r>
          </w:p>
        </w:tc>
        <w:tc>
          <w:tcPr>
            <w:tcW w:w="1100" w:type="dxa"/>
            <w:vAlign w:val="bottom"/>
            <w:tcBorders>
              <w:bottom w:val="single" w:sz="8" w:color="auto"/>
            </w:tcBorders>
            <w:shd w:val="clear" w:color="auto" w:fill="EAEAEA"/>
          </w:tcPr>
          <w:p>
            <w:pPr>
              <w:jc w:val="right"/>
              <w:ind w:right="35"/>
              <w:spacing w:after="0"/>
              <w:rPr>
                <w:sz w:val="20"/>
                <w:szCs w:val="20"/>
                <w:color w:val="auto"/>
              </w:rPr>
            </w:pPr>
            <w:r>
              <w:rPr>
                <w:rFonts w:ascii="Arial" w:cs="Arial" w:eastAsia="Arial" w:hAnsi="Arial"/>
                <w:sz w:val="17"/>
                <w:szCs w:val="17"/>
                <w:color w:val="auto"/>
              </w:rPr>
              <w:t>3/8/2021</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22,871</w:t>
            </w:r>
          </w:p>
        </w:tc>
        <w:tc>
          <w:tcPr>
            <w:tcW w:w="1020" w:type="dxa"/>
            <w:vAlign w:val="bottom"/>
            <w:tcBorders>
              <w:bottom w:val="single" w:sz="8" w:color="auto"/>
            </w:tcBorders>
            <w:shd w:val="clear" w:color="auto" w:fill="EAEAEA"/>
          </w:tcPr>
          <w:p>
            <w:pPr>
              <w:jc w:val="right"/>
              <w:ind w:right="5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3,519</w:t>
            </w:r>
          </w:p>
        </w:tc>
        <w:tc>
          <w:tcPr>
            <w:tcW w:w="840" w:type="dxa"/>
            <w:vAlign w:val="bottom"/>
            <w:tcBorders>
              <w:bottom w:val="single" w:sz="8" w:color="auto"/>
            </w:tcBorders>
            <w:shd w:val="clear" w:color="auto" w:fill="EAEAEA"/>
          </w:tcPr>
          <w:p>
            <w:pPr>
              <w:jc w:val="right"/>
              <w:ind w:right="55"/>
              <w:spacing w:after="0"/>
              <w:rPr>
                <w:sz w:val="20"/>
                <w:szCs w:val="20"/>
                <w:color w:val="auto"/>
              </w:rPr>
            </w:pPr>
            <w:r>
              <w:rPr>
                <w:rFonts w:ascii="Arial" w:cs="Arial" w:eastAsia="Arial" w:hAnsi="Arial"/>
                <w:sz w:val="17"/>
                <w:szCs w:val="17"/>
                <w:color w:val="auto"/>
              </w:rPr>
              <w:t>3,910</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r>
      <w:tr>
        <w:trPr>
          <w:trHeight w:val="201"/>
        </w:trPr>
        <w:tc>
          <w:tcPr>
            <w:tcW w:w="1760" w:type="dxa"/>
            <w:vAlign w:val="bottom"/>
            <w:tcBorders>
              <w:bottom w:val="single" w:sz="8" w:color="0066BA"/>
            </w:tcBorders>
          </w:tcPr>
          <w:p>
            <w:pPr>
              <w:spacing w:after="0"/>
              <w:rPr>
                <w:sz w:val="17"/>
                <w:szCs w:val="17"/>
                <w:color w:val="auto"/>
              </w:rPr>
            </w:pPr>
          </w:p>
        </w:tc>
        <w:tc>
          <w:tcPr>
            <w:tcW w:w="1100" w:type="dxa"/>
            <w:vAlign w:val="bottom"/>
            <w:tcBorders>
              <w:bottom w:val="single" w:sz="8" w:color="0066BA"/>
            </w:tcBorders>
            <w:shd w:val="clear" w:color="auto" w:fill="EAEAEA"/>
          </w:tcPr>
          <w:p>
            <w:pPr>
              <w:jc w:val="right"/>
              <w:ind w:right="35"/>
              <w:spacing w:after="0"/>
              <w:rPr>
                <w:sz w:val="20"/>
                <w:szCs w:val="20"/>
                <w:color w:val="auto"/>
              </w:rPr>
            </w:pPr>
            <w:r>
              <w:rPr>
                <w:rFonts w:ascii="Arial" w:cs="Arial" w:eastAsia="Arial" w:hAnsi="Arial"/>
                <w:sz w:val="17"/>
                <w:szCs w:val="17"/>
                <w:color w:val="auto"/>
              </w:rPr>
              <w:t>3/8/2022</w:t>
            </w:r>
          </w:p>
        </w:tc>
        <w:tc>
          <w:tcPr>
            <w:tcW w:w="8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22,872</w:t>
            </w:r>
          </w:p>
        </w:tc>
        <w:tc>
          <w:tcPr>
            <w:tcW w:w="1020" w:type="dxa"/>
            <w:vAlign w:val="bottom"/>
            <w:tcBorders>
              <w:bottom w:val="single" w:sz="8" w:color="0066BA"/>
            </w:tcBorders>
            <w:shd w:val="clear" w:color="auto" w:fill="EAEAEA"/>
          </w:tcPr>
          <w:p>
            <w:pPr>
              <w:jc w:val="right"/>
              <w:ind w:right="5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3,519</w:t>
            </w:r>
          </w:p>
        </w:tc>
        <w:tc>
          <w:tcPr>
            <w:tcW w:w="840" w:type="dxa"/>
            <w:vAlign w:val="bottom"/>
            <w:tcBorders>
              <w:bottom w:val="single" w:sz="8" w:color="0066BA"/>
            </w:tcBorders>
            <w:shd w:val="clear" w:color="auto" w:fill="EAEAEA"/>
          </w:tcPr>
          <w:p>
            <w:pPr>
              <w:jc w:val="right"/>
              <w:ind w:right="55"/>
              <w:spacing w:after="0"/>
              <w:rPr>
                <w:sz w:val="20"/>
                <w:szCs w:val="20"/>
                <w:color w:val="auto"/>
              </w:rPr>
            </w:pPr>
            <w:r>
              <w:rPr>
                <w:rFonts w:ascii="Arial" w:cs="Arial" w:eastAsia="Arial" w:hAnsi="Arial"/>
                <w:sz w:val="17"/>
                <w:szCs w:val="17"/>
                <w:color w:val="auto"/>
              </w:rPr>
              <w:t>3,910</w:t>
            </w:r>
          </w:p>
        </w:tc>
        <w:tc>
          <w:tcPr>
            <w:tcW w:w="10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w:t>
            </w:r>
          </w:p>
        </w:tc>
      </w:tr>
      <w:tr>
        <w:trPr>
          <w:trHeight w:val="201"/>
        </w:trPr>
        <w:tc>
          <w:tcPr>
            <w:tcW w:w="176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6/15/2017</w:t>
            </w:r>
          </w:p>
        </w:tc>
        <w:tc>
          <w:tcPr>
            <w:tcW w:w="1100" w:type="dxa"/>
            <w:vAlign w:val="bottom"/>
            <w:tcBorders>
              <w:bottom w:val="single" w:sz="8" w:color="auto"/>
            </w:tcBorders>
            <w:shd w:val="clear" w:color="auto" w:fill="EAEAEA"/>
          </w:tcPr>
          <w:p>
            <w:pPr>
              <w:jc w:val="right"/>
              <w:ind w:right="35"/>
              <w:spacing w:after="0"/>
              <w:rPr>
                <w:sz w:val="20"/>
                <w:szCs w:val="20"/>
                <w:color w:val="auto"/>
              </w:rPr>
            </w:pPr>
            <w:r>
              <w:rPr>
                <w:rFonts w:ascii="Arial" w:cs="Arial" w:eastAsia="Arial" w:hAnsi="Arial"/>
                <w:sz w:val="17"/>
                <w:szCs w:val="17"/>
                <w:color w:val="auto"/>
              </w:rPr>
              <w:t>6/15/2021</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EAEAEA"/>
          </w:tcPr>
          <w:p>
            <w:pPr>
              <w:jc w:val="right"/>
              <w:ind w:right="5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EAEAEA"/>
          </w:tcPr>
          <w:p>
            <w:pPr>
              <w:jc w:val="right"/>
              <w:ind w:right="5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6,078</w:t>
            </w:r>
          </w:p>
        </w:tc>
      </w:tr>
      <w:tr>
        <w:trPr>
          <w:trHeight w:val="201"/>
        </w:trPr>
        <w:tc>
          <w:tcPr>
            <w:tcW w:w="1760" w:type="dxa"/>
            <w:vAlign w:val="bottom"/>
            <w:tcBorders>
              <w:bottom w:val="single" w:sz="8" w:color="0066BA"/>
            </w:tcBorders>
          </w:tcPr>
          <w:p>
            <w:pPr>
              <w:spacing w:after="0"/>
              <w:rPr>
                <w:sz w:val="17"/>
                <w:szCs w:val="17"/>
                <w:color w:val="auto"/>
              </w:rPr>
            </w:pPr>
          </w:p>
        </w:tc>
        <w:tc>
          <w:tcPr>
            <w:tcW w:w="1100" w:type="dxa"/>
            <w:vAlign w:val="bottom"/>
            <w:tcBorders>
              <w:bottom w:val="single" w:sz="8" w:color="0066BA"/>
            </w:tcBorders>
            <w:shd w:val="clear" w:color="auto" w:fill="EAEAEA"/>
          </w:tcPr>
          <w:p>
            <w:pPr>
              <w:jc w:val="right"/>
              <w:ind w:right="35"/>
              <w:spacing w:after="0"/>
              <w:rPr>
                <w:sz w:val="20"/>
                <w:szCs w:val="20"/>
                <w:color w:val="auto"/>
              </w:rPr>
            </w:pPr>
            <w:r>
              <w:rPr>
                <w:rFonts w:ascii="Arial" w:cs="Arial" w:eastAsia="Arial" w:hAnsi="Arial"/>
                <w:sz w:val="17"/>
                <w:szCs w:val="17"/>
                <w:color w:val="auto"/>
              </w:rPr>
              <w:t>6/15/2022</w:t>
            </w:r>
          </w:p>
        </w:tc>
        <w:tc>
          <w:tcPr>
            <w:tcW w:w="8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0066BA"/>
            </w:tcBorders>
            <w:shd w:val="clear" w:color="auto" w:fill="EAEAEA"/>
          </w:tcPr>
          <w:p>
            <w:pPr>
              <w:jc w:val="right"/>
              <w:ind w:right="5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0066BA"/>
            </w:tcBorders>
            <w:shd w:val="clear" w:color="auto" w:fill="EAEAEA"/>
          </w:tcPr>
          <w:p>
            <w:pPr>
              <w:jc w:val="right"/>
              <w:ind w:right="5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6,079</w:t>
            </w:r>
          </w:p>
        </w:tc>
      </w:tr>
      <w:tr>
        <w:trPr>
          <w:trHeight w:val="201"/>
        </w:trPr>
        <w:tc>
          <w:tcPr>
            <w:tcW w:w="176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3/29/2018</w:t>
            </w:r>
          </w:p>
        </w:tc>
        <w:tc>
          <w:tcPr>
            <w:tcW w:w="1100" w:type="dxa"/>
            <w:vAlign w:val="bottom"/>
            <w:tcBorders>
              <w:bottom w:val="single" w:sz="8" w:color="auto"/>
            </w:tcBorders>
            <w:shd w:val="clear" w:color="auto" w:fill="EAEAEA"/>
          </w:tcPr>
          <w:p>
            <w:pPr>
              <w:jc w:val="right"/>
              <w:ind w:right="35"/>
              <w:spacing w:after="0"/>
              <w:rPr>
                <w:sz w:val="20"/>
                <w:szCs w:val="20"/>
                <w:color w:val="auto"/>
              </w:rPr>
            </w:pPr>
            <w:r>
              <w:rPr>
                <w:rFonts w:ascii="Arial" w:cs="Arial" w:eastAsia="Arial" w:hAnsi="Arial"/>
                <w:sz w:val="17"/>
                <w:szCs w:val="17"/>
                <w:color w:val="auto"/>
              </w:rPr>
              <w:t>3/29/2021</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27,665</w:t>
            </w:r>
          </w:p>
        </w:tc>
        <w:tc>
          <w:tcPr>
            <w:tcW w:w="1020" w:type="dxa"/>
            <w:vAlign w:val="bottom"/>
            <w:tcBorders>
              <w:bottom w:val="single" w:sz="8" w:color="auto"/>
            </w:tcBorders>
            <w:shd w:val="clear" w:color="auto" w:fill="EAEAEA"/>
          </w:tcPr>
          <w:p>
            <w:pPr>
              <w:jc w:val="right"/>
              <w:ind w:right="56"/>
              <w:spacing w:after="0"/>
              <w:rPr>
                <w:sz w:val="20"/>
                <w:szCs w:val="20"/>
                <w:color w:val="auto"/>
              </w:rPr>
            </w:pPr>
            <w:r>
              <w:rPr>
                <w:rFonts w:ascii="Arial" w:cs="Arial" w:eastAsia="Arial" w:hAnsi="Arial"/>
                <w:sz w:val="17"/>
                <w:szCs w:val="17"/>
                <w:color w:val="auto"/>
              </w:rPr>
              <w:t>8,695</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5,138</w:t>
            </w:r>
          </w:p>
        </w:tc>
        <w:tc>
          <w:tcPr>
            <w:tcW w:w="840" w:type="dxa"/>
            <w:vAlign w:val="bottom"/>
            <w:tcBorders>
              <w:bottom w:val="single" w:sz="8" w:color="auto"/>
            </w:tcBorders>
            <w:shd w:val="clear" w:color="auto" w:fill="EAEAEA"/>
          </w:tcPr>
          <w:p>
            <w:pPr>
              <w:jc w:val="right"/>
              <w:ind w:right="55"/>
              <w:spacing w:after="0"/>
              <w:rPr>
                <w:sz w:val="20"/>
                <w:szCs w:val="20"/>
                <w:color w:val="auto"/>
              </w:rPr>
            </w:pPr>
            <w:r>
              <w:rPr>
                <w:rFonts w:ascii="Arial" w:cs="Arial" w:eastAsia="Arial" w:hAnsi="Arial"/>
                <w:sz w:val="17"/>
                <w:szCs w:val="17"/>
                <w:color w:val="auto"/>
              </w:rPr>
              <w:t>5,138</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5,928</w:t>
            </w:r>
          </w:p>
        </w:tc>
      </w:tr>
      <w:tr>
        <w:trPr>
          <w:trHeight w:val="201"/>
        </w:trPr>
        <w:tc>
          <w:tcPr>
            <w:tcW w:w="1760" w:type="dxa"/>
            <w:vAlign w:val="bottom"/>
            <w:tcBorders>
              <w:bottom w:val="single" w:sz="8" w:color="0066BA"/>
            </w:tcBorders>
          </w:tcPr>
          <w:p>
            <w:pPr>
              <w:spacing w:after="0"/>
              <w:rPr>
                <w:sz w:val="17"/>
                <w:szCs w:val="17"/>
                <w:color w:val="auto"/>
              </w:rPr>
            </w:pPr>
          </w:p>
        </w:tc>
        <w:tc>
          <w:tcPr>
            <w:tcW w:w="1100" w:type="dxa"/>
            <w:vAlign w:val="bottom"/>
            <w:tcBorders>
              <w:bottom w:val="single" w:sz="8" w:color="0066BA"/>
            </w:tcBorders>
            <w:shd w:val="clear" w:color="auto" w:fill="EAEAEA"/>
          </w:tcPr>
          <w:p>
            <w:pPr>
              <w:jc w:val="right"/>
              <w:ind w:right="35"/>
              <w:spacing w:after="0"/>
              <w:rPr>
                <w:sz w:val="20"/>
                <w:szCs w:val="20"/>
                <w:color w:val="auto"/>
              </w:rPr>
            </w:pPr>
            <w:r>
              <w:rPr>
                <w:rFonts w:ascii="Arial" w:cs="Arial" w:eastAsia="Arial" w:hAnsi="Arial"/>
                <w:sz w:val="17"/>
                <w:szCs w:val="17"/>
                <w:color w:val="auto"/>
              </w:rPr>
              <w:t>3/29/2022</w:t>
            </w:r>
          </w:p>
        </w:tc>
        <w:tc>
          <w:tcPr>
            <w:tcW w:w="8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27,666</w:t>
            </w:r>
          </w:p>
        </w:tc>
        <w:tc>
          <w:tcPr>
            <w:tcW w:w="1020" w:type="dxa"/>
            <w:vAlign w:val="bottom"/>
            <w:tcBorders>
              <w:bottom w:val="single" w:sz="8" w:color="0066BA"/>
            </w:tcBorders>
            <w:shd w:val="clear" w:color="auto" w:fill="EAEAEA"/>
          </w:tcPr>
          <w:p>
            <w:pPr>
              <w:jc w:val="right"/>
              <w:ind w:right="56"/>
              <w:spacing w:after="0"/>
              <w:rPr>
                <w:sz w:val="20"/>
                <w:szCs w:val="20"/>
                <w:color w:val="auto"/>
              </w:rPr>
            </w:pPr>
            <w:r>
              <w:rPr>
                <w:rFonts w:ascii="Arial" w:cs="Arial" w:eastAsia="Arial" w:hAnsi="Arial"/>
                <w:sz w:val="17"/>
                <w:szCs w:val="17"/>
                <w:color w:val="auto"/>
              </w:rPr>
              <w:t>8,695</w:t>
            </w:r>
          </w:p>
        </w:tc>
        <w:tc>
          <w:tcPr>
            <w:tcW w:w="7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5,138</w:t>
            </w:r>
          </w:p>
        </w:tc>
        <w:tc>
          <w:tcPr>
            <w:tcW w:w="840" w:type="dxa"/>
            <w:vAlign w:val="bottom"/>
            <w:tcBorders>
              <w:bottom w:val="single" w:sz="8" w:color="0066BA"/>
            </w:tcBorders>
            <w:shd w:val="clear" w:color="auto" w:fill="EAEAEA"/>
          </w:tcPr>
          <w:p>
            <w:pPr>
              <w:jc w:val="right"/>
              <w:ind w:right="55"/>
              <w:spacing w:after="0"/>
              <w:rPr>
                <w:sz w:val="20"/>
                <w:szCs w:val="20"/>
                <w:color w:val="auto"/>
              </w:rPr>
            </w:pPr>
            <w:r>
              <w:rPr>
                <w:rFonts w:ascii="Arial" w:cs="Arial" w:eastAsia="Arial" w:hAnsi="Arial"/>
                <w:sz w:val="17"/>
                <w:szCs w:val="17"/>
                <w:color w:val="auto"/>
              </w:rPr>
              <w:t>5,138</w:t>
            </w:r>
          </w:p>
        </w:tc>
        <w:tc>
          <w:tcPr>
            <w:tcW w:w="10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5,929</w:t>
            </w:r>
          </w:p>
        </w:tc>
      </w:tr>
      <w:tr>
        <w:trPr>
          <w:trHeight w:val="201"/>
        </w:trPr>
        <w:tc>
          <w:tcPr>
            <w:tcW w:w="176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3/13/2019</w:t>
            </w:r>
          </w:p>
        </w:tc>
        <w:tc>
          <w:tcPr>
            <w:tcW w:w="1100" w:type="dxa"/>
            <w:vAlign w:val="bottom"/>
            <w:tcBorders>
              <w:bottom w:val="single" w:sz="8" w:color="auto"/>
            </w:tcBorders>
            <w:shd w:val="clear" w:color="auto" w:fill="EAEAEA"/>
          </w:tcPr>
          <w:p>
            <w:pPr>
              <w:jc w:val="right"/>
              <w:ind w:right="35"/>
              <w:spacing w:after="0"/>
              <w:rPr>
                <w:sz w:val="20"/>
                <w:szCs w:val="20"/>
                <w:color w:val="auto"/>
              </w:rPr>
            </w:pPr>
            <w:r>
              <w:rPr>
                <w:rFonts w:ascii="Arial" w:cs="Arial" w:eastAsia="Arial" w:hAnsi="Arial"/>
                <w:sz w:val="17"/>
                <w:szCs w:val="17"/>
                <w:color w:val="auto"/>
              </w:rPr>
              <w:t>3/13/2021</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25,201</w:t>
            </w:r>
          </w:p>
        </w:tc>
        <w:tc>
          <w:tcPr>
            <w:tcW w:w="1020" w:type="dxa"/>
            <w:vAlign w:val="bottom"/>
            <w:tcBorders>
              <w:bottom w:val="single" w:sz="8" w:color="auto"/>
            </w:tcBorders>
            <w:shd w:val="clear" w:color="auto" w:fill="EAEAEA"/>
          </w:tcPr>
          <w:p>
            <w:pPr>
              <w:jc w:val="right"/>
              <w:ind w:right="56"/>
              <w:spacing w:after="0"/>
              <w:rPr>
                <w:sz w:val="20"/>
                <w:szCs w:val="20"/>
                <w:color w:val="auto"/>
              </w:rPr>
            </w:pPr>
            <w:r>
              <w:rPr>
                <w:rFonts w:ascii="Arial" w:cs="Arial" w:eastAsia="Arial" w:hAnsi="Arial"/>
                <w:sz w:val="17"/>
                <w:szCs w:val="17"/>
                <w:color w:val="auto"/>
              </w:rPr>
              <w:t>6,628</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2,541</w:t>
            </w:r>
          </w:p>
        </w:tc>
        <w:tc>
          <w:tcPr>
            <w:tcW w:w="840" w:type="dxa"/>
            <w:vAlign w:val="bottom"/>
            <w:tcBorders>
              <w:bottom w:val="single" w:sz="8" w:color="auto"/>
            </w:tcBorders>
            <w:shd w:val="clear" w:color="auto" w:fill="EAEAEA"/>
          </w:tcPr>
          <w:p>
            <w:pPr>
              <w:jc w:val="right"/>
              <w:ind w:right="55"/>
              <w:spacing w:after="0"/>
              <w:rPr>
                <w:sz w:val="20"/>
                <w:szCs w:val="20"/>
                <w:color w:val="auto"/>
              </w:rPr>
            </w:pPr>
            <w:r>
              <w:rPr>
                <w:rFonts w:ascii="Arial" w:cs="Arial" w:eastAsia="Arial" w:hAnsi="Arial"/>
                <w:sz w:val="17"/>
                <w:szCs w:val="17"/>
                <w:color w:val="auto"/>
              </w:rPr>
              <w:t>4,419</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4,419</w:t>
            </w:r>
          </w:p>
        </w:tc>
      </w:tr>
      <w:tr>
        <w:trPr>
          <w:trHeight w:val="201"/>
        </w:trPr>
        <w:tc>
          <w:tcPr>
            <w:tcW w:w="17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shd w:val="clear" w:color="auto" w:fill="EAEAEA"/>
          </w:tcPr>
          <w:p>
            <w:pPr>
              <w:jc w:val="right"/>
              <w:ind w:right="35"/>
              <w:spacing w:after="0"/>
              <w:rPr>
                <w:sz w:val="20"/>
                <w:szCs w:val="20"/>
                <w:color w:val="auto"/>
              </w:rPr>
            </w:pPr>
            <w:r>
              <w:rPr>
                <w:rFonts w:ascii="Arial" w:cs="Arial" w:eastAsia="Arial" w:hAnsi="Arial"/>
                <w:sz w:val="17"/>
                <w:szCs w:val="17"/>
                <w:color w:val="auto"/>
              </w:rPr>
              <w:t>3/13/2022</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25,201</w:t>
            </w:r>
          </w:p>
        </w:tc>
        <w:tc>
          <w:tcPr>
            <w:tcW w:w="1020" w:type="dxa"/>
            <w:vAlign w:val="bottom"/>
            <w:tcBorders>
              <w:bottom w:val="single" w:sz="8" w:color="auto"/>
            </w:tcBorders>
            <w:shd w:val="clear" w:color="auto" w:fill="EAEAEA"/>
          </w:tcPr>
          <w:p>
            <w:pPr>
              <w:jc w:val="right"/>
              <w:ind w:right="56"/>
              <w:spacing w:after="0"/>
              <w:rPr>
                <w:sz w:val="20"/>
                <w:szCs w:val="20"/>
                <w:color w:val="auto"/>
              </w:rPr>
            </w:pPr>
            <w:r>
              <w:rPr>
                <w:rFonts w:ascii="Arial" w:cs="Arial" w:eastAsia="Arial" w:hAnsi="Arial"/>
                <w:sz w:val="17"/>
                <w:szCs w:val="17"/>
                <w:color w:val="auto"/>
              </w:rPr>
              <w:t>6,628</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2,541</w:t>
            </w:r>
          </w:p>
        </w:tc>
        <w:tc>
          <w:tcPr>
            <w:tcW w:w="840" w:type="dxa"/>
            <w:vAlign w:val="bottom"/>
            <w:tcBorders>
              <w:bottom w:val="single" w:sz="8" w:color="auto"/>
            </w:tcBorders>
            <w:shd w:val="clear" w:color="auto" w:fill="EAEAEA"/>
          </w:tcPr>
          <w:p>
            <w:pPr>
              <w:jc w:val="right"/>
              <w:ind w:right="55"/>
              <w:spacing w:after="0"/>
              <w:rPr>
                <w:sz w:val="20"/>
                <w:szCs w:val="20"/>
                <w:color w:val="auto"/>
              </w:rPr>
            </w:pPr>
            <w:r>
              <w:rPr>
                <w:rFonts w:ascii="Arial" w:cs="Arial" w:eastAsia="Arial" w:hAnsi="Arial"/>
                <w:sz w:val="17"/>
                <w:szCs w:val="17"/>
                <w:color w:val="auto"/>
              </w:rPr>
              <w:t>4,419</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4,419</w:t>
            </w:r>
          </w:p>
        </w:tc>
      </w:tr>
      <w:tr>
        <w:trPr>
          <w:trHeight w:val="201"/>
        </w:trPr>
        <w:tc>
          <w:tcPr>
            <w:tcW w:w="1760" w:type="dxa"/>
            <w:vAlign w:val="bottom"/>
            <w:tcBorders>
              <w:bottom w:val="single" w:sz="8" w:color="0066BA"/>
            </w:tcBorders>
          </w:tcPr>
          <w:p>
            <w:pPr>
              <w:spacing w:after="0"/>
              <w:rPr>
                <w:sz w:val="17"/>
                <w:szCs w:val="17"/>
                <w:color w:val="auto"/>
              </w:rPr>
            </w:pPr>
          </w:p>
        </w:tc>
        <w:tc>
          <w:tcPr>
            <w:tcW w:w="1100" w:type="dxa"/>
            <w:vAlign w:val="bottom"/>
            <w:tcBorders>
              <w:bottom w:val="single" w:sz="8" w:color="0066BA"/>
            </w:tcBorders>
            <w:shd w:val="clear" w:color="auto" w:fill="EAEAEA"/>
          </w:tcPr>
          <w:p>
            <w:pPr>
              <w:jc w:val="right"/>
              <w:ind w:right="35"/>
              <w:spacing w:after="0"/>
              <w:rPr>
                <w:sz w:val="20"/>
                <w:szCs w:val="20"/>
                <w:color w:val="auto"/>
              </w:rPr>
            </w:pPr>
            <w:r>
              <w:rPr>
                <w:rFonts w:ascii="Arial" w:cs="Arial" w:eastAsia="Arial" w:hAnsi="Arial"/>
                <w:sz w:val="17"/>
                <w:szCs w:val="17"/>
                <w:color w:val="auto"/>
              </w:rPr>
              <w:t>3/13/2023</w:t>
            </w:r>
          </w:p>
        </w:tc>
        <w:tc>
          <w:tcPr>
            <w:tcW w:w="8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25,201</w:t>
            </w:r>
          </w:p>
        </w:tc>
        <w:tc>
          <w:tcPr>
            <w:tcW w:w="1020" w:type="dxa"/>
            <w:vAlign w:val="bottom"/>
            <w:tcBorders>
              <w:bottom w:val="single" w:sz="8" w:color="0066BA"/>
            </w:tcBorders>
            <w:shd w:val="clear" w:color="auto" w:fill="EAEAEA"/>
          </w:tcPr>
          <w:p>
            <w:pPr>
              <w:jc w:val="right"/>
              <w:ind w:right="56"/>
              <w:spacing w:after="0"/>
              <w:rPr>
                <w:sz w:val="20"/>
                <w:szCs w:val="20"/>
                <w:color w:val="auto"/>
              </w:rPr>
            </w:pPr>
            <w:r>
              <w:rPr>
                <w:rFonts w:ascii="Arial" w:cs="Arial" w:eastAsia="Arial" w:hAnsi="Arial"/>
                <w:sz w:val="17"/>
                <w:szCs w:val="17"/>
                <w:color w:val="auto"/>
              </w:rPr>
              <w:t>6,629</w:t>
            </w:r>
          </w:p>
        </w:tc>
        <w:tc>
          <w:tcPr>
            <w:tcW w:w="7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2,541</w:t>
            </w:r>
          </w:p>
        </w:tc>
        <w:tc>
          <w:tcPr>
            <w:tcW w:w="840" w:type="dxa"/>
            <w:vAlign w:val="bottom"/>
            <w:tcBorders>
              <w:bottom w:val="single" w:sz="8" w:color="0066BA"/>
            </w:tcBorders>
            <w:shd w:val="clear" w:color="auto" w:fill="EAEAEA"/>
          </w:tcPr>
          <w:p>
            <w:pPr>
              <w:jc w:val="right"/>
              <w:ind w:right="55"/>
              <w:spacing w:after="0"/>
              <w:rPr>
                <w:sz w:val="20"/>
                <w:szCs w:val="20"/>
                <w:color w:val="auto"/>
              </w:rPr>
            </w:pPr>
            <w:r>
              <w:rPr>
                <w:rFonts w:ascii="Arial" w:cs="Arial" w:eastAsia="Arial" w:hAnsi="Arial"/>
                <w:sz w:val="17"/>
                <w:szCs w:val="17"/>
                <w:color w:val="auto"/>
              </w:rPr>
              <w:t>4,419</w:t>
            </w:r>
          </w:p>
        </w:tc>
        <w:tc>
          <w:tcPr>
            <w:tcW w:w="10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4,419</w:t>
            </w:r>
          </w:p>
        </w:tc>
      </w:tr>
      <w:tr>
        <w:trPr>
          <w:trHeight w:val="201"/>
        </w:trPr>
        <w:tc>
          <w:tcPr>
            <w:tcW w:w="176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06/17/2019</w:t>
            </w:r>
          </w:p>
        </w:tc>
        <w:tc>
          <w:tcPr>
            <w:tcW w:w="1100" w:type="dxa"/>
            <w:vAlign w:val="bottom"/>
            <w:tcBorders>
              <w:bottom w:val="single" w:sz="8" w:color="auto"/>
            </w:tcBorders>
            <w:shd w:val="clear" w:color="auto" w:fill="EAEAEA"/>
          </w:tcPr>
          <w:p>
            <w:pPr>
              <w:jc w:val="right"/>
              <w:ind w:right="35"/>
              <w:spacing w:after="0"/>
              <w:rPr>
                <w:sz w:val="20"/>
                <w:szCs w:val="20"/>
                <w:color w:val="auto"/>
              </w:rPr>
            </w:pPr>
            <w:r>
              <w:rPr>
                <w:rFonts w:ascii="Arial" w:cs="Arial" w:eastAsia="Arial" w:hAnsi="Arial"/>
                <w:sz w:val="17"/>
                <w:szCs w:val="17"/>
                <w:color w:val="auto"/>
              </w:rPr>
              <w:t>3/13/2021</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EAEAEA"/>
          </w:tcPr>
          <w:p>
            <w:pPr>
              <w:jc w:val="right"/>
              <w:ind w:right="5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1,878</w:t>
            </w:r>
          </w:p>
        </w:tc>
        <w:tc>
          <w:tcPr>
            <w:tcW w:w="840" w:type="dxa"/>
            <w:vAlign w:val="bottom"/>
            <w:tcBorders>
              <w:bottom w:val="single" w:sz="8" w:color="auto"/>
            </w:tcBorders>
            <w:shd w:val="clear" w:color="auto" w:fill="EAEAEA"/>
          </w:tcPr>
          <w:p>
            <w:pPr>
              <w:jc w:val="right"/>
              <w:ind w:right="5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r>
      <w:tr>
        <w:trPr>
          <w:trHeight w:val="201"/>
        </w:trPr>
        <w:tc>
          <w:tcPr>
            <w:tcW w:w="17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shd w:val="clear" w:color="auto" w:fill="EAEAEA"/>
          </w:tcPr>
          <w:p>
            <w:pPr>
              <w:jc w:val="right"/>
              <w:ind w:right="35"/>
              <w:spacing w:after="0"/>
              <w:rPr>
                <w:sz w:val="20"/>
                <w:szCs w:val="20"/>
                <w:color w:val="auto"/>
              </w:rPr>
            </w:pPr>
            <w:r>
              <w:rPr>
                <w:rFonts w:ascii="Arial" w:cs="Arial" w:eastAsia="Arial" w:hAnsi="Arial"/>
                <w:sz w:val="17"/>
                <w:szCs w:val="17"/>
                <w:color w:val="auto"/>
              </w:rPr>
              <w:t>3/13/2022</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EAEAEA"/>
          </w:tcPr>
          <w:p>
            <w:pPr>
              <w:jc w:val="right"/>
              <w:ind w:right="5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1,878</w:t>
            </w:r>
          </w:p>
        </w:tc>
        <w:tc>
          <w:tcPr>
            <w:tcW w:w="840" w:type="dxa"/>
            <w:vAlign w:val="bottom"/>
            <w:tcBorders>
              <w:bottom w:val="single" w:sz="8" w:color="auto"/>
            </w:tcBorders>
            <w:shd w:val="clear" w:color="auto" w:fill="EAEAEA"/>
          </w:tcPr>
          <w:p>
            <w:pPr>
              <w:jc w:val="right"/>
              <w:ind w:right="5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r>
      <w:tr>
        <w:trPr>
          <w:trHeight w:val="201"/>
        </w:trPr>
        <w:tc>
          <w:tcPr>
            <w:tcW w:w="1760" w:type="dxa"/>
            <w:vAlign w:val="bottom"/>
            <w:tcBorders>
              <w:bottom w:val="single" w:sz="8" w:color="0066BA"/>
            </w:tcBorders>
          </w:tcPr>
          <w:p>
            <w:pPr>
              <w:spacing w:after="0"/>
              <w:rPr>
                <w:sz w:val="17"/>
                <w:szCs w:val="17"/>
                <w:color w:val="auto"/>
              </w:rPr>
            </w:pPr>
          </w:p>
        </w:tc>
        <w:tc>
          <w:tcPr>
            <w:tcW w:w="1100" w:type="dxa"/>
            <w:vAlign w:val="bottom"/>
            <w:tcBorders>
              <w:bottom w:val="single" w:sz="8" w:color="0066BA"/>
            </w:tcBorders>
            <w:shd w:val="clear" w:color="auto" w:fill="EAEAEA"/>
          </w:tcPr>
          <w:p>
            <w:pPr>
              <w:jc w:val="right"/>
              <w:ind w:right="35"/>
              <w:spacing w:after="0"/>
              <w:rPr>
                <w:sz w:val="20"/>
                <w:szCs w:val="20"/>
                <w:color w:val="auto"/>
              </w:rPr>
            </w:pPr>
            <w:r>
              <w:rPr>
                <w:rFonts w:ascii="Arial" w:cs="Arial" w:eastAsia="Arial" w:hAnsi="Arial"/>
                <w:sz w:val="17"/>
                <w:szCs w:val="17"/>
                <w:color w:val="auto"/>
              </w:rPr>
              <w:t>3/13/2022</w:t>
            </w:r>
          </w:p>
        </w:tc>
        <w:tc>
          <w:tcPr>
            <w:tcW w:w="8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0066BA"/>
            </w:tcBorders>
            <w:shd w:val="clear" w:color="auto" w:fill="EAEAEA"/>
          </w:tcPr>
          <w:p>
            <w:pPr>
              <w:jc w:val="right"/>
              <w:ind w:right="5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1,878</w:t>
            </w:r>
          </w:p>
        </w:tc>
        <w:tc>
          <w:tcPr>
            <w:tcW w:w="840" w:type="dxa"/>
            <w:vAlign w:val="bottom"/>
            <w:tcBorders>
              <w:bottom w:val="single" w:sz="8" w:color="0066BA"/>
            </w:tcBorders>
            <w:shd w:val="clear" w:color="auto" w:fill="EAEAEA"/>
          </w:tcPr>
          <w:p>
            <w:pPr>
              <w:jc w:val="right"/>
              <w:ind w:right="5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w:t>
            </w:r>
          </w:p>
        </w:tc>
      </w:tr>
      <w:tr>
        <w:trPr>
          <w:trHeight w:val="201"/>
        </w:trPr>
        <w:tc>
          <w:tcPr>
            <w:tcW w:w="176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3/11/2020</w:t>
            </w:r>
          </w:p>
        </w:tc>
        <w:tc>
          <w:tcPr>
            <w:tcW w:w="1100" w:type="dxa"/>
            <w:vAlign w:val="bottom"/>
            <w:tcBorders>
              <w:bottom w:val="single" w:sz="8" w:color="auto"/>
            </w:tcBorders>
            <w:shd w:val="clear" w:color="auto" w:fill="EAEAEA"/>
          </w:tcPr>
          <w:p>
            <w:pPr>
              <w:jc w:val="right"/>
              <w:ind w:right="35"/>
              <w:spacing w:after="0"/>
              <w:rPr>
                <w:sz w:val="20"/>
                <w:szCs w:val="20"/>
                <w:color w:val="auto"/>
              </w:rPr>
            </w:pPr>
            <w:r>
              <w:rPr>
                <w:rFonts w:ascii="Arial" w:cs="Arial" w:eastAsia="Arial" w:hAnsi="Arial"/>
                <w:sz w:val="17"/>
                <w:szCs w:val="17"/>
                <w:color w:val="auto"/>
              </w:rPr>
              <w:t>3/11/2021</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33,655</w:t>
            </w:r>
          </w:p>
        </w:tc>
        <w:tc>
          <w:tcPr>
            <w:tcW w:w="1020" w:type="dxa"/>
            <w:vAlign w:val="bottom"/>
            <w:tcBorders>
              <w:bottom w:val="single" w:sz="8" w:color="auto"/>
            </w:tcBorders>
            <w:shd w:val="clear" w:color="auto" w:fill="EAEAEA"/>
          </w:tcPr>
          <w:p>
            <w:pPr>
              <w:jc w:val="right"/>
              <w:ind w:right="56"/>
              <w:spacing w:after="0"/>
              <w:rPr>
                <w:sz w:val="20"/>
                <w:szCs w:val="20"/>
                <w:color w:val="auto"/>
              </w:rPr>
            </w:pPr>
            <w:r>
              <w:rPr>
                <w:rFonts w:ascii="Arial" w:cs="Arial" w:eastAsia="Arial" w:hAnsi="Arial"/>
                <w:sz w:val="17"/>
                <w:szCs w:val="17"/>
                <w:color w:val="auto"/>
              </w:rPr>
              <w:t>8,750</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6,058</w:t>
            </w:r>
          </w:p>
        </w:tc>
        <w:tc>
          <w:tcPr>
            <w:tcW w:w="840" w:type="dxa"/>
            <w:vAlign w:val="bottom"/>
            <w:tcBorders>
              <w:bottom w:val="single" w:sz="8" w:color="auto"/>
            </w:tcBorders>
            <w:shd w:val="clear" w:color="auto" w:fill="EAEAEA"/>
          </w:tcPr>
          <w:p>
            <w:pPr>
              <w:jc w:val="right"/>
              <w:ind w:right="55"/>
              <w:spacing w:after="0"/>
              <w:rPr>
                <w:sz w:val="20"/>
                <w:szCs w:val="20"/>
                <w:color w:val="auto"/>
              </w:rPr>
            </w:pPr>
            <w:r>
              <w:rPr>
                <w:rFonts w:ascii="Arial" w:cs="Arial" w:eastAsia="Arial" w:hAnsi="Arial"/>
                <w:sz w:val="17"/>
                <w:szCs w:val="17"/>
                <w:color w:val="auto"/>
              </w:rPr>
              <w:t>6,058</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6,058</w:t>
            </w:r>
          </w:p>
        </w:tc>
      </w:tr>
      <w:tr>
        <w:trPr>
          <w:trHeight w:val="201"/>
        </w:trPr>
        <w:tc>
          <w:tcPr>
            <w:tcW w:w="17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shd w:val="clear" w:color="auto" w:fill="EAEAEA"/>
          </w:tcPr>
          <w:p>
            <w:pPr>
              <w:jc w:val="right"/>
              <w:ind w:right="35"/>
              <w:spacing w:after="0"/>
              <w:rPr>
                <w:sz w:val="20"/>
                <w:szCs w:val="20"/>
                <w:color w:val="auto"/>
              </w:rPr>
            </w:pPr>
            <w:r>
              <w:rPr>
                <w:rFonts w:ascii="Arial" w:cs="Arial" w:eastAsia="Arial" w:hAnsi="Arial"/>
                <w:sz w:val="17"/>
                <w:szCs w:val="17"/>
                <w:color w:val="auto"/>
              </w:rPr>
              <w:t>3/11/2022</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33,655</w:t>
            </w:r>
          </w:p>
        </w:tc>
        <w:tc>
          <w:tcPr>
            <w:tcW w:w="1020" w:type="dxa"/>
            <w:vAlign w:val="bottom"/>
            <w:tcBorders>
              <w:bottom w:val="single" w:sz="8" w:color="auto"/>
            </w:tcBorders>
            <w:shd w:val="clear" w:color="auto" w:fill="EAEAEA"/>
          </w:tcPr>
          <w:p>
            <w:pPr>
              <w:jc w:val="right"/>
              <w:ind w:right="56"/>
              <w:spacing w:after="0"/>
              <w:rPr>
                <w:sz w:val="20"/>
                <w:szCs w:val="20"/>
                <w:color w:val="auto"/>
              </w:rPr>
            </w:pPr>
            <w:r>
              <w:rPr>
                <w:rFonts w:ascii="Arial" w:cs="Arial" w:eastAsia="Arial" w:hAnsi="Arial"/>
                <w:sz w:val="17"/>
                <w:szCs w:val="17"/>
                <w:color w:val="auto"/>
              </w:rPr>
              <w:t>8,750</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6,058</w:t>
            </w:r>
          </w:p>
        </w:tc>
        <w:tc>
          <w:tcPr>
            <w:tcW w:w="840" w:type="dxa"/>
            <w:vAlign w:val="bottom"/>
            <w:tcBorders>
              <w:bottom w:val="single" w:sz="8" w:color="auto"/>
            </w:tcBorders>
            <w:shd w:val="clear" w:color="auto" w:fill="EAEAEA"/>
          </w:tcPr>
          <w:p>
            <w:pPr>
              <w:jc w:val="right"/>
              <w:ind w:right="55"/>
              <w:spacing w:after="0"/>
              <w:rPr>
                <w:sz w:val="20"/>
                <w:szCs w:val="20"/>
                <w:color w:val="auto"/>
              </w:rPr>
            </w:pPr>
            <w:r>
              <w:rPr>
                <w:rFonts w:ascii="Arial" w:cs="Arial" w:eastAsia="Arial" w:hAnsi="Arial"/>
                <w:sz w:val="17"/>
                <w:szCs w:val="17"/>
                <w:color w:val="auto"/>
              </w:rPr>
              <w:t>6,058</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6,058</w:t>
            </w:r>
          </w:p>
        </w:tc>
      </w:tr>
      <w:tr>
        <w:trPr>
          <w:trHeight w:val="201"/>
        </w:trPr>
        <w:tc>
          <w:tcPr>
            <w:tcW w:w="17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shd w:val="clear" w:color="auto" w:fill="EAEAEA"/>
          </w:tcPr>
          <w:p>
            <w:pPr>
              <w:jc w:val="right"/>
              <w:ind w:right="35"/>
              <w:spacing w:after="0"/>
              <w:rPr>
                <w:sz w:val="20"/>
                <w:szCs w:val="20"/>
                <w:color w:val="auto"/>
              </w:rPr>
            </w:pPr>
            <w:r>
              <w:rPr>
                <w:rFonts w:ascii="Arial" w:cs="Arial" w:eastAsia="Arial" w:hAnsi="Arial"/>
                <w:sz w:val="17"/>
                <w:szCs w:val="17"/>
                <w:color w:val="auto"/>
              </w:rPr>
              <w:t>3/11/2023</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33,655</w:t>
            </w:r>
          </w:p>
        </w:tc>
        <w:tc>
          <w:tcPr>
            <w:tcW w:w="1020" w:type="dxa"/>
            <w:vAlign w:val="bottom"/>
            <w:tcBorders>
              <w:bottom w:val="single" w:sz="8" w:color="auto"/>
            </w:tcBorders>
            <w:shd w:val="clear" w:color="auto" w:fill="EAEAEA"/>
          </w:tcPr>
          <w:p>
            <w:pPr>
              <w:jc w:val="right"/>
              <w:ind w:right="56"/>
              <w:spacing w:after="0"/>
              <w:rPr>
                <w:sz w:val="20"/>
                <w:szCs w:val="20"/>
                <w:color w:val="auto"/>
              </w:rPr>
            </w:pPr>
            <w:r>
              <w:rPr>
                <w:rFonts w:ascii="Arial" w:cs="Arial" w:eastAsia="Arial" w:hAnsi="Arial"/>
                <w:sz w:val="17"/>
                <w:szCs w:val="17"/>
                <w:color w:val="auto"/>
              </w:rPr>
              <w:t>8,750</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6,058</w:t>
            </w:r>
          </w:p>
        </w:tc>
        <w:tc>
          <w:tcPr>
            <w:tcW w:w="840" w:type="dxa"/>
            <w:vAlign w:val="bottom"/>
            <w:tcBorders>
              <w:bottom w:val="single" w:sz="8" w:color="auto"/>
            </w:tcBorders>
            <w:shd w:val="clear" w:color="auto" w:fill="EAEAEA"/>
          </w:tcPr>
          <w:p>
            <w:pPr>
              <w:jc w:val="right"/>
              <w:ind w:right="55"/>
              <w:spacing w:after="0"/>
              <w:rPr>
                <w:sz w:val="20"/>
                <w:szCs w:val="20"/>
                <w:color w:val="auto"/>
              </w:rPr>
            </w:pPr>
            <w:r>
              <w:rPr>
                <w:rFonts w:ascii="Arial" w:cs="Arial" w:eastAsia="Arial" w:hAnsi="Arial"/>
                <w:sz w:val="17"/>
                <w:szCs w:val="17"/>
                <w:color w:val="auto"/>
              </w:rPr>
              <w:t>6,058</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6,058</w:t>
            </w:r>
          </w:p>
        </w:tc>
      </w:tr>
      <w:tr>
        <w:trPr>
          <w:trHeight w:val="201"/>
        </w:trPr>
        <w:tc>
          <w:tcPr>
            <w:tcW w:w="1760" w:type="dxa"/>
            <w:vAlign w:val="bottom"/>
            <w:tcBorders>
              <w:bottom w:val="single" w:sz="8" w:color="0066BA"/>
            </w:tcBorders>
          </w:tcPr>
          <w:p>
            <w:pPr>
              <w:spacing w:after="0"/>
              <w:rPr>
                <w:sz w:val="17"/>
                <w:szCs w:val="17"/>
                <w:color w:val="auto"/>
              </w:rPr>
            </w:pPr>
          </w:p>
        </w:tc>
        <w:tc>
          <w:tcPr>
            <w:tcW w:w="1100" w:type="dxa"/>
            <w:vAlign w:val="bottom"/>
            <w:tcBorders>
              <w:bottom w:val="single" w:sz="8" w:color="0066BA"/>
            </w:tcBorders>
            <w:shd w:val="clear" w:color="auto" w:fill="EAEAEA"/>
          </w:tcPr>
          <w:p>
            <w:pPr>
              <w:jc w:val="right"/>
              <w:ind w:right="35"/>
              <w:spacing w:after="0"/>
              <w:rPr>
                <w:sz w:val="20"/>
                <w:szCs w:val="20"/>
                <w:color w:val="auto"/>
              </w:rPr>
            </w:pPr>
            <w:r>
              <w:rPr>
                <w:rFonts w:ascii="Arial" w:cs="Arial" w:eastAsia="Arial" w:hAnsi="Arial"/>
                <w:sz w:val="17"/>
                <w:szCs w:val="17"/>
                <w:color w:val="auto"/>
              </w:rPr>
              <w:t>3/11/2024</w:t>
            </w:r>
          </w:p>
        </w:tc>
        <w:tc>
          <w:tcPr>
            <w:tcW w:w="8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33,655</w:t>
            </w:r>
          </w:p>
        </w:tc>
        <w:tc>
          <w:tcPr>
            <w:tcW w:w="1020" w:type="dxa"/>
            <w:vAlign w:val="bottom"/>
            <w:tcBorders>
              <w:bottom w:val="single" w:sz="8" w:color="0066BA"/>
            </w:tcBorders>
            <w:shd w:val="clear" w:color="auto" w:fill="EAEAEA"/>
          </w:tcPr>
          <w:p>
            <w:pPr>
              <w:jc w:val="right"/>
              <w:ind w:right="56"/>
              <w:spacing w:after="0"/>
              <w:rPr>
                <w:sz w:val="20"/>
                <w:szCs w:val="20"/>
                <w:color w:val="auto"/>
              </w:rPr>
            </w:pPr>
            <w:r>
              <w:rPr>
                <w:rFonts w:ascii="Arial" w:cs="Arial" w:eastAsia="Arial" w:hAnsi="Arial"/>
                <w:sz w:val="17"/>
                <w:szCs w:val="17"/>
                <w:color w:val="auto"/>
              </w:rPr>
              <w:t>8,751</w:t>
            </w:r>
          </w:p>
        </w:tc>
        <w:tc>
          <w:tcPr>
            <w:tcW w:w="7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6,058</w:t>
            </w:r>
          </w:p>
        </w:tc>
        <w:tc>
          <w:tcPr>
            <w:tcW w:w="840" w:type="dxa"/>
            <w:vAlign w:val="bottom"/>
            <w:tcBorders>
              <w:bottom w:val="single" w:sz="8" w:color="0066BA"/>
            </w:tcBorders>
            <w:shd w:val="clear" w:color="auto" w:fill="EAEAEA"/>
          </w:tcPr>
          <w:p>
            <w:pPr>
              <w:jc w:val="right"/>
              <w:ind w:right="55"/>
              <w:spacing w:after="0"/>
              <w:rPr>
                <w:sz w:val="20"/>
                <w:szCs w:val="20"/>
                <w:color w:val="auto"/>
              </w:rPr>
            </w:pPr>
            <w:r>
              <w:rPr>
                <w:rFonts w:ascii="Arial" w:cs="Arial" w:eastAsia="Arial" w:hAnsi="Arial"/>
                <w:sz w:val="17"/>
                <w:szCs w:val="17"/>
                <w:color w:val="auto"/>
              </w:rPr>
              <w:t>6,058</w:t>
            </w:r>
          </w:p>
        </w:tc>
        <w:tc>
          <w:tcPr>
            <w:tcW w:w="1060" w:type="dxa"/>
            <w:vAlign w:val="bottom"/>
            <w:tcBorders>
              <w:bottom w:val="single" w:sz="8" w:color="0066BA"/>
            </w:tcBorders>
          </w:tcPr>
          <w:p>
            <w:pPr>
              <w:jc w:val="right"/>
              <w:ind w:right="35"/>
              <w:spacing w:after="0"/>
              <w:rPr>
                <w:sz w:val="20"/>
                <w:szCs w:val="20"/>
                <w:color w:val="auto"/>
              </w:rPr>
            </w:pPr>
            <w:r>
              <w:rPr>
                <w:rFonts w:ascii="Arial" w:cs="Arial" w:eastAsia="Arial" w:hAnsi="Arial"/>
                <w:sz w:val="17"/>
                <w:szCs w:val="17"/>
                <w:color w:val="auto"/>
              </w:rPr>
              <w:t>6,058</w:t>
            </w:r>
          </w:p>
        </w:tc>
      </w:tr>
    </w:tbl>
    <w:p>
      <w:pPr>
        <w:spacing w:after="0" w:line="27" w:lineRule="exact"/>
        <w:rPr>
          <w:sz w:val="20"/>
          <w:szCs w:val="20"/>
          <w:color w:val="auto"/>
        </w:rPr>
      </w:pPr>
    </w:p>
    <w:p>
      <w:pPr>
        <w:ind w:left="2420" w:hanging="514"/>
        <w:spacing w:after="0"/>
        <w:tabs>
          <w:tab w:leader="none" w:pos="2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expiration date of each stock option award is ten years after its grant date.</w:t>
      </w:r>
    </w:p>
    <w:p>
      <w:pPr>
        <w:spacing w:after="0" w:line="25" w:lineRule="exact"/>
        <w:rPr>
          <w:rFonts w:ascii="Arial" w:cs="Arial" w:eastAsia="Arial" w:hAnsi="Arial"/>
          <w:sz w:val="17"/>
          <w:szCs w:val="17"/>
          <w:color w:val="auto"/>
        </w:rPr>
      </w:pPr>
    </w:p>
    <w:p>
      <w:pPr>
        <w:ind w:left="2420" w:right="2160" w:hanging="514"/>
        <w:spacing w:after="0" w:line="255" w:lineRule="auto"/>
        <w:tabs>
          <w:tab w:leader="none" w:pos="2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time-based RSUs granted in 2018, 2019 and 2020 vest in four equal installments on the first, second, third and fourth anniversaries of the grant date.</w:t>
      </w:r>
    </w:p>
    <w:p>
      <w:pPr>
        <w:ind w:left="2420" w:right="1980" w:hanging="514"/>
        <w:spacing w:after="0" w:line="255" w:lineRule="auto"/>
        <w:tabs>
          <w:tab w:leader="none" w:pos="2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market value was calculated based on $118.53, the closing price per share of our common stock on October 30, 2020, the last trading day of fiscal 2020.</w:t>
      </w:r>
    </w:p>
    <w:p>
      <w:pPr>
        <w:ind w:left="2420" w:right="1940" w:hanging="514"/>
        <w:spacing w:after="0" w:line="255" w:lineRule="auto"/>
        <w:tabs>
          <w:tab w:leader="none" w:pos="2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number of shares, if any, earned under the relative TSR PRSU awards will vest three years and fourteen days after its grant date, subject to the level of attainment of the performance parameters. The number of shares, if any, earned under the financial metric PRSU awards will vest on the third anniversary of the grant date, subject to the level of attainment of the performance parameters.</w:t>
      </w:r>
    </w:p>
    <w:p>
      <w:pPr>
        <w:spacing w:after="0" w:line="2" w:lineRule="exact"/>
        <w:rPr>
          <w:rFonts w:ascii="Arial" w:cs="Arial" w:eastAsia="Arial" w:hAnsi="Arial"/>
          <w:sz w:val="17"/>
          <w:szCs w:val="17"/>
          <w:color w:val="auto"/>
        </w:rPr>
      </w:pPr>
    </w:p>
    <w:p>
      <w:pPr>
        <w:ind w:left="2420" w:right="1920" w:hanging="514"/>
        <w:spacing w:after="0" w:line="282" w:lineRule="auto"/>
        <w:tabs>
          <w:tab w:leader="none" w:pos="2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connection with the Linear Technology acquisition and in accordance with the terms of the merger agreement, the Company issued equity and cash awards to certain Linear Technology employees, including Mr. Pietkiewicz, in replacement of outstanding Linear Technology equity awards. These awards vest, subject to continued employment as follows:</w:t>
      </w:r>
    </w:p>
    <w:p>
      <w:pPr>
        <w:spacing w:after="0" w:line="202" w:lineRule="exact"/>
        <w:rPr>
          <w:sz w:val="20"/>
          <w:szCs w:val="20"/>
          <w:color w:val="auto"/>
        </w:rPr>
      </w:pPr>
    </w:p>
    <w:tbl>
      <w:tblPr>
        <w:tblLayout w:type="fixed"/>
        <w:tblInd w:w="1920" w:type="dxa"/>
        <w:tblCellMar>
          <w:top w:w="0" w:type="dxa"/>
          <w:left w:w="0" w:type="dxa"/>
          <w:bottom w:w="0" w:type="dxa"/>
          <w:right w:w="0" w:type="dxa"/>
        </w:tblCellMar>
      </w:tblPr>
      <w:tr>
        <w:trPr>
          <w:trHeight w:val="182"/>
        </w:trPr>
        <w:tc>
          <w:tcPr>
            <w:tcW w:w="3140" w:type="dxa"/>
            <w:vAlign w:val="bottom"/>
            <w:shd w:val="clear" w:color="auto" w:fill="0066BA"/>
          </w:tcPr>
          <w:p>
            <w:pPr>
              <w:ind w:left="80"/>
              <w:spacing w:after="0"/>
              <w:rPr>
                <w:sz w:val="20"/>
                <w:szCs w:val="20"/>
                <w:color w:val="auto"/>
              </w:rPr>
            </w:pPr>
            <w:r>
              <w:rPr>
                <w:rFonts w:ascii="Arial" w:cs="Arial" w:eastAsia="Arial" w:hAnsi="Arial"/>
                <w:sz w:val="14"/>
                <w:szCs w:val="14"/>
                <w:b w:val="1"/>
                <w:bCs w:val="1"/>
                <w:color w:val="FFFFFF"/>
              </w:rPr>
              <w:t>Grant Date</w:t>
            </w:r>
          </w:p>
        </w:tc>
        <w:tc>
          <w:tcPr>
            <w:tcW w:w="2160" w:type="dxa"/>
            <w:vAlign w:val="bottom"/>
            <w:shd w:val="clear" w:color="auto" w:fill="0066BA"/>
          </w:tcPr>
          <w:p>
            <w:pPr>
              <w:jc w:val="right"/>
              <w:ind w:right="322"/>
              <w:spacing w:after="0"/>
              <w:rPr>
                <w:sz w:val="20"/>
                <w:szCs w:val="20"/>
                <w:color w:val="auto"/>
              </w:rPr>
            </w:pPr>
            <w:r>
              <w:rPr>
                <w:rFonts w:ascii="Arial" w:cs="Arial" w:eastAsia="Arial" w:hAnsi="Arial"/>
                <w:sz w:val="14"/>
                <w:szCs w:val="14"/>
                <w:b w:val="1"/>
                <w:bCs w:val="1"/>
                <w:color w:val="FFFFFF"/>
              </w:rPr>
              <w:t>Vest Date</w:t>
            </w:r>
          </w:p>
        </w:tc>
        <w:tc>
          <w:tcPr>
            <w:tcW w:w="2100" w:type="dxa"/>
            <w:vAlign w:val="bottom"/>
            <w:shd w:val="clear" w:color="auto" w:fill="0066BA"/>
          </w:tcPr>
          <w:p>
            <w:pPr>
              <w:jc w:val="right"/>
              <w:ind w:right="402"/>
              <w:spacing w:after="0"/>
              <w:rPr>
                <w:sz w:val="20"/>
                <w:szCs w:val="20"/>
                <w:color w:val="auto"/>
              </w:rPr>
            </w:pPr>
            <w:r>
              <w:rPr>
                <w:rFonts w:ascii="Arial" w:cs="Arial" w:eastAsia="Arial" w:hAnsi="Arial"/>
                <w:sz w:val="14"/>
                <w:szCs w:val="14"/>
                <w:b w:val="1"/>
                <w:bCs w:val="1"/>
                <w:color w:val="FFFFFF"/>
              </w:rPr>
              <w:t>Shares(#)</w:t>
            </w:r>
          </w:p>
        </w:tc>
      </w:tr>
      <w:tr>
        <w:trPr>
          <w:trHeight w:val="208"/>
        </w:trPr>
        <w:tc>
          <w:tcPr>
            <w:tcW w:w="3140" w:type="dxa"/>
            <w:vAlign w:val="bottom"/>
            <w:tcBorders>
              <w:bottom w:val="single" w:sz="8" w:color="0066BA"/>
            </w:tcBorders>
          </w:tcPr>
          <w:p>
            <w:pPr>
              <w:ind w:left="80"/>
              <w:spacing w:after="0"/>
              <w:rPr>
                <w:sz w:val="20"/>
                <w:szCs w:val="20"/>
                <w:color w:val="auto"/>
              </w:rPr>
            </w:pPr>
            <w:r>
              <w:rPr>
                <w:rFonts w:ascii="Arial" w:cs="Arial" w:eastAsia="Arial" w:hAnsi="Arial"/>
                <w:sz w:val="17"/>
                <w:szCs w:val="17"/>
                <w:b w:val="1"/>
                <w:bCs w:val="1"/>
                <w:color w:val="auto"/>
              </w:rPr>
              <w:t>3/10/2017</w:t>
            </w:r>
          </w:p>
        </w:tc>
        <w:tc>
          <w:tcPr>
            <w:tcW w:w="2160" w:type="dxa"/>
            <w:vAlign w:val="bottom"/>
            <w:tcBorders>
              <w:bottom w:val="single" w:sz="8" w:color="0066BA"/>
            </w:tcBorders>
            <w:shd w:val="clear" w:color="auto" w:fill="EAEAEA"/>
          </w:tcPr>
          <w:p>
            <w:pPr>
              <w:jc w:val="right"/>
              <w:ind w:right="322"/>
              <w:spacing w:after="0"/>
              <w:rPr>
                <w:sz w:val="20"/>
                <w:szCs w:val="20"/>
                <w:color w:val="auto"/>
              </w:rPr>
            </w:pPr>
            <w:r>
              <w:rPr>
                <w:rFonts w:ascii="Arial" w:cs="Arial" w:eastAsia="Arial" w:hAnsi="Arial"/>
                <w:sz w:val="17"/>
                <w:szCs w:val="17"/>
                <w:color w:val="auto"/>
              </w:rPr>
              <w:t>7/21/2021</w:t>
            </w:r>
          </w:p>
        </w:tc>
        <w:tc>
          <w:tcPr>
            <w:tcW w:w="2100" w:type="dxa"/>
            <w:vAlign w:val="bottom"/>
            <w:tcBorders>
              <w:bottom w:val="single" w:sz="8" w:color="0066BA"/>
            </w:tcBorders>
          </w:tcPr>
          <w:p>
            <w:pPr>
              <w:jc w:val="right"/>
              <w:ind w:right="402"/>
              <w:spacing w:after="0"/>
              <w:rPr>
                <w:sz w:val="20"/>
                <w:szCs w:val="20"/>
                <w:color w:val="auto"/>
              </w:rPr>
            </w:pPr>
            <w:r>
              <w:rPr>
                <w:rFonts w:ascii="Arial" w:cs="Arial" w:eastAsia="Arial" w:hAnsi="Arial"/>
                <w:sz w:val="17"/>
                <w:szCs w:val="17"/>
                <w:color w:val="auto"/>
              </w:rPr>
              <w:t>5,968</w:t>
            </w:r>
          </w:p>
        </w:tc>
      </w:tr>
    </w:tbl>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0940"/>
          </w:cols>
          <w:pgMar w:left="320" w:top="447" w:right="6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1920"/>
        <w:spacing w:after="0"/>
        <w:rPr>
          <w:sz w:val="20"/>
          <w:szCs w:val="20"/>
          <w:color w:val="auto"/>
        </w:rPr>
      </w:pPr>
      <w:r>
        <w:rPr>
          <w:rFonts w:ascii="Arial" w:cs="Arial" w:eastAsia="Arial" w:hAnsi="Arial"/>
          <w:sz w:val="26"/>
          <w:szCs w:val="26"/>
          <w:b w:val="1"/>
          <w:bCs w:val="1"/>
          <w:color w:val="3F3F3F"/>
        </w:rPr>
        <w:t>Option Exercises and Stock Vested During Fiscal 2020</w:t>
      </w:r>
    </w:p>
    <w:p>
      <w:pPr>
        <w:spacing w:after="0" w:line="125" w:lineRule="exact"/>
        <w:rPr>
          <w:sz w:val="20"/>
          <w:szCs w:val="20"/>
          <w:color w:val="auto"/>
        </w:rPr>
      </w:pPr>
    </w:p>
    <w:p>
      <w:pPr>
        <w:ind w:left="1920" w:right="859"/>
        <w:spacing w:after="0" w:line="270" w:lineRule="auto"/>
        <w:rPr>
          <w:sz w:val="20"/>
          <w:szCs w:val="20"/>
          <w:color w:val="auto"/>
        </w:rPr>
      </w:pPr>
      <w:r>
        <w:rPr>
          <w:rFonts w:ascii="Arial" w:cs="Arial" w:eastAsia="Arial" w:hAnsi="Arial"/>
          <w:sz w:val="17"/>
          <w:szCs w:val="17"/>
          <w:color w:val="auto"/>
        </w:rPr>
        <w:t>The following table provides information on the aggregate value realized by each named executive officer upon the exercise of stock options and the vesting of restricted stock units/awards, time-based RSUs and PRSUs during fiscal 2020:</w:t>
      </w:r>
    </w:p>
    <w:p>
      <w:pPr>
        <w:spacing w:after="0" w:line="211" w:lineRule="exact"/>
        <w:rPr>
          <w:sz w:val="20"/>
          <w:szCs w:val="20"/>
          <w:color w:val="auto"/>
        </w:rPr>
      </w:pPr>
    </w:p>
    <w:tbl>
      <w:tblPr>
        <w:tblLayout w:type="fixed"/>
        <w:tblInd w:w="1920" w:type="dxa"/>
        <w:tblCellMar>
          <w:top w:w="0" w:type="dxa"/>
          <w:left w:w="0" w:type="dxa"/>
          <w:bottom w:w="0" w:type="dxa"/>
          <w:right w:w="0" w:type="dxa"/>
        </w:tblCellMar>
      </w:tblPr>
      <w:tr>
        <w:trPr>
          <w:trHeight w:val="209"/>
        </w:trPr>
        <w:tc>
          <w:tcPr>
            <w:tcW w:w="1580" w:type="dxa"/>
            <w:vAlign w:val="bottom"/>
            <w:shd w:val="clear" w:color="auto" w:fill="0066BA"/>
          </w:tcPr>
          <w:p>
            <w:pPr>
              <w:ind w:left="80"/>
              <w:spacing w:after="0"/>
              <w:rPr>
                <w:sz w:val="20"/>
                <w:szCs w:val="20"/>
                <w:color w:val="auto"/>
              </w:rPr>
            </w:pPr>
            <w:r>
              <w:rPr>
                <w:rFonts w:ascii="Arial" w:cs="Arial" w:eastAsia="Arial" w:hAnsi="Arial"/>
                <w:sz w:val="14"/>
                <w:szCs w:val="14"/>
                <w:b w:val="1"/>
                <w:bCs w:val="1"/>
                <w:color w:val="FFFFFF"/>
              </w:rPr>
              <w:t>Grant Date</w:t>
            </w:r>
          </w:p>
        </w:tc>
        <w:tc>
          <w:tcPr>
            <w:tcW w:w="3080" w:type="dxa"/>
            <w:vAlign w:val="bottom"/>
            <w:gridSpan w:val="2"/>
            <w:shd w:val="clear" w:color="auto" w:fill="0066BA"/>
          </w:tcPr>
          <w:p>
            <w:pPr>
              <w:jc w:val="right"/>
              <w:ind w:right="1078"/>
              <w:spacing w:after="0"/>
              <w:rPr>
                <w:sz w:val="20"/>
                <w:szCs w:val="20"/>
                <w:color w:val="auto"/>
              </w:rPr>
            </w:pPr>
            <w:r>
              <w:rPr>
                <w:rFonts w:ascii="Arial" w:cs="Arial" w:eastAsia="Arial" w:hAnsi="Arial"/>
                <w:sz w:val="14"/>
                <w:szCs w:val="14"/>
                <w:b w:val="1"/>
                <w:bCs w:val="1"/>
                <w:color w:val="FFFFFF"/>
              </w:rPr>
              <w:t>Option Awards</w:t>
            </w:r>
          </w:p>
        </w:tc>
        <w:tc>
          <w:tcPr>
            <w:tcW w:w="2740" w:type="dxa"/>
            <w:vAlign w:val="bottom"/>
            <w:gridSpan w:val="2"/>
            <w:shd w:val="clear" w:color="auto" w:fill="0066BA"/>
          </w:tcPr>
          <w:p>
            <w:pPr>
              <w:jc w:val="right"/>
              <w:ind w:right="818"/>
              <w:spacing w:after="0"/>
              <w:rPr>
                <w:sz w:val="20"/>
                <w:szCs w:val="20"/>
                <w:color w:val="auto"/>
              </w:rPr>
            </w:pPr>
            <w:r>
              <w:rPr>
                <w:rFonts w:ascii="Arial" w:cs="Arial" w:eastAsia="Arial" w:hAnsi="Arial"/>
                <w:sz w:val="14"/>
                <w:szCs w:val="14"/>
                <w:b w:val="1"/>
                <w:bCs w:val="1"/>
                <w:color w:val="FFFFFF"/>
              </w:rPr>
              <w:t>Stock Awards</w:t>
            </w:r>
          </w:p>
        </w:tc>
      </w:tr>
      <w:tr>
        <w:trPr>
          <w:trHeight w:val="110"/>
        </w:trPr>
        <w:tc>
          <w:tcPr>
            <w:tcW w:w="1580" w:type="dxa"/>
            <w:vAlign w:val="bottom"/>
            <w:shd w:val="clear" w:color="auto" w:fill="0066BA"/>
          </w:tcPr>
          <w:p>
            <w:pPr>
              <w:spacing w:after="0"/>
              <w:rPr>
                <w:sz w:val="9"/>
                <w:szCs w:val="9"/>
                <w:color w:val="auto"/>
              </w:rPr>
            </w:pPr>
          </w:p>
        </w:tc>
        <w:tc>
          <w:tcPr>
            <w:tcW w:w="1480" w:type="dxa"/>
            <w:vAlign w:val="bottom"/>
            <w:shd w:val="clear" w:color="auto" w:fill="0066BA"/>
          </w:tcPr>
          <w:p>
            <w:pPr>
              <w:spacing w:after="0"/>
              <w:rPr>
                <w:sz w:val="9"/>
                <w:szCs w:val="9"/>
                <w:color w:val="auto"/>
              </w:rPr>
            </w:pPr>
          </w:p>
        </w:tc>
        <w:tc>
          <w:tcPr>
            <w:tcW w:w="1600" w:type="dxa"/>
            <w:vAlign w:val="bottom"/>
            <w:shd w:val="clear" w:color="auto" w:fill="0066BA"/>
          </w:tcPr>
          <w:p>
            <w:pPr>
              <w:spacing w:after="0"/>
              <w:rPr>
                <w:sz w:val="9"/>
                <w:szCs w:val="9"/>
                <w:color w:val="auto"/>
              </w:rPr>
            </w:pPr>
          </w:p>
        </w:tc>
        <w:tc>
          <w:tcPr>
            <w:tcW w:w="1420" w:type="dxa"/>
            <w:vAlign w:val="bottom"/>
            <w:shd w:val="clear" w:color="auto" w:fill="0066BA"/>
          </w:tcPr>
          <w:p>
            <w:pPr>
              <w:spacing w:after="0"/>
              <w:rPr>
                <w:sz w:val="9"/>
                <w:szCs w:val="9"/>
                <w:color w:val="auto"/>
              </w:rPr>
            </w:pPr>
          </w:p>
        </w:tc>
        <w:tc>
          <w:tcPr>
            <w:tcW w:w="1320" w:type="dxa"/>
            <w:vAlign w:val="bottom"/>
            <w:shd w:val="clear" w:color="auto" w:fill="0066BA"/>
          </w:tcPr>
          <w:p>
            <w:pPr>
              <w:spacing w:after="0"/>
              <w:rPr>
                <w:sz w:val="9"/>
                <w:szCs w:val="9"/>
                <w:color w:val="auto"/>
              </w:rPr>
            </w:pPr>
          </w:p>
        </w:tc>
      </w:tr>
      <w:tr>
        <w:trPr>
          <w:trHeight w:val="166"/>
        </w:trPr>
        <w:tc>
          <w:tcPr>
            <w:tcW w:w="1580" w:type="dxa"/>
            <w:vAlign w:val="bottom"/>
            <w:shd w:val="clear" w:color="auto" w:fill="0066BA"/>
          </w:tcPr>
          <w:p>
            <w:pPr>
              <w:spacing w:after="0"/>
              <w:rPr>
                <w:sz w:val="14"/>
                <w:szCs w:val="14"/>
                <w:color w:val="auto"/>
              </w:rPr>
            </w:pPr>
          </w:p>
        </w:tc>
        <w:tc>
          <w:tcPr>
            <w:tcW w:w="1480" w:type="dxa"/>
            <w:vAlign w:val="bottom"/>
            <w:shd w:val="clear" w:color="auto" w:fill="0066BA"/>
          </w:tcPr>
          <w:p>
            <w:pPr>
              <w:jc w:val="right"/>
              <w:spacing w:after="0"/>
              <w:rPr>
                <w:sz w:val="20"/>
                <w:szCs w:val="20"/>
                <w:color w:val="auto"/>
              </w:rPr>
            </w:pPr>
            <w:r>
              <w:rPr>
                <w:rFonts w:ascii="Arial" w:cs="Arial" w:eastAsia="Arial" w:hAnsi="Arial"/>
                <w:sz w:val="14"/>
                <w:szCs w:val="14"/>
                <w:b w:val="1"/>
                <w:bCs w:val="1"/>
                <w:color w:val="FFFFFF"/>
              </w:rPr>
              <w:t>Number of Shares</w:t>
            </w:r>
          </w:p>
        </w:tc>
        <w:tc>
          <w:tcPr>
            <w:tcW w:w="1600" w:type="dxa"/>
            <w:vAlign w:val="bottom"/>
            <w:shd w:val="clear" w:color="auto" w:fill="0066BA"/>
          </w:tcPr>
          <w:p>
            <w:pPr>
              <w:jc w:val="right"/>
              <w:ind w:right="298"/>
              <w:spacing w:after="0"/>
              <w:rPr>
                <w:sz w:val="20"/>
                <w:szCs w:val="20"/>
                <w:color w:val="auto"/>
              </w:rPr>
            </w:pPr>
            <w:r>
              <w:rPr>
                <w:rFonts w:ascii="Arial" w:cs="Arial" w:eastAsia="Arial" w:hAnsi="Arial"/>
                <w:sz w:val="14"/>
                <w:szCs w:val="14"/>
                <w:b w:val="1"/>
                <w:bCs w:val="1"/>
                <w:color w:val="FFFFFF"/>
              </w:rPr>
              <w:t>Value Realized on</w:t>
            </w:r>
          </w:p>
        </w:tc>
        <w:tc>
          <w:tcPr>
            <w:tcW w:w="1420" w:type="dxa"/>
            <w:vAlign w:val="bottom"/>
            <w:shd w:val="clear" w:color="auto" w:fill="0066BA"/>
          </w:tcPr>
          <w:p>
            <w:pPr>
              <w:jc w:val="right"/>
              <w:spacing w:after="0"/>
              <w:rPr>
                <w:sz w:val="20"/>
                <w:szCs w:val="20"/>
                <w:color w:val="auto"/>
              </w:rPr>
            </w:pPr>
            <w:r>
              <w:rPr>
                <w:rFonts w:ascii="Arial" w:cs="Arial" w:eastAsia="Arial" w:hAnsi="Arial"/>
                <w:sz w:val="14"/>
                <w:szCs w:val="14"/>
                <w:b w:val="1"/>
                <w:bCs w:val="1"/>
                <w:color w:val="FFFFFF"/>
              </w:rPr>
              <w:t>Number of Shares</w:t>
            </w:r>
          </w:p>
        </w:tc>
        <w:tc>
          <w:tcPr>
            <w:tcW w:w="1320" w:type="dxa"/>
            <w:vAlign w:val="bottom"/>
            <w:shd w:val="clear" w:color="auto" w:fill="0066BA"/>
          </w:tcPr>
          <w:p>
            <w:pPr>
              <w:jc w:val="right"/>
              <w:ind w:right="18"/>
              <w:spacing w:after="0"/>
              <w:rPr>
                <w:sz w:val="20"/>
                <w:szCs w:val="20"/>
                <w:color w:val="auto"/>
              </w:rPr>
            </w:pPr>
            <w:r>
              <w:rPr>
                <w:rFonts w:ascii="Arial" w:cs="Arial" w:eastAsia="Arial" w:hAnsi="Arial"/>
                <w:sz w:val="14"/>
                <w:szCs w:val="14"/>
                <w:b w:val="1"/>
                <w:bCs w:val="1"/>
                <w:color w:val="FFFFFF"/>
              </w:rPr>
              <w:t>Value Realized on</w:t>
            </w:r>
          </w:p>
        </w:tc>
      </w:tr>
      <w:tr>
        <w:trPr>
          <w:trHeight w:val="180"/>
        </w:trPr>
        <w:tc>
          <w:tcPr>
            <w:tcW w:w="1580" w:type="dxa"/>
            <w:vAlign w:val="bottom"/>
            <w:shd w:val="clear" w:color="auto" w:fill="0066BA"/>
          </w:tcPr>
          <w:p>
            <w:pPr>
              <w:spacing w:after="0"/>
              <w:rPr>
                <w:sz w:val="15"/>
                <w:szCs w:val="15"/>
                <w:color w:val="auto"/>
              </w:rPr>
            </w:pPr>
          </w:p>
        </w:tc>
        <w:tc>
          <w:tcPr>
            <w:tcW w:w="1480" w:type="dxa"/>
            <w:vAlign w:val="bottom"/>
            <w:shd w:val="clear" w:color="auto" w:fill="0066BA"/>
          </w:tcPr>
          <w:p>
            <w:pPr>
              <w:jc w:val="right"/>
              <w:spacing w:after="0"/>
              <w:rPr>
                <w:sz w:val="20"/>
                <w:szCs w:val="20"/>
                <w:color w:val="auto"/>
              </w:rPr>
            </w:pPr>
            <w:r>
              <w:rPr>
                <w:rFonts w:ascii="Arial" w:cs="Arial" w:eastAsia="Arial" w:hAnsi="Arial"/>
                <w:sz w:val="14"/>
                <w:szCs w:val="14"/>
                <w:b w:val="1"/>
                <w:bCs w:val="1"/>
                <w:color w:val="FFFFFF"/>
                <w:w w:val="97"/>
              </w:rPr>
              <w:t>Acquired on Exercise</w:t>
            </w:r>
          </w:p>
        </w:tc>
        <w:tc>
          <w:tcPr>
            <w:tcW w:w="1600" w:type="dxa"/>
            <w:vAlign w:val="bottom"/>
            <w:shd w:val="clear" w:color="auto" w:fill="0066BA"/>
          </w:tcPr>
          <w:p>
            <w:pPr>
              <w:jc w:val="right"/>
              <w:ind w:right="298"/>
              <w:spacing w:after="0"/>
              <w:rPr>
                <w:sz w:val="20"/>
                <w:szCs w:val="20"/>
                <w:color w:val="auto"/>
              </w:rPr>
            </w:pPr>
            <w:r>
              <w:rPr>
                <w:rFonts w:ascii="Arial" w:cs="Arial" w:eastAsia="Arial" w:hAnsi="Arial"/>
                <w:sz w:val="14"/>
                <w:szCs w:val="14"/>
                <w:b w:val="1"/>
                <w:bCs w:val="1"/>
                <w:color w:val="FFFFFF"/>
              </w:rPr>
              <w:t>Exercise ($) (1)</w:t>
            </w:r>
          </w:p>
        </w:tc>
        <w:tc>
          <w:tcPr>
            <w:tcW w:w="1420" w:type="dxa"/>
            <w:vAlign w:val="bottom"/>
            <w:shd w:val="clear" w:color="auto" w:fill="0066BA"/>
          </w:tcPr>
          <w:p>
            <w:pPr>
              <w:jc w:val="right"/>
              <w:spacing w:after="0"/>
              <w:rPr>
                <w:sz w:val="20"/>
                <w:szCs w:val="20"/>
                <w:color w:val="auto"/>
              </w:rPr>
            </w:pPr>
            <w:r>
              <w:rPr>
                <w:rFonts w:ascii="Arial" w:cs="Arial" w:eastAsia="Arial" w:hAnsi="Arial"/>
                <w:sz w:val="14"/>
                <w:szCs w:val="14"/>
                <w:b w:val="1"/>
                <w:bCs w:val="1"/>
                <w:color w:val="FFFFFF"/>
                <w:w w:val="98"/>
              </w:rPr>
              <w:t>Acquired on Vesting</w:t>
            </w:r>
          </w:p>
        </w:tc>
        <w:tc>
          <w:tcPr>
            <w:tcW w:w="1320" w:type="dxa"/>
            <w:vAlign w:val="bottom"/>
            <w:shd w:val="clear" w:color="auto" w:fill="0066BA"/>
          </w:tcPr>
          <w:p>
            <w:pPr>
              <w:jc w:val="right"/>
              <w:ind w:right="18"/>
              <w:spacing w:after="0"/>
              <w:rPr>
                <w:sz w:val="20"/>
                <w:szCs w:val="20"/>
                <w:color w:val="auto"/>
              </w:rPr>
            </w:pPr>
            <w:r>
              <w:rPr>
                <w:rFonts w:ascii="Arial" w:cs="Arial" w:eastAsia="Arial" w:hAnsi="Arial"/>
                <w:sz w:val="14"/>
                <w:szCs w:val="14"/>
                <w:b w:val="1"/>
                <w:bCs w:val="1"/>
                <w:color w:val="FFFFFF"/>
              </w:rPr>
              <w:t>Vesting ($) (2)</w:t>
            </w:r>
          </w:p>
        </w:tc>
      </w:tr>
      <w:tr>
        <w:trPr>
          <w:trHeight w:val="103"/>
        </w:trPr>
        <w:tc>
          <w:tcPr>
            <w:tcW w:w="1580" w:type="dxa"/>
            <w:vAlign w:val="bottom"/>
            <w:shd w:val="clear" w:color="auto" w:fill="0066BA"/>
          </w:tcPr>
          <w:p>
            <w:pPr>
              <w:spacing w:after="0"/>
              <w:rPr>
                <w:sz w:val="8"/>
                <w:szCs w:val="8"/>
                <w:color w:val="auto"/>
              </w:rPr>
            </w:pPr>
          </w:p>
        </w:tc>
        <w:tc>
          <w:tcPr>
            <w:tcW w:w="1480" w:type="dxa"/>
            <w:vAlign w:val="bottom"/>
            <w:shd w:val="clear" w:color="auto" w:fill="0066BA"/>
          </w:tcPr>
          <w:p>
            <w:pPr>
              <w:spacing w:after="0"/>
              <w:rPr>
                <w:sz w:val="8"/>
                <w:szCs w:val="8"/>
                <w:color w:val="auto"/>
              </w:rPr>
            </w:pPr>
          </w:p>
        </w:tc>
        <w:tc>
          <w:tcPr>
            <w:tcW w:w="1600" w:type="dxa"/>
            <w:vAlign w:val="bottom"/>
            <w:shd w:val="clear" w:color="auto" w:fill="0066BA"/>
          </w:tcPr>
          <w:p>
            <w:pPr>
              <w:spacing w:after="0"/>
              <w:rPr>
                <w:sz w:val="8"/>
                <w:szCs w:val="8"/>
                <w:color w:val="auto"/>
              </w:rPr>
            </w:pPr>
          </w:p>
        </w:tc>
        <w:tc>
          <w:tcPr>
            <w:tcW w:w="1420" w:type="dxa"/>
            <w:vAlign w:val="bottom"/>
            <w:shd w:val="clear" w:color="auto" w:fill="0066BA"/>
          </w:tcPr>
          <w:p>
            <w:pPr>
              <w:spacing w:after="0"/>
              <w:rPr>
                <w:sz w:val="8"/>
                <w:szCs w:val="8"/>
                <w:color w:val="auto"/>
              </w:rPr>
            </w:pPr>
          </w:p>
        </w:tc>
        <w:tc>
          <w:tcPr>
            <w:tcW w:w="1320" w:type="dxa"/>
            <w:vAlign w:val="bottom"/>
            <w:shd w:val="clear" w:color="auto" w:fill="0066BA"/>
          </w:tcPr>
          <w:p>
            <w:pPr>
              <w:spacing w:after="0"/>
              <w:rPr>
                <w:sz w:val="8"/>
                <w:szCs w:val="8"/>
                <w:color w:val="auto"/>
              </w:rPr>
            </w:pPr>
          </w:p>
        </w:tc>
      </w:tr>
      <w:tr>
        <w:trPr>
          <w:trHeight w:val="312"/>
        </w:trPr>
        <w:tc>
          <w:tcPr>
            <w:tcW w:w="1580" w:type="dxa"/>
            <w:vAlign w:val="bottom"/>
          </w:tcPr>
          <w:p>
            <w:pPr>
              <w:ind w:left="80"/>
              <w:spacing w:after="0"/>
              <w:rPr>
                <w:sz w:val="20"/>
                <w:szCs w:val="20"/>
                <w:color w:val="auto"/>
              </w:rPr>
            </w:pPr>
            <w:r>
              <w:rPr>
                <w:rFonts w:ascii="Arial" w:cs="Arial" w:eastAsia="Arial" w:hAnsi="Arial"/>
                <w:sz w:val="17"/>
                <w:szCs w:val="17"/>
                <w:b w:val="1"/>
                <w:bCs w:val="1"/>
                <w:color w:val="0066BA"/>
              </w:rPr>
              <w:t>Vincent Roche</w:t>
            </w:r>
          </w:p>
        </w:tc>
        <w:tc>
          <w:tcPr>
            <w:tcW w:w="14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40,000</w:t>
            </w:r>
          </w:p>
        </w:tc>
        <w:tc>
          <w:tcPr>
            <w:tcW w:w="1600" w:type="dxa"/>
            <w:vAlign w:val="bottom"/>
          </w:tcPr>
          <w:p>
            <w:pPr>
              <w:jc w:val="right"/>
              <w:ind w:right="298"/>
              <w:spacing w:after="0"/>
              <w:rPr>
                <w:sz w:val="20"/>
                <w:szCs w:val="20"/>
                <w:color w:val="auto"/>
              </w:rPr>
            </w:pPr>
            <w:r>
              <w:rPr>
                <w:rFonts w:ascii="Arial" w:cs="Arial" w:eastAsia="Arial" w:hAnsi="Arial"/>
                <w:sz w:val="17"/>
                <w:szCs w:val="17"/>
                <w:color w:val="auto"/>
              </w:rPr>
              <w:t>2,285,808</w:t>
            </w:r>
          </w:p>
        </w:tc>
        <w:tc>
          <w:tcPr>
            <w:tcW w:w="14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54,811</w:t>
            </w: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5,098,320</w:t>
            </w:r>
          </w:p>
        </w:tc>
      </w:tr>
      <w:tr>
        <w:trPr>
          <w:trHeight w:val="222"/>
        </w:trPr>
        <w:tc>
          <w:tcPr>
            <w:tcW w:w="1580" w:type="dxa"/>
            <w:vAlign w:val="bottom"/>
            <w:tcBorders>
              <w:top w:val="single" w:sz="8" w:color="auto"/>
            </w:tcBorders>
          </w:tcPr>
          <w:p>
            <w:pPr>
              <w:ind w:left="80"/>
              <w:spacing w:after="0"/>
              <w:rPr>
                <w:sz w:val="20"/>
                <w:szCs w:val="20"/>
                <w:color w:val="auto"/>
              </w:rPr>
            </w:pPr>
            <w:r>
              <w:rPr>
                <w:rFonts w:ascii="Arial" w:cs="Arial" w:eastAsia="Arial" w:hAnsi="Arial"/>
                <w:sz w:val="17"/>
                <w:szCs w:val="17"/>
                <w:b w:val="1"/>
                <w:bCs w:val="1"/>
                <w:color w:val="0066BA"/>
              </w:rPr>
              <w:t>Prashanth</w:t>
            </w:r>
          </w:p>
        </w:tc>
        <w:tc>
          <w:tcPr>
            <w:tcW w:w="1480" w:type="dxa"/>
            <w:vAlign w:val="bottom"/>
            <w:tcBorders>
              <w:top w:val="single" w:sz="8" w:color="auto"/>
            </w:tcBorders>
            <w:shd w:val="clear" w:color="auto" w:fill="EAEAEA"/>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shd w:val="clear" w:color="auto" w:fill="EAEAEA"/>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279"/>
        </w:trPr>
        <w:tc>
          <w:tcPr>
            <w:tcW w:w="1580" w:type="dxa"/>
            <w:vAlign w:val="bottom"/>
          </w:tcPr>
          <w:p>
            <w:pPr>
              <w:ind w:left="80"/>
              <w:spacing w:after="0"/>
              <w:rPr>
                <w:sz w:val="20"/>
                <w:szCs w:val="20"/>
                <w:color w:val="auto"/>
              </w:rPr>
            </w:pPr>
            <w:r>
              <w:rPr>
                <w:rFonts w:ascii="Arial" w:cs="Arial" w:eastAsia="Arial" w:hAnsi="Arial"/>
                <w:sz w:val="17"/>
                <w:szCs w:val="17"/>
                <w:b w:val="1"/>
                <w:bCs w:val="1"/>
                <w:color w:val="0066BA"/>
              </w:rPr>
              <w:t>Mahendra-Rajah</w:t>
            </w:r>
          </w:p>
        </w:tc>
        <w:tc>
          <w:tcPr>
            <w:tcW w:w="14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298"/>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31,500</w:t>
            </w: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3,653,399</w:t>
            </w:r>
          </w:p>
        </w:tc>
      </w:tr>
      <w:tr>
        <w:trPr>
          <w:trHeight w:val="292"/>
        </w:trPr>
        <w:tc>
          <w:tcPr>
            <w:tcW w:w="1580" w:type="dxa"/>
            <w:vAlign w:val="bottom"/>
            <w:tcBorders>
              <w:top w:val="single" w:sz="8" w:color="auto"/>
            </w:tcBorders>
          </w:tcPr>
          <w:p>
            <w:pPr>
              <w:ind w:left="80"/>
              <w:spacing w:after="0"/>
              <w:rPr>
                <w:sz w:val="20"/>
                <w:szCs w:val="20"/>
                <w:color w:val="auto"/>
              </w:rPr>
            </w:pPr>
            <w:r>
              <w:rPr>
                <w:rFonts w:ascii="Arial" w:cs="Arial" w:eastAsia="Arial" w:hAnsi="Arial"/>
                <w:sz w:val="17"/>
                <w:szCs w:val="17"/>
                <w:b w:val="1"/>
                <w:bCs w:val="1"/>
                <w:color w:val="0066BA"/>
              </w:rPr>
              <w:t>Martin Cotter</w:t>
            </w:r>
          </w:p>
        </w:tc>
        <w:tc>
          <w:tcPr>
            <w:tcW w:w="14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20,000</w:t>
            </w:r>
          </w:p>
        </w:tc>
        <w:tc>
          <w:tcPr>
            <w:tcW w:w="1600" w:type="dxa"/>
            <w:vAlign w:val="bottom"/>
            <w:tcBorders>
              <w:top w:val="single" w:sz="8" w:color="auto"/>
            </w:tcBorders>
          </w:tcPr>
          <w:p>
            <w:pPr>
              <w:jc w:val="right"/>
              <w:ind w:right="298"/>
              <w:spacing w:after="0"/>
              <w:rPr>
                <w:sz w:val="20"/>
                <w:szCs w:val="20"/>
                <w:color w:val="auto"/>
              </w:rPr>
            </w:pPr>
            <w:r>
              <w:rPr>
                <w:rFonts w:ascii="Arial" w:cs="Arial" w:eastAsia="Arial" w:hAnsi="Arial"/>
                <w:sz w:val="17"/>
                <w:szCs w:val="17"/>
                <w:color w:val="auto"/>
              </w:rPr>
              <w:t>1,445,430</w:t>
            </w:r>
          </w:p>
        </w:tc>
        <w:tc>
          <w:tcPr>
            <w:tcW w:w="14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24,817</w:t>
            </w:r>
          </w:p>
        </w:tc>
        <w:tc>
          <w:tcPr>
            <w:tcW w:w="132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2,688,705</w:t>
            </w:r>
          </w:p>
        </w:tc>
      </w:tr>
      <w:tr>
        <w:trPr>
          <w:trHeight w:val="292"/>
        </w:trPr>
        <w:tc>
          <w:tcPr>
            <w:tcW w:w="1580" w:type="dxa"/>
            <w:vAlign w:val="bottom"/>
            <w:tcBorders>
              <w:top w:val="single" w:sz="8" w:color="auto"/>
            </w:tcBorders>
          </w:tcPr>
          <w:p>
            <w:pPr>
              <w:ind w:left="80"/>
              <w:spacing w:after="0"/>
              <w:rPr>
                <w:sz w:val="20"/>
                <w:szCs w:val="20"/>
                <w:color w:val="auto"/>
              </w:rPr>
            </w:pPr>
            <w:r>
              <w:rPr>
                <w:rFonts w:ascii="Arial" w:cs="Arial" w:eastAsia="Arial" w:hAnsi="Arial"/>
                <w:sz w:val="17"/>
                <w:szCs w:val="17"/>
                <w:b w:val="1"/>
                <w:bCs w:val="1"/>
                <w:color w:val="0066BA"/>
              </w:rPr>
              <w:t>John Hassett</w:t>
            </w:r>
          </w:p>
        </w:tc>
        <w:tc>
          <w:tcPr>
            <w:tcW w:w="14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15,681</w:t>
            </w:r>
          </w:p>
        </w:tc>
        <w:tc>
          <w:tcPr>
            <w:tcW w:w="1600" w:type="dxa"/>
            <w:vAlign w:val="bottom"/>
            <w:tcBorders>
              <w:top w:val="single" w:sz="8" w:color="auto"/>
            </w:tcBorders>
          </w:tcPr>
          <w:p>
            <w:pPr>
              <w:jc w:val="right"/>
              <w:ind w:right="298"/>
              <w:spacing w:after="0"/>
              <w:rPr>
                <w:sz w:val="20"/>
                <w:szCs w:val="20"/>
                <w:color w:val="auto"/>
              </w:rPr>
            </w:pPr>
            <w:r>
              <w:rPr>
                <w:rFonts w:ascii="Arial" w:cs="Arial" w:eastAsia="Arial" w:hAnsi="Arial"/>
                <w:sz w:val="17"/>
                <w:szCs w:val="17"/>
                <w:color w:val="auto"/>
              </w:rPr>
              <w:t>1,022,791</w:t>
            </w:r>
          </w:p>
        </w:tc>
        <w:tc>
          <w:tcPr>
            <w:tcW w:w="14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26,588</w:t>
            </w:r>
          </w:p>
        </w:tc>
        <w:tc>
          <w:tcPr>
            <w:tcW w:w="132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2,874,289</w:t>
            </w:r>
          </w:p>
        </w:tc>
      </w:tr>
      <w:tr>
        <w:trPr>
          <w:trHeight w:val="222"/>
        </w:trPr>
        <w:tc>
          <w:tcPr>
            <w:tcW w:w="1580" w:type="dxa"/>
            <w:vAlign w:val="bottom"/>
            <w:tcBorders>
              <w:top w:val="single" w:sz="8" w:color="auto"/>
            </w:tcBorders>
          </w:tcPr>
          <w:p>
            <w:pPr>
              <w:ind w:left="80"/>
              <w:spacing w:after="0"/>
              <w:rPr>
                <w:sz w:val="20"/>
                <w:szCs w:val="20"/>
                <w:color w:val="auto"/>
              </w:rPr>
            </w:pPr>
            <w:r>
              <w:rPr>
                <w:rFonts w:ascii="Arial" w:cs="Arial" w:eastAsia="Arial" w:hAnsi="Arial"/>
                <w:sz w:val="17"/>
                <w:szCs w:val="17"/>
                <w:b w:val="1"/>
                <w:bCs w:val="1"/>
                <w:color w:val="0066BA"/>
              </w:rPr>
              <w:t>Steve</w:t>
            </w:r>
          </w:p>
        </w:tc>
        <w:tc>
          <w:tcPr>
            <w:tcW w:w="1480" w:type="dxa"/>
            <w:vAlign w:val="bottom"/>
            <w:tcBorders>
              <w:top w:val="single" w:sz="8" w:color="auto"/>
            </w:tcBorders>
            <w:shd w:val="clear" w:color="auto" w:fill="EAEAEA"/>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shd w:val="clear" w:color="auto" w:fill="EAEAEA"/>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259"/>
        </w:trPr>
        <w:tc>
          <w:tcPr>
            <w:tcW w:w="1580" w:type="dxa"/>
            <w:vAlign w:val="bottom"/>
          </w:tcPr>
          <w:p>
            <w:pPr>
              <w:ind w:left="80"/>
              <w:spacing w:after="0"/>
              <w:rPr>
                <w:sz w:val="20"/>
                <w:szCs w:val="20"/>
                <w:color w:val="auto"/>
              </w:rPr>
            </w:pPr>
            <w:r>
              <w:rPr>
                <w:rFonts w:ascii="Arial" w:cs="Arial" w:eastAsia="Arial" w:hAnsi="Arial"/>
                <w:sz w:val="17"/>
                <w:szCs w:val="17"/>
                <w:b w:val="1"/>
                <w:bCs w:val="1"/>
                <w:color w:val="0066BA"/>
              </w:rPr>
              <w:t>Pietkiewicz (3)</w:t>
            </w:r>
          </w:p>
        </w:tc>
        <w:tc>
          <w:tcPr>
            <w:tcW w:w="14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298"/>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37,144</w:t>
            </w: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4,285,018</w:t>
            </w:r>
          </w:p>
        </w:tc>
      </w:tr>
      <w:tr>
        <w:trPr>
          <w:trHeight w:val="20"/>
        </w:trPr>
        <w:tc>
          <w:tcPr>
            <w:tcW w:w="1580" w:type="dxa"/>
            <w:vAlign w:val="bottom"/>
            <w:shd w:val="clear" w:color="auto" w:fill="0066BA"/>
          </w:tcPr>
          <w:p>
            <w:pPr>
              <w:spacing w:after="0" w:line="20" w:lineRule="exact"/>
              <w:rPr>
                <w:sz w:val="1"/>
                <w:szCs w:val="1"/>
                <w:color w:val="auto"/>
              </w:rPr>
            </w:pPr>
          </w:p>
        </w:tc>
        <w:tc>
          <w:tcPr>
            <w:tcW w:w="1480" w:type="dxa"/>
            <w:vAlign w:val="bottom"/>
            <w:shd w:val="clear" w:color="auto" w:fill="0066BA"/>
          </w:tcPr>
          <w:p>
            <w:pPr>
              <w:spacing w:after="0" w:line="20" w:lineRule="exact"/>
              <w:rPr>
                <w:sz w:val="1"/>
                <w:szCs w:val="1"/>
                <w:color w:val="auto"/>
              </w:rPr>
            </w:pPr>
          </w:p>
        </w:tc>
        <w:tc>
          <w:tcPr>
            <w:tcW w:w="1600" w:type="dxa"/>
            <w:vAlign w:val="bottom"/>
            <w:shd w:val="clear" w:color="auto" w:fill="0066BA"/>
          </w:tcPr>
          <w:p>
            <w:pPr>
              <w:spacing w:after="0" w:line="20" w:lineRule="exact"/>
              <w:rPr>
                <w:sz w:val="1"/>
                <w:szCs w:val="1"/>
                <w:color w:val="auto"/>
              </w:rPr>
            </w:pPr>
          </w:p>
        </w:tc>
        <w:tc>
          <w:tcPr>
            <w:tcW w:w="1420" w:type="dxa"/>
            <w:vAlign w:val="bottom"/>
            <w:shd w:val="clear" w:color="auto" w:fill="0066BA"/>
          </w:tcPr>
          <w:p>
            <w:pPr>
              <w:spacing w:after="0" w:line="20" w:lineRule="exact"/>
              <w:rPr>
                <w:sz w:val="1"/>
                <w:szCs w:val="1"/>
                <w:color w:val="auto"/>
              </w:rPr>
            </w:pPr>
          </w:p>
        </w:tc>
        <w:tc>
          <w:tcPr>
            <w:tcW w:w="1320" w:type="dxa"/>
            <w:vAlign w:val="bottom"/>
            <w:shd w:val="clear" w:color="auto" w:fill="0066BA"/>
          </w:tcPr>
          <w:p>
            <w:pPr>
              <w:spacing w:after="0" w:line="20" w:lineRule="exact"/>
              <w:rPr>
                <w:sz w:val="1"/>
                <w:szCs w:val="1"/>
                <w:color w:val="auto"/>
              </w:rPr>
            </w:pPr>
          </w:p>
        </w:tc>
      </w:tr>
    </w:tbl>
    <w:p>
      <w:pPr>
        <w:spacing w:after="0" w:line="27" w:lineRule="exact"/>
        <w:rPr>
          <w:sz w:val="20"/>
          <w:szCs w:val="20"/>
          <w:color w:val="auto"/>
        </w:rPr>
      </w:pPr>
    </w:p>
    <w:p>
      <w:pPr>
        <w:ind w:left="2420" w:right="979" w:hanging="514"/>
        <w:spacing w:after="0" w:line="260" w:lineRule="auto"/>
        <w:tabs>
          <w:tab w:leader="none" w:pos="2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Value realized represents the difference between the closing price per share of our common stock on the date of exercise and the exercise price per share, multiplied by the number of shares acquired on exercise.</w:t>
      </w:r>
    </w:p>
    <w:p>
      <w:pPr>
        <w:spacing w:after="0" w:line="1" w:lineRule="exact"/>
        <w:rPr>
          <w:rFonts w:ascii="Arial" w:cs="Arial" w:eastAsia="Arial" w:hAnsi="Arial"/>
          <w:sz w:val="17"/>
          <w:szCs w:val="17"/>
          <w:color w:val="auto"/>
        </w:rPr>
      </w:pPr>
    </w:p>
    <w:p>
      <w:pPr>
        <w:ind w:left="2420" w:right="1219" w:hanging="514"/>
        <w:spacing w:after="0" w:line="255" w:lineRule="auto"/>
        <w:tabs>
          <w:tab w:leader="none" w:pos="2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Value realized represents the closing price per share of our common stock on the vesting date, multiplied by the number of shares vested.</w:t>
      </w:r>
    </w:p>
    <w:p>
      <w:pPr>
        <w:ind w:left="2420" w:right="839" w:hanging="514"/>
        <w:spacing w:after="0" w:line="260" w:lineRule="auto"/>
        <w:tabs>
          <w:tab w:leader="none" w:pos="2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addition to the amounts reflected in the table, during fiscal 2020 Mr. Pietkiewicz received $276,000 upon the vesting of cash awards, which were granted by the Company in connection with the Linear Technology acquisition, and in accordance with the terms of the merger agreement, in replacement of outstanding Linear Technology equity awards.</w:t>
      </w:r>
    </w:p>
    <w:p>
      <w:pPr>
        <w:spacing w:after="0" w:line="264" w:lineRule="exact"/>
        <w:rPr>
          <w:sz w:val="20"/>
          <w:szCs w:val="20"/>
          <w:color w:val="auto"/>
        </w:rPr>
      </w:pPr>
    </w:p>
    <w:p>
      <w:pPr>
        <w:ind w:left="1920"/>
        <w:spacing w:after="0"/>
        <w:rPr>
          <w:sz w:val="20"/>
          <w:szCs w:val="20"/>
          <w:color w:val="auto"/>
        </w:rPr>
      </w:pPr>
      <w:r>
        <w:rPr>
          <w:rFonts w:ascii="Arial" w:cs="Arial" w:eastAsia="Arial" w:hAnsi="Arial"/>
          <w:sz w:val="26"/>
          <w:szCs w:val="26"/>
          <w:b w:val="1"/>
          <w:bCs w:val="1"/>
          <w:color w:val="3F3F3F"/>
        </w:rPr>
        <w:t>Non-Qualified Deferred Compensation Plan</w:t>
      </w:r>
    </w:p>
    <w:p>
      <w:pPr>
        <w:spacing w:after="0" w:line="125" w:lineRule="exact"/>
        <w:rPr>
          <w:sz w:val="20"/>
          <w:szCs w:val="20"/>
          <w:color w:val="auto"/>
        </w:rPr>
      </w:pPr>
    </w:p>
    <w:p>
      <w:pPr>
        <w:ind w:left="1920" w:right="959"/>
        <w:spacing w:after="0" w:line="261" w:lineRule="auto"/>
        <w:rPr>
          <w:sz w:val="20"/>
          <w:szCs w:val="20"/>
          <w:color w:val="auto"/>
        </w:rPr>
      </w:pPr>
      <w:r>
        <w:rPr>
          <w:rFonts w:ascii="Arial" w:cs="Arial" w:eastAsia="Arial" w:hAnsi="Arial"/>
          <w:sz w:val="17"/>
          <w:szCs w:val="17"/>
          <w:color w:val="auto"/>
        </w:rPr>
        <w:t>Since 1995, our executive officers and directors, along with some of our management and engineering employees, have been eligible to participate in our Deferred Compensation Plan, or DCP. We established the DCP to provide participants with the opportunity to defer receiving all or a portion of their compensation, which includes salary, bonus, commissions and director fees. Under our DCP, we provide all participants (other than non-employee directors) with Company contributions equal to 8% of eligible deferred contributions.</w:t>
      </w:r>
    </w:p>
    <w:p>
      <w:pPr>
        <w:spacing w:after="0" w:line="77" w:lineRule="exact"/>
        <w:rPr>
          <w:sz w:val="20"/>
          <w:szCs w:val="20"/>
          <w:color w:val="auto"/>
        </w:rPr>
      </w:pPr>
    </w:p>
    <w:p>
      <w:pPr>
        <w:ind w:left="1920" w:right="859"/>
        <w:spacing w:after="0" w:line="259" w:lineRule="auto"/>
        <w:rPr>
          <w:sz w:val="20"/>
          <w:szCs w:val="20"/>
          <w:color w:val="auto"/>
        </w:rPr>
      </w:pPr>
      <w:r>
        <w:rPr>
          <w:rFonts w:ascii="Arial" w:cs="Arial" w:eastAsia="Arial" w:hAnsi="Arial"/>
          <w:sz w:val="17"/>
          <w:szCs w:val="17"/>
          <w:color w:val="auto"/>
        </w:rPr>
        <w:t>We credit each participant’s account with earnings on the deferred amounts. These earnings represent the amounts that the participant would have earned if the deferred amounts had been invested in one or more of the various investment options selected by the participant. Under the terms of the DCP, only the payment of the compensation earned is deferred; we do not defer the expense in our financial statements related to the participant’s deferred compensation and investment earnings. We charge the salary, bonuses, commissions, director fees and investment earnings on deferred balances to our income statement as an expense in the period in which the participant earned the compensation. Our balance sheet includes separate line items for Deferred Compensation Plan Investments and Deferred Compensation Plan Liabilities.</w:t>
      </w:r>
    </w:p>
    <w:p>
      <w:pPr>
        <w:spacing w:after="0" w:line="79" w:lineRule="exact"/>
        <w:rPr>
          <w:sz w:val="20"/>
          <w:szCs w:val="20"/>
          <w:color w:val="auto"/>
        </w:rPr>
      </w:pPr>
    </w:p>
    <w:p>
      <w:pPr>
        <w:ind w:left="1920" w:right="839"/>
        <w:spacing w:after="0" w:line="278" w:lineRule="auto"/>
        <w:rPr>
          <w:sz w:val="20"/>
          <w:szCs w:val="20"/>
          <w:color w:val="auto"/>
        </w:rPr>
      </w:pPr>
      <w:r>
        <w:rPr>
          <w:rFonts w:ascii="Arial" w:cs="Arial" w:eastAsia="Arial" w:hAnsi="Arial"/>
          <w:sz w:val="16"/>
          <w:szCs w:val="16"/>
          <w:color w:val="auto"/>
        </w:rPr>
        <w:t>We hold DCP assets in a separate Rabbi trust segregated from other assets. We invest in the same investment alternatives that the DCP participants select for their DCP balances. Participants whose employment with us terminates due to retirement after reaching age 62 with ten years of service, disability or death will be paid their DCP balance in either a lump sum or in installments over ten or fewer years, based on the elections they have made. Participants (other than key employees, including our NEOs) who terminate their employment with us for any other reason will receive payment of their DCP balance in the form of a lump sum upon their termination of employment. Payments to our NEOs and key employees will be delayed six months or as otherwise required by relevant tax regulations.</w:t>
      </w:r>
    </w:p>
    <w:p>
      <w:pPr>
        <w:spacing w:after="0" w:line="64" w:lineRule="exact"/>
        <w:rPr>
          <w:sz w:val="20"/>
          <w:szCs w:val="20"/>
          <w:color w:val="auto"/>
        </w:rPr>
      </w:pPr>
    </w:p>
    <w:p>
      <w:pPr>
        <w:ind w:left="1920" w:right="879"/>
        <w:spacing w:after="0" w:line="270" w:lineRule="auto"/>
        <w:rPr>
          <w:sz w:val="20"/>
          <w:szCs w:val="20"/>
          <w:color w:val="auto"/>
        </w:rPr>
      </w:pPr>
      <w:r>
        <w:rPr>
          <w:rFonts w:ascii="Arial" w:cs="Arial" w:eastAsia="Arial" w:hAnsi="Arial"/>
          <w:sz w:val="17"/>
          <w:szCs w:val="17"/>
          <w:color w:val="auto"/>
        </w:rPr>
        <w:t>Mr. Pietkiewicz did not participate in the DCP in fiscal 2018 because the DCP was not available to legacy Linear Technology employees during that time. The following table shows the non-qualified deferred compensation activity for the NEOs during fiscal 2020.</w:t>
      </w:r>
    </w:p>
    <w:p>
      <w:pPr>
        <w:sectPr>
          <w:pgSz w:w="11900" w:h="16838" w:orient="portrait"/>
          <w:cols w:equalWidth="0" w:num="1">
            <w:col w:w="10139"/>
          </w:cols>
          <w:pgMar w:left="320" w:top="447"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0139"/>
          </w:cols>
          <w:pgMar w:left="320" w:top="447" w:right="1440" w:bottom="1440" w:gutter="0" w:footer="0" w:header="0"/>
          <w:type w:val="continuous"/>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Non-Qualified Deferred Compensation for Fiscal 2020</w:t>
      </w:r>
    </w:p>
    <w:p>
      <w:pPr>
        <w:spacing w:after="0" w:line="267"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08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Name</w:t>
            </w:r>
          </w:p>
        </w:tc>
        <w:tc>
          <w:tcPr>
            <w:tcW w:w="1500" w:type="dxa"/>
            <w:vAlign w:val="bottom"/>
            <w:shd w:val="clear" w:color="auto" w:fill="0066BA"/>
          </w:tcPr>
          <w:p>
            <w:pPr>
              <w:jc w:val="right"/>
              <w:ind w:right="101"/>
              <w:spacing w:after="0"/>
              <w:rPr>
                <w:sz w:val="20"/>
                <w:szCs w:val="20"/>
                <w:color w:val="auto"/>
              </w:rPr>
            </w:pPr>
            <w:r>
              <w:rPr>
                <w:rFonts w:ascii="Arial" w:cs="Arial" w:eastAsia="Arial" w:hAnsi="Arial"/>
                <w:sz w:val="14"/>
                <w:szCs w:val="14"/>
                <w:b w:val="1"/>
                <w:bCs w:val="1"/>
                <w:color w:val="FFFFFF"/>
              </w:rPr>
              <w:t>Executive</w:t>
            </w:r>
          </w:p>
        </w:tc>
        <w:tc>
          <w:tcPr>
            <w:tcW w:w="1480" w:type="dxa"/>
            <w:vAlign w:val="bottom"/>
            <w:shd w:val="clear" w:color="auto" w:fill="0066BA"/>
          </w:tcPr>
          <w:p>
            <w:pPr>
              <w:jc w:val="right"/>
              <w:ind w:right="81"/>
              <w:spacing w:after="0"/>
              <w:rPr>
                <w:sz w:val="20"/>
                <w:szCs w:val="20"/>
                <w:color w:val="auto"/>
              </w:rPr>
            </w:pPr>
            <w:r>
              <w:rPr>
                <w:rFonts w:ascii="Arial" w:cs="Arial" w:eastAsia="Arial" w:hAnsi="Arial"/>
                <w:sz w:val="14"/>
                <w:szCs w:val="14"/>
                <w:b w:val="1"/>
                <w:bCs w:val="1"/>
                <w:color w:val="FFFFFF"/>
              </w:rPr>
              <w:t>Analog Devices</w:t>
            </w:r>
          </w:p>
        </w:tc>
        <w:tc>
          <w:tcPr>
            <w:tcW w:w="1240" w:type="dxa"/>
            <w:vAlign w:val="bottom"/>
            <w:shd w:val="clear" w:color="auto" w:fill="0066BA"/>
          </w:tcPr>
          <w:p>
            <w:pPr>
              <w:jc w:val="right"/>
              <w:ind w:right="101"/>
              <w:spacing w:after="0"/>
              <w:rPr>
                <w:sz w:val="20"/>
                <w:szCs w:val="20"/>
                <w:color w:val="auto"/>
              </w:rPr>
            </w:pPr>
            <w:r>
              <w:rPr>
                <w:rFonts w:ascii="Arial" w:cs="Arial" w:eastAsia="Arial" w:hAnsi="Arial"/>
                <w:sz w:val="14"/>
                <w:szCs w:val="14"/>
                <w:b w:val="1"/>
                <w:bCs w:val="1"/>
                <w:color w:val="FFFFFF"/>
              </w:rPr>
              <w:t>Aggregate</w:t>
            </w:r>
          </w:p>
        </w:tc>
        <w:tc>
          <w:tcPr>
            <w:tcW w:w="1520" w:type="dxa"/>
            <w:vAlign w:val="bottom"/>
            <w:shd w:val="clear" w:color="auto" w:fill="0066BA"/>
          </w:tcPr>
          <w:p>
            <w:pPr>
              <w:jc w:val="right"/>
              <w:ind w:right="100"/>
              <w:spacing w:after="0"/>
              <w:rPr>
                <w:sz w:val="20"/>
                <w:szCs w:val="20"/>
                <w:color w:val="auto"/>
              </w:rPr>
            </w:pPr>
            <w:r>
              <w:rPr>
                <w:rFonts w:ascii="Arial" w:cs="Arial" w:eastAsia="Arial" w:hAnsi="Arial"/>
                <w:sz w:val="14"/>
                <w:szCs w:val="14"/>
                <w:b w:val="1"/>
                <w:bCs w:val="1"/>
                <w:color w:val="FFFFFF"/>
              </w:rPr>
              <w:t>Aggregate</w:t>
            </w:r>
          </w:p>
        </w:tc>
        <w:tc>
          <w:tcPr>
            <w:tcW w:w="1460" w:type="dxa"/>
            <w:vAlign w:val="bottom"/>
            <w:shd w:val="clear" w:color="auto" w:fill="0066BA"/>
          </w:tcPr>
          <w:p>
            <w:pPr>
              <w:jc w:val="right"/>
              <w:ind w:right="82"/>
              <w:spacing w:after="0"/>
              <w:rPr>
                <w:sz w:val="20"/>
                <w:szCs w:val="20"/>
                <w:color w:val="auto"/>
              </w:rPr>
            </w:pPr>
            <w:r>
              <w:rPr>
                <w:rFonts w:ascii="Arial" w:cs="Arial" w:eastAsia="Arial" w:hAnsi="Arial"/>
                <w:sz w:val="14"/>
                <w:szCs w:val="14"/>
                <w:b w:val="1"/>
                <w:bCs w:val="1"/>
                <w:color w:val="FFFFFF"/>
              </w:rPr>
              <w:t>Aggregate</w:t>
            </w:r>
          </w:p>
        </w:tc>
      </w:tr>
      <w:tr>
        <w:trPr>
          <w:trHeight w:val="156"/>
        </w:trPr>
        <w:tc>
          <w:tcPr>
            <w:tcW w:w="3080" w:type="dxa"/>
            <w:vAlign w:val="bottom"/>
            <w:shd w:val="clear" w:color="auto" w:fill="0066BA"/>
          </w:tcPr>
          <w:p>
            <w:pPr>
              <w:spacing w:after="0"/>
              <w:rPr>
                <w:sz w:val="13"/>
                <w:szCs w:val="13"/>
                <w:color w:val="auto"/>
              </w:rPr>
            </w:pPr>
          </w:p>
        </w:tc>
        <w:tc>
          <w:tcPr>
            <w:tcW w:w="1500" w:type="dxa"/>
            <w:vAlign w:val="bottom"/>
            <w:shd w:val="clear" w:color="auto" w:fill="0066BA"/>
          </w:tcPr>
          <w:p>
            <w:pPr>
              <w:jc w:val="right"/>
              <w:ind w:right="101"/>
              <w:spacing w:after="0" w:line="156" w:lineRule="exact"/>
              <w:rPr>
                <w:sz w:val="20"/>
                <w:szCs w:val="20"/>
                <w:color w:val="auto"/>
              </w:rPr>
            </w:pPr>
            <w:r>
              <w:rPr>
                <w:rFonts w:ascii="Arial" w:cs="Arial" w:eastAsia="Arial" w:hAnsi="Arial"/>
                <w:sz w:val="14"/>
                <w:szCs w:val="14"/>
                <w:b w:val="1"/>
                <w:bCs w:val="1"/>
                <w:color w:val="FFFFFF"/>
              </w:rPr>
              <w:t>Contributions in</w:t>
            </w:r>
          </w:p>
        </w:tc>
        <w:tc>
          <w:tcPr>
            <w:tcW w:w="1480" w:type="dxa"/>
            <w:vAlign w:val="bottom"/>
            <w:shd w:val="clear" w:color="auto" w:fill="0066BA"/>
          </w:tcPr>
          <w:p>
            <w:pPr>
              <w:jc w:val="right"/>
              <w:ind w:right="81"/>
              <w:spacing w:after="0" w:line="156" w:lineRule="exact"/>
              <w:rPr>
                <w:sz w:val="20"/>
                <w:szCs w:val="20"/>
                <w:color w:val="auto"/>
              </w:rPr>
            </w:pPr>
            <w:r>
              <w:rPr>
                <w:rFonts w:ascii="Arial" w:cs="Arial" w:eastAsia="Arial" w:hAnsi="Arial"/>
                <w:sz w:val="14"/>
                <w:szCs w:val="14"/>
                <w:b w:val="1"/>
                <w:bCs w:val="1"/>
                <w:color w:val="FFFFFF"/>
              </w:rPr>
              <w:t>Contributions</w:t>
            </w:r>
          </w:p>
        </w:tc>
        <w:tc>
          <w:tcPr>
            <w:tcW w:w="1240" w:type="dxa"/>
            <w:vAlign w:val="bottom"/>
            <w:shd w:val="clear" w:color="auto" w:fill="0066BA"/>
          </w:tcPr>
          <w:p>
            <w:pPr>
              <w:jc w:val="right"/>
              <w:ind w:right="101"/>
              <w:spacing w:after="0" w:line="156" w:lineRule="exact"/>
              <w:rPr>
                <w:sz w:val="20"/>
                <w:szCs w:val="20"/>
                <w:color w:val="auto"/>
              </w:rPr>
            </w:pPr>
            <w:r>
              <w:rPr>
                <w:rFonts w:ascii="Arial" w:cs="Arial" w:eastAsia="Arial" w:hAnsi="Arial"/>
                <w:sz w:val="14"/>
                <w:szCs w:val="14"/>
                <w:b w:val="1"/>
                <w:bCs w:val="1"/>
                <w:color w:val="FFFFFF"/>
              </w:rPr>
              <w:t>Earnings in</w:t>
            </w:r>
          </w:p>
        </w:tc>
        <w:tc>
          <w:tcPr>
            <w:tcW w:w="1520" w:type="dxa"/>
            <w:vAlign w:val="bottom"/>
            <w:shd w:val="clear" w:color="auto" w:fill="0066BA"/>
          </w:tcPr>
          <w:p>
            <w:pPr>
              <w:jc w:val="right"/>
              <w:ind w:right="100"/>
              <w:spacing w:after="0" w:line="156" w:lineRule="exact"/>
              <w:rPr>
                <w:sz w:val="20"/>
                <w:szCs w:val="20"/>
                <w:color w:val="auto"/>
              </w:rPr>
            </w:pPr>
            <w:r>
              <w:rPr>
                <w:rFonts w:ascii="Arial" w:cs="Arial" w:eastAsia="Arial" w:hAnsi="Arial"/>
                <w:sz w:val="14"/>
                <w:szCs w:val="14"/>
                <w:b w:val="1"/>
                <w:bCs w:val="1"/>
                <w:color w:val="FFFFFF"/>
              </w:rPr>
              <w:t>Withdrawals/</w:t>
            </w:r>
          </w:p>
        </w:tc>
        <w:tc>
          <w:tcPr>
            <w:tcW w:w="1460" w:type="dxa"/>
            <w:vAlign w:val="bottom"/>
            <w:shd w:val="clear" w:color="auto" w:fill="0066BA"/>
          </w:tcPr>
          <w:p>
            <w:pPr>
              <w:jc w:val="right"/>
              <w:ind w:right="82"/>
              <w:spacing w:after="0" w:line="156" w:lineRule="exact"/>
              <w:rPr>
                <w:sz w:val="20"/>
                <w:szCs w:val="20"/>
                <w:color w:val="auto"/>
              </w:rPr>
            </w:pPr>
            <w:r>
              <w:rPr>
                <w:rFonts w:ascii="Arial" w:cs="Arial" w:eastAsia="Arial" w:hAnsi="Arial"/>
                <w:sz w:val="14"/>
                <w:szCs w:val="14"/>
                <w:b w:val="1"/>
                <w:bCs w:val="1"/>
                <w:color w:val="FFFFFF"/>
              </w:rPr>
              <w:t>Balance at</w:t>
            </w:r>
          </w:p>
        </w:tc>
      </w:tr>
      <w:tr>
        <w:trPr>
          <w:trHeight w:val="156"/>
        </w:trPr>
        <w:tc>
          <w:tcPr>
            <w:tcW w:w="3080" w:type="dxa"/>
            <w:vAlign w:val="bottom"/>
            <w:shd w:val="clear" w:color="auto" w:fill="0066BA"/>
          </w:tcPr>
          <w:p>
            <w:pPr>
              <w:spacing w:after="0"/>
              <w:rPr>
                <w:sz w:val="13"/>
                <w:szCs w:val="13"/>
                <w:color w:val="auto"/>
              </w:rPr>
            </w:pPr>
          </w:p>
        </w:tc>
        <w:tc>
          <w:tcPr>
            <w:tcW w:w="1500" w:type="dxa"/>
            <w:vAlign w:val="bottom"/>
            <w:shd w:val="clear" w:color="auto" w:fill="0066BA"/>
          </w:tcPr>
          <w:p>
            <w:pPr>
              <w:jc w:val="right"/>
              <w:ind w:right="101"/>
              <w:spacing w:after="0" w:line="156" w:lineRule="exact"/>
              <w:rPr>
                <w:sz w:val="20"/>
                <w:szCs w:val="20"/>
                <w:color w:val="auto"/>
              </w:rPr>
            </w:pPr>
            <w:r>
              <w:rPr>
                <w:rFonts w:ascii="Arial" w:cs="Arial" w:eastAsia="Arial" w:hAnsi="Arial"/>
                <w:sz w:val="14"/>
                <w:szCs w:val="14"/>
                <w:b w:val="1"/>
                <w:bCs w:val="1"/>
                <w:color w:val="FFFFFF"/>
              </w:rPr>
              <w:t>Last Fiscal</w:t>
            </w:r>
          </w:p>
        </w:tc>
        <w:tc>
          <w:tcPr>
            <w:tcW w:w="1480" w:type="dxa"/>
            <w:vAlign w:val="bottom"/>
            <w:shd w:val="clear" w:color="auto" w:fill="0066BA"/>
          </w:tcPr>
          <w:p>
            <w:pPr>
              <w:jc w:val="right"/>
              <w:ind w:right="81"/>
              <w:spacing w:after="0" w:line="156" w:lineRule="exact"/>
              <w:rPr>
                <w:sz w:val="20"/>
                <w:szCs w:val="20"/>
                <w:color w:val="auto"/>
              </w:rPr>
            </w:pPr>
            <w:r>
              <w:rPr>
                <w:rFonts w:ascii="Arial" w:cs="Arial" w:eastAsia="Arial" w:hAnsi="Arial"/>
                <w:sz w:val="14"/>
                <w:szCs w:val="14"/>
                <w:b w:val="1"/>
                <w:bCs w:val="1"/>
                <w:color w:val="FFFFFF"/>
              </w:rPr>
              <w:t>in Last Fiscal</w:t>
            </w:r>
          </w:p>
        </w:tc>
        <w:tc>
          <w:tcPr>
            <w:tcW w:w="1240" w:type="dxa"/>
            <w:vAlign w:val="bottom"/>
            <w:shd w:val="clear" w:color="auto" w:fill="0066BA"/>
          </w:tcPr>
          <w:p>
            <w:pPr>
              <w:jc w:val="right"/>
              <w:ind w:right="101"/>
              <w:spacing w:after="0" w:line="156" w:lineRule="exact"/>
              <w:rPr>
                <w:sz w:val="20"/>
                <w:szCs w:val="20"/>
                <w:color w:val="auto"/>
              </w:rPr>
            </w:pPr>
            <w:r>
              <w:rPr>
                <w:rFonts w:ascii="Arial" w:cs="Arial" w:eastAsia="Arial" w:hAnsi="Arial"/>
                <w:sz w:val="14"/>
                <w:szCs w:val="14"/>
                <w:b w:val="1"/>
                <w:bCs w:val="1"/>
                <w:color w:val="FFFFFF"/>
              </w:rPr>
              <w:t>Last Fiscal</w:t>
            </w:r>
          </w:p>
        </w:tc>
        <w:tc>
          <w:tcPr>
            <w:tcW w:w="1520" w:type="dxa"/>
            <w:vAlign w:val="bottom"/>
            <w:shd w:val="clear" w:color="auto" w:fill="0066BA"/>
          </w:tcPr>
          <w:p>
            <w:pPr>
              <w:jc w:val="right"/>
              <w:ind w:right="100"/>
              <w:spacing w:after="0" w:line="156" w:lineRule="exact"/>
              <w:rPr>
                <w:sz w:val="20"/>
                <w:szCs w:val="20"/>
                <w:color w:val="auto"/>
              </w:rPr>
            </w:pPr>
            <w:r>
              <w:rPr>
                <w:rFonts w:ascii="Arial" w:cs="Arial" w:eastAsia="Arial" w:hAnsi="Arial"/>
                <w:sz w:val="14"/>
                <w:szCs w:val="14"/>
                <w:b w:val="1"/>
                <w:bCs w:val="1"/>
                <w:color w:val="FFFFFF"/>
              </w:rPr>
              <w:t>Distributions ($)</w:t>
            </w:r>
          </w:p>
        </w:tc>
        <w:tc>
          <w:tcPr>
            <w:tcW w:w="1460" w:type="dxa"/>
            <w:vAlign w:val="bottom"/>
            <w:shd w:val="clear" w:color="auto" w:fill="0066BA"/>
          </w:tcPr>
          <w:p>
            <w:pPr>
              <w:jc w:val="right"/>
              <w:ind w:right="82"/>
              <w:spacing w:after="0" w:line="156" w:lineRule="exact"/>
              <w:rPr>
                <w:sz w:val="20"/>
                <w:szCs w:val="20"/>
                <w:color w:val="auto"/>
              </w:rPr>
            </w:pPr>
            <w:r>
              <w:rPr>
                <w:rFonts w:ascii="Arial" w:cs="Arial" w:eastAsia="Arial" w:hAnsi="Arial"/>
                <w:sz w:val="14"/>
                <w:szCs w:val="14"/>
                <w:b w:val="1"/>
                <w:bCs w:val="1"/>
                <w:color w:val="FFFFFF"/>
              </w:rPr>
              <w:t>Last</w:t>
            </w:r>
          </w:p>
        </w:tc>
      </w:tr>
      <w:tr>
        <w:trPr>
          <w:trHeight w:val="156"/>
        </w:trPr>
        <w:tc>
          <w:tcPr>
            <w:tcW w:w="3080" w:type="dxa"/>
            <w:vAlign w:val="bottom"/>
            <w:shd w:val="clear" w:color="auto" w:fill="0066BA"/>
          </w:tcPr>
          <w:p>
            <w:pPr>
              <w:spacing w:after="0"/>
              <w:rPr>
                <w:sz w:val="13"/>
                <w:szCs w:val="13"/>
                <w:color w:val="auto"/>
              </w:rPr>
            </w:pPr>
          </w:p>
        </w:tc>
        <w:tc>
          <w:tcPr>
            <w:tcW w:w="1500" w:type="dxa"/>
            <w:vAlign w:val="bottom"/>
            <w:shd w:val="clear" w:color="auto" w:fill="0066BA"/>
          </w:tcPr>
          <w:p>
            <w:pPr>
              <w:jc w:val="right"/>
              <w:ind w:right="101"/>
              <w:spacing w:after="0" w:line="156" w:lineRule="exact"/>
              <w:rPr>
                <w:sz w:val="20"/>
                <w:szCs w:val="20"/>
                <w:color w:val="auto"/>
              </w:rPr>
            </w:pPr>
            <w:r>
              <w:rPr>
                <w:rFonts w:ascii="Arial" w:cs="Arial" w:eastAsia="Arial" w:hAnsi="Arial"/>
                <w:sz w:val="14"/>
                <w:szCs w:val="14"/>
                <w:b w:val="1"/>
                <w:bCs w:val="1"/>
                <w:color w:val="FFFFFF"/>
              </w:rPr>
              <w:t>Year ($)</w:t>
            </w:r>
          </w:p>
        </w:tc>
        <w:tc>
          <w:tcPr>
            <w:tcW w:w="1480" w:type="dxa"/>
            <w:vAlign w:val="bottom"/>
            <w:shd w:val="clear" w:color="auto" w:fill="0066BA"/>
          </w:tcPr>
          <w:p>
            <w:pPr>
              <w:jc w:val="right"/>
              <w:ind w:right="81"/>
              <w:spacing w:after="0" w:line="156" w:lineRule="exact"/>
              <w:rPr>
                <w:sz w:val="20"/>
                <w:szCs w:val="20"/>
                <w:color w:val="auto"/>
              </w:rPr>
            </w:pPr>
            <w:r>
              <w:rPr>
                <w:rFonts w:ascii="Arial" w:cs="Arial" w:eastAsia="Arial" w:hAnsi="Arial"/>
                <w:sz w:val="14"/>
                <w:szCs w:val="14"/>
                <w:b w:val="1"/>
                <w:bCs w:val="1"/>
                <w:color w:val="FFFFFF"/>
              </w:rPr>
              <w:t>Year ($) (1)</w:t>
            </w:r>
          </w:p>
        </w:tc>
        <w:tc>
          <w:tcPr>
            <w:tcW w:w="1240" w:type="dxa"/>
            <w:vAlign w:val="bottom"/>
            <w:shd w:val="clear" w:color="auto" w:fill="0066BA"/>
          </w:tcPr>
          <w:p>
            <w:pPr>
              <w:jc w:val="right"/>
              <w:ind w:right="101"/>
              <w:spacing w:after="0" w:line="156" w:lineRule="exact"/>
              <w:rPr>
                <w:sz w:val="20"/>
                <w:szCs w:val="20"/>
                <w:color w:val="auto"/>
              </w:rPr>
            </w:pPr>
            <w:r>
              <w:rPr>
                <w:rFonts w:ascii="Arial" w:cs="Arial" w:eastAsia="Arial" w:hAnsi="Arial"/>
                <w:sz w:val="14"/>
                <w:szCs w:val="14"/>
                <w:b w:val="1"/>
                <w:bCs w:val="1"/>
                <w:color w:val="FFFFFF"/>
              </w:rPr>
              <w:t>Year ($) (2)</w:t>
            </w:r>
          </w:p>
        </w:tc>
        <w:tc>
          <w:tcPr>
            <w:tcW w:w="1520" w:type="dxa"/>
            <w:vAlign w:val="bottom"/>
            <w:shd w:val="clear" w:color="auto" w:fill="0066BA"/>
          </w:tcPr>
          <w:p>
            <w:pPr>
              <w:spacing w:after="0"/>
              <w:rPr>
                <w:sz w:val="13"/>
                <w:szCs w:val="13"/>
                <w:color w:val="auto"/>
              </w:rPr>
            </w:pPr>
          </w:p>
        </w:tc>
        <w:tc>
          <w:tcPr>
            <w:tcW w:w="1460" w:type="dxa"/>
            <w:vAlign w:val="bottom"/>
            <w:shd w:val="clear" w:color="auto" w:fill="0066BA"/>
          </w:tcPr>
          <w:p>
            <w:pPr>
              <w:jc w:val="right"/>
              <w:ind w:right="82"/>
              <w:spacing w:after="0" w:line="156" w:lineRule="exact"/>
              <w:rPr>
                <w:sz w:val="20"/>
                <w:szCs w:val="20"/>
                <w:color w:val="auto"/>
              </w:rPr>
            </w:pPr>
            <w:r>
              <w:rPr>
                <w:rFonts w:ascii="Arial" w:cs="Arial" w:eastAsia="Arial" w:hAnsi="Arial"/>
                <w:sz w:val="14"/>
                <w:szCs w:val="14"/>
                <w:b w:val="1"/>
                <w:bCs w:val="1"/>
                <w:color w:val="FFFFFF"/>
              </w:rPr>
              <w:t>Fiscal</w:t>
            </w:r>
          </w:p>
        </w:tc>
      </w:tr>
      <w:tr>
        <w:trPr>
          <w:trHeight w:val="182"/>
        </w:trPr>
        <w:tc>
          <w:tcPr>
            <w:tcW w:w="3080" w:type="dxa"/>
            <w:vAlign w:val="bottom"/>
            <w:shd w:val="clear" w:color="auto" w:fill="0066BA"/>
          </w:tcPr>
          <w:p>
            <w:pPr>
              <w:spacing w:after="0"/>
              <w:rPr>
                <w:sz w:val="15"/>
                <w:szCs w:val="15"/>
                <w:color w:val="auto"/>
              </w:rPr>
            </w:pPr>
          </w:p>
        </w:tc>
        <w:tc>
          <w:tcPr>
            <w:tcW w:w="1500" w:type="dxa"/>
            <w:vAlign w:val="bottom"/>
            <w:shd w:val="clear" w:color="auto" w:fill="0066BA"/>
          </w:tcPr>
          <w:p>
            <w:pPr>
              <w:spacing w:after="0"/>
              <w:rPr>
                <w:sz w:val="15"/>
                <w:szCs w:val="15"/>
                <w:color w:val="auto"/>
              </w:rPr>
            </w:pPr>
          </w:p>
        </w:tc>
        <w:tc>
          <w:tcPr>
            <w:tcW w:w="1480" w:type="dxa"/>
            <w:vAlign w:val="bottom"/>
            <w:shd w:val="clear" w:color="auto" w:fill="0066BA"/>
          </w:tcPr>
          <w:p>
            <w:pPr>
              <w:spacing w:after="0"/>
              <w:rPr>
                <w:sz w:val="15"/>
                <w:szCs w:val="15"/>
                <w:color w:val="auto"/>
              </w:rPr>
            </w:pPr>
          </w:p>
        </w:tc>
        <w:tc>
          <w:tcPr>
            <w:tcW w:w="1240" w:type="dxa"/>
            <w:vAlign w:val="bottom"/>
            <w:shd w:val="clear" w:color="auto" w:fill="0066BA"/>
          </w:tcPr>
          <w:p>
            <w:pPr>
              <w:spacing w:after="0"/>
              <w:rPr>
                <w:sz w:val="15"/>
                <w:szCs w:val="15"/>
                <w:color w:val="auto"/>
              </w:rPr>
            </w:pPr>
          </w:p>
        </w:tc>
        <w:tc>
          <w:tcPr>
            <w:tcW w:w="1520" w:type="dxa"/>
            <w:vAlign w:val="bottom"/>
            <w:shd w:val="clear" w:color="auto" w:fill="0066BA"/>
          </w:tcPr>
          <w:p>
            <w:pPr>
              <w:spacing w:after="0"/>
              <w:rPr>
                <w:sz w:val="15"/>
                <w:szCs w:val="15"/>
                <w:color w:val="auto"/>
              </w:rPr>
            </w:pPr>
          </w:p>
        </w:tc>
        <w:tc>
          <w:tcPr>
            <w:tcW w:w="1460" w:type="dxa"/>
            <w:vAlign w:val="bottom"/>
            <w:shd w:val="clear" w:color="auto" w:fill="0066BA"/>
          </w:tcPr>
          <w:p>
            <w:pPr>
              <w:jc w:val="right"/>
              <w:ind w:right="82"/>
              <w:spacing w:after="0"/>
              <w:rPr>
                <w:sz w:val="20"/>
                <w:szCs w:val="20"/>
                <w:color w:val="auto"/>
              </w:rPr>
            </w:pPr>
            <w:r>
              <w:rPr>
                <w:rFonts w:ascii="Arial" w:cs="Arial" w:eastAsia="Arial" w:hAnsi="Arial"/>
                <w:sz w:val="14"/>
                <w:szCs w:val="14"/>
                <w:b w:val="1"/>
                <w:bCs w:val="1"/>
                <w:color w:val="FFFFFF"/>
              </w:rPr>
              <w:t>Year End ($) (3)</w:t>
            </w:r>
          </w:p>
        </w:tc>
      </w:tr>
      <w:tr>
        <w:trPr>
          <w:trHeight w:val="103"/>
        </w:trPr>
        <w:tc>
          <w:tcPr>
            <w:tcW w:w="3080" w:type="dxa"/>
            <w:vAlign w:val="bottom"/>
            <w:shd w:val="clear" w:color="auto" w:fill="0066BA"/>
          </w:tcPr>
          <w:p>
            <w:pPr>
              <w:spacing w:after="0"/>
              <w:rPr>
                <w:sz w:val="8"/>
                <w:szCs w:val="8"/>
                <w:color w:val="auto"/>
              </w:rPr>
            </w:pPr>
          </w:p>
        </w:tc>
        <w:tc>
          <w:tcPr>
            <w:tcW w:w="1500" w:type="dxa"/>
            <w:vAlign w:val="bottom"/>
            <w:shd w:val="clear" w:color="auto" w:fill="0066BA"/>
          </w:tcPr>
          <w:p>
            <w:pPr>
              <w:spacing w:after="0"/>
              <w:rPr>
                <w:sz w:val="8"/>
                <w:szCs w:val="8"/>
                <w:color w:val="auto"/>
              </w:rPr>
            </w:pPr>
          </w:p>
        </w:tc>
        <w:tc>
          <w:tcPr>
            <w:tcW w:w="1480" w:type="dxa"/>
            <w:vAlign w:val="bottom"/>
            <w:shd w:val="clear" w:color="auto" w:fill="0066BA"/>
          </w:tcPr>
          <w:p>
            <w:pPr>
              <w:spacing w:after="0"/>
              <w:rPr>
                <w:sz w:val="8"/>
                <w:szCs w:val="8"/>
                <w:color w:val="auto"/>
              </w:rPr>
            </w:pPr>
          </w:p>
        </w:tc>
        <w:tc>
          <w:tcPr>
            <w:tcW w:w="1240" w:type="dxa"/>
            <w:vAlign w:val="bottom"/>
            <w:shd w:val="clear" w:color="auto" w:fill="0066BA"/>
          </w:tcPr>
          <w:p>
            <w:pPr>
              <w:spacing w:after="0"/>
              <w:rPr>
                <w:sz w:val="8"/>
                <w:szCs w:val="8"/>
                <w:color w:val="auto"/>
              </w:rPr>
            </w:pPr>
          </w:p>
        </w:tc>
        <w:tc>
          <w:tcPr>
            <w:tcW w:w="1520" w:type="dxa"/>
            <w:vAlign w:val="bottom"/>
            <w:shd w:val="clear" w:color="auto" w:fill="0066BA"/>
          </w:tcPr>
          <w:p>
            <w:pPr>
              <w:spacing w:after="0"/>
              <w:rPr>
                <w:sz w:val="8"/>
                <w:szCs w:val="8"/>
                <w:color w:val="auto"/>
              </w:rPr>
            </w:pPr>
          </w:p>
        </w:tc>
        <w:tc>
          <w:tcPr>
            <w:tcW w:w="1460" w:type="dxa"/>
            <w:vAlign w:val="bottom"/>
            <w:shd w:val="clear" w:color="auto" w:fill="0066BA"/>
          </w:tcPr>
          <w:p>
            <w:pPr>
              <w:spacing w:after="0"/>
              <w:rPr>
                <w:sz w:val="8"/>
                <w:szCs w:val="8"/>
                <w:color w:val="auto"/>
              </w:rPr>
            </w:pPr>
          </w:p>
        </w:tc>
      </w:tr>
      <w:tr>
        <w:trPr>
          <w:trHeight w:val="312"/>
        </w:trPr>
        <w:tc>
          <w:tcPr>
            <w:tcW w:w="3080" w:type="dxa"/>
            <w:vAlign w:val="bottom"/>
          </w:tcPr>
          <w:p>
            <w:pPr>
              <w:ind w:left="60"/>
              <w:spacing w:after="0"/>
              <w:rPr>
                <w:sz w:val="20"/>
                <w:szCs w:val="20"/>
                <w:color w:val="auto"/>
              </w:rPr>
            </w:pPr>
            <w:r>
              <w:rPr>
                <w:rFonts w:ascii="Arial" w:cs="Arial" w:eastAsia="Arial" w:hAnsi="Arial"/>
                <w:sz w:val="17"/>
                <w:szCs w:val="17"/>
                <w:b w:val="1"/>
                <w:bCs w:val="1"/>
                <w:color w:val="0066BA"/>
              </w:rPr>
              <w:t>Vincent Roche</w:t>
            </w:r>
          </w:p>
        </w:tc>
        <w:tc>
          <w:tcPr>
            <w:tcW w:w="1500" w:type="dxa"/>
            <w:vAlign w:val="bottom"/>
            <w:tcBorders>
              <w:bottom w:val="single" w:sz="8" w:color="EAEAEA"/>
            </w:tcBorders>
            <w:shd w:val="clear" w:color="auto" w:fill="EAEAEA"/>
          </w:tcPr>
          <w:p>
            <w:pPr>
              <w:jc w:val="right"/>
              <w:ind w:right="101"/>
              <w:spacing w:after="0"/>
              <w:rPr>
                <w:sz w:val="20"/>
                <w:szCs w:val="20"/>
                <w:color w:val="auto"/>
              </w:rPr>
            </w:pPr>
            <w:r>
              <w:rPr>
                <w:rFonts w:ascii="Arial" w:cs="Arial" w:eastAsia="Arial" w:hAnsi="Arial"/>
                <w:sz w:val="17"/>
                <w:szCs w:val="17"/>
                <w:color w:val="auto"/>
              </w:rPr>
              <w:t>449,380</w:t>
            </w:r>
          </w:p>
        </w:tc>
        <w:tc>
          <w:tcPr>
            <w:tcW w:w="1480" w:type="dxa"/>
            <w:vAlign w:val="bottom"/>
          </w:tcPr>
          <w:p>
            <w:pPr>
              <w:jc w:val="right"/>
              <w:ind w:right="81"/>
              <w:spacing w:after="0"/>
              <w:rPr>
                <w:sz w:val="20"/>
                <w:szCs w:val="20"/>
                <w:color w:val="auto"/>
              </w:rPr>
            </w:pPr>
            <w:r>
              <w:rPr>
                <w:rFonts w:ascii="Arial" w:cs="Arial" w:eastAsia="Arial" w:hAnsi="Arial"/>
                <w:sz w:val="17"/>
                <w:szCs w:val="17"/>
                <w:color w:val="auto"/>
              </w:rPr>
              <w:t>8,400</w:t>
            </w:r>
          </w:p>
        </w:tc>
        <w:tc>
          <w:tcPr>
            <w:tcW w:w="1240" w:type="dxa"/>
            <w:vAlign w:val="bottom"/>
            <w:tcBorders>
              <w:bottom w:val="single" w:sz="8" w:color="EAEAEA"/>
            </w:tcBorders>
            <w:shd w:val="clear" w:color="auto" w:fill="EAEAEA"/>
          </w:tcPr>
          <w:p>
            <w:pPr>
              <w:jc w:val="right"/>
              <w:ind w:right="101"/>
              <w:spacing w:after="0"/>
              <w:rPr>
                <w:sz w:val="20"/>
                <w:szCs w:val="20"/>
                <w:color w:val="auto"/>
              </w:rPr>
            </w:pPr>
            <w:r>
              <w:rPr>
                <w:rFonts w:ascii="Arial" w:cs="Arial" w:eastAsia="Arial" w:hAnsi="Arial"/>
                <w:sz w:val="17"/>
                <w:szCs w:val="17"/>
                <w:color w:val="auto"/>
              </w:rPr>
              <w:t>570,083</w:t>
            </w:r>
          </w:p>
        </w:tc>
        <w:tc>
          <w:tcPr>
            <w:tcW w:w="1520" w:type="dxa"/>
            <w:vAlign w:val="bottom"/>
          </w:tcPr>
          <w:p>
            <w:pPr>
              <w:jc w:val="right"/>
              <w:ind w:right="10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EAEAEA"/>
            </w:tcBorders>
            <w:shd w:val="clear" w:color="auto" w:fill="EAEAEA"/>
          </w:tcPr>
          <w:p>
            <w:pPr>
              <w:jc w:val="right"/>
              <w:ind w:right="82"/>
              <w:spacing w:after="0"/>
              <w:rPr>
                <w:sz w:val="20"/>
                <w:szCs w:val="20"/>
                <w:color w:val="auto"/>
              </w:rPr>
            </w:pPr>
            <w:r>
              <w:rPr>
                <w:rFonts w:ascii="Arial" w:cs="Arial" w:eastAsia="Arial" w:hAnsi="Arial"/>
                <w:sz w:val="17"/>
                <w:szCs w:val="17"/>
                <w:color w:val="auto"/>
              </w:rPr>
              <w:t>9,063,475</w:t>
            </w:r>
          </w:p>
        </w:tc>
      </w:tr>
      <w:tr>
        <w:trPr>
          <w:trHeight w:val="292"/>
        </w:trPr>
        <w:tc>
          <w:tcPr>
            <w:tcW w:w="308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Prashanth Mahendra-Rajah</w:t>
            </w:r>
          </w:p>
        </w:tc>
        <w:tc>
          <w:tcPr>
            <w:tcW w:w="1500" w:type="dxa"/>
            <w:vAlign w:val="bottom"/>
            <w:tcBorders>
              <w:top w:val="single" w:sz="8" w:color="auto"/>
              <w:bottom w:val="single" w:sz="8" w:color="EAEAEA"/>
            </w:tcBorders>
            <w:shd w:val="clear" w:color="auto" w:fill="EAEAEA"/>
          </w:tcPr>
          <w:p>
            <w:pPr>
              <w:jc w:val="right"/>
              <w:ind w:right="101"/>
              <w:spacing w:after="0"/>
              <w:rPr>
                <w:sz w:val="20"/>
                <w:szCs w:val="20"/>
                <w:color w:val="auto"/>
              </w:rPr>
            </w:pPr>
            <w:r>
              <w:rPr>
                <w:rFonts w:ascii="Arial" w:cs="Arial" w:eastAsia="Arial" w:hAnsi="Arial"/>
                <w:sz w:val="17"/>
                <w:szCs w:val="17"/>
                <w:color w:val="auto"/>
              </w:rPr>
              <w:t>450,767</w:t>
            </w:r>
          </w:p>
        </w:tc>
        <w:tc>
          <w:tcPr>
            <w:tcW w:w="1480" w:type="dxa"/>
            <w:vAlign w:val="bottom"/>
            <w:tcBorders>
              <w:top w:val="single" w:sz="8" w:color="auto"/>
            </w:tcBorders>
          </w:tcPr>
          <w:p>
            <w:pPr>
              <w:jc w:val="right"/>
              <w:ind w:right="81"/>
              <w:spacing w:after="0"/>
              <w:rPr>
                <w:sz w:val="20"/>
                <w:szCs w:val="20"/>
                <w:color w:val="auto"/>
              </w:rPr>
            </w:pPr>
            <w:r>
              <w:rPr>
                <w:rFonts w:ascii="Arial" w:cs="Arial" w:eastAsia="Arial" w:hAnsi="Arial"/>
                <w:sz w:val="17"/>
                <w:szCs w:val="17"/>
                <w:color w:val="auto"/>
              </w:rPr>
              <w:t>31,032</w:t>
            </w:r>
          </w:p>
        </w:tc>
        <w:tc>
          <w:tcPr>
            <w:tcW w:w="1240" w:type="dxa"/>
            <w:vAlign w:val="bottom"/>
            <w:tcBorders>
              <w:top w:val="single" w:sz="8" w:color="auto"/>
              <w:bottom w:val="single" w:sz="8" w:color="EAEAEA"/>
            </w:tcBorders>
            <w:shd w:val="clear" w:color="auto" w:fill="EAEAEA"/>
          </w:tcPr>
          <w:p>
            <w:pPr>
              <w:jc w:val="right"/>
              <w:ind w:right="101"/>
              <w:spacing w:after="0"/>
              <w:rPr>
                <w:sz w:val="20"/>
                <w:szCs w:val="20"/>
                <w:color w:val="auto"/>
              </w:rPr>
            </w:pPr>
            <w:r>
              <w:rPr>
                <w:rFonts w:ascii="Arial" w:cs="Arial" w:eastAsia="Arial" w:hAnsi="Arial"/>
                <w:sz w:val="17"/>
                <w:szCs w:val="17"/>
                <w:color w:val="auto"/>
              </w:rPr>
              <w:t>39,052</w:t>
            </w:r>
          </w:p>
        </w:tc>
        <w:tc>
          <w:tcPr>
            <w:tcW w:w="1520" w:type="dxa"/>
            <w:vAlign w:val="bottom"/>
            <w:tcBorders>
              <w:top w:val="single" w:sz="8" w:color="auto"/>
            </w:tcBorders>
          </w:tcPr>
          <w:p>
            <w:pPr>
              <w:jc w:val="right"/>
              <w:ind w:right="100"/>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bottom w:val="single" w:sz="8" w:color="EAEAEA"/>
            </w:tcBorders>
            <w:shd w:val="clear" w:color="auto" w:fill="EAEAEA"/>
          </w:tcPr>
          <w:p>
            <w:pPr>
              <w:jc w:val="right"/>
              <w:ind w:right="82"/>
              <w:spacing w:after="0"/>
              <w:rPr>
                <w:sz w:val="20"/>
                <w:szCs w:val="20"/>
                <w:color w:val="auto"/>
              </w:rPr>
            </w:pPr>
            <w:r>
              <w:rPr>
                <w:rFonts w:ascii="Arial" w:cs="Arial" w:eastAsia="Arial" w:hAnsi="Arial"/>
                <w:sz w:val="17"/>
                <w:szCs w:val="17"/>
                <w:color w:val="auto"/>
              </w:rPr>
              <w:t>634,896</w:t>
            </w:r>
          </w:p>
        </w:tc>
      </w:tr>
      <w:tr>
        <w:trPr>
          <w:trHeight w:val="292"/>
        </w:trPr>
        <w:tc>
          <w:tcPr>
            <w:tcW w:w="308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Martin Cotter</w:t>
            </w:r>
          </w:p>
        </w:tc>
        <w:tc>
          <w:tcPr>
            <w:tcW w:w="1500" w:type="dxa"/>
            <w:vAlign w:val="bottom"/>
            <w:tcBorders>
              <w:top w:val="single" w:sz="8" w:color="auto"/>
              <w:bottom w:val="single" w:sz="8" w:color="EAEAEA"/>
            </w:tcBorders>
            <w:shd w:val="clear" w:color="auto" w:fill="EAEAEA"/>
          </w:tcPr>
          <w:p>
            <w:pPr>
              <w:jc w:val="right"/>
              <w:ind w:right="101"/>
              <w:spacing w:after="0"/>
              <w:rPr>
                <w:sz w:val="20"/>
                <w:szCs w:val="20"/>
                <w:color w:val="auto"/>
              </w:rPr>
            </w:pPr>
            <w:r>
              <w:rPr>
                <w:rFonts w:ascii="Arial" w:cs="Arial" w:eastAsia="Arial" w:hAnsi="Arial"/>
                <w:sz w:val="17"/>
                <w:szCs w:val="17"/>
                <w:color w:val="auto"/>
              </w:rPr>
              <w:t>338,808</w:t>
            </w:r>
          </w:p>
        </w:tc>
        <w:tc>
          <w:tcPr>
            <w:tcW w:w="1480" w:type="dxa"/>
            <w:vAlign w:val="bottom"/>
            <w:tcBorders>
              <w:top w:val="single" w:sz="8" w:color="auto"/>
            </w:tcBorders>
          </w:tcPr>
          <w:p>
            <w:pPr>
              <w:jc w:val="right"/>
              <w:ind w:right="81"/>
              <w:spacing w:after="0"/>
              <w:rPr>
                <w:sz w:val="20"/>
                <w:szCs w:val="20"/>
                <w:color w:val="auto"/>
              </w:rPr>
            </w:pPr>
            <w:r>
              <w:rPr>
                <w:rFonts w:ascii="Arial" w:cs="Arial" w:eastAsia="Arial" w:hAnsi="Arial"/>
                <w:sz w:val="17"/>
                <w:szCs w:val="17"/>
                <w:color w:val="auto"/>
              </w:rPr>
              <w:t>27,105</w:t>
            </w:r>
          </w:p>
        </w:tc>
        <w:tc>
          <w:tcPr>
            <w:tcW w:w="1240" w:type="dxa"/>
            <w:vAlign w:val="bottom"/>
            <w:tcBorders>
              <w:top w:val="single" w:sz="8" w:color="auto"/>
              <w:bottom w:val="single" w:sz="8" w:color="EAEAEA"/>
            </w:tcBorders>
            <w:shd w:val="clear" w:color="auto" w:fill="EAEAEA"/>
          </w:tcPr>
          <w:p>
            <w:pPr>
              <w:jc w:val="right"/>
              <w:ind w:right="101"/>
              <w:spacing w:after="0"/>
              <w:rPr>
                <w:sz w:val="20"/>
                <w:szCs w:val="20"/>
                <w:color w:val="auto"/>
              </w:rPr>
            </w:pPr>
            <w:r>
              <w:rPr>
                <w:rFonts w:ascii="Arial" w:cs="Arial" w:eastAsia="Arial" w:hAnsi="Arial"/>
                <w:sz w:val="17"/>
                <w:szCs w:val="17"/>
                <w:color w:val="auto"/>
              </w:rPr>
              <w:t>48,700</w:t>
            </w:r>
          </w:p>
        </w:tc>
        <w:tc>
          <w:tcPr>
            <w:tcW w:w="1520" w:type="dxa"/>
            <w:vAlign w:val="bottom"/>
            <w:tcBorders>
              <w:top w:val="single" w:sz="8" w:color="auto"/>
            </w:tcBorders>
          </w:tcPr>
          <w:p>
            <w:pPr>
              <w:jc w:val="right"/>
              <w:ind w:right="100"/>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bottom w:val="single" w:sz="8" w:color="EAEAEA"/>
            </w:tcBorders>
            <w:shd w:val="clear" w:color="auto" w:fill="EAEAEA"/>
          </w:tcPr>
          <w:p>
            <w:pPr>
              <w:jc w:val="right"/>
              <w:ind w:right="82"/>
              <w:spacing w:after="0"/>
              <w:rPr>
                <w:sz w:val="20"/>
                <w:szCs w:val="20"/>
                <w:color w:val="auto"/>
              </w:rPr>
            </w:pPr>
            <w:r>
              <w:rPr>
                <w:rFonts w:ascii="Arial" w:cs="Arial" w:eastAsia="Arial" w:hAnsi="Arial"/>
                <w:sz w:val="17"/>
                <w:szCs w:val="17"/>
                <w:color w:val="auto"/>
              </w:rPr>
              <w:t>446,772</w:t>
            </w:r>
          </w:p>
        </w:tc>
      </w:tr>
      <w:tr>
        <w:trPr>
          <w:trHeight w:val="292"/>
        </w:trPr>
        <w:tc>
          <w:tcPr>
            <w:tcW w:w="308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John Hassett</w:t>
            </w:r>
          </w:p>
        </w:tc>
        <w:tc>
          <w:tcPr>
            <w:tcW w:w="1500" w:type="dxa"/>
            <w:vAlign w:val="bottom"/>
            <w:tcBorders>
              <w:top w:val="single" w:sz="8" w:color="auto"/>
              <w:bottom w:val="single" w:sz="8" w:color="EAEAEA"/>
            </w:tcBorders>
            <w:shd w:val="clear" w:color="auto" w:fill="EAEAEA"/>
          </w:tcPr>
          <w:p>
            <w:pPr>
              <w:jc w:val="right"/>
              <w:ind w:right="101"/>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tcPr>
          <w:p>
            <w:pPr>
              <w:jc w:val="right"/>
              <w:ind w:right="81"/>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EAEAEA"/>
            </w:tcBorders>
            <w:shd w:val="clear" w:color="auto" w:fill="EAEAEA"/>
          </w:tcPr>
          <w:p>
            <w:pPr>
              <w:jc w:val="right"/>
              <w:ind w:right="101"/>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tcBorders>
          </w:tcPr>
          <w:p>
            <w:pPr>
              <w:jc w:val="right"/>
              <w:ind w:right="100"/>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bottom w:val="single" w:sz="8" w:color="EAEAEA"/>
            </w:tcBorders>
            <w:shd w:val="clear" w:color="auto" w:fill="EAEAEA"/>
          </w:tcPr>
          <w:p>
            <w:pPr>
              <w:jc w:val="right"/>
              <w:ind w:right="82"/>
              <w:spacing w:after="0"/>
              <w:rPr>
                <w:sz w:val="20"/>
                <w:szCs w:val="20"/>
                <w:color w:val="auto"/>
              </w:rPr>
            </w:pPr>
            <w:r>
              <w:rPr>
                <w:rFonts w:ascii="Arial" w:cs="Arial" w:eastAsia="Arial" w:hAnsi="Arial"/>
                <w:sz w:val="17"/>
                <w:szCs w:val="17"/>
                <w:color w:val="auto"/>
              </w:rPr>
              <w:t>—</w:t>
            </w:r>
          </w:p>
        </w:tc>
      </w:tr>
      <w:tr>
        <w:trPr>
          <w:trHeight w:val="272"/>
        </w:trPr>
        <w:tc>
          <w:tcPr>
            <w:tcW w:w="308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Steve Pietkiewicz</w:t>
            </w:r>
          </w:p>
        </w:tc>
        <w:tc>
          <w:tcPr>
            <w:tcW w:w="1500" w:type="dxa"/>
            <w:vAlign w:val="bottom"/>
            <w:tcBorders>
              <w:top w:val="single" w:sz="8" w:color="auto"/>
              <w:bottom w:val="single" w:sz="8" w:color="EAEAEA"/>
            </w:tcBorders>
            <w:shd w:val="clear" w:color="auto" w:fill="EAEAEA"/>
          </w:tcPr>
          <w:p>
            <w:pPr>
              <w:jc w:val="right"/>
              <w:ind w:right="101"/>
              <w:spacing w:after="0"/>
              <w:rPr>
                <w:sz w:val="20"/>
                <w:szCs w:val="20"/>
                <w:color w:val="auto"/>
              </w:rPr>
            </w:pPr>
            <w:r>
              <w:rPr>
                <w:rFonts w:ascii="Arial" w:cs="Arial" w:eastAsia="Arial" w:hAnsi="Arial"/>
                <w:sz w:val="17"/>
                <w:szCs w:val="17"/>
                <w:color w:val="auto"/>
              </w:rPr>
              <w:t>556,863</w:t>
            </w:r>
          </w:p>
        </w:tc>
        <w:tc>
          <w:tcPr>
            <w:tcW w:w="1480" w:type="dxa"/>
            <w:vAlign w:val="bottom"/>
            <w:tcBorders>
              <w:top w:val="single" w:sz="8" w:color="auto"/>
            </w:tcBorders>
          </w:tcPr>
          <w:p>
            <w:pPr>
              <w:jc w:val="right"/>
              <w:ind w:right="81"/>
              <w:spacing w:after="0"/>
              <w:rPr>
                <w:sz w:val="20"/>
                <w:szCs w:val="20"/>
                <w:color w:val="auto"/>
              </w:rPr>
            </w:pPr>
            <w:r>
              <w:rPr>
                <w:rFonts w:ascii="Arial" w:cs="Arial" w:eastAsia="Arial" w:hAnsi="Arial"/>
                <w:sz w:val="17"/>
                <w:szCs w:val="17"/>
                <w:color w:val="auto"/>
              </w:rPr>
              <w:t>26,935</w:t>
            </w:r>
          </w:p>
        </w:tc>
        <w:tc>
          <w:tcPr>
            <w:tcW w:w="1240" w:type="dxa"/>
            <w:vAlign w:val="bottom"/>
            <w:tcBorders>
              <w:top w:val="single" w:sz="8" w:color="auto"/>
              <w:bottom w:val="single" w:sz="8" w:color="EAEAEA"/>
            </w:tcBorders>
            <w:shd w:val="clear" w:color="auto" w:fill="EAEAEA"/>
          </w:tcPr>
          <w:p>
            <w:pPr>
              <w:jc w:val="right"/>
              <w:ind w:right="101"/>
              <w:spacing w:after="0"/>
              <w:rPr>
                <w:sz w:val="20"/>
                <w:szCs w:val="20"/>
                <w:color w:val="auto"/>
              </w:rPr>
            </w:pPr>
            <w:r>
              <w:rPr>
                <w:rFonts w:ascii="Arial" w:cs="Arial" w:eastAsia="Arial" w:hAnsi="Arial"/>
                <w:sz w:val="17"/>
                <w:szCs w:val="17"/>
                <w:color w:val="auto"/>
              </w:rPr>
              <w:t>69,864</w:t>
            </w:r>
          </w:p>
        </w:tc>
        <w:tc>
          <w:tcPr>
            <w:tcW w:w="1520" w:type="dxa"/>
            <w:vAlign w:val="bottom"/>
            <w:tcBorders>
              <w:top w:val="single" w:sz="8" w:color="auto"/>
            </w:tcBorders>
          </w:tcPr>
          <w:p>
            <w:pPr>
              <w:jc w:val="right"/>
              <w:ind w:right="100"/>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bottom w:val="single" w:sz="8" w:color="EAEAEA"/>
            </w:tcBorders>
            <w:shd w:val="clear" w:color="auto" w:fill="EAEAEA"/>
          </w:tcPr>
          <w:p>
            <w:pPr>
              <w:jc w:val="right"/>
              <w:ind w:right="82"/>
              <w:spacing w:after="0"/>
              <w:rPr>
                <w:sz w:val="20"/>
                <w:szCs w:val="20"/>
                <w:color w:val="auto"/>
              </w:rPr>
            </w:pPr>
            <w:r>
              <w:rPr>
                <w:rFonts w:ascii="Arial" w:cs="Arial" w:eastAsia="Arial" w:hAnsi="Arial"/>
                <w:sz w:val="17"/>
                <w:szCs w:val="17"/>
                <w:color w:val="auto"/>
              </w:rPr>
              <w:t>1,026,030</w:t>
            </w:r>
          </w:p>
        </w:tc>
      </w:tr>
      <w:tr>
        <w:trPr>
          <w:trHeight w:val="20"/>
        </w:trPr>
        <w:tc>
          <w:tcPr>
            <w:tcW w:w="3080" w:type="dxa"/>
            <w:vAlign w:val="bottom"/>
            <w:shd w:val="clear" w:color="auto" w:fill="0066BA"/>
          </w:tcPr>
          <w:p>
            <w:pPr>
              <w:spacing w:after="0" w:line="20" w:lineRule="exact"/>
              <w:rPr>
                <w:sz w:val="1"/>
                <w:szCs w:val="1"/>
                <w:color w:val="auto"/>
              </w:rPr>
            </w:pPr>
          </w:p>
        </w:tc>
        <w:tc>
          <w:tcPr>
            <w:tcW w:w="1500" w:type="dxa"/>
            <w:vAlign w:val="bottom"/>
            <w:shd w:val="clear" w:color="auto" w:fill="0066BA"/>
          </w:tcPr>
          <w:p>
            <w:pPr>
              <w:spacing w:after="0" w:line="20" w:lineRule="exact"/>
              <w:rPr>
                <w:sz w:val="1"/>
                <w:szCs w:val="1"/>
                <w:color w:val="auto"/>
              </w:rPr>
            </w:pPr>
          </w:p>
        </w:tc>
        <w:tc>
          <w:tcPr>
            <w:tcW w:w="1480" w:type="dxa"/>
            <w:vAlign w:val="bottom"/>
            <w:shd w:val="clear" w:color="auto" w:fill="0066BA"/>
          </w:tcPr>
          <w:p>
            <w:pPr>
              <w:spacing w:after="0" w:line="20" w:lineRule="exact"/>
              <w:rPr>
                <w:sz w:val="1"/>
                <w:szCs w:val="1"/>
                <w:color w:val="auto"/>
              </w:rPr>
            </w:pPr>
          </w:p>
        </w:tc>
        <w:tc>
          <w:tcPr>
            <w:tcW w:w="1240" w:type="dxa"/>
            <w:vAlign w:val="bottom"/>
            <w:shd w:val="clear" w:color="auto" w:fill="0066BA"/>
          </w:tcPr>
          <w:p>
            <w:pPr>
              <w:spacing w:after="0" w:line="20" w:lineRule="exact"/>
              <w:rPr>
                <w:sz w:val="1"/>
                <w:szCs w:val="1"/>
                <w:color w:val="auto"/>
              </w:rPr>
            </w:pPr>
          </w:p>
        </w:tc>
        <w:tc>
          <w:tcPr>
            <w:tcW w:w="1520" w:type="dxa"/>
            <w:vAlign w:val="bottom"/>
            <w:shd w:val="clear" w:color="auto" w:fill="0066BA"/>
          </w:tcPr>
          <w:p>
            <w:pPr>
              <w:spacing w:after="0" w:line="20" w:lineRule="exact"/>
              <w:rPr>
                <w:sz w:val="1"/>
                <w:szCs w:val="1"/>
                <w:color w:val="auto"/>
              </w:rPr>
            </w:pPr>
          </w:p>
        </w:tc>
        <w:tc>
          <w:tcPr>
            <w:tcW w:w="1460" w:type="dxa"/>
            <w:vAlign w:val="bottom"/>
            <w:shd w:val="clear" w:color="auto" w:fill="0066BA"/>
          </w:tcPr>
          <w:p>
            <w:pPr>
              <w:spacing w:after="0" w:line="20" w:lineRule="exact"/>
              <w:rPr>
                <w:sz w:val="1"/>
                <w:szCs w:val="1"/>
                <w:color w:val="auto"/>
              </w:rPr>
            </w:pPr>
          </w:p>
        </w:tc>
      </w:tr>
    </w:tbl>
    <w:p>
      <w:pPr>
        <w:spacing w:after="0" w:line="27" w:lineRule="exact"/>
        <w:rPr>
          <w:sz w:val="20"/>
          <w:szCs w:val="20"/>
          <w:color w:val="auto"/>
        </w:rPr>
      </w:pPr>
    </w:p>
    <w:p>
      <w:pPr>
        <w:ind w:left="1040" w:hanging="513"/>
        <w:spacing w:after="0"/>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These amounts are included in the Summary Compensation Table above in the “All Other Compensation” column.</w:t>
      </w:r>
    </w:p>
    <w:p>
      <w:pPr>
        <w:spacing w:after="0" w:line="25" w:lineRule="exact"/>
        <w:rPr>
          <w:rFonts w:ascii="Arial" w:cs="Arial" w:eastAsia="Arial" w:hAnsi="Arial"/>
          <w:sz w:val="17"/>
          <w:szCs w:val="17"/>
          <w:color w:val="auto"/>
        </w:rPr>
      </w:pPr>
    </w:p>
    <w:p>
      <w:pPr>
        <w:ind w:left="1040" w:right="1660" w:hanging="513"/>
        <w:spacing w:after="0" w:line="255" w:lineRule="auto"/>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These amounts are excluded from the Summary Compensation Table above in accordance with SEC regulations, as we did not pay above-market earnings on deferred compensation in fiscal 2020.</w:t>
      </w:r>
    </w:p>
    <w:p>
      <w:pPr>
        <w:ind w:left="1040" w:right="1840" w:hanging="513"/>
        <w:spacing w:after="0" w:line="271" w:lineRule="auto"/>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Of the amounts in this column, the following amounts have also been reported in the Summary Compensation Table for fiscal 2019 and 2018:</w:t>
      </w:r>
    </w:p>
    <w:p>
      <w:pPr>
        <w:spacing w:after="0" w:line="209"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68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Name</w:t>
            </w:r>
          </w:p>
        </w:tc>
        <w:tc>
          <w:tcPr>
            <w:tcW w:w="1840" w:type="dxa"/>
            <w:vAlign w:val="bottom"/>
            <w:shd w:val="clear" w:color="auto" w:fill="0066BA"/>
          </w:tcPr>
          <w:p>
            <w:pPr>
              <w:jc w:val="right"/>
              <w:ind w:right="20"/>
              <w:spacing w:after="0"/>
              <w:rPr>
                <w:sz w:val="20"/>
                <w:szCs w:val="20"/>
                <w:color w:val="auto"/>
              </w:rPr>
            </w:pPr>
            <w:r>
              <w:rPr>
                <w:rFonts w:ascii="Arial" w:cs="Arial" w:eastAsia="Arial" w:hAnsi="Arial"/>
                <w:sz w:val="14"/>
                <w:szCs w:val="14"/>
                <w:b w:val="1"/>
                <w:bCs w:val="1"/>
                <w:color w:val="FFFFFF"/>
              </w:rPr>
              <w:t>Previously Reported for</w:t>
            </w:r>
          </w:p>
        </w:tc>
        <w:tc>
          <w:tcPr>
            <w:tcW w:w="1880" w:type="dxa"/>
            <w:vAlign w:val="bottom"/>
            <w:shd w:val="clear" w:color="auto" w:fill="0066BA"/>
          </w:tcPr>
          <w:p>
            <w:pPr>
              <w:jc w:val="right"/>
              <w:ind w:right="20"/>
              <w:spacing w:after="0"/>
              <w:rPr>
                <w:sz w:val="20"/>
                <w:szCs w:val="20"/>
                <w:color w:val="auto"/>
              </w:rPr>
            </w:pPr>
            <w:r>
              <w:rPr>
                <w:rFonts w:ascii="Arial" w:cs="Arial" w:eastAsia="Arial" w:hAnsi="Arial"/>
                <w:sz w:val="14"/>
                <w:szCs w:val="14"/>
                <w:b w:val="1"/>
                <w:bCs w:val="1"/>
                <w:color w:val="FFFFFF"/>
              </w:rPr>
              <w:t>Previously Reported for</w:t>
            </w:r>
          </w:p>
        </w:tc>
      </w:tr>
      <w:tr>
        <w:trPr>
          <w:trHeight w:val="156"/>
        </w:trPr>
        <w:tc>
          <w:tcPr>
            <w:tcW w:w="3680" w:type="dxa"/>
            <w:vAlign w:val="bottom"/>
            <w:shd w:val="clear" w:color="auto" w:fill="0066BA"/>
          </w:tcPr>
          <w:p>
            <w:pPr>
              <w:spacing w:after="0"/>
              <w:rPr>
                <w:sz w:val="13"/>
                <w:szCs w:val="13"/>
                <w:color w:val="auto"/>
              </w:rPr>
            </w:pPr>
          </w:p>
        </w:tc>
        <w:tc>
          <w:tcPr>
            <w:tcW w:w="1840" w:type="dxa"/>
            <w:vAlign w:val="bottom"/>
            <w:shd w:val="clear" w:color="auto" w:fill="0066BA"/>
          </w:tcPr>
          <w:p>
            <w:pPr>
              <w:jc w:val="right"/>
              <w:ind w:right="20"/>
              <w:spacing w:after="0" w:line="156" w:lineRule="exact"/>
              <w:rPr>
                <w:sz w:val="20"/>
                <w:szCs w:val="20"/>
                <w:color w:val="auto"/>
              </w:rPr>
            </w:pPr>
            <w:r>
              <w:rPr>
                <w:rFonts w:ascii="Arial" w:cs="Arial" w:eastAsia="Arial" w:hAnsi="Arial"/>
                <w:sz w:val="14"/>
                <w:szCs w:val="14"/>
                <w:b w:val="1"/>
                <w:bCs w:val="1"/>
                <w:color w:val="FFFFFF"/>
              </w:rPr>
              <w:t>Fiscal</w:t>
            </w:r>
          </w:p>
        </w:tc>
        <w:tc>
          <w:tcPr>
            <w:tcW w:w="1880" w:type="dxa"/>
            <w:vAlign w:val="bottom"/>
            <w:shd w:val="clear" w:color="auto" w:fill="0066BA"/>
          </w:tcPr>
          <w:p>
            <w:pPr>
              <w:jc w:val="right"/>
              <w:ind w:right="20"/>
              <w:spacing w:after="0" w:line="156" w:lineRule="exact"/>
              <w:rPr>
                <w:sz w:val="20"/>
                <w:szCs w:val="20"/>
                <w:color w:val="auto"/>
              </w:rPr>
            </w:pPr>
            <w:r>
              <w:rPr>
                <w:rFonts w:ascii="Arial" w:cs="Arial" w:eastAsia="Arial" w:hAnsi="Arial"/>
                <w:sz w:val="14"/>
                <w:szCs w:val="14"/>
                <w:b w:val="1"/>
                <w:bCs w:val="1"/>
                <w:color w:val="FFFFFF"/>
              </w:rPr>
              <w:t>Fiscal</w:t>
            </w:r>
          </w:p>
        </w:tc>
      </w:tr>
      <w:tr>
        <w:trPr>
          <w:trHeight w:val="182"/>
        </w:trPr>
        <w:tc>
          <w:tcPr>
            <w:tcW w:w="3680" w:type="dxa"/>
            <w:vAlign w:val="bottom"/>
            <w:shd w:val="clear" w:color="auto" w:fill="0066BA"/>
          </w:tcPr>
          <w:p>
            <w:pPr>
              <w:spacing w:after="0"/>
              <w:rPr>
                <w:sz w:val="15"/>
                <w:szCs w:val="15"/>
                <w:color w:val="auto"/>
              </w:rPr>
            </w:pPr>
          </w:p>
        </w:tc>
        <w:tc>
          <w:tcPr>
            <w:tcW w:w="1840" w:type="dxa"/>
            <w:vAlign w:val="bottom"/>
            <w:shd w:val="clear" w:color="auto" w:fill="0066BA"/>
          </w:tcPr>
          <w:p>
            <w:pPr>
              <w:jc w:val="right"/>
              <w:ind w:right="20"/>
              <w:spacing w:after="0"/>
              <w:rPr>
                <w:sz w:val="20"/>
                <w:szCs w:val="20"/>
                <w:color w:val="auto"/>
              </w:rPr>
            </w:pPr>
            <w:r>
              <w:rPr>
                <w:rFonts w:ascii="Arial" w:cs="Arial" w:eastAsia="Arial" w:hAnsi="Arial"/>
                <w:sz w:val="14"/>
                <w:szCs w:val="14"/>
                <w:b w:val="1"/>
                <w:bCs w:val="1"/>
                <w:color w:val="FFFFFF"/>
              </w:rPr>
              <w:t>2019 ($)</w:t>
            </w:r>
          </w:p>
        </w:tc>
        <w:tc>
          <w:tcPr>
            <w:tcW w:w="1880" w:type="dxa"/>
            <w:vAlign w:val="bottom"/>
            <w:shd w:val="clear" w:color="auto" w:fill="0066BA"/>
          </w:tcPr>
          <w:p>
            <w:pPr>
              <w:jc w:val="right"/>
              <w:ind w:right="20"/>
              <w:spacing w:after="0"/>
              <w:rPr>
                <w:sz w:val="20"/>
                <w:szCs w:val="20"/>
                <w:color w:val="auto"/>
              </w:rPr>
            </w:pPr>
            <w:r>
              <w:rPr>
                <w:rFonts w:ascii="Arial" w:cs="Arial" w:eastAsia="Arial" w:hAnsi="Arial"/>
                <w:sz w:val="14"/>
                <w:szCs w:val="14"/>
                <w:b w:val="1"/>
                <w:bCs w:val="1"/>
                <w:color w:val="FFFFFF"/>
              </w:rPr>
              <w:t>2018 ($)</w:t>
            </w:r>
          </w:p>
        </w:tc>
      </w:tr>
      <w:tr>
        <w:trPr>
          <w:trHeight w:val="103"/>
        </w:trPr>
        <w:tc>
          <w:tcPr>
            <w:tcW w:w="3680" w:type="dxa"/>
            <w:vAlign w:val="bottom"/>
            <w:shd w:val="clear" w:color="auto" w:fill="0066BA"/>
          </w:tcPr>
          <w:p>
            <w:pPr>
              <w:spacing w:after="0"/>
              <w:rPr>
                <w:sz w:val="8"/>
                <w:szCs w:val="8"/>
                <w:color w:val="auto"/>
              </w:rPr>
            </w:pPr>
          </w:p>
        </w:tc>
        <w:tc>
          <w:tcPr>
            <w:tcW w:w="1840" w:type="dxa"/>
            <w:vAlign w:val="bottom"/>
            <w:shd w:val="clear" w:color="auto" w:fill="0066BA"/>
          </w:tcPr>
          <w:p>
            <w:pPr>
              <w:spacing w:after="0"/>
              <w:rPr>
                <w:sz w:val="8"/>
                <w:szCs w:val="8"/>
                <w:color w:val="auto"/>
              </w:rPr>
            </w:pPr>
          </w:p>
        </w:tc>
        <w:tc>
          <w:tcPr>
            <w:tcW w:w="1880" w:type="dxa"/>
            <w:vAlign w:val="bottom"/>
            <w:shd w:val="clear" w:color="auto" w:fill="0066BA"/>
          </w:tcPr>
          <w:p>
            <w:pPr>
              <w:spacing w:after="0"/>
              <w:rPr>
                <w:sz w:val="8"/>
                <w:szCs w:val="8"/>
                <w:color w:val="auto"/>
              </w:rPr>
            </w:pPr>
          </w:p>
        </w:tc>
      </w:tr>
      <w:tr>
        <w:trPr>
          <w:trHeight w:val="312"/>
        </w:trPr>
        <w:tc>
          <w:tcPr>
            <w:tcW w:w="3680" w:type="dxa"/>
            <w:vAlign w:val="bottom"/>
          </w:tcPr>
          <w:p>
            <w:pPr>
              <w:ind w:left="60"/>
              <w:spacing w:after="0"/>
              <w:rPr>
                <w:sz w:val="20"/>
                <w:szCs w:val="20"/>
                <w:color w:val="auto"/>
              </w:rPr>
            </w:pPr>
            <w:r>
              <w:rPr>
                <w:rFonts w:ascii="Arial" w:cs="Arial" w:eastAsia="Arial" w:hAnsi="Arial"/>
                <w:sz w:val="17"/>
                <w:szCs w:val="17"/>
                <w:b w:val="1"/>
                <w:bCs w:val="1"/>
                <w:color w:val="0066BA"/>
              </w:rPr>
              <w:t>Vincent Roche</w:t>
            </w:r>
          </w:p>
        </w:tc>
        <w:tc>
          <w:tcPr>
            <w:tcW w:w="1840" w:type="dxa"/>
            <w:vAlign w:val="bottom"/>
            <w:tcBorders>
              <w:bottom w:val="single" w:sz="8" w:color="EAEAEA"/>
            </w:tcBorders>
            <w:shd w:val="clear" w:color="auto" w:fill="EAEAEA"/>
          </w:tcPr>
          <w:p>
            <w:pPr>
              <w:jc w:val="right"/>
              <w:ind w:right="20"/>
              <w:spacing w:after="0"/>
              <w:rPr>
                <w:sz w:val="20"/>
                <w:szCs w:val="20"/>
                <w:color w:val="auto"/>
              </w:rPr>
            </w:pPr>
            <w:r>
              <w:rPr>
                <w:rFonts w:ascii="Arial" w:cs="Arial" w:eastAsia="Arial" w:hAnsi="Arial"/>
                <w:sz w:val="17"/>
                <w:szCs w:val="17"/>
                <w:color w:val="auto"/>
              </w:rPr>
              <w:t>2,253,300</w:t>
            </w:r>
          </w:p>
        </w:tc>
        <w:tc>
          <w:tcPr>
            <w:tcW w:w="1880" w:type="dxa"/>
            <w:vAlign w:val="bottom"/>
          </w:tcPr>
          <w:p>
            <w:pPr>
              <w:jc w:val="right"/>
              <w:ind w:right="20"/>
              <w:spacing w:after="0"/>
              <w:rPr>
                <w:sz w:val="20"/>
                <w:szCs w:val="20"/>
                <w:color w:val="auto"/>
              </w:rPr>
            </w:pPr>
            <w:r>
              <w:rPr>
                <w:rFonts w:ascii="Arial" w:cs="Arial" w:eastAsia="Arial" w:hAnsi="Arial"/>
                <w:sz w:val="17"/>
                <w:szCs w:val="17"/>
                <w:color w:val="auto"/>
              </w:rPr>
              <w:t>3,007,201</w:t>
            </w:r>
          </w:p>
        </w:tc>
      </w:tr>
      <w:tr>
        <w:trPr>
          <w:trHeight w:val="292"/>
        </w:trPr>
        <w:tc>
          <w:tcPr>
            <w:tcW w:w="368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Prashanth Mahendra-Rajah</w:t>
            </w:r>
          </w:p>
        </w:tc>
        <w:tc>
          <w:tcPr>
            <w:tcW w:w="1840" w:type="dxa"/>
            <w:vAlign w:val="bottom"/>
            <w:tcBorders>
              <w:top w:val="single" w:sz="8" w:color="auto"/>
              <w:bottom w:val="single" w:sz="8" w:color="EAEAEA"/>
            </w:tcBorders>
            <w:shd w:val="clear" w:color="auto" w:fill="EAEAEA"/>
          </w:tcPr>
          <w:p>
            <w:pPr>
              <w:jc w:val="right"/>
              <w:ind w:right="20"/>
              <w:spacing w:after="0"/>
              <w:rPr>
                <w:sz w:val="20"/>
                <w:szCs w:val="20"/>
                <w:color w:val="auto"/>
              </w:rPr>
            </w:pPr>
            <w:r>
              <w:rPr>
                <w:rFonts w:ascii="Arial" w:cs="Arial" w:eastAsia="Arial" w:hAnsi="Arial"/>
                <w:sz w:val="17"/>
                <w:szCs w:val="17"/>
                <w:color w:val="auto"/>
              </w:rPr>
              <w:t>25,961</w:t>
            </w:r>
          </w:p>
        </w:tc>
        <w:tc>
          <w:tcPr>
            <w:tcW w:w="188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82,475</w:t>
            </w:r>
          </w:p>
        </w:tc>
      </w:tr>
      <w:tr>
        <w:trPr>
          <w:trHeight w:val="292"/>
        </w:trPr>
        <w:tc>
          <w:tcPr>
            <w:tcW w:w="368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Martin Cotter</w:t>
            </w:r>
          </w:p>
        </w:tc>
        <w:tc>
          <w:tcPr>
            <w:tcW w:w="1840" w:type="dxa"/>
            <w:vAlign w:val="bottom"/>
            <w:tcBorders>
              <w:top w:val="single" w:sz="8" w:color="auto"/>
              <w:bottom w:val="single" w:sz="8" w:color="EAEAEA"/>
            </w:tcBorders>
            <w:shd w:val="clear" w:color="auto" w:fill="EAEAEA"/>
          </w:tcPr>
          <w:p>
            <w:pPr>
              <w:jc w:val="right"/>
              <w:ind w:right="20"/>
              <w:spacing w:after="0"/>
              <w:rPr>
                <w:sz w:val="20"/>
                <w:szCs w:val="20"/>
                <w:color w:val="auto"/>
              </w:rPr>
            </w:pPr>
            <w:r>
              <w:rPr>
                <w:rFonts w:ascii="Arial" w:cs="Arial" w:eastAsia="Arial" w:hAnsi="Arial"/>
                <w:sz w:val="17"/>
                <w:szCs w:val="17"/>
                <w:color w:val="auto"/>
              </w:rPr>
              <w:t>—</w:t>
            </w:r>
          </w:p>
        </w:tc>
        <w:tc>
          <w:tcPr>
            <w:tcW w:w="188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31,020</w:t>
            </w:r>
          </w:p>
        </w:tc>
      </w:tr>
      <w:tr>
        <w:trPr>
          <w:trHeight w:val="292"/>
        </w:trPr>
        <w:tc>
          <w:tcPr>
            <w:tcW w:w="368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John Hassett</w:t>
            </w:r>
          </w:p>
        </w:tc>
        <w:tc>
          <w:tcPr>
            <w:tcW w:w="1840" w:type="dxa"/>
            <w:vAlign w:val="bottom"/>
            <w:tcBorders>
              <w:top w:val="single" w:sz="8" w:color="auto"/>
              <w:bottom w:val="single" w:sz="8" w:color="EAEAEA"/>
            </w:tcBorders>
            <w:shd w:val="clear" w:color="auto" w:fill="EAEAEA"/>
          </w:tcPr>
          <w:p>
            <w:pPr>
              <w:jc w:val="right"/>
              <w:ind w:right="20"/>
              <w:spacing w:after="0"/>
              <w:rPr>
                <w:sz w:val="20"/>
                <w:szCs w:val="20"/>
                <w:color w:val="auto"/>
              </w:rPr>
            </w:pPr>
            <w:r>
              <w:rPr>
                <w:rFonts w:ascii="Arial" w:cs="Arial" w:eastAsia="Arial" w:hAnsi="Arial"/>
                <w:sz w:val="17"/>
                <w:szCs w:val="17"/>
                <w:color w:val="auto"/>
              </w:rPr>
              <w:t>—</w:t>
            </w:r>
          </w:p>
        </w:tc>
        <w:tc>
          <w:tcPr>
            <w:tcW w:w="188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w:t>
            </w:r>
          </w:p>
        </w:tc>
      </w:tr>
      <w:tr>
        <w:trPr>
          <w:trHeight w:val="272"/>
        </w:trPr>
        <w:tc>
          <w:tcPr>
            <w:tcW w:w="368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0066BA"/>
              </w:rPr>
              <w:t>Steve Pietkiewicz</w:t>
            </w:r>
          </w:p>
        </w:tc>
        <w:tc>
          <w:tcPr>
            <w:tcW w:w="1840" w:type="dxa"/>
            <w:vAlign w:val="bottom"/>
            <w:tcBorders>
              <w:top w:val="single" w:sz="8" w:color="auto"/>
              <w:bottom w:val="single" w:sz="8" w:color="EAEAEA"/>
            </w:tcBorders>
            <w:shd w:val="clear" w:color="auto" w:fill="EAEAEA"/>
          </w:tcPr>
          <w:p>
            <w:pPr>
              <w:jc w:val="right"/>
              <w:ind w:right="20"/>
              <w:spacing w:after="0"/>
              <w:rPr>
                <w:sz w:val="20"/>
                <w:szCs w:val="20"/>
                <w:color w:val="auto"/>
              </w:rPr>
            </w:pPr>
            <w:r>
              <w:rPr>
                <w:rFonts w:ascii="Arial" w:cs="Arial" w:eastAsia="Arial" w:hAnsi="Arial"/>
                <w:sz w:val="17"/>
                <w:szCs w:val="17"/>
                <w:color w:val="auto"/>
              </w:rPr>
              <w:t>348,770</w:t>
            </w:r>
          </w:p>
        </w:tc>
        <w:tc>
          <w:tcPr>
            <w:tcW w:w="188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w:t>
            </w:r>
          </w:p>
        </w:tc>
      </w:tr>
      <w:tr>
        <w:trPr>
          <w:trHeight w:val="20"/>
        </w:trPr>
        <w:tc>
          <w:tcPr>
            <w:tcW w:w="3680" w:type="dxa"/>
            <w:vAlign w:val="bottom"/>
            <w:shd w:val="clear" w:color="auto" w:fill="0066BA"/>
          </w:tcPr>
          <w:p>
            <w:pPr>
              <w:spacing w:after="0" w:line="20" w:lineRule="exact"/>
              <w:rPr>
                <w:sz w:val="1"/>
                <w:szCs w:val="1"/>
                <w:color w:val="auto"/>
              </w:rPr>
            </w:pPr>
          </w:p>
        </w:tc>
        <w:tc>
          <w:tcPr>
            <w:tcW w:w="1840" w:type="dxa"/>
            <w:vAlign w:val="bottom"/>
            <w:shd w:val="clear" w:color="auto" w:fill="0066BA"/>
          </w:tcPr>
          <w:p>
            <w:pPr>
              <w:spacing w:after="0" w:line="20" w:lineRule="exact"/>
              <w:rPr>
                <w:sz w:val="1"/>
                <w:szCs w:val="1"/>
                <w:color w:val="auto"/>
              </w:rPr>
            </w:pPr>
          </w:p>
        </w:tc>
        <w:tc>
          <w:tcPr>
            <w:tcW w:w="1880" w:type="dxa"/>
            <w:vAlign w:val="bottom"/>
            <w:shd w:val="clear" w:color="auto" w:fill="0066BA"/>
          </w:tcPr>
          <w:p>
            <w:pPr>
              <w:spacing w:after="0" w:line="20" w:lineRule="exact"/>
              <w:rPr>
                <w:sz w:val="1"/>
                <w:szCs w:val="1"/>
                <w:color w:val="auto"/>
              </w:rPr>
            </w:pPr>
          </w:p>
        </w:tc>
      </w:tr>
    </w:tbl>
    <w:p>
      <w:pPr>
        <w:spacing w:after="0" w:line="279"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Change in Control Benefits</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Change in Control Retention Agreements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have entered into change in control retention agreements with each of our executive officers and other key employees.</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These agreements provide for severance benefits if any of the following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107315</wp:posOffset>
            </wp:positionV>
            <wp:extent cx="549338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493385" cy="8255"/>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sectPr>
      </w:pPr>
    </w:p>
    <w:p>
      <w:pPr>
        <w:spacing w:after="0" w:line="260" w:lineRule="exact"/>
        <w:rPr>
          <w:sz w:val="20"/>
          <w:szCs w:val="20"/>
          <w:color w:val="auto"/>
        </w:rPr>
      </w:pPr>
    </w:p>
    <w:p>
      <w:pPr>
        <w:ind w:left="640" w:right="100" w:hanging="165"/>
        <w:spacing w:after="0" w:line="263" w:lineRule="auto"/>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within 24 months after a change in control (as defined in each agreement) that was approved by our Board of Directors, we terminate the employee’s employment with us for a reason other than “cause” (as defined in the agreement) or the employee’s death or disability;</w:t>
      </w:r>
    </w:p>
    <w:p>
      <w:pPr>
        <w:spacing w:after="0" w:line="34" w:lineRule="exact"/>
        <w:rPr>
          <w:rFonts w:ascii="Arial" w:cs="Arial" w:eastAsia="Arial" w:hAnsi="Arial"/>
          <w:sz w:val="17"/>
          <w:szCs w:val="17"/>
          <w:color w:val="auto"/>
        </w:rPr>
      </w:pPr>
    </w:p>
    <w:p>
      <w:pPr>
        <w:jc w:val="both"/>
        <w:ind w:left="640" w:hanging="165"/>
        <w:spacing w:after="0" w:line="295" w:lineRule="auto"/>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within 24 months after a change in control that was approved by our Board of Directors, the employee terminates his or her employment for “good reason” (as defined in the agreement); or</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173" w:right="200" w:hanging="173"/>
        <w:spacing w:after="0" w:line="287" w:lineRule="auto"/>
        <w:tabs>
          <w:tab w:leader="none" w:pos="173" w:val="left"/>
        </w:tabs>
        <w:numPr>
          <w:ilvl w:val="0"/>
          <w:numId w:val="62"/>
        </w:numPr>
        <w:rPr>
          <w:rFonts w:ascii="Arial" w:cs="Arial" w:eastAsia="Arial" w:hAnsi="Arial"/>
          <w:sz w:val="16"/>
          <w:szCs w:val="16"/>
          <w:color w:val="auto"/>
        </w:rPr>
      </w:pPr>
      <w:r>
        <w:rPr>
          <w:rFonts w:ascii="Arial" w:cs="Arial" w:eastAsia="Arial" w:hAnsi="Arial"/>
          <w:sz w:val="16"/>
          <w:szCs w:val="16"/>
          <w:color w:val="auto"/>
        </w:rPr>
        <w:t>within 12 months after a change in control that was not approved by our Board of Directors, we or the employee terminate the employee’s employment with us for a reason other than “cause” (as defined in the agreement) or the employee’s death or disability.</w:t>
      </w:r>
    </w:p>
    <w:p>
      <w:pPr>
        <w:spacing w:after="0" w:line="1104" w:lineRule="exact"/>
        <w:rPr>
          <w:sz w:val="20"/>
          <w:szCs w:val="20"/>
          <w:color w:val="auto"/>
        </w:rPr>
      </w:pPr>
    </w:p>
    <w:p>
      <w:pPr>
        <w:sectPr>
          <w:pgSz w:w="11900" w:h="16838" w:orient="portrait"/>
          <w:cols w:equalWidth="0" w:num="2">
            <w:col w:w="5380" w:space="347"/>
            <w:col w:w="5213"/>
          </w:cols>
          <w:pgMar w:left="320" w:top="447" w:right="639" w:bottom="1440" w:gutter="0" w:footer="0" w:header="0"/>
          <w:type w:val="continuous"/>
        </w:sectPr>
      </w:pPr>
    </w:p>
    <w:p>
      <w:pPr>
        <w:spacing w:after="0" w:line="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For purposes of our change in control retention agreements, a “change in control” occurs 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129540</wp:posOffset>
            </wp:positionV>
            <wp:extent cx="549338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493385" cy="8255"/>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type w:val="continuous"/>
        </w:sectPr>
      </w:pPr>
    </w:p>
    <w:p>
      <w:pPr>
        <w:spacing w:after="0" w:line="283" w:lineRule="exact"/>
        <w:rPr>
          <w:sz w:val="20"/>
          <w:szCs w:val="20"/>
          <w:color w:val="auto"/>
        </w:rPr>
      </w:pPr>
    </w:p>
    <w:p>
      <w:pPr>
        <w:ind w:left="640" w:hanging="165"/>
        <w:spacing w:after="0" w:line="319" w:lineRule="auto"/>
        <w:tabs>
          <w:tab w:leader="none" w:pos="6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person or entity becomes the beneficial owner of 30% or more of the combined voting power of our outstanding securities;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173" w:right="560" w:hanging="173"/>
        <w:spacing w:after="0" w:line="286" w:lineRule="auto"/>
        <w:tabs>
          <w:tab w:leader="none" w:pos="173" w:val="left"/>
        </w:tabs>
        <w:numPr>
          <w:ilvl w:val="0"/>
          <w:numId w:val="64"/>
        </w:numPr>
        <w:rPr>
          <w:rFonts w:ascii="Arial" w:cs="Arial" w:eastAsia="Arial" w:hAnsi="Arial"/>
          <w:sz w:val="17"/>
          <w:szCs w:val="17"/>
          <w:color w:val="auto"/>
        </w:rPr>
      </w:pPr>
      <w:r>
        <w:rPr>
          <w:rFonts w:ascii="Arial" w:cs="Arial" w:eastAsia="Arial" w:hAnsi="Arial"/>
          <w:sz w:val="17"/>
          <w:szCs w:val="17"/>
          <w:color w:val="auto"/>
        </w:rPr>
        <w:t>our shareholders approve specified mergers of ADI with another entity; or</w:t>
      </w:r>
    </w:p>
    <w:p>
      <w:pPr>
        <w:spacing w:after="0" w:line="15" w:lineRule="exact"/>
        <w:rPr>
          <w:rFonts w:ascii="Arial" w:cs="Arial" w:eastAsia="Arial" w:hAnsi="Arial"/>
          <w:sz w:val="17"/>
          <w:szCs w:val="17"/>
          <w:color w:val="auto"/>
        </w:rPr>
      </w:pPr>
    </w:p>
    <w:p>
      <w:pPr>
        <w:ind w:left="173" w:right="720" w:hanging="173"/>
        <w:spacing w:after="0" w:line="286" w:lineRule="auto"/>
        <w:tabs>
          <w:tab w:leader="none" w:pos="173" w:val="left"/>
        </w:tabs>
        <w:numPr>
          <w:ilvl w:val="0"/>
          <w:numId w:val="64"/>
        </w:numPr>
        <w:rPr>
          <w:rFonts w:ascii="Arial" w:cs="Arial" w:eastAsia="Arial" w:hAnsi="Arial"/>
          <w:sz w:val="17"/>
          <w:szCs w:val="17"/>
          <w:color w:val="auto"/>
        </w:rPr>
      </w:pPr>
      <w:r>
        <w:rPr>
          <w:rFonts w:ascii="Arial" w:cs="Arial" w:eastAsia="Arial" w:hAnsi="Arial"/>
          <w:sz w:val="17"/>
          <w:szCs w:val="17"/>
          <w:color w:val="auto"/>
        </w:rPr>
        <w:t>our shareholders approve a plan of liquidation or sale of all, or substantially all, of ADI’s assets.</w:t>
      </w:r>
    </w:p>
    <w:p>
      <w:pPr>
        <w:spacing w:after="0" w:line="200" w:lineRule="exact"/>
        <w:rPr>
          <w:sz w:val="20"/>
          <w:szCs w:val="20"/>
          <w:color w:val="auto"/>
        </w:rPr>
      </w:pPr>
    </w:p>
    <w:p>
      <w:pPr>
        <w:sectPr>
          <w:pgSz w:w="11900" w:h="16838" w:orient="portrait"/>
          <w:cols w:equalWidth="0" w:num="2">
            <w:col w:w="5280" w:space="447"/>
            <w:col w:w="5213"/>
          </w:cols>
          <w:pgMar w:left="320" w:top="447" w:right="6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1076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0940"/>
          </w:cols>
          <w:pgMar w:left="320" w:top="447" w:right="639" w:bottom="1440" w:gutter="0" w:footer="0" w:header="0"/>
          <w:type w:val="continuous"/>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These agreements provide for the following severance benefits in the event of termination following a change in control approved by the Board of</w:t>
      </w:r>
    </w:p>
    <w:p>
      <w:pPr>
        <w:spacing w:after="0" w:line="4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107315</wp:posOffset>
            </wp:positionV>
            <wp:extent cx="654240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542405" cy="8255"/>
                    </a:xfrm>
                    <a:prstGeom prst="rect">
                      <a:avLst/>
                    </a:prstGeom>
                    <a:noFill/>
                  </pic:spPr>
                </pic:pic>
              </a:graphicData>
            </a:graphic>
          </wp:anchor>
        </w:drawing>
      </w:r>
    </w:p>
    <w:p>
      <w:pPr>
        <w:sectPr>
          <w:pgSz w:w="11900" w:h="16838" w:orient="portrait"/>
          <w:cols w:equalWidth="0" w:num="1">
            <w:col w:w="10760"/>
          </w:cols>
          <w:pgMar w:left="320" w:top="447" w:right="819" w:bottom="1440" w:gutter="0" w:footer="0" w:header="0"/>
        </w:sectPr>
      </w:pPr>
    </w:p>
    <w:p>
      <w:pPr>
        <w:spacing w:after="0" w:line="260" w:lineRule="exact"/>
        <w:rPr>
          <w:sz w:val="20"/>
          <w:szCs w:val="20"/>
          <w:color w:val="auto"/>
        </w:rPr>
      </w:pPr>
    </w:p>
    <w:p>
      <w:pPr>
        <w:ind w:left="640" w:hanging="165"/>
        <w:spacing w:after="0" w:line="278" w:lineRule="auto"/>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lump-sum payment equal to 200% (299% in the case of certain employees who are parties to the agreements, including each of our NEOs) of the sum of the employee’s annual base salary (as of the date of termination or the date of the change in control, whichever is higher) plus 200% (299% in the case of certain employees who are parties to the agreements, including each of our NEOs) of the total cash bonuses paid or awarded to him or her in the four fiscal quarters preceding his or her termination;</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173" w:right="80" w:hanging="173"/>
        <w:spacing w:after="0" w:line="300" w:lineRule="auto"/>
        <w:tabs>
          <w:tab w:leader="none" w:pos="173" w:val="left"/>
        </w:tabs>
        <w:numPr>
          <w:ilvl w:val="0"/>
          <w:numId w:val="66"/>
        </w:numPr>
        <w:rPr>
          <w:rFonts w:ascii="Arial" w:cs="Arial" w:eastAsia="Arial" w:hAnsi="Arial"/>
          <w:sz w:val="15"/>
          <w:szCs w:val="15"/>
          <w:color w:val="auto"/>
        </w:rPr>
      </w:pPr>
      <w:r>
        <w:rPr>
          <w:rFonts w:ascii="Arial" w:cs="Arial" w:eastAsia="Arial" w:hAnsi="Arial"/>
          <w:sz w:val="15"/>
          <w:szCs w:val="15"/>
          <w:color w:val="auto"/>
        </w:rPr>
        <w:t>payment of all legal fees and expenses incurred by the employee as a result of such termination (including all such fees and expenses, if any, incurred in disputing such termination or in seeking to obtain or enforce any right or benefit provided by the agreement or in connection with tax audit or proceeding to the extent attributable to the application of Section 4999 of the Internal Revenue Code to any payment or benefit provided under the agreement); and</w:t>
      </w:r>
    </w:p>
    <w:p>
      <w:pPr>
        <w:spacing w:after="0" w:line="12" w:lineRule="exact"/>
        <w:rPr>
          <w:rFonts w:ascii="Arial" w:cs="Arial" w:eastAsia="Arial" w:hAnsi="Arial"/>
          <w:sz w:val="15"/>
          <w:szCs w:val="15"/>
          <w:color w:val="auto"/>
        </w:rPr>
      </w:pPr>
    </w:p>
    <w:p>
      <w:pPr>
        <w:ind w:left="173" w:right="180" w:hanging="173"/>
        <w:spacing w:after="0" w:line="286" w:lineRule="auto"/>
        <w:tabs>
          <w:tab w:leader="none" w:pos="173"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continuation of life, disability, dental, accident and group health insurance benefits for a period of 24 months.</w:t>
      </w:r>
    </w:p>
    <w:p>
      <w:pPr>
        <w:spacing w:after="0" w:line="200" w:lineRule="exact"/>
        <w:rPr>
          <w:sz w:val="20"/>
          <w:szCs w:val="20"/>
          <w:color w:val="auto"/>
        </w:rPr>
      </w:pPr>
    </w:p>
    <w:p>
      <w:pPr>
        <w:sectPr>
          <w:pgSz w:w="11900" w:h="16838" w:orient="portrait"/>
          <w:cols w:equalWidth="0" w:num="2">
            <w:col w:w="5400" w:space="327"/>
            <w:col w:w="5033"/>
          </w:cols>
          <w:pgMar w:left="320" w:top="447" w:right="819" w:bottom="1440" w:gutter="0" w:footer="0" w:header="0"/>
          <w:type w:val="continuous"/>
        </w:sectPr>
      </w:pPr>
    </w:p>
    <w:p>
      <w:pPr>
        <w:spacing w:after="0" w:line="11" w:lineRule="exact"/>
        <w:rPr>
          <w:sz w:val="20"/>
          <w:szCs w:val="20"/>
          <w:color w:val="auto"/>
        </w:rPr>
      </w:pPr>
    </w:p>
    <w:p>
      <w:pPr>
        <w:ind w:left="480"/>
        <w:spacing w:after="0" w:line="261" w:lineRule="auto"/>
        <w:rPr>
          <w:sz w:val="20"/>
          <w:szCs w:val="20"/>
          <w:color w:val="auto"/>
        </w:rPr>
      </w:pPr>
      <w:r>
        <w:rPr>
          <w:rFonts w:ascii="Arial" w:cs="Arial" w:eastAsia="Arial" w:hAnsi="Arial"/>
          <w:sz w:val="17"/>
          <w:szCs w:val="17"/>
          <w:color w:val="auto"/>
        </w:rPr>
        <w:t>If payments to the employee under his or her agreement (together with any other payments or benefits, including the accelerated vesting of stock options or restricted stock awards that the employee receives in connection with a change in control) would trigger the provisions of Sections 280G and 4999 of the Internal Revenue Code, the change in control employee retention agreements provide for the payment of an additional amount so that the employee receives, net of excise taxes, the amount he or she would have been entitled to receive in the absence of the excise tax imposed by Section 4999 of the Internal Revenue Code. In September 2009, our Compensation Committee eliminated this provision from any new employee retention agreements.</w:t>
      </w:r>
    </w:p>
    <w:p>
      <w:pPr>
        <w:spacing w:after="0" w:line="77" w:lineRule="exact"/>
        <w:rPr>
          <w:sz w:val="20"/>
          <w:szCs w:val="20"/>
          <w:color w:val="auto"/>
        </w:rPr>
      </w:pPr>
    </w:p>
    <w:p>
      <w:pPr>
        <w:ind w:left="480"/>
        <w:spacing w:after="0" w:line="265" w:lineRule="auto"/>
        <w:rPr>
          <w:sz w:val="20"/>
          <w:szCs w:val="20"/>
          <w:color w:val="auto"/>
        </w:rPr>
      </w:pPr>
      <w:r>
        <w:rPr>
          <w:rFonts w:ascii="Arial" w:cs="Arial" w:eastAsia="Arial" w:hAnsi="Arial"/>
          <w:sz w:val="17"/>
          <w:szCs w:val="17"/>
          <w:color w:val="auto"/>
        </w:rPr>
        <w:t>Each agreement provides that, in the event of a potential change in control (as defined in each agreement), the employee will not voluntarily resign as an employee, subject to certain conditions, for at least six months after the change in control occurs. The Compensation Committee reviews these agreements each year, and the agreements automatically renew each year unless we give the employee three months’ notice that his or her agreement will not be extended.</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Potential Payments Upon Termination or Change in Control</w:t>
      </w:r>
    </w:p>
    <w:p>
      <w:pPr>
        <w:spacing w:after="0" w:line="124" w:lineRule="exact"/>
        <w:rPr>
          <w:sz w:val="20"/>
          <w:szCs w:val="20"/>
          <w:color w:val="auto"/>
        </w:rPr>
      </w:pPr>
    </w:p>
    <w:p>
      <w:pPr>
        <w:ind w:left="480"/>
        <w:spacing w:after="0" w:line="300" w:lineRule="auto"/>
        <w:rPr>
          <w:sz w:val="20"/>
          <w:szCs w:val="20"/>
          <w:color w:val="auto"/>
        </w:rPr>
      </w:pPr>
      <w:r>
        <w:rPr>
          <w:rFonts w:ascii="Arial" w:cs="Arial" w:eastAsia="Arial" w:hAnsi="Arial"/>
          <w:sz w:val="15"/>
          <w:szCs w:val="15"/>
          <w:color w:val="auto"/>
        </w:rPr>
        <w:t>Payments upon a change in control for our NEOs are calculated based upon the change-in-control retention agreements described above under “Change in Control Benefits—Change in Control Retention Agreements.” Under our 2020 Plan and our 2006 Stock Incentive Plan, in the event of a change in control, employees who have outstanding and unvested awards under either plan and who are employed on the closing of a change in control, including our NEOs, would have the vesting of one-half of the shares of common stock subject to their then-outstanding unvested equity awards accelerate and become immediately exercisable and free from forfeiture. The remaining one-half of the unvested equity awards would continue to vest in accordance with the original vesting schedules, and any remaining unvested equity awards would vest if, on or prior to the first anniversary of the change in control, his or her employment is terminated without cause or for good reason (as defined in the applicable plan).</w:t>
      </w:r>
    </w:p>
    <w:p>
      <w:pPr>
        <w:spacing w:after="0" w:line="52" w:lineRule="exact"/>
        <w:rPr>
          <w:sz w:val="20"/>
          <w:szCs w:val="20"/>
          <w:color w:val="auto"/>
        </w:rPr>
      </w:pPr>
    </w:p>
    <w:p>
      <w:pPr>
        <w:ind w:left="480"/>
        <w:spacing w:after="0" w:line="306" w:lineRule="auto"/>
        <w:rPr>
          <w:sz w:val="20"/>
          <w:szCs w:val="20"/>
          <w:color w:val="auto"/>
        </w:rPr>
      </w:pPr>
      <w:r>
        <w:rPr>
          <w:rFonts w:ascii="Arial" w:cs="Arial" w:eastAsia="Arial" w:hAnsi="Arial"/>
          <w:sz w:val="15"/>
          <w:szCs w:val="15"/>
          <w:color w:val="auto"/>
        </w:rPr>
        <w:t>Upon a change in control approved by the Board of Directors, if we terminate an executive officer’s employment for cause or if the executive officer terminates his or her employment other than for good reason, then the executive officer will receive his or her full base salary and all other compensation through the date of termination at the rate in effect at the time that the termination notice is given and we will have no further obligations to the executive officer. When the employment of an executive officer terminates in a situation that does not involve a change in control, the officer is entitled to receive the same benefits as any other terminating employee. This applies regardless of the reason for termination.</w:t>
      </w:r>
    </w:p>
    <w:p>
      <w:pPr>
        <w:spacing w:after="0" w:line="45" w:lineRule="exact"/>
        <w:rPr>
          <w:sz w:val="20"/>
          <w:szCs w:val="20"/>
          <w:color w:val="auto"/>
        </w:rPr>
      </w:pPr>
    </w:p>
    <w:p>
      <w:pPr>
        <w:ind w:left="480" w:right="320"/>
        <w:spacing w:after="0" w:line="287" w:lineRule="auto"/>
        <w:rPr>
          <w:sz w:val="20"/>
          <w:szCs w:val="20"/>
          <w:color w:val="auto"/>
        </w:rPr>
      </w:pPr>
      <w:r>
        <w:rPr>
          <w:rFonts w:ascii="Arial" w:cs="Arial" w:eastAsia="Arial" w:hAnsi="Arial"/>
          <w:sz w:val="16"/>
          <w:szCs w:val="16"/>
          <w:color w:val="auto"/>
        </w:rPr>
        <w:t>The following tables quantify the amounts that would be payable to the NEOs named in the Summary Compensation Table upon termination of their employment. The amounts shown assume that the terminations were effective on the last day of our fiscal year, or October 31, 2020. The tables do not include the accumulated benefit under our DCP that would be paid to our NEOs described above under “Non-Qualified Deferred Compensation Plan,” or any other employee benefits, except to the extent that the officer is entitled to an</w:t>
      </w:r>
    </w:p>
    <w:p>
      <w:pPr>
        <w:spacing w:after="0" w:line="200" w:lineRule="exact"/>
        <w:rPr>
          <w:sz w:val="20"/>
          <w:szCs w:val="20"/>
          <w:color w:val="auto"/>
        </w:rPr>
      </w:pPr>
    </w:p>
    <w:p>
      <w:pPr>
        <w:spacing w:after="0" w:line="28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0760"/>
          </w:cols>
          <w:pgMar w:left="320" w:top="447" w:right="819" w:bottom="1440" w:gutter="0" w:footer="0" w:header="0"/>
          <w:type w:val="continuous"/>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240"/>
        <w:spacing w:after="0" w:line="270" w:lineRule="auto"/>
        <w:rPr>
          <w:sz w:val="20"/>
          <w:szCs w:val="20"/>
          <w:color w:val="auto"/>
        </w:rPr>
      </w:pPr>
      <w:r>
        <w:rPr>
          <w:rFonts w:ascii="Arial" w:cs="Arial" w:eastAsia="Arial" w:hAnsi="Arial"/>
          <w:sz w:val="17"/>
          <w:szCs w:val="17"/>
          <w:color w:val="auto"/>
        </w:rPr>
        <w:t>additional benefit as a result of the termination. In addition, the tables do not include the value of vested but unexercised stock options held by each executive as of October 31, 2020. The actual amounts that would be paid out would depend on which options were exercised and, therefore, can only be determined at the time of the executive officer’s termination of employment.</w:t>
      </w:r>
    </w:p>
    <w:p>
      <w:pPr>
        <w:spacing w:after="0" w:line="211"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800" w:type="dxa"/>
            <w:vAlign w:val="bottom"/>
            <w:shd w:val="clear" w:color="auto" w:fill="0066BA"/>
          </w:tcPr>
          <w:p>
            <w:pPr>
              <w:spacing w:after="0"/>
              <w:rPr>
                <w:sz w:val="15"/>
                <w:szCs w:val="15"/>
                <w:color w:val="auto"/>
              </w:rPr>
            </w:pPr>
          </w:p>
        </w:tc>
        <w:tc>
          <w:tcPr>
            <w:tcW w:w="1180" w:type="dxa"/>
            <w:vAlign w:val="bottom"/>
            <w:shd w:val="clear" w:color="auto" w:fill="0066BA"/>
          </w:tcPr>
          <w:p>
            <w:pPr>
              <w:jc w:val="right"/>
              <w:spacing w:after="0"/>
              <w:rPr>
                <w:sz w:val="20"/>
                <w:szCs w:val="20"/>
                <w:color w:val="auto"/>
              </w:rPr>
            </w:pPr>
            <w:r>
              <w:rPr>
                <w:rFonts w:ascii="Arial" w:cs="Arial" w:eastAsia="Arial" w:hAnsi="Arial"/>
                <w:sz w:val="14"/>
                <w:szCs w:val="14"/>
                <w:b w:val="1"/>
                <w:bCs w:val="1"/>
                <w:color w:val="FFFFFF"/>
              </w:rPr>
              <w:t>Vincent</w:t>
            </w:r>
          </w:p>
        </w:tc>
        <w:tc>
          <w:tcPr>
            <w:tcW w:w="1300" w:type="dxa"/>
            <w:vAlign w:val="bottom"/>
            <w:shd w:val="clear" w:color="auto" w:fill="0066BA"/>
          </w:tcPr>
          <w:p>
            <w:pPr>
              <w:jc w:val="right"/>
              <w:ind w:right="100"/>
              <w:spacing w:after="0"/>
              <w:rPr>
                <w:sz w:val="20"/>
                <w:szCs w:val="20"/>
                <w:color w:val="auto"/>
              </w:rPr>
            </w:pPr>
            <w:r>
              <w:rPr>
                <w:rFonts w:ascii="Arial" w:cs="Arial" w:eastAsia="Arial" w:hAnsi="Arial"/>
                <w:sz w:val="14"/>
                <w:szCs w:val="14"/>
                <w:b w:val="1"/>
                <w:bCs w:val="1"/>
                <w:color w:val="FFFFFF"/>
              </w:rPr>
              <w:t>Prashanth</w:t>
            </w:r>
          </w:p>
        </w:tc>
        <w:tc>
          <w:tcPr>
            <w:tcW w:w="1340" w:type="dxa"/>
            <w:vAlign w:val="bottom"/>
            <w:shd w:val="clear" w:color="auto" w:fill="0066BA"/>
          </w:tcPr>
          <w:p>
            <w:pPr>
              <w:jc w:val="right"/>
              <w:ind w:right="119"/>
              <w:spacing w:after="0"/>
              <w:rPr>
                <w:sz w:val="20"/>
                <w:szCs w:val="20"/>
                <w:color w:val="auto"/>
              </w:rPr>
            </w:pPr>
            <w:r>
              <w:rPr>
                <w:rFonts w:ascii="Arial" w:cs="Arial" w:eastAsia="Arial" w:hAnsi="Arial"/>
                <w:sz w:val="14"/>
                <w:szCs w:val="14"/>
                <w:b w:val="1"/>
                <w:bCs w:val="1"/>
                <w:color w:val="FFFFFF"/>
              </w:rPr>
              <w:t>Martin</w:t>
            </w:r>
          </w:p>
        </w:tc>
        <w:tc>
          <w:tcPr>
            <w:tcW w:w="1320" w:type="dxa"/>
            <w:vAlign w:val="bottom"/>
            <w:shd w:val="clear" w:color="auto" w:fill="0066BA"/>
          </w:tcPr>
          <w:p>
            <w:pPr>
              <w:jc w:val="right"/>
              <w:ind w:right="99"/>
              <w:spacing w:after="0"/>
              <w:rPr>
                <w:sz w:val="20"/>
                <w:szCs w:val="20"/>
                <w:color w:val="auto"/>
              </w:rPr>
            </w:pPr>
            <w:r>
              <w:rPr>
                <w:rFonts w:ascii="Arial" w:cs="Arial" w:eastAsia="Arial" w:hAnsi="Arial"/>
                <w:sz w:val="14"/>
                <w:szCs w:val="14"/>
                <w:b w:val="1"/>
                <w:bCs w:val="1"/>
                <w:color w:val="FFFFFF"/>
              </w:rPr>
              <w:t>John</w:t>
            </w:r>
          </w:p>
        </w:tc>
        <w:tc>
          <w:tcPr>
            <w:tcW w:w="1340" w:type="dxa"/>
            <w:vAlign w:val="bottom"/>
            <w:shd w:val="clear" w:color="auto" w:fill="0066BA"/>
          </w:tcPr>
          <w:p>
            <w:pPr>
              <w:jc w:val="right"/>
              <w:ind w:right="99"/>
              <w:spacing w:after="0"/>
              <w:rPr>
                <w:sz w:val="20"/>
                <w:szCs w:val="20"/>
                <w:color w:val="auto"/>
              </w:rPr>
            </w:pPr>
            <w:r>
              <w:rPr>
                <w:rFonts w:ascii="Arial" w:cs="Arial" w:eastAsia="Arial" w:hAnsi="Arial"/>
                <w:sz w:val="14"/>
                <w:szCs w:val="14"/>
                <w:b w:val="1"/>
                <w:bCs w:val="1"/>
                <w:color w:val="FFFFFF"/>
              </w:rPr>
              <w:t>Steve</w:t>
            </w:r>
          </w:p>
        </w:tc>
      </w:tr>
      <w:tr>
        <w:trPr>
          <w:trHeight w:val="156"/>
        </w:trPr>
        <w:tc>
          <w:tcPr>
            <w:tcW w:w="3800" w:type="dxa"/>
            <w:vAlign w:val="bottom"/>
            <w:shd w:val="clear" w:color="auto" w:fill="0066BA"/>
          </w:tcPr>
          <w:p>
            <w:pPr>
              <w:spacing w:after="0"/>
              <w:rPr>
                <w:sz w:val="13"/>
                <w:szCs w:val="13"/>
                <w:color w:val="auto"/>
              </w:rPr>
            </w:pPr>
          </w:p>
        </w:tc>
        <w:tc>
          <w:tcPr>
            <w:tcW w:w="1180" w:type="dxa"/>
            <w:vAlign w:val="bottom"/>
            <w:shd w:val="clear" w:color="auto" w:fill="0066BA"/>
          </w:tcPr>
          <w:p>
            <w:pPr>
              <w:jc w:val="right"/>
              <w:spacing w:after="0" w:line="156" w:lineRule="exact"/>
              <w:rPr>
                <w:sz w:val="20"/>
                <w:szCs w:val="20"/>
                <w:color w:val="auto"/>
              </w:rPr>
            </w:pPr>
            <w:r>
              <w:rPr>
                <w:rFonts w:ascii="Arial" w:cs="Arial" w:eastAsia="Arial" w:hAnsi="Arial"/>
                <w:sz w:val="14"/>
                <w:szCs w:val="14"/>
                <w:b w:val="1"/>
                <w:bCs w:val="1"/>
                <w:color w:val="FFFFFF"/>
              </w:rPr>
              <w:t>Roche $</w:t>
            </w:r>
          </w:p>
        </w:tc>
        <w:tc>
          <w:tcPr>
            <w:tcW w:w="1300" w:type="dxa"/>
            <w:vAlign w:val="bottom"/>
            <w:shd w:val="clear" w:color="auto" w:fill="0066BA"/>
          </w:tcPr>
          <w:p>
            <w:pPr>
              <w:jc w:val="right"/>
              <w:ind w:right="100"/>
              <w:spacing w:after="0" w:line="156" w:lineRule="exact"/>
              <w:rPr>
                <w:sz w:val="20"/>
                <w:szCs w:val="20"/>
                <w:color w:val="auto"/>
              </w:rPr>
            </w:pPr>
            <w:r>
              <w:rPr>
                <w:rFonts w:ascii="Arial" w:cs="Arial" w:eastAsia="Arial" w:hAnsi="Arial"/>
                <w:sz w:val="14"/>
                <w:szCs w:val="14"/>
                <w:b w:val="1"/>
                <w:bCs w:val="1"/>
                <w:color w:val="FFFFFF"/>
              </w:rPr>
              <w:t>Mahendra-</w:t>
            </w:r>
          </w:p>
        </w:tc>
        <w:tc>
          <w:tcPr>
            <w:tcW w:w="1340" w:type="dxa"/>
            <w:vAlign w:val="bottom"/>
            <w:shd w:val="clear" w:color="auto" w:fill="0066BA"/>
          </w:tcPr>
          <w:p>
            <w:pPr>
              <w:jc w:val="right"/>
              <w:ind w:right="119"/>
              <w:spacing w:after="0" w:line="156" w:lineRule="exact"/>
              <w:rPr>
                <w:sz w:val="20"/>
                <w:szCs w:val="20"/>
                <w:color w:val="auto"/>
              </w:rPr>
            </w:pPr>
            <w:r>
              <w:rPr>
                <w:rFonts w:ascii="Arial" w:cs="Arial" w:eastAsia="Arial" w:hAnsi="Arial"/>
                <w:sz w:val="14"/>
                <w:szCs w:val="14"/>
                <w:b w:val="1"/>
                <w:bCs w:val="1"/>
                <w:color w:val="FFFFFF"/>
              </w:rPr>
              <w:t>Cotter $</w:t>
            </w:r>
          </w:p>
        </w:tc>
        <w:tc>
          <w:tcPr>
            <w:tcW w:w="1320" w:type="dxa"/>
            <w:vAlign w:val="bottom"/>
            <w:shd w:val="clear" w:color="auto" w:fill="0066BA"/>
          </w:tcPr>
          <w:p>
            <w:pPr>
              <w:jc w:val="right"/>
              <w:ind w:right="99"/>
              <w:spacing w:after="0" w:line="156" w:lineRule="exact"/>
              <w:rPr>
                <w:sz w:val="20"/>
                <w:szCs w:val="20"/>
                <w:color w:val="auto"/>
              </w:rPr>
            </w:pPr>
            <w:r>
              <w:rPr>
                <w:rFonts w:ascii="Arial" w:cs="Arial" w:eastAsia="Arial" w:hAnsi="Arial"/>
                <w:sz w:val="14"/>
                <w:szCs w:val="14"/>
                <w:b w:val="1"/>
                <w:bCs w:val="1"/>
                <w:color w:val="FFFFFF"/>
              </w:rPr>
              <w:t>Hassett $</w:t>
            </w:r>
          </w:p>
        </w:tc>
        <w:tc>
          <w:tcPr>
            <w:tcW w:w="1340" w:type="dxa"/>
            <w:vAlign w:val="bottom"/>
            <w:shd w:val="clear" w:color="auto" w:fill="0066BA"/>
          </w:tcPr>
          <w:p>
            <w:pPr>
              <w:jc w:val="right"/>
              <w:ind w:right="99"/>
              <w:spacing w:after="0" w:line="156" w:lineRule="exact"/>
              <w:rPr>
                <w:sz w:val="20"/>
                <w:szCs w:val="20"/>
                <w:color w:val="auto"/>
              </w:rPr>
            </w:pPr>
            <w:r>
              <w:rPr>
                <w:rFonts w:ascii="Arial" w:cs="Arial" w:eastAsia="Arial" w:hAnsi="Arial"/>
                <w:sz w:val="14"/>
                <w:szCs w:val="14"/>
                <w:b w:val="1"/>
                <w:bCs w:val="1"/>
                <w:color w:val="FFFFFF"/>
              </w:rPr>
              <w:t>Pietkiewicz $</w:t>
            </w:r>
          </w:p>
        </w:tc>
      </w:tr>
      <w:tr>
        <w:trPr>
          <w:trHeight w:val="156"/>
        </w:trPr>
        <w:tc>
          <w:tcPr>
            <w:tcW w:w="3800" w:type="dxa"/>
            <w:vAlign w:val="bottom"/>
            <w:shd w:val="clear" w:color="auto" w:fill="0066BA"/>
          </w:tcPr>
          <w:p>
            <w:pPr>
              <w:spacing w:after="0"/>
              <w:rPr>
                <w:sz w:val="13"/>
                <w:szCs w:val="13"/>
                <w:color w:val="auto"/>
              </w:rPr>
            </w:pPr>
          </w:p>
        </w:tc>
        <w:tc>
          <w:tcPr>
            <w:tcW w:w="1180" w:type="dxa"/>
            <w:vAlign w:val="bottom"/>
            <w:shd w:val="clear" w:color="auto" w:fill="0066BA"/>
          </w:tcPr>
          <w:p>
            <w:pPr>
              <w:jc w:val="right"/>
              <w:spacing w:after="0" w:line="156" w:lineRule="exact"/>
              <w:rPr>
                <w:sz w:val="20"/>
                <w:szCs w:val="20"/>
                <w:color w:val="auto"/>
              </w:rPr>
            </w:pPr>
            <w:r>
              <w:rPr>
                <w:rFonts w:ascii="Arial" w:cs="Arial" w:eastAsia="Arial" w:hAnsi="Arial"/>
                <w:sz w:val="14"/>
                <w:szCs w:val="14"/>
                <w:b w:val="1"/>
                <w:bCs w:val="1"/>
                <w:color w:val="FFFFFF"/>
              </w:rPr>
              <w:t>(1)(2)(3)(4)</w:t>
            </w:r>
          </w:p>
        </w:tc>
        <w:tc>
          <w:tcPr>
            <w:tcW w:w="1300" w:type="dxa"/>
            <w:vAlign w:val="bottom"/>
            <w:shd w:val="clear" w:color="auto" w:fill="0066BA"/>
          </w:tcPr>
          <w:p>
            <w:pPr>
              <w:jc w:val="right"/>
              <w:ind w:right="100"/>
              <w:spacing w:after="0" w:line="156" w:lineRule="exact"/>
              <w:rPr>
                <w:sz w:val="20"/>
                <w:szCs w:val="20"/>
                <w:color w:val="auto"/>
              </w:rPr>
            </w:pPr>
            <w:r>
              <w:rPr>
                <w:rFonts w:ascii="Arial" w:cs="Arial" w:eastAsia="Arial" w:hAnsi="Arial"/>
                <w:sz w:val="14"/>
                <w:szCs w:val="14"/>
                <w:b w:val="1"/>
                <w:bCs w:val="1"/>
                <w:color w:val="FFFFFF"/>
              </w:rPr>
              <w:t>Rajah $</w:t>
            </w:r>
          </w:p>
        </w:tc>
        <w:tc>
          <w:tcPr>
            <w:tcW w:w="1340" w:type="dxa"/>
            <w:vAlign w:val="bottom"/>
            <w:shd w:val="clear" w:color="auto" w:fill="0066BA"/>
          </w:tcPr>
          <w:p>
            <w:pPr>
              <w:jc w:val="right"/>
              <w:ind w:right="119"/>
              <w:spacing w:after="0" w:line="156" w:lineRule="exact"/>
              <w:rPr>
                <w:sz w:val="20"/>
                <w:szCs w:val="20"/>
                <w:color w:val="auto"/>
              </w:rPr>
            </w:pPr>
            <w:r>
              <w:rPr>
                <w:rFonts w:ascii="Arial" w:cs="Arial" w:eastAsia="Arial" w:hAnsi="Arial"/>
                <w:sz w:val="14"/>
                <w:szCs w:val="14"/>
                <w:b w:val="1"/>
                <w:bCs w:val="1"/>
                <w:color w:val="FFFFFF"/>
              </w:rPr>
              <w:t>(1)(2)(3)(4)(5)</w:t>
            </w:r>
          </w:p>
        </w:tc>
        <w:tc>
          <w:tcPr>
            <w:tcW w:w="1320" w:type="dxa"/>
            <w:vAlign w:val="bottom"/>
            <w:shd w:val="clear" w:color="auto" w:fill="0066BA"/>
          </w:tcPr>
          <w:p>
            <w:pPr>
              <w:jc w:val="right"/>
              <w:ind w:right="99"/>
              <w:spacing w:after="0" w:line="156" w:lineRule="exact"/>
              <w:rPr>
                <w:sz w:val="20"/>
                <w:szCs w:val="20"/>
                <w:color w:val="auto"/>
              </w:rPr>
            </w:pPr>
            <w:r>
              <w:rPr>
                <w:rFonts w:ascii="Arial" w:cs="Arial" w:eastAsia="Arial" w:hAnsi="Arial"/>
                <w:sz w:val="14"/>
                <w:szCs w:val="14"/>
                <w:b w:val="1"/>
                <w:bCs w:val="1"/>
                <w:color w:val="FFFFFF"/>
              </w:rPr>
              <w:t>(1)(2)(3)(4)(5)</w:t>
            </w:r>
          </w:p>
        </w:tc>
        <w:tc>
          <w:tcPr>
            <w:tcW w:w="1340" w:type="dxa"/>
            <w:vAlign w:val="bottom"/>
            <w:shd w:val="clear" w:color="auto" w:fill="0066BA"/>
          </w:tcPr>
          <w:p>
            <w:pPr>
              <w:jc w:val="right"/>
              <w:ind w:right="99"/>
              <w:spacing w:after="0" w:line="156" w:lineRule="exact"/>
              <w:rPr>
                <w:sz w:val="20"/>
                <w:szCs w:val="20"/>
                <w:color w:val="auto"/>
              </w:rPr>
            </w:pPr>
            <w:r>
              <w:rPr>
                <w:rFonts w:ascii="Arial" w:cs="Arial" w:eastAsia="Arial" w:hAnsi="Arial"/>
                <w:sz w:val="14"/>
                <w:szCs w:val="14"/>
                <w:b w:val="1"/>
                <w:bCs w:val="1"/>
                <w:color w:val="FFFFFF"/>
              </w:rPr>
              <w:t>(1)(2)(3)(4)(5)</w:t>
            </w:r>
          </w:p>
        </w:tc>
      </w:tr>
      <w:tr>
        <w:trPr>
          <w:trHeight w:val="182"/>
        </w:trPr>
        <w:tc>
          <w:tcPr>
            <w:tcW w:w="3800" w:type="dxa"/>
            <w:vAlign w:val="bottom"/>
            <w:shd w:val="clear" w:color="auto" w:fill="0066BA"/>
          </w:tcPr>
          <w:p>
            <w:pPr>
              <w:spacing w:after="0"/>
              <w:rPr>
                <w:sz w:val="15"/>
                <w:szCs w:val="15"/>
                <w:color w:val="auto"/>
              </w:rPr>
            </w:pPr>
          </w:p>
        </w:tc>
        <w:tc>
          <w:tcPr>
            <w:tcW w:w="1180" w:type="dxa"/>
            <w:vAlign w:val="bottom"/>
            <w:shd w:val="clear" w:color="auto" w:fill="0066BA"/>
          </w:tcPr>
          <w:p>
            <w:pPr>
              <w:jc w:val="right"/>
              <w:spacing w:after="0"/>
              <w:rPr>
                <w:sz w:val="20"/>
                <w:szCs w:val="20"/>
                <w:color w:val="auto"/>
              </w:rPr>
            </w:pPr>
            <w:r>
              <w:rPr>
                <w:rFonts w:ascii="Arial" w:cs="Arial" w:eastAsia="Arial" w:hAnsi="Arial"/>
                <w:sz w:val="14"/>
                <w:szCs w:val="14"/>
                <w:b w:val="1"/>
                <w:bCs w:val="1"/>
                <w:color w:val="FFFFFF"/>
              </w:rPr>
              <w:t>(5)(6)</w:t>
            </w:r>
          </w:p>
        </w:tc>
        <w:tc>
          <w:tcPr>
            <w:tcW w:w="1300" w:type="dxa"/>
            <w:vAlign w:val="bottom"/>
            <w:shd w:val="clear" w:color="auto" w:fill="0066BA"/>
          </w:tcPr>
          <w:p>
            <w:pPr>
              <w:jc w:val="right"/>
              <w:ind w:right="100"/>
              <w:spacing w:after="0"/>
              <w:rPr>
                <w:sz w:val="20"/>
                <w:szCs w:val="20"/>
                <w:color w:val="auto"/>
              </w:rPr>
            </w:pPr>
            <w:r>
              <w:rPr>
                <w:rFonts w:ascii="Arial" w:cs="Arial" w:eastAsia="Arial" w:hAnsi="Arial"/>
                <w:sz w:val="14"/>
                <w:szCs w:val="14"/>
                <w:b w:val="1"/>
                <w:bCs w:val="1"/>
                <w:color w:val="FFFFFF"/>
              </w:rPr>
              <w:t>(1)(2)(3)(4)(5)</w:t>
            </w:r>
          </w:p>
        </w:tc>
        <w:tc>
          <w:tcPr>
            <w:tcW w:w="1340" w:type="dxa"/>
            <w:vAlign w:val="bottom"/>
            <w:shd w:val="clear" w:color="auto" w:fill="0066BA"/>
          </w:tcPr>
          <w:p>
            <w:pPr>
              <w:spacing w:after="0"/>
              <w:rPr>
                <w:sz w:val="15"/>
                <w:szCs w:val="15"/>
                <w:color w:val="auto"/>
              </w:rPr>
            </w:pPr>
          </w:p>
        </w:tc>
        <w:tc>
          <w:tcPr>
            <w:tcW w:w="1320" w:type="dxa"/>
            <w:vAlign w:val="bottom"/>
            <w:shd w:val="clear" w:color="auto" w:fill="0066BA"/>
          </w:tcPr>
          <w:p>
            <w:pPr>
              <w:spacing w:after="0"/>
              <w:rPr>
                <w:sz w:val="15"/>
                <w:szCs w:val="15"/>
                <w:color w:val="auto"/>
              </w:rPr>
            </w:pPr>
          </w:p>
        </w:tc>
        <w:tc>
          <w:tcPr>
            <w:tcW w:w="1340" w:type="dxa"/>
            <w:vAlign w:val="bottom"/>
            <w:shd w:val="clear" w:color="auto" w:fill="0066BA"/>
          </w:tcPr>
          <w:p>
            <w:pPr>
              <w:spacing w:after="0"/>
              <w:rPr>
                <w:sz w:val="15"/>
                <w:szCs w:val="15"/>
                <w:color w:val="auto"/>
              </w:rPr>
            </w:pPr>
          </w:p>
        </w:tc>
      </w:tr>
      <w:tr>
        <w:trPr>
          <w:trHeight w:val="103"/>
        </w:trPr>
        <w:tc>
          <w:tcPr>
            <w:tcW w:w="3800" w:type="dxa"/>
            <w:vAlign w:val="bottom"/>
            <w:shd w:val="clear" w:color="auto" w:fill="0066BA"/>
          </w:tcPr>
          <w:p>
            <w:pPr>
              <w:spacing w:after="0"/>
              <w:rPr>
                <w:sz w:val="8"/>
                <w:szCs w:val="8"/>
                <w:color w:val="auto"/>
              </w:rPr>
            </w:pPr>
          </w:p>
        </w:tc>
        <w:tc>
          <w:tcPr>
            <w:tcW w:w="1180" w:type="dxa"/>
            <w:vAlign w:val="bottom"/>
            <w:shd w:val="clear" w:color="auto" w:fill="0066BA"/>
          </w:tcPr>
          <w:p>
            <w:pPr>
              <w:spacing w:after="0"/>
              <w:rPr>
                <w:sz w:val="8"/>
                <w:szCs w:val="8"/>
                <w:color w:val="auto"/>
              </w:rPr>
            </w:pPr>
          </w:p>
        </w:tc>
        <w:tc>
          <w:tcPr>
            <w:tcW w:w="1300" w:type="dxa"/>
            <w:vAlign w:val="bottom"/>
            <w:shd w:val="clear" w:color="auto" w:fill="0066BA"/>
          </w:tcPr>
          <w:p>
            <w:pPr>
              <w:spacing w:after="0"/>
              <w:rPr>
                <w:sz w:val="8"/>
                <w:szCs w:val="8"/>
                <w:color w:val="auto"/>
              </w:rPr>
            </w:pPr>
          </w:p>
        </w:tc>
        <w:tc>
          <w:tcPr>
            <w:tcW w:w="1340" w:type="dxa"/>
            <w:vAlign w:val="bottom"/>
            <w:shd w:val="clear" w:color="auto" w:fill="0066BA"/>
          </w:tcPr>
          <w:p>
            <w:pPr>
              <w:spacing w:after="0"/>
              <w:rPr>
                <w:sz w:val="8"/>
                <w:szCs w:val="8"/>
                <w:color w:val="auto"/>
              </w:rPr>
            </w:pPr>
          </w:p>
        </w:tc>
        <w:tc>
          <w:tcPr>
            <w:tcW w:w="1320" w:type="dxa"/>
            <w:vAlign w:val="bottom"/>
            <w:shd w:val="clear" w:color="auto" w:fill="0066BA"/>
          </w:tcPr>
          <w:p>
            <w:pPr>
              <w:spacing w:after="0"/>
              <w:rPr>
                <w:sz w:val="8"/>
                <w:szCs w:val="8"/>
                <w:color w:val="auto"/>
              </w:rPr>
            </w:pPr>
          </w:p>
        </w:tc>
        <w:tc>
          <w:tcPr>
            <w:tcW w:w="1340" w:type="dxa"/>
            <w:vAlign w:val="bottom"/>
            <w:shd w:val="clear" w:color="auto" w:fill="0066BA"/>
          </w:tcPr>
          <w:p>
            <w:pPr>
              <w:spacing w:after="0"/>
              <w:rPr>
                <w:sz w:val="8"/>
                <w:szCs w:val="8"/>
                <w:color w:val="auto"/>
              </w:rPr>
            </w:pPr>
          </w:p>
        </w:tc>
      </w:tr>
      <w:tr>
        <w:trPr>
          <w:trHeight w:val="312"/>
        </w:trPr>
        <w:tc>
          <w:tcPr>
            <w:tcW w:w="3800" w:type="dxa"/>
            <w:vAlign w:val="bottom"/>
          </w:tcPr>
          <w:p>
            <w:pPr>
              <w:ind w:left="60"/>
              <w:spacing w:after="0"/>
              <w:rPr>
                <w:sz w:val="20"/>
                <w:szCs w:val="20"/>
                <w:color w:val="auto"/>
              </w:rPr>
            </w:pPr>
            <w:r>
              <w:rPr>
                <w:rFonts w:ascii="Arial" w:cs="Arial" w:eastAsia="Arial" w:hAnsi="Arial"/>
                <w:sz w:val="17"/>
                <w:szCs w:val="17"/>
                <w:color w:val="auto"/>
              </w:rPr>
              <w:t>Cash Severance</w:t>
            </w:r>
          </w:p>
        </w:tc>
        <w:tc>
          <w:tcPr>
            <w:tcW w:w="1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3,139,500</w:t>
            </w:r>
          </w:p>
        </w:tc>
        <w:tc>
          <w:tcPr>
            <w:tcW w:w="1300" w:type="dxa"/>
            <w:vAlign w:val="bottom"/>
          </w:tcPr>
          <w:p>
            <w:pPr>
              <w:jc w:val="right"/>
              <w:ind w:right="100"/>
              <w:spacing w:after="0"/>
              <w:rPr>
                <w:sz w:val="20"/>
                <w:szCs w:val="20"/>
                <w:color w:val="auto"/>
              </w:rPr>
            </w:pPr>
            <w:r>
              <w:rPr>
                <w:rFonts w:ascii="Arial" w:cs="Arial" w:eastAsia="Arial" w:hAnsi="Arial"/>
                <w:sz w:val="17"/>
                <w:szCs w:val="17"/>
                <w:color w:val="auto"/>
              </w:rPr>
              <w:t>1,719,250</w:t>
            </w:r>
          </w:p>
        </w:tc>
        <w:tc>
          <w:tcPr>
            <w:tcW w:w="1340" w:type="dxa"/>
            <w:vAlign w:val="bottom"/>
            <w:tcBorders>
              <w:bottom w:val="single" w:sz="8" w:color="EAEAEA"/>
            </w:tcBorders>
            <w:shd w:val="clear" w:color="auto" w:fill="EAEAEA"/>
          </w:tcPr>
          <w:p>
            <w:pPr>
              <w:jc w:val="right"/>
              <w:ind w:right="119"/>
              <w:spacing w:after="0"/>
              <w:rPr>
                <w:sz w:val="20"/>
                <w:szCs w:val="20"/>
                <w:color w:val="auto"/>
              </w:rPr>
            </w:pPr>
            <w:r>
              <w:rPr>
                <w:rFonts w:ascii="Arial" w:cs="Arial" w:eastAsia="Arial" w:hAnsi="Arial"/>
                <w:sz w:val="17"/>
                <w:szCs w:val="17"/>
                <w:color w:val="auto"/>
              </w:rPr>
              <w:t>1,375,400</w:t>
            </w:r>
          </w:p>
        </w:tc>
        <w:tc>
          <w:tcPr>
            <w:tcW w:w="1320" w:type="dxa"/>
            <w:vAlign w:val="bottom"/>
          </w:tcPr>
          <w:p>
            <w:pPr>
              <w:jc w:val="right"/>
              <w:ind w:right="99"/>
              <w:spacing w:after="0"/>
              <w:rPr>
                <w:sz w:val="20"/>
                <w:szCs w:val="20"/>
                <w:color w:val="auto"/>
              </w:rPr>
            </w:pPr>
            <w:r>
              <w:rPr>
                <w:rFonts w:ascii="Arial" w:cs="Arial" w:eastAsia="Arial" w:hAnsi="Arial"/>
                <w:sz w:val="17"/>
                <w:szCs w:val="17"/>
                <w:color w:val="auto"/>
              </w:rPr>
              <w:t>1,420,250</w:t>
            </w:r>
          </w:p>
        </w:tc>
        <w:tc>
          <w:tcPr>
            <w:tcW w:w="1340" w:type="dxa"/>
            <w:vAlign w:val="bottom"/>
            <w:tcBorders>
              <w:bottom w:val="single" w:sz="8" w:color="EAEAEA"/>
            </w:tcBorders>
            <w:shd w:val="clear" w:color="auto" w:fill="EAEAEA"/>
          </w:tcPr>
          <w:p>
            <w:pPr>
              <w:jc w:val="right"/>
              <w:ind w:right="99"/>
              <w:spacing w:after="0"/>
              <w:rPr>
                <w:sz w:val="20"/>
                <w:szCs w:val="20"/>
                <w:color w:val="auto"/>
              </w:rPr>
            </w:pPr>
            <w:r>
              <w:rPr>
                <w:rFonts w:ascii="Arial" w:cs="Arial" w:eastAsia="Arial" w:hAnsi="Arial"/>
                <w:sz w:val="17"/>
                <w:szCs w:val="17"/>
                <w:color w:val="auto"/>
              </w:rPr>
              <w:t>1,345,500</w:t>
            </w:r>
          </w:p>
        </w:tc>
      </w:tr>
      <w:tr>
        <w:trPr>
          <w:trHeight w:val="292"/>
        </w:trPr>
        <w:tc>
          <w:tcPr>
            <w:tcW w:w="380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Cash Bonus</w:t>
            </w:r>
          </w:p>
        </w:tc>
        <w:tc>
          <w:tcPr>
            <w:tcW w:w="11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2,331,079</w:t>
            </w:r>
          </w:p>
        </w:tc>
        <w:tc>
          <w:tcPr>
            <w:tcW w:w="1300" w:type="dxa"/>
            <w:vAlign w:val="bottom"/>
            <w:tcBorders>
              <w:top w:val="single" w:sz="8" w:color="auto"/>
            </w:tcBorders>
          </w:tcPr>
          <w:p>
            <w:pPr>
              <w:jc w:val="right"/>
              <w:ind w:right="100"/>
              <w:spacing w:after="0"/>
              <w:rPr>
                <w:sz w:val="20"/>
                <w:szCs w:val="20"/>
                <w:color w:val="auto"/>
              </w:rPr>
            </w:pPr>
            <w:r>
              <w:rPr>
                <w:rFonts w:ascii="Arial" w:cs="Arial" w:eastAsia="Arial" w:hAnsi="Arial"/>
                <w:sz w:val="17"/>
                <w:szCs w:val="17"/>
                <w:color w:val="auto"/>
              </w:rPr>
              <w:t>851,029</w:t>
            </w:r>
          </w:p>
        </w:tc>
        <w:tc>
          <w:tcPr>
            <w:tcW w:w="1340" w:type="dxa"/>
            <w:vAlign w:val="bottom"/>
            <w:tcBorders>
              <w:top w:val="single" w:sz="8" w:color="auto"/>
              <w:bottom w:val="single" w:sz="8" w:color="EAEAEA"/>
            </w:tcBorders>
            <w:shd w:val="clear" w:color="auto" w:fill="EAEAEA"/>
          </w:tcPr>
          <w:p>
            <w:pPr>
              <w:jc w:val="right"/>
              <w:ind w:right="119"/>
              <w:spacing w:after="0"/>
              <w:rPr>
                <w:sz w:val="20"/>
                <w:szCs w:val="20"/>
                <w:color w:val="auto"/>
              </w:rPr>
            </w:pPr>
            <w:r>
              <w:rPr>
                <w:rFonts w:ascii="Arial" w:cs="Arial" w:eastAsia="Arial" w:hAnsi="Arial"/>
                <w:sz w:val="17"/>
                <w:szCs w:val="17"/>
                <w:color w:val="auto"/>
              </w:rPr>
              <w:t>680,823</w:t>
            </w: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7"/>
                <w:szCs w:val="17"/>
                <w:color w:val="auto"/>
              </w:rPr>
              <w:t>703,024</w:t>
            </w:r>
          </w:p>
        </w:tc>
        <w:tc>
          <w:tcPr>
            <w:tcW w:w="1340" w:type="dxa"/>
            <w:vAlign w:val="bottom"/>
            <w:tcBorders>
              <w:top w:val="single" w:sz="8" w:color="auto"/>
              <w:bottom w:val="single" w:sz="8" w:color="EAEAEA"/>
            </w:tcBorders>
            <w:shd w:val="clear" w:color="auto" w:fill="EAEAEA"/>
          </w:tcPr>
          <w:p>
            <w:pPr>
              <w:jc w:val="right"/>
              <w:ind w:right="99"/>
              <w:spacing w:after="0"/>
              <w:rPr>
                <w:sz w:val="20"/>
                <w:szCs w:val="20"/>
                <w:color w:val="auto"/>
              </w:rPr>
            </w:pPr>
            <w:r>
              <w:rPr>
                <w:rFonts w:ascii="Arial" w:cs="Arial" w:eastAsia="Arial" w:hAnsi="Arial"/>
                <w:sz w:val="17"/>
                <w:szCs w:val="17"/>
                <w:color w:val="auto"/>
              </w:rPr>
              <w:t>632,023</w:t>
            </w:r>
          </w:p>
        </w:tc>
      </w:tr>
      <w:tr>
        <w:trPr>
          <w:trHeight w:val="292"/>
        </w:trPr>
        <w:tc>
          <w:tcPr>
            <w:tcW w:w="380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Value of Accelerated Vesting of Stock Awards</w:t>
            </w:r>
          </w:p>
        </w:tc>
        <w:tc>
          <w:tcPr>
            <w:tcW w:w="11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30,290,288</w:t>
            </w:r>
          </w:p>
        </w:tc>
        <w:tc>
          <w:tcPr>
            <w:tcW w:w="1300" w:type="dxa"/>
            <w:vAlign w:val="bottom"/>
            <w:tcBorders>
              <w:top w:val="single" w:sz="8" w:color="auto"/>
            </w:tcBorders>
          </w:tcPr>
          <w:p>
            <w:pPr>
              <w:jc w:val="right"/>
              <w:ind w:right="100"/>
              <w:spacing w:after="0"/>
              <w:rPr>
                <w:sz w:val="20"/>
                <w:szCs w:val="20"/>
                <w:color w:val="auto"/>
              </w:rPr>
            </w:pPr>
            <w:r>
              <w:rPr>
                <w:rFonts w:ascii="Arial" w:cs="Arial" w:eastAsia="Arial" w:hAnsi="Arial"/>
                <w:sz w:val="17"/>
                <w:szCs w:val="17"/>
                <w:color w:val="auto"/>
              </w:rPr>
              <w:t>7,483,930</w:t>
            </w:r>
          </w:p>
        </w:tc>
        <w:tc>
          <w:tcPr>
            <w:tcW w:w="1340" w:type="dxa"/>
            <w:vAlign w:val="bottom"/>
            <w:tcBorders>
              <w:top w:val="single" w:sz="8" w:color="auto"/>
              <w:bottom w:val="single" w:sz="8" w:color="EAEAEA"/>
            </w:tcBorders>
            <w:shd w:val="clear" w:color="auto" w:fill="EAEAEA"/>
          </w:tcPr>
          <w:p>
            <w:pPr>
              <w:jc w:val="right"/>
              <w:ind w:right="119"/>
              <w:spacing w:after="0"/>
              <w:rPr>
                <w:sz w:val="20"/>
                <w:szCs w:val="20"/>
                <w:color w:val="auto"/>
              </w:rPr>
            </w:pPr>
            <w:r>
              <w:rPr>
                <w:rFonts w:ascii="Arial" w:cs="Arial" w:eastAsia="Arial" w:hAnsi="Arial"/>
                <w:sz w:val="17"/>
                <w:szCs w:val="17"/>
                <w:color w:val="auto"/>
              </w:rPr>
              <w:t>5,790,318</w:t>
            </w: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7"/>
                <w:szCs w:val="17"/>
                <w:color w:val="auto"/>
              </w:rPr>
              <w:t>5,659,296</w:t>
            </w:r>
          </w:p>
        </w:tc>
        <w:tc>
          <w:tcPr>
            <w:tcW w:w="1340" w:type="dxa"/>
            <w:vAlign w:val="bottom"/>
            <w:tcBorders>
              <w:top w:val="single" w:sz="8" w:color="auto"/>
              <w:bottom w:val="single" w:sz="8" w:color="EAEAEA"/>
            </w:tcBorders>
            <w:shd w:val="clear" w:color="auto" w:fill="EAEAEA"/>
          </w:tcPr>
          <w:p>
            <w:pPr>
              <w:jc w:val="right"/>
              <w:ind w:right="99"/>
              <w:spacing w:after="0"/>
              <w:rPr>
                <w:sz w:val="20"/>
                <w:szCs w:val="20"/>
                <w:color w:val="auto"/>
              </w:rPr>
            </w:pPr>
            <w:r>
              <w:rPr>
                <w:rFonts w:ascii="Arial" w:cs="Arial" w:eastAsia="Arial" w:hAnsi="Arial"/>
                <w:sz w:val="17"/>
                <w:szCs w:val="17"/>
                <w:color w:val="auto"/>
              </w:rPr>
              <w:t>7,688,354</w:t>
            </w:r>
          </w:p>
        </w:tc>
      </w:tr>
      <w:tr>
        <w:trPr>
          <w:trHeight w:val="292"/>
        </w:trPr>
        <w:tc>
          <w:tcPr>
            <w:tcW w:w="380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Value of Accelerated Vesting of Cash Awards</w:t>
            </w:r>
          </w:p>
        </w:tc>
        <w:tc>
          <w:tcPr>
            <w:tcW w:w="11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EAEAEA"/>
            </w:tcBorders>
            <w:shd w:val="clear" w:color="auto" w:fill="EAEAEA"/>
          </w:tcPr>
          <w:p>
            <w:pPr>
              <w:jc w:val="right"/>
              <w:ind w:right="119"/>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EAEAEA"/>
            </w:tcBorders>
            <w:shd w:val="clear" w:color="auto" w:fill="EAEAEA"/>
          </w:tcPr>
          <w:p>
            <w:pPr>
              <w:jc w:val="right"/>
              <w:ind w:right="99"/>
              <w:spacing w:after="0"/>
              <w:rPr>
                <w:sz w:val="20"/>
                <w:szCs w:val="20"/>
                <w:color w:val="auto"/>
              </w:rPr>
            </w:pPr>
            <w:r>
              <w:rPr>
                <w:rFonts w:ascii="Arial" w:cs="Arial" w:eastAsia="Arial" w:hAnsi="Arial"/>
                <w:sz w:val="17"/>
                <w:szCs w:val="17"/>
                <w:color w:val="auto"/>
              </w:rPr>
              <w:t>276,000</w:t>
            </w:r>
          </w:p>
        </w:tc>
      </w:tr>
      <w:tr>
        <w:trPr>
          <w:trHeight w:val="292"/>
        </w:trPr>
        <w:tc>
          <w:tcPr>
            <w:tcW w:w="380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Value of Medical and Other Benefits</w:t>
            </w:r>
          </w:p>
        </w:tc>
        <w:tc>
          <w:tcPr>
            <w:tcW w:w="11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16,862</w:t>
            </w:r>
          </w:p>
        </w:tc>
        <w:tc>
          <w:tcPr>
            <w:tcW w:w="1300" w:type="dxa"/>
            <w:vAlign w:val="bottom"/>
            <w:tcBorders>
              <w:top w:val="single" w:sz="8" w:color="auto"/>
            </w:tcBorders>
          </w:tcPr>
          <w:p>
            <w:pPr>
              <w:jc w:val="right"/>
              <w:ind w:right="100"/>
              <w:spacing w:after="0"/>
              <w:rPr>
                <w:sz w:val="20"/>
                <w:szCs w:val="20"/>
                <w:color w:val="auto"/>
              </w:rPr>
            </w:pPr>
            <w:r>
              <w:rPr>
                <w:rFonts w:ascii="Arial" w:cs="Arial" w:eastAsia="Arial" w:hAnsi="Arial"/>
                <w:sz w:val="17"/>
                <w:szCs w:val="17"/>
                <w:color w:val="auto"/>
              </w:rPr>
              <w:t>47,376</w:t>
            </w:r>
          </w:p>
        </w:tc>
        <w:tc>
          <w:tcPr>
            <w:tcW w:w="1340" w:type="dxa"/>
            <w:vAlign w:val="bottom"/>
            <w:tcBorders>
              <w:top w:val="single" w:sz="8" w:color="auto"/>
              <w:bottom w:val="single" w:sz="8" w:color="EAEAEA"/>
            </w:tcBorders>
            <w:shd w:val="clear" w:color="auto" w:fill="EAEAEA"/>
          </w:tcPr>
          <w:p>
            <w:pPr>
              <w:jc w:val="right"/>
              <w:ind w:right="119"/>
              <w:spacing w:after="0"/>
              <w:rPr>
                <w:sz w:val="20"/>
                <w:szCs w:val="20"/>
                <w:color w:val="auto"/>
              </w:rPr>
            </w:pPr>
            <w:r>
              <w:rPr>
                <w:rFonts w:ascii="Arial" w:cs="Arial" w:eastAsia="Arial" w:hAnsi="Arial"/>
                <w:sz w:val="17"/>
                <w:szCs w:val="17"/>
                <w:color w:val="auto"/>
              </w:rPr>
              <w:t>29,342</w:t>
            </w: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7"/>
                <w:szCs w:val="17"/>
                <w:color w:val="auto"/>
              </w:rPr>
              <w:t>34,008</w:t>
            </w:r>
          </w:p>
        </w:tc>
        <w:tc>
          <w:tcPr>
            <w:tcW w:w="1340" w:type="dxa"/>
            <w:vAlign w:val="bottom"/>
            <w:tcBorders>
              <w:top w:val="single" w:sz="8" w:color="auto"/>
              <w:bottom w:val="single" w:sz="8" w:color="EAEAEA"/>
            </w:tcBorders>
            <w:shd w:val="clear" w:color="auto" w:fill="EAEAEA"/>
          </w:tcPr>
          <w:p>
            <w:pPr>
              <w:jc w:val="right"/>
              <w:ind w:right="99"/>
              <w:spacing w:after="0"/>
              <w:rPr>
                <w:sz w:val="20"/>
                <w:szCs w:val="20"/>
                <w:color w:val="auto"/>
              </w:rPr>
            </w:pPr>
            <w:r>
              <w:rPr>
                <w:rFonts w:ascii="Arial" w:cs="Arial" w:eastAsia="Arial" w:hAnsi="Arial"/>
                <w:sz w:val="17"/>
                <w:szCs w:val="17"/>
                <w:color w:val="auto"/>
              </w:rPr>
              <w:t>47,376</w:t>
            </w:r>
          </w:p>
        </w:tc>
      </w:tr>
      <w:tr>
        <w:trPr>
          <w:trHeight w:val="292"/>
        </w:trPr>
        <w:tc>
          <w:tcPr>
            <w:tcW w:w="380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Excise Tax Gross Up</w:t>
            </w:r>
          </w:p>
        </w:tc>
        <w:tc>
          <w:tcPr>
            <w:tcW w:w="11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EAEAEA"/>
            </w:tcBorders>
            <w:shd w:val="clear" w:color="auto" w:fill="EAEAEA"/>
          </w:tcPr>
          <w:p>
            <w:pPr>
              <w:jc w:val="right"/>
              <w:ind w:right="119"/>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EAEAEA"/>
            </w:tcBorders>
            <w:shd w:val="clear" w:color="auto" w:fill="EAEAEA"/>
          </w:tcPr>
          <w:p>
            <w:pPr>
              <w:jc w:val="right"/>
              <w:ind w:right="99"/>
              <w:spacing w:after="0"/>
              <w:rPr>
                <w:sz w:val="20"/>
                <w:szCs w:val="20"/>
                <w:color w:val="auto"/>
              </w:rPr>
            </w:pPr>
            <w:r>
              <w:rPr>
                <w:rFonts w:ascii="Arial" w:cs="Arial" w:eastAsia="Arial" w:hAnsi="Arial"/>
                <w:sz w:val="17"/>
                <w:szCs w:val="17"/>
                <w:color w:val="auto"/>
              </w:rPr>
              <w:t>—</w:t>
            </w:r>
          </w:p>
        </w:tc>
      </w:tr>
      <w:tr>
        <w:trPr>
          <w:trHeight w:val="272"/>
        </w:trPr>
        <w:tc>
          <w:tcPr>
            <w:tcW w:w="380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Total</w:t>
            </w:r>
          </w:p>
        </w:tc>
        <w:tc>
          <w:tcPr>
            <w:tcW w:w="118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7"/>
                <w:szCs w:val="17"/>
                <w:color w:val="auto"/>
              </w:rPr>
              <w:t>35,777,729</w:t>
            </w:r>
          </w:p>
        </w:tc>
        <w:tc>
          <w:tcPr>
            <w:tcW w:w="1300" w:type="dxa"/>
            <w:vAlign w:val="bottom"/>
            <w:tcBorders>
              <w:top w:val="single" w:sz="8" w:color="auto"/>
            </w:tcBorders>
          </w:tcPr>
          <w:p>
            <w:pPr>
              <w:jc w:val="right"/>
              <w:ind w:right="100"/>
              <w:spacing w:after="0"/>
              <w:rPr>
                <w:sz w:val="20"/>
                <w:szCs w:val="20"/>
                <w:color w:val="auto"/>
              </w:rPr>
            </w:pPr>
            <w:r>
              <w:rPr>
                <w:rFonts w:ascii="Arial" w:cs="Arial" w:eastAsia="Arial" w:hAnsi="Arial"/>
                <w:sz w:val="17"/>
                <w:szCs w:val="17"/>
                <w:color w:val="auto"/>
              </w:rPr>
              <w:t>10,101,585</w:t>
            </w:r>
          </w:p>
        </w:tc>
        <w:tc>
          <w:tcPr>
            <w:tcW w:w="1340" w:type="dxa"/>
            <w:vAlign w:val="bottom"/>
            <w:tcBorders>
              <w:top w:val="single" w:sz="8" w:color="auto"/>
              <w:bottom w:val="single" w:sz="8" w:color="EAEAEA"/>
            </w:tcBorders>
            <w:shd w:val="clear" w:color="auto" w:fill="EAEAEA"/>
          </w:tcPr>
          <w:p>
            <w:pPr>
              <w:jc w:val="right"/>
              <w:ind w:right="119"/>
              <w:spacing w:after="0"/>
              <w:rPr>
                <w:sz w:val="20"/>
                <w:szCs w:val="20"/>
                <w:color w:val="auto"/>
              </w:rPr>
            </w:pPr>
            <w:r>
              <w:rPr>
                <w:rFonts w:ascii="Arial" w:cs="Arial" w:eastAsia="Arial" w:hAnsi="Arial"/>
                <w:sz w:val="17"/>
                <w:szCs w:val="17"/>
                <w:color w:val="auto"/>
              </w:rPr>
              <w:t>7,875,883</w:t>
            </w: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7"/>
                <w:szCs w:val="17"/>
                <w:color w:val="auto"/>
              </w:rPr>
              <w:t>7,816,578</w:t>
            </w:r>
          </w:p>
        </w:tc>
        <w:tc>
          <w:tcPr>
            <w:tcW w:w="1340" w:type="dxa"/>
            <w:vAlign w:val="bottom"/>
            <w:tcBorders>
              <w:top w:val="single" w:sz="8" w:color="auto"/>
              <w:bottom w:val="single" w:sz="8" w:color="EAEAEA"/>
            </w:tcBorders>
            <w:shd w:val="clear" w:color="auto" w:fill="EAEAEA"/>
          </w:tcPr>
          <w:p>
            <w:pPr>
              <w:jc w:val="right"/>
              <w:ind w:right="99"/>
              <w:spacing w:after="0"/>
              <w:rPr>
                <w:sz w:val="20"/>
                <w:szCs w:val="20"/>
                <w:color w:val="auto"/>
              </w:rPr>
            </w:pPr>
            <w:r>
              <w:rPr>
                <w:rFonts w:ascii="Arial" w:cs="Arial" w:eastAsia="Arial" w:hAnsi="Arial"/>
                <w:sz w:val="17"/>
                <w:szCs w:val="17"/>
                <w:color w:val="auto"/>
              </w:rPr>
              <w:t>9,989,253</w:t>
            </w:r>
          </w:p>
        </w:tc>
      </w:tr>
      <w:tr>
        <w:trPr>
          <w:trHeight w:val="20"/>
        </w:trPr>
        <w:tc>
          <w:tcPr>
            <w:tcW w:w="3800" w:type="dxa"/>
            <w:vAlign w:val="bottom"/>
            <w:shd w:val="clear" w:color="auto" w:fill="0066BA"/>
          </w:tcPr>
          <w:p>
            <w:pPr>
              <w:spacing w:after="0" w:line="20" w:lineRule="exact"/>
              <w:rPr>
                <w:sz w:val="1"/>
                <w:szCs w:val="1"/>
                <w:color w:val="auto"/>
              </w:rPr>
            </w:pPr>
          </w:p>
        </w:tc>
        <w:tc>
          <w:tcPr>
            <w:tcW w:w="1180" w:type="dxa"/>
            <w:vAlign w:val="bottom"/>
            <w:shd w:val="clear" w:color="auto" w:fill="0066BA"/>
          </w:tcPr>
          <w:p>
            <w:pPr>
              <w:spacing w:after="0" w:line="20" w:lineRule="exact"/>
              <w:rPr>
                <w:sz w:val="1"/>
                <w:szCs w:val="1"/>
                <w:color w:val="auto"/>
              </w:rPr>
            </w:pPr>
          </w:p>
        </w:tc>
        <w:tc>
          <w:tcPr>
            <w:tcW w:w="1300" w:type="dxa"/>
            <w:vAlign w:val="bottom"/>
            <w:shd w:val="clear" w:color="auto" w:fill="0066BA"/>
          </w:tcPr>
          <w:p>
            <w:pPr>
              <w:spacing w:after="0" w:line="20" w:lineRule="exact"/>
              <w:rPr>
                <w:sz w:val="1"/>
                <w:szCs w:val="1"/>
                <w:color w:val="auto"/>
              </w:rPr>
            </w:pPr>
          </w:p>
        </w:tc>
        <w:tc>
          <w:tcPr>
            <w:tcW w:w="1340" w:type="dxa"/>
            <w:vAlign w:val="bottom"/>
            <w:shd w:val="clear" w:color="auto" w:fill="0066BA"/>
          </w:tcPr>
          <w:p>
            <w:pPr>
              <w:spacing w:after="0" w:line="20" w:lineRule="exact"/>
              <w:rPr>
                <w:sz w:val="1"/>
                <w:szCs w:val="1"/>
                <w:color w:val="auto"/>
              </w:rPr>
            </w:pPr>
          </w:p>
        </w:tc>
        <w:tc>
          <w:tcPr>
            <w:tcW w:w="1320" w:type="dxa"/>
            <w:vAlign w:val="bottom"/>
            <w:shd w:val="clear" w:color="auto" w:fill="0066BA"/>
          </w:tcPr>
          <w:p>
            <w:pPr>
              <w:spacing w:after="0" w:line="20" w:lineRule="exact"/>
              <w:rPr>
                <w:sz w:val="1"/>
                <w:szCs w:val="1"/>
                <w:color w:val="auto"/>
              </w:rPr>
            </w:pPr>
          </w:p>
        </w:tc>
        <w:tc>
          <w:tcPr>
            <w:tcW w:w="1340" w:type="dxa"/>
            <w:vAlign w:val="bottom"/>
            <w:shd w:val="clear" w:color="auto" w:fill="0066BA"/>
          </w:tcPr>
          <w:p>
            <w:pPr>
              <w:spacing w:after="0" w:line="20" w:lineRule="exact"/>
              <w:rPr>
                <w:sz w:val="1"/>
                <w:szCs w:val="1"/>
                <w:color w:val="auto"/>
              </w:rPr>
            </w:pPr>
          </w:p>
        </w:tc>
      </w:tr>
    </w:tbl>
    <w:p>
      <w:pPr>
        <w:spacing w:after="0" w:line="1" w:lineRule="exact"/>
        <w:rPr>
          <w:sz w:val="20"/>
          <w:szCs w:val="20"/>
          <w:color w:val="auto"/>
        </w:rPr>
      </w:pPr>
    </w:p>
    <w:p>
      <w:pPr>
        <w:ind w:left="780" w:hanging="305"/>
        <w:spacing w:after="0"/>
        <w:tabs>
          <w:tab w:leader="none" w:pos="7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Cash severance based upon a multiplier of 299% of the executive officer’s base salary.</w:t>
      </w:r>
    </w:p>
    <w:p>
      <w:pPr>
        <w:spacing w:after="0" w:line="25" w:lineRule="exact"/>
        <w:rPr>
          <w:rFonts w:ascii="Arial" w:cs="Arial" w:eastAsia="Arial" w:hAnsi="Arial"/>
          <w:sz w:val="17"/>
          <w:szCs w:val="17"/>
          <w:color w:val="auto"/>
        </w:rPr>
      </w:pPr>
    </w:p>
    <w:p>
      <w:pPr>
        <w:ind w:left="780" w:right="280" w:hanging="305"/>
        <w:spacing w:after="0" w:line="255" w:lineRule="auto"/>
        <w:tabs>
          <w:tab w:leader="none" w:pos="7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Cash bonus based upon a multiplier of 299% of the sum of the executive officer’s total cash bonuses awarded to him in the four fiscal quarters preceding termination.</w:t>
      </w:r>
    </w:p>
    <w:p>
      <w:pPr>
        <w:ind w:left="780" w:right="220" w:hanging="305"/>
        <w:spacing w:after="0" w:line="271"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value of accelerated unvested options as of October 31, 2020 is calculated by taking the difference between the closing price of our common stock on Nasdaq on the last trading day of the fiscal year ($118.53 on October 30, 2020) and the option exercise price and multiplying it by the number of accelerated options. For time- and performance-based RSUs/RSAs the value represents the closing price of our common stock on the last trading day of the fiscal year multiplied by the number of accelerated units. For PRSUs, the number of accelerated units assumes vesting at the target level. Accelerated cash awards are equal to 100% of the award.</w:t>
      </w:r>
    </w:p>
    <w:p>
      <w:pPr>
        <w:spacing w:after="0" w:line="1" w:lineRule="exact"/>
        <w:rPr>
          <w:rFonts w:ascii="Arial" w:cs="Arial" w:eastAsia="Arial" w:hAnsi="Arial"/>
          <w:sz w:val="16"/>
          <w:szCs w:val="16"/>
          <w:color w:val="auto"/>
        </w:rPr>
      </w:pPr>
    </w:p>
    <w:p>
      <w:pPr>
        <w:jc w:val="both"/>
        <w:ind w:left="780" w:right="180" w:hanging="305"/>
        <w:spacing w:after="0" w:line="263" w:lineRule="auto"/>
        <w:tabs>
          <w:tab w:leader="none" w:pos="7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As of October 31, 2020, upon termination by us without cause or by the NEO for good reason after a change in control event, the officer would be entitled to acceleration of vesting of all outstanding unvested stock options or time-based RSUs and PRSUs granted under our 2020 Plan and our 2006 Stock Incentive Plan. The number of accelerated units/awards would be as follows:</w:t>
      </w:r>
    </w:p>
    <w:p>
      <w:pPr>
        <w:spacing w:after="0" w:line="216" w:lineRule="exact"/>
        <w:rPr>
          <w:sz w:val="20"/>
          <w:szCs w:val="20"/>
          <w:color w:val="auto"/>
        </w:rPr>
      </w:pPr>
    </w:p>
    <w:tbl>
      <w:tblPr>
        <w:tblLayout w:type="fixed"/>
        <w:tblInd w:w="480" w:type="dxa"/>
        <w:tblCellMar>
          <w:top w:w="0" w:type="dxa"/>
          <w:left w:w="0" w:type="dxa"/>
          <w:bottom w:w="0" w:type="dxa"/>
          <w:right w:w="0" w:type="dxa"/>
        </w:tblCellMar>
      </w:tblPr>
      <w:tr>
        <w:trPr>
          <w:trHeight w:val="165"/>
        </w:trPr>
        <w:tc>
          <w:tcPr>
            <w:tcW w:w="3420" w:type="dxa"/>
            <w:vAlign w:val="bottom"/>
            <w:shd w:val="clear" w:color="auto" w:fill="0066BA"/>
          </w:tcPr>
          <w:p>
            <w:pPr>
              <w:ind w:left="60"/>
              <w:spacing w:after="0"/>
              <w:rPr>
                <w:sz w:val="20"/>
                <w:szCs w:val="20"/>
                <w:color w:val="auto"/>
              </w:rPr>
            </w:pPr>
            <w:r>
              <w:rPr>
                <w:rFonts w:ascii="Arial" w:cs="Arial" w:eastAsia="Arial" w:hAnsi="Arial"/>
                <w:sz w:val="13"/>
                <w:szCs w:val="13"/>
                <w:b w:val="1"/>
                <w:bCs w:val="1"/>
                <w:color w:val="FFFFFF"/>
              </w:rPr>
              <w:t>Name</w:t>
            </w:r>
          </w:p>
        </w:tc>
        <w:tc>
          <w:tcPr>
            <w:tcW w:w="2280" w:type="dxa"/>
            <w:vAlign w:val="bottom"/>
            <w:shd w:val="clear" w:color="auto" w:fill="0066BA"/>
          </w:tcPr>
          <w:p>
            <w:pPr>
              <w:jc w:val="right"/>
              <w:ind w:right="95"/>
              <w:spacing w:after="0"/>
              <w:rPr>
                <w:sz w:val="20"/>
                <w:szCs w:val="20"/>
                <w:color w:val="auto"/>
              </w:rPr>
            </w:pPr>
            <w:r>
              <w:rPr>
                <w:rFonts w:ascii="Arial" w:cs="Arial" w:eastAsia="Arial" w:hAnsi="Arial"/>
                <w:sz w:val="13"/>
                <w:szCs w:val="13"/>
                <w:b w:val="1"/>
                <w:bCs w:val="1"/>
                <w:color w:val="FFFFFF"/>
              </w:rPr>
              <w:t>Number of Unvested Option</w:t>
            </w:r>
          </w:p>
        </w:tc>
        <w:tc>
          <w:tcPr>
            <w:tcW w:w="2380" w:type="dxa"/>
            <w:vAlign w:val="bottom"/>
            <w:shd w:val="clear" w:color="auto" w:fill="0066BA"/>
          </w:tcPr>
          <w:p>
            <w:pPr>
              <w:jc w:val="right"/>
              <w:ind w:right="135"/>
              <w:spacing w:after="0"/>
              <w:rPr>
                <w:sz w:val="20"/>
                <w:szCs w:val="20"/>
                <w:color w:val="auto"/>
              </w:rPr>
            </w:pPr>
            <w:r>
              <w:rPr>
                <w:rFonts w:ascii="Arial" w:cs="Arial" w:eastAsia="Arial" w:hAnsi="Arial"/>
                <w:sz w:val="13"/>
                <w:szCs w:val="13"/>
                <w:b w:val="1"/>
                <w:bCs w:val="1"/>
                <w:color w:val="FFFFFF"/>
              </w:rPr>
              <w:t>Number of Unvested</w:t>
            </w:r>
          </w:p>
        </w:tc>
        <w:tc>
          <w:tcPr>
            <w:tcW w:w="2200" w:type="dxa"/>
            <w:vAlign w:val="bottom"/>
            <w:shd w:val="clear" w:color="auto" w:fill="0066BA"/>
          </w:tcPr>
          <w:p>
            <w:pPr>
              <w:jc w:val="right"/>
              <w:ind w:right="135"/>
              <w:spacing w:after="0"/>
              <w:rPr>
                <w:sz w:val="20"/>
                <w:szCs w:val="20"/>
                <w:color w:val="auto"/>
              </w:rPr>
            </w:pPr>
            <w:r>
              <w:rPr>
                <w:rFonts w:ascii="Arial" w:cs="Arial" w:eastAsia="Arial" w:hAnsi="Arial"/>
                <w:sz w:val="13"/>
                <w:szCs w:val="13"/>
                <w:b w:val="1"/>
                <w:bCs w:val="1"/>
                <w:color w:val="FFFFFF"/>
              </w:rPr>
              <w:t>Number of Unvested</w:t>
            </w:r>
          </w:p>
        </w:tc>
      </w:tr>
      <w:tr>
        <w:trPr>
          <w:trHeight w:val="143"/>
        </w:trPr>
        <w:tc>
          <w:tcPr>
            <w:tcW w:w="3420" w:type="dxa"/>
            <w:vAlign w:val="bottom"/>
            <w:shd w:val="clear" w:color="auto" w:fill="0066BA"/>
          </w:tcPr>
          <w:p>
            <w:pPr>
              <w:spacing w:after="0"/>
              <w:rPr>
                <w:sz w:val="12"/>
                <w:szCs w:val="12"/>
                <w:color w:val="auto"/>
              </w:rPr>
            </w:pPr>
          </w:p>
        </w:tc>
        <w:tc>
          <w:tcPr>
            <w:tcW w:w="2280" w:type="dxa"/>
            <w:vAlign w:val="bottom"/>
            <w:shd w:val="clear" w:color="auto" w:fill="0066BA"/>
          </w:tcPr>
          <w:p>
            <w:pPr>
              <w:jc w:val="right"/>
              <w:ind w:right="95"/>
              <w:spacing w:after="0" w:line="143" w:lineRule="exact"/>
              <w:rPr>
                <w:sz w:val="20"/>
                <w:szCs w:val="20"/>
                <w:color w:val="auto"/>
              </w:rPr>
            </w:pPr>
            <w:r>
              <w:rPr>
                <w:rFonts w:ascii="Arial" w:cs="Arial" w:eastAsia="Arial" w:hAnsi="Arial"/>
                <w:sz w:val="13"/>
                <w:szCs w:val="13"/>
                <w:b w:val="1"/>
                <w:bCs w:val="1"/>
                <w:color w:val="FFFFFF"/>
              </w:rPr>
              <w:t>Awards that Accelerate</w:t>
            </w:r>
          </w:p>
        </w:tc>
        <w:tc>
          <w:tcPr>
            <w:tcW w:w="2380" w:type="dxa"/>
            <w:vAlign w:val="bottom"/>
            <w:shd w:val="clear" w:color="auto" w:fill="0066BA"/>
          </w:tcPr>
          <w:p>
            <w:pPr>
              <w:jc w:val="right"/>
              <w:ind w:right="135"/>
              <w:spacing w:after="0" w:line="143" w:lineRule="exact"/>
              <w:rPr>
                <w:sz w:val="20"/>
                <w:szCs w:val="20"/>
                <w:color w:val="auto"/>
              </w:rPr>
            </w:pPr>
            <w:r>
              <w:rPr>
                <w:rFonts w:ascii="Arial" w:cs="Arial" w:eastAsia="Arial" w:hAnsi="Arial"/>
                <w:sz w:val="13"/>
                <w:szCs w:val="13"/>
                <w:b w:val="1"/>
                <w:bCs w:val="1"/>
                <w:color w:val="FFFFFF"/>
              </w:rPr>
              <w:t>Time-Based RSUs/RSAs that</w:t>
            </w:r>
          </w:p>
        </w:tc>
        <w:tc>
          <w:tcPr>
            <w:tcW w:w="2200" w:type="dxa"/>
            <w:vAlign w:val="bottom"/>
            <w:shd w:val="clear" w:color="auto" w:fill="0066BA"/>
          </w:tcPr>
          <w:p>
            <w:pPr>
              <w:jc w:val="right"/>
              <w:ind w:right="135"/>
              <w:spacing w:after="0" w:line="143" w:lineRule="exact"/>
              <w:rPr>
                <w:sz w:val="20"/>
                <w:szCs w:val="20"/>
                <w:color w:val="auto"/>
              </w:rPr>
            </w:pPr>
            <w:r>
              <w:rPr>
                <w:rFonts w:ascii="Arial" w:cs="Arial" w:eastAsia="Arial" w:hAnsi="Arial"/>
                <w:sz w:val="13"/>
                <w:szCs w:val="13"/>
                <w:b w:val="1"/>
                <w:bCs w:val="1"/>
                <w:color w:val="FFFFFF"/>
              </w:rPr>
              <w:t>Performance-Based RSUs</w:t>
            </w:r>
          </w:p>
        </w:tc>
      </w:tr>
      <w:tr>
        <w:trPr>
          <w:trHeight w:val="143"/>
        </w:trPr>
        <w:tc>
          <w:tcPr>
            <w:tcW w:w="3420" w:type="dxa"/>
            <w:vAlign w:val="bottom"/>
            <w:shd w:val="clear" w:color="auto" w:fill="0066BA"/>
          </w:tcPr>
          <w:p>
            <w:pPr>
              <w:spacing w:after="0"/>
              <w:rPr>
                <w:sz w:val="12"/>
                <w:szCs w:val="12"/>
                <w:color w:val="auto"/>
              </w:rPr>
            </w:pPr>
          </w:p>
        </w:tc>
        <w:tc>
          <w:tcPr>
            <w:tcW w:w="2280" w:type="dxa"/>
            <w:vAlign w:val="bottom"/>
            <w:shd w:val="clear" w:color="auto" w:fill="0066BA"/>
          </w:tcPr>
          <w:p>
            <w:pPr>
              <w:jc w:val="right"/>
              <w:ind w:right="95"/>
              <w:spacing w:after="0" w:line="143" w:lineRule="exact"/>
              <w:rPr>
                <w:sz w:val="20"/>
                <w:szCs w:val="20"/>
                <w:color w:val="auto"/>
              </w:rPr>
            </w:pPr>
            <w:r>
              <w:rPr>
                <w:rFonts w:ascii="Arial" w:cs="Arial" w:eastAsia="Arial" w:hAnsi="Arial"/>
                <w:sz w:val="13"/>
                <w:szCs w:val="13"/>
                <w:b w:val="1"/>
                <w:bCs w:val="1"/>
                <w:color w:val="FFFFFF"/>
              </w:rPr>
              <w:t>upon Termination After a</w:t>
            </w:r>
          </w:p>
        </w:tc>
        <w:tc>
          <w:tcPr>
            <w:tcW w:w="2380" w:type="dxa"/>
            <w:vAlign w:val="bottom"/>
            <w:shd w:val="clear" w:color="auto" w:fill="0066BA"/>
          </w:tcPr>
          <w:p>
            <w:pPr>
              <w:jc w:val="right"/>
              <w:ind w:right="135"/>
              <w:spacing w:after="0" w:line="143" w:lineRule="exact"/>
              <w:rPr>
                <w:sz w:val="20"/>
                <w:szCs w:val="20"/>
                <w:color w:val="auto"/>
              </w:rPr>
            </w:pPr>
            <w:r>
              <w:rPr>
                <w:rFonts w:ascii="Arial" w:cs="Arial" w:eastAsia="Arial" w:hAnsi="Arial"/>
                <w:sz w:val="13"/>
                <w:szCs w:val="13"/>
                <w:b w:val="1"/>
                <w:bCs w:val="1"/>
                <w:color w:val="FFFFFF"/>
              </w:rPr>
              <w:t>Accelerate upon Termination</w:t>
            </w:r>
          </w:p>
        </w:tc>
        <w:tc>
          <w:tcPr>
            <w:tcW w:w="2200" w:type="dxa"/>
            <w:vAlign w:val="bottom"/>
            <w:shd w:val="clear" w:color="auto" w:fill="0066BA"/>
          </w:tcPr>
          <w:p>
            <w:pPr>
              <w:jc w:val="right"/>
              <w:ind w:right="135"/>
              <w:spacing w:after="0" w:line="143" w:lineRule="exact"/>
              <w:rPr>
                <w:sz w:val="20"/>
                <w:szCs w:val="20"/>
                <w:color w:val="auto"/>
              </w:rPr>
            </w:pPr>
            <w:r>
              <w:rPr>
                <w:rFonts w:ascii="Arial" w:cs="Arial" w:eastAsia="Arial" w:hAnsi="Arial"/>
                <w:sz w:val="13"/>
                <w:szCs w:val="13"/>
                <w:b w:val="1"/>
                <w:bCs w:val="1"/>
                <w:color w:val="FFFFFF"/>
              </w:rPr>
              <w:t>that Accelerate upon</w:t>
            </w:r>
          </w:p>
        </w:tc>
      </w:tr>
      <w:tr>
        <w:trPr>
          <w:trHeight w:val="143"/>
        </w:trPr>
        <w:tc>
          <w:tcPr>
            <w:tcW w:w="3420" w:type="dxa"/>
            <w:vAlign w:val="bottom"/>
            <w:shd w:val="clear" w:color="auto" w:fill="0066BA"/>
          </w:tcPr>
          <w:p>
            <w:pPr>
              <w:spacing w:after="0"/>
              <w:rPr>
                <w:sz w:val="12"/>
                <w:szCs w:val="12"/>
                <w:color w:val="auto"/>
              </w:rPr>
            </w:pPr>
          </w:p>
        </w:tc>
        <w:tc>
          <w:tcPr>
            <w:tcW w:w="2280" w:type="dxa"/>
            <w:vAlign w:val="bottom"/>
            <w:shd w:val="clear" w:color="auto" w:fill="0066BA"/>
          </w:tcPr>
          <w:p>
            <w:pPr>
              <w:jc w:val="right"/>
              <w:ind w:right="95"/>
              <w:spacing w:after="0" w:line="143" w:lineRule="exact"/>
              <w:rPr>
                <w:sz w:val="20"/>
                <w:szCs w:val="20"/>
                <w:color w:val="auto"/>
              </w:rPr>
            </w:pPr>
            <w:r>
              <w:rPr>
                <w:rFonts w:ascii="Arial" w:cs="Arial" w:eastAsia="Arial" w:hAnsi="Arial"/>
                <w:sz w:val="13"/>
                <w:szCs w:val="13"/>
                <w:b w:val="1"/>
                <w:bCs w:val="1"/>
                <w:color w:val="FFFFFF"/>
              </w:rPr>
              <w:t>Change in Control</w:t>
            </w:r>
          </w:p>
        </w:tc>
        <w:tc>
          <w:tcPr>
            <w:tcW w:w="2380" w:type="dxa"/>
            <w:vAlign w:val="bottom"/>
            <w:shd w:val="clear" w:color="auto" w:fill="0066BA"/>
          </w:tcPr>
          <w:p>
            <w:pPr>
              <w:jc w:val="right"/>
              <w:ind w:right="135"/>
              <w:spacing w:after="0" w:line="143" w:lineRule="exact"/>
              <w:rPr>
                <w:sz w:val="20"/>
                <w:szCs w:val="20"/>
                <w:color w:val="auto"/>
              </w:rPr>
            </w:pPr>
            <w:r>
              <w:rPr>
                <w:rFonts w:ascii="Arial" w:cs="Arial" w:eastAsia="Arial" w:hAnsi="Arial"/>
                <w:sz w:val="13"/>
                <w:szCs w:val="13"/>
                <w:b w:val="1"/>
                <w:bCs w:val="1"/>
                <w:color w:val="FFFFFF"/>
              </w:rPr>
              <w:t>After a Change in Control</w:t>
            </w:r>
          </w:p>
        </w:tc>
        <w:tc>
          <w:tcPr>
            <w:tcW w:w="2200" w:type="dxa"/>
            <w:vAlign w:val="bottom"/>
            <w:shd w:val="clear" w:color="auto" w:fill="0066BA"/>
          </w:tcPr>
          <w:p>
            <w:pPr>
              <w:jc w:val="right"/>
              <w:ind w:right="135"/>
              <w:spacing w:after="0" w:line="143" w:lineRule="exact"/>
              <w:rPr>
                <w:sz w:val="20"/>
                <w:szCs w:val="20"/>
                <w:color w:val="auto"/>
              </w:rPr>
            </w:pPr>
            <w:r>
              <w:rPr>
                <w:rFonts w:ascii="Arial" w:cs="Arial" w:eastAsia="Arial" w:hAnsi="Arial"/>
                <w:sz w:val="13"/>
                <w:szCs w:val="13"/>
                <w:b w:val="1"/>
                <w:bCs w:val="1"/>
                <w:color w:val="FFFFFF"/>
              </w:rPr>
              <w:t>Termination After a</w:t>
            </w:r>
          </w:p>
        </w:tc>
      </w:tr>
      <w:tr>
        <w:trPr>
          <w:trHeight w:val="143"/>
        </w:trPr>
        <w:tc>
          <w:tcPr>
            <w:tcW w:w="3420" w:type="dxa"/>
            <w:vAlign w:val="bottom"/>
            <w:shd w:val="clear" w:color="auto" w:fill="0066BA"/>
          </w:tcPr>
          <w:p>
            <w:pPr>
              <w:spacing w:after="0"/>
              <w:rPr>
                <w:sz w:val="12"/>
                <w:szCs w:val="12"/>
                <w:color w:val="auto"/>
              </w:rPr>
            </w:pPr>
          </w:p>
        </w:tc>
        <w:tc>
          <w:tcPr>
            <w:tcW w:w="2280" w:type="dxa"/>
            <w:vAlign w:val="bottom"/>
            <w:shd w:val="clear" w:color="auto" w:fill="0066BA"/>
          </w:tcPr>
          <w:p>
            <w:pPr>
              <w:spacing w:after="0"/>
              <w:rPr>
                <w:sz w:val="12"/>
                <w:szCs w:val="12"/>
                <w:color w:val="auto"/>
              </w:rPr>
            </w:pPr>
          </w:p>
        </w:tc>
        <w:tc>
          <w:tcPr>
            <w:tcW w:w="2380" w:type="dxa"/>
            <w:vAlign w:val="bottom"/>
            <w:shd w:val="clear" w:color="auto" w:fill="0066BA"/>
          </w:tcPr>
          <w:p>
            <w:pPr>
              <w:spacing w:after="0"/>
              <w:rPr>
                <w:sz w:val="12"/>
                <w:szCs w:val="12"/>
                <w:color w:val="auto"/>
              </w:rPr>
            </w:pPr>
          </w:p>
        </w:tc>
        <w:tc>
          <w:tcPr>
            <w:tcW w:w="2200" w:type="dxa"/>
            <w:vAlign w:val="bottom"/>
            <w:shd w:val="clear" w:color="auto" w:fill="0066BA"/>
          </w:tcPr>
          <w:p>
            <w:pPr>
              <w:jc w:val="right"/>
              <w:ind w:right="135"/>
              <w:spacing w:after="0" w:line="143" w:lineRule="exact"/>
              <w:rPr>
                <w:sz w:val="20"/>
                <w:szCs w:val="20"/>
                <w:color w:val="auto"/>
              </w:rPr>
            </w:pPr>
            <w:r>
              <w:rPr>
                <w:rFonts w:ascii="Arial" w:cs="Arial" w:eastAsia="Arial" w:hAnsi="Arial"/>
                <w:sz w:val="13"/>
                <w:szCs w:val="13"/>
                <w:b w:val="1"/>
                <w:bCs w:val="1"/>
                <w:color w:val="FFFFFF"/>
              </w:rPr>
              <w:t>Change in Control at</w:t>
            </w:r>
          </w:p>
        </w:tc>
      </w:tr>
      <w:tr>
        <w:trPr>
          <w:trHeight w:val="172"/>
        </w:trPr>
        <w:tc>
          <w:tcPr>
            <w:tcW w:w="3420" w:type="dxa"/>
            <w:vAlign w:val="bottom"/>
            <w:shd w:val="clear" w:color="auto" w:fill="0066BA"/>
          </w:tcPr>
          <w:p>
            <w:pPr>
              <w:spacing w:after="0"/>
              <w:rPr>
                <w:sz w:val="14"/>
                <w:szCs w:val="14"/>
                <w:color w:val="auto"/>
              </w:rPr>
            </w:pPr>
          </w:p>
        </w:tc>
        <w:tc>
          <w:tcPr>
            <w:tcW w:w="2280" w:type="dxa"/>
            <w:vAlign w:val="bottom"/>
            <w:shd w:val="clear" w:color="auto" w:fill="0066BA"/>
          </w:tcPr>
          <w:p>
            <w:pPr>
              <w:spacing w:after="0"/>
              <w:rPr>
                <w:sz w:val="14"/>
                <w:szCs w:val="14"/>
                <w:color w:val="auto"/>
              </w:rPr>
            </w:pPr>
          </w:p>
        </w:tc>
        <w:tc>
          <w:tcPr>
            <w:tcW w:w="2380" w:type="dxa"/>
            <w:vAlign w:val="bottom"/>
            <w:shd w:val="clear" w:color="auto" w:fill="0066BA"/>
          </w:tcPr>
          <w:p>
            <w:pPr>
              <w:spacing w:after="0"/>
              <w:rPr>
                <w:sz w:val="14"/>
                <w:szCs w:val="14"/>
                <w:color w:val="auto"/>
              </w:rPr>
            </w:pPr>
          </w:p>
        </w:tc>
        <w:tc>
          <w:tcPr>
            <w:tcW w:w="2200" w:type="dxa"/>
            <w:vAlign w:val="bottom"/>
            <w:shd w:val="clear" w:color="auto" w:fill="0066BA"/>
          </w:tcPr>
          <w:p>
            <w:pPr>
              <w:jc w:val="right"/>
              <w:ind w:right="135"/>
              <w:spacing w:after="0"/>
              <w:rPr>
                <w:sz w:val="20"/>
                <w:szCs w:val="20"/>
                <w:color w:val="auto"/>
              </w:rPr>
            </w:pPr>
            <w:r>
              <w:rPr>
                <w:rFonts w:ascii="Arial" w:cs="Arial" w:eastAsia="Arial" w:hAnsi="Arial"/>
                <w:sz w:val="13"/>
                <w:szCs w:val="13"/>
                <w:b w:val="1"/>
                <w:bCs w:val="1"/>
                <w:color w:val="FFFFFF"/>
              </w:rPr>
              <w:t>Target Achievement</w:t>
            </w:r>
          </w:p>
        </w:tc>
      </w:tr>
      <w:tr>
        <w:trPr>
          <w:trHeight w:val="105"/>
        </w:trPr>
        <w:tc>
          <w:tcPr>
            <w:tcW w:w="3420" w:type="dxa"/>
            <w:vAlign w:val="bottom"/>
            <w:shd w:val="clear" w:color="auto" w:fill="0066BA"/>
          </w:tcPr>
          <w:p>
            <w:pPr>
              <w:spacing w:after="0"/>
              <w:rPr>
                <w:sz w:val="9"/>
                <w:szCs w:val="9"/>
                <w:color w:val="auto"/>
              </w:rPr>
            </w:pPr>
          </w:p>
        </w:tc>
        <w:tc>
          <w:tcPr>
            <w:tcW w:w="2280" w:type="dxa"/>
            <w:vAlign w:val="bottom"/>
            <w:shd w:val="clear" w:color="auto" w:fill="0066BA"/>
          </w:tcPr>
          <w:p>
            <w:pPr>
              <w:spacing w:after="0"/>
              <w:rPr>
                <w:sz w:val="9"/>
                <w:szCs w:val="9"/>
                <w:color w:val="auto"/>
              </w:rPr>
            </w:pPr>
          </w:p>
        </w:tc>
        <w:tc>
          <w:tcPr>
            <w:tcW w:w="2380" w:type="dxa"/>
            <w:vAlign w:val="bottom"/>
            <w:shd w:val="clear" w:color="auto" w:fill="0066BA"/>
          </w:tcPr>
          <w:p>
            <w:pPr>
              <w:spacing w:after="0"/>
              <w:rPr>
                <w:sz w:val="9"/>
                <w:szCs w:val="9"/>
                <w:color w:val="auto"/>
              </w:rPr>
            </w:pPr>
          </w:p>
        </w:tc>
        <w:tc>
          <w:tcPr>
            <w:tcW w:w="2200" w:type="dxa"/>
            <w:vAlign w:val="bottom"/>
            <w:shd w:val="clear" w:color="auto" w:fill="0066BA"/>
          </w:tcPr>
          <w:p>
            <w:pPr>
              <w:spacing w:after="0"/>
              <w:rPr>
                <w:sz w:val="9"/>
                <w:szCs w:val="9"/>
                <w:color w:val="auto"/>
              </w:rPr>
            </w:pPr>
          </w:p>
        </w:tc>
      </w:tr>
      <w:tr>
        <w:trPr>
          <w:trHeight w:val="247"/>
        </w:trPr>
        <w:tc>
          <w:tcPr>
            <w:tcW w:w="3420" w:type="dxa"/>
            <w:vAlign w:val="bottom"/>
          </w:tcPr>
          <w:p>
            <w:pPr>
              <w:ind w:left="60"/>
              <w:spacing w:after="0"/>
              <w:rPr>
                <w:sz w:val="20"/>
                <w:szCs w:val="20"/>
                <w:color w:val="auto"/>
              </w:rPr>
            </w:pPr>
            <w:r>
              <w:rPr>
                <w:rFonts w:ascii="Arial" w:cs="Arial" w:eastAsia="Arial" w:hAnsi="Arial"/>
                <w:sz w:val="13"/>
                <w:szCs w:val="13"/>
                <w:b w:val="1"/>
                <w:bCs w:val="1"/>
                <w:color w:val="0066BA"/>
              </w:rPr>
              <w:t>Vincent Roche</w:t>
            </w:r>
          </w:p>
        </w:tc>
        <w:tc>
          <w:tcPr>
            <w:tcW w:w="2280" w:type="dxa"/>
            <w:vAlign w:val="bottom"/>
            <w:tcBorders>
              <w:bottom w:val="single" w:sz="8" w:color="EAEAEA"/>
            </w:tcBorders>
            <w:shd w:val="clear" w:color="auto" w:fill="EAEAEA"/>
          </w:tcPr>
          <w:p>
            <w:pPr>
              <w:jc w:val="right"/>
              <w:ind w:right="95"/>
              <w:spacing w:after="0"/>
              <w:rPr>
                <w:sz w:val="20"/>
                <w:szCs w:val="20"/>
                <w:color w:val="auto"/>
              </w:rPr>
            </w:pPr>
            <w:r>
              <w:rPr>
                <w:rFonts w:ascii="Arial" w:cs="Arial" w:eastAsia="Arial" w:hAnsi="Arial"/>
                <w:sz w:val="13"/>
                <w:szCs w:val="13"/>
                <w:color w:val="auto"/>
              </w:rPr>
              <w:t>331,650</w:t>
            </w:r>
          </w:p>
        </w:tc>
        <w:tc>
          <w:tcPr>
            <w:tcW w:w="2380" w:type="dxa"/>
            <w:vAlign w:val="bottom"/>
          </w:tcPr>
          <w:p>
            <w:pPr>
              <w:jc w:val="right"/>
              <w:ind w:right="135"/>
              <w:spacing w:after="0"/>
              <w:rPr>
                <w:sz w:val="20"/>
                <w:szCs w:val="20"/>
                <w:color w:val="auto"/>
              </w:rPr>
            </w:pPr>
            <w:r>
              <w:rPr>
                <w:rFonts w:ascii="Arial" w:cs="Arial" w:eastAsia="Arial" w:hAnsi="Arial"/>
                <w:sz w:val="13"/>
                <w:szCs w:val="13"/>
                <w:color w:val="auto"/>
              </w:rPr>
              <w:t>57,624</w:t>
            </w:r>
          </w:p>
        </w:tc>
        <w:tc>
          <w:tcPr>
            <w:tcW w:w="2200" w:type="dxa"/>
            <w:vAlign w:val="bottom"/>
            <w:tcBorders>
              <w:bottom w:val="single" w:sz="8" w:color="EAEAEA"/>
            </w:tcBorders>
            <w:shd w:val="clear" w:color="auto" w:fill="EAEAEA"/>
          </w:tcPr>
          <w:p>
            <w:pPr>
              <w:jc w:val="right"/>
              <w:ind w:right="135"/>
              <w:spacing w:after="0"/>
              <w:rPr>
                <w:sz w:val="20"/>
                <w:szCs w:val="20"/>
                <w:color w:val="auto"/>
              </w:rPr>
            </w:pPr>
            <w:r>
              <w:rPr>
                <w:rFonts w:ascii="Arial" w:cs="Arial" w:eastAsia="Arial" w:hAnsi="Arial"/>
                <w:sz w:val="13"/>
                <w:szCs w:val="13"/>
                <w:color w:val="auto"/>
              </w:rPr>
              <w:t>126,628</w:t>
            </w:r>
          </w:p>
        </w:tc>
      </w:tr>
      <w:tr>
        <w:trPr>
          <w:trHeight w:val="227"/>
        </w:trPr>
        <w:tc>
          <w:tcPr>
            <w:tcW w:w="342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0066BA"/>
              </w:rPr>
              <w:t>Prashanth Mahendra-Rajah</w:t>
            </w:r>
          </w:p>
        </w:tc>
        <w:tc>
          <w:tcPr>
            <w:tcW w:w="2280" w:type="dxa"/>
            <w:vAlign w:val="bottom"/>
            <w:tcBorders>
              <w:top w:val="single" w:sz="8" w:color="auto"/>
              <w:bottom w:val="single" w:sz="8" w:color="EAEAEA"/>
            </w:tcBorders>
            <w:shd w:val="clear" w:color="auto" w:fill="EAEAEA"/>
          </w:tcPr>
          <w:p>
            <w:pPr>
              <w:jc w:val="right"/>
              <w:ind w:right="95"/>
              <w:spacing w:after="0"/>
              <w:rPr>
                <w:sz w:val="20"/>
                <w:szCs w:val="20"/>
                <w:color w:val="auto"/>
              </w:rPr>
            </w:pPr>
            <w:r>
              <w:rPr>
                <w:rFonts w:ascii="Arial" w:cs="Arial" w:eastAsia="Arial" w:hAnsi="Arial"/>
                <w:sz w:val="13"/>
                <w:szCs w:val="13"/>
                <w:color w:val="auto"/>
              </w:rPr>
              <w:t>72,276</w:t>
            </w:r>
          </w:p>
        </w:tc>
        <w:tc>
          <w:tcPr>
            <w:tcW w:w="238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rPr>
              <w:t>15,751</w:t>
            </w:r>
          </w:p>
        </w:tc>
        <w:tc>
          <w:tcPr>
            <w:tcW w:w="2200" w:type="dxa"/>
            <w:vAlign w:val="bottom"/>
            <w:tcBorders>
              <w:top w:val="single" w:sz="8" w:color="auto"/>
              <w:bottom w:val="single" w:sz="8" w:color="EAEAEA"/>
            </w:tcBorders>
            <w:shd w:val="clear" w:color="auto" w:fill="EAEAEA"/>
          </w:tcPr>
          <w:p>
            <w:pPr>
              <w:jc w:val="right"/>
              <w:ind w:right="135"/>
              <w:spacing w:after="0"/>
              <w:rPr>
                <w:sz w:val="20"/>
                <w:szCs w:val="20"/>
                <w:color w:val="auto"/>
              </w:rPr>
            </w:pPr>
            <w:r>
              <w:rPr>
                <w:rFonts w:ascii="Arial" w:cs="Arial" w:eastAsia="Arial" w:hAnsi="Arial"/>
                <w:sz w:val="13"/>
                <w:szCs w:val="13"/>
                <w:color w:val="auto"/>
              </w:rPr>
              <w:t>34,493</w:t>
            </w:r>
          </w:p>
        </w:tc>
      </w:tr>
      <w:tr>
        <w:trPr>
          <w:trHeight w:val="227"/>
        </w:trPr>
        <w:tc>
          <w:tcPr>
            <w:tcW w:w="342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0066BA"/>
              </w:rPr>
              <w:t>Martin Cotter</w:t>
            </w:r>
          </w:p>
        </w:tc>
        <w:tc>
          <w:tcPr>
            <w:tcW w:w="2280" w:type="dxa"/>
            <w:vAlign w:val="bottom"/>
            <w:tcBorders>
              <w:top w:val="single" w:sz="8" w:color="auto"/>
              <w:bottom w:val="single" w:sz="8" w:color="EAEAEA"/>
            </w:tcBorders>
            <w:shd w:val="clear" w:color="auto" w:fill="EAEAEA"/>
          </w:tcPr>
          <w:p>
            <w:pPr>
              <w:jc w:val="right"/>
              <w:ind w:right="95"/>
              <w:spacing w:after="0"/>
              <w:rPr>
                <w:sz w:val="20"/>
                <w:szCs w:val="20"/>
                <w:color w:val="auto"/>
              </w:rPr>
            </w:pPr>
            <w:r>
              <w:rPr>
                <w:rFonts w:ascii="Arial" w:cs="Arial" w:eastAsia="Arial" w:hAnsi="Arial"/>
                <w:sz w:val="13"/>
                <w:szCs w:val="13"/>
                <w:color w:val="auto"/>
              </w:rPr>
              <w:t>61,941</w:t>
            </w:r>
          </w:p>
        </w:tc>
        <w:tc>
          <w:tcPr>
            <w:tcW w:w="238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rPr>
              <w:t>12,038</w:t>
            </w:r>
          </w:p>
        </w:tc>
        <w:tc>
          <w:tcPr>
            <w:tcW w:w="2200" w:type="dxa"/>
            <w:vAlign w:val="bottom"/>
            <w:tcBorders>
              <w:top w:val="single" w:sz="8" w:color="auto"/>
              <w:bottom w:val="single" w:sz="8" w:color="EAEAEA"/>
            </w:tcBorders>
            <w:shd w:val="clear" w:color="auto" w:fill="EAEAEA"/>
          </w:tcPr>
          <w:p>
            <w:pPr>
              <w:jc w:val="right"/>
              <w:ind w:right="135"/>
              <w:spacing w:after="0"/>
              <w:rPr>
                <w:sz w:val="20"/>
                <w:szCs w:val="20"/>
                <w:color w:val="auto"/>
              </w:rPr>
            </w:pPr>
            <w:r>
              <w:rPr>
                <w:rFonts w:ascii="Arial" w:cs="Arial" w:eastAsia="Arial" w:hAnsi="Arial"/>
                <w:sz w:val="13"/>
                <w:szCs w:val="13"/>
                <w:color w:val="auto"/>
              </w:rPr>
              <w:t>22,735</w:t>
            </w:r>
          </w:p>
        </w:tc>
      </w:tr>
      <w:tr>
        <w:trPr>
          <w:trHeight w:val="227"/>
        </w:trPr>
        <w:tc>
          <w:tcPr>
            <w:tcW w:w="342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0066BA"/>
              </w:rPr>
              <w:t>John Hassett</w:t>
            </w:r>
          </w:p>
        </w:tc>
        <w:tc>
          <w:tcPr>
            <w:tcW w:w="2280" w:type="dxa"/>
            <w:vAlign w:val="bottom"/>
            <w:tcBorders>
              <w:top w:val="single" w:sz="8" w:color="auto"/>
              <w:bottom w:val="single" w:sz="8" w:color="EAEAEA"/>
            </w:tcBorders>
            <w:shd w:val="clear" w:color="auto" w:fill="EAEAEA"/>
          </w:tcPr>
          <w:p>
            <w:pPr>
              <w:jc w:val="right"/>
              <w:ind w:right="95"/>
              <w:spacing w:after="0"/>
              <w:rPr>
                <w:sz w:val="20"/>
                <w:szCs w:val="20"/>
                <w:color w:val="auto"/>
              </w:rPr>
            </w:pPr>
            <w:r>
              <w:rPr>
                <w:rFonts w:ascii="Arial" w:cs="Arial" w:eastAsia="Arial" w:hAnsi="Arial"/>
                <w:sz w:val="13"/>
                <w:szCs w:val="13"/>
                <w:color w:val="auto"/>
              </w:rPr>
              <w:t>59,659</w:t>
            </w:r>
          </w:p>
        </w:tc>
        <w:tc>
          <w:tcPr>
            <w:tcW w:w="238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rPr>
              <w:t>12,037</w:t>
            </w:r>
          </w:p>
        </w:tc>
        <w:tc>
          <w:tcPr>
            <w:tcW w:w="2200" w:type="dxa"/>
            <w:vAlign w:val="bottom"/>
            <w:tcBorders>
              <w:top w:val="single" w:sz="8" w:color="auto"/>
              <w:bottom w:val="single" w:sz="8" w:color="EAEAEA"/>
            </w:tcBorders>
            <w:shd w:val="clear" w:color="auto" w:fill="EAEAEA"/>
          </w:tcPr>
          <w:p>
            <w:pPr>
              <w:jc w:val="right"/>
              <w:ind w:right="135"/>
              <w:spacing w:after="0"/>
              <w:rPr>
                <w:sz w:val="20"/>
                <w:szCs w:val="20"/>
                <w:color w:val="auto"/>
              </w:rPr>
            </w:pPr>
            <w:r>
              <w:rPr>
                <w:rFonts w:ascii="Arial" w:cs="Arial" w:eastAsia="Arial" w:hAnsi="Arial"/>
                <w:sz w:val="13"/>
                <w:szCs w:val="13"/>
                <w:color w:val="auto"/>
              </w:rPr>
              <w:t>22,735</w:t>
            </w:r>
          </w:p>
        </w:tc>
      </w:tr>
      <w:tr>
        <w:trPr>
          <w:trHeight w:val="207"/>
        </w:trPr>
        <w:tc>
          <w:tcPr>
            <w:tcW w:w="342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0066BA"/>
              </w:rPr>
              <w:t>Steve Pietkiewicz</w:t>
            </w:r>
          </w:p>
        </w:tc>
        <w:tc>
          <w:tcPr>
            <w:tcW w:w="2280" w:type="dxa"/>
            <w:vAlign w:val="bottom"/>
            <w:tcBorders>
              <w:top w:val="single" w:sz="8" w:color="auto"/>
              <w:bottom w:val="single" w:sz="8" w:color="EAEAEA"/>
            </w:tcBorders>
            <w:shd w:val="clear" w:color="auto" w:fill="EAEAEA"/>
          </w:tcPr>
          <w:p>
            <w:pPr>
              <w:jc w:val="right"/>
              <w:ind w:right="95"/>
              <w:spacing w:after="0"/>
              <w:rPr>
                <w:sz w:val="20"/>
                <w:szCs w:val="20"/>
                <w:color w:val="auto"/>
              </w:rPr>
            </w:pPr>
            <w:r>
              <w:rPr>
                <w:rFonts w:ascii="Arial" w:cs="Arial" w:eastAsia="Arial" w:hAnsi="Arial"/>
                <w:sz w:val="13"/>
                <w:szCs w:val="13"/>
                <w:color w:val="auto"/>
              </w:rPr>
              <w:t>61,503</w:t>
            </w:r>
          </w:p>
        </w:tc>
        <w:tc>
          <w:tcPr>
            <w:tcW w:w="238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rPr>
              <w:t>28,558</w:t>
            </w:r>
          </w:p>
        </w:tc>
        <w:tc>
          <w:tcPr>
            <w:tcW w:w="2200" w:type="dxa"/>
            <w:vAlign w:val="bottom"/>
            <w:tcBorders>
              <w:top w:val="single" w:sz="8" w:color="auto"/>
              <w:bottom w:val="single" w:sz="8" w:color="EAEAEA"/>
            </w:tcBorders>
            <w:shd w:val="clear" w:color="auto" w:fill="EAEAEA"/>
          </w:tcPr>
          <w:p>
            <w:pPr>
              <w:jc w:val="right"/>
              <w:ind w:right="135"/>
              <w:spacing w:after="0"/>
              <w:rPr>
                <w:sz w:val="20"/>
                <w:szCs w:val="20"/>
                <w:color w:val="auto"/>
              </w:rPr>
            </w:pPr>
            <w:r>
              <w:rPr>
                <w:rFonts w:ascii="Arial" w:cs="Arial" w:eastAsia="Arial" w:hAnsi="Arial"/>
                <w:sz w:val="13"/>
                <w:szCs w:val="13"/>
                <w:color w:val="auto"/>
              </w:rPr>
              <w:t>23,488</w:t>
            </w:r>
          </w:p>
        </w:tc>
      </w:tr>
      <w:tr>
        <w:trPr>
          <w:trHeight w:val="20"/>
        </w:trPr>
        <w:tc>
          <w:tcPr>
            <w:tcW w:w="3420" w:type="dxa"/>
            <w:vAlign w:val="bottom"/>
            <w:shd w:val="clear" w:color="auto" w:fill="0066BA"/>
          </w:tcPr>
          <w:p>
            <w:pPr>
              <w:spacing w:after="0" w:line="20" w:lineRule="exact"/>
              <w:rPr>
                <w:sz w:val="1"/>
                <w:szCs w:val="1"/>
                <w:color w:val="auto"/>
              </w:rPr>
            </w:pPr>
          </w:p>
        </w:tc>
        <w:tc>
          <w:tcPr>
            <w:tcW w:w="2280" w:type="dxa"/>
            <w:vAlign w:val="bottom"/>
            <w:shd w:val="clear" w:color="auto" w:fill="0066BA"/>
          </w:tcPr>
          <w:p>
            <w:pPr>
              <w:spacing w:after="0" w:line="20" w:lineRule="exact"/>
              <w:rPr>
                <w:sz w:val="1"/>
                <w:szCs w:val="1"/>
                <w:color w:val="auto"/>
              </w:rPr>
            </w:pPr>
          </w:p>
        </w:tc>
        <w:tc>
          <w:tcPr>
            <w:tcW w:w="2380" w:type="dxa"/>
            <w:vAlign w:val="bottom"/>
            <w:shd w:val="clear" w:color="auto" w:fill="0066BA"/>
          </w:tcPr>
          <w:p>
            <w:pPr>
              <w:spacing w:after="0" w:line="20" w:lineRule="exact"/>
              <w:rPr>
                <w:sz w:val="1"/>
                <w:szCs w:val="1"/>
                <w:color w:val="auto"/>
              </w:rPr>
            </w:pPr>
          </w:p>
        </w:tc>
        <w:tc>
          <w:tcPr>
            <w:tcW w:w="2200" w:type="dxa"/>
            <w:vAlign w:val="bottom"/>
            <w:shd w:val="clear" w:color="auto" w:fill="0066BA"/>
          </w:tcPr>
          <w:p>
            <w:pPr>
              <w:spacing w:after="0" w:line="20" w:lineRule="exact"/>
              <w:rPr>
                <w:sz w:val="1"/>
                <w:szCs w:val="1"/>
                <w:color w:val="auto"/>
              </w:rPr>
            </w:pPr>
          </w:p>
        </w:tc>
      </w:tr>
    </w:tbl>
    <w:p>
      <w:pPr>
        <w:spacing w:after="0" w:line="27" w:lineRule="exact"/>
        <w:rPr>
          <w:sz w:val="20"/>
          <w:szCs w:val="20"/>
          <w:color w:val="auto"/>
        </w:rPr>
      </w:pPr>
    </w:p>
    <w:p>
      <w:pPr>
        <w:ind w:left="780" w:right="360" w:hanging="305"/>
        <w:spacing w:after="0" w:line="260" w:lineRule="auto"/>
        <w:tabs>
          <w:tab w:leader="none" w:pos="7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Amounts include life, disability, dental, accident and group health insurance benefit continuation for 24 months after a termination in connection with a change in control. The annual benefit costs for each executive are: $8,431 for Mr. Roche, $23,688 for Mr. Mahendra-Rajah and Mr. Pietkiewicz, $14,671 for Mr. Cotter and $17,004 for Mr. Hassett.</w:t>
      </w:r>
    </w:p>
    <w:p>
      <w:pPr>
        <w:spacing w:after="0" w:line="1" w:lineRule="exact"/>
        <w:rPr>
          <w:rFonts w:ascii="Arial" w:cs="Arial" w:eastAsia="Arial" w:hAnsi="Arial"/>
          <w:sz w:val="17"/>
          <w:szCs w:val="17"/>
          <w:color w:val="auto"/>
        </w:rPr>
      </w:pPr>
    </w:p>
    <w:p>
      <w:pPr>
        <w:ind w:left="780" w:right="240" w:hanging="305"/>
        <w:spacing w:after="0" w:line="258" w:lineRule="auto"/>
        <w:tabs>
          <w:tab w:leader="none" w:pos="7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calculating the excise tax gross-up amounts, we take into account Mr. Roche’s earnings from ADI for the prior five years. We include the change in control cash severance and bonus, valuations of unvested stock options that become vested upon a change in control (using the fiscal 2020 year-end closing stock price), valuations of time-based RSUs and PRSUs that become vested upon a change in control (using the fiscal 2020 year-end closing stock price), and our estimated cost of medical and other benefits. Whether Mr. Roche will receive a gross-up amount will depend primarily on his earnings in the previous five years, which will vary depending on stock option exercise activity and amounts of salary and incentives deferred under the DCP. Since 2009, our executive compensation arrangements for new executives do not contain tax gross up provisions for excess parachute payments.</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0940"/>
          </w:cols>
          <w:pgMar w:left="320" w:top="447" w:right="6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CEO Pay Ratio</w:t>
      </w:r>
    </w:p>
    <w:p>
      <w:pPr>
        <w:spacing w:after="0" w:line="125" w:lineRule="exact"/>
        <w:rPr>
          <w:sz w:val="20"/>
          <w:szCs w:val="20"/>
          <w:color w:val="auto"/>
        </w:rPr>
      </w:pPr>
    </w:p>
    <w:p>
      <w:pPr>
        <w:ind w:left="480" w:right="300"/>
        <w:spacing w:after="0" w:line="270" w:lineRule="auto"/>
        <w:rPr>
          <w:sz w:val="20"/>
          <w:szCs w:val="20"/>
          <w:color w:val="auto"/>
        </w:rPr>
      </w:pPr>
      <w:r>
        <w:rPr>
          <w:rFonts w:ascii="Arial" w:cs="Arial" w:eastAsia="Arial" w:hAnsi="Arial"/>
          <w:sz w:val="17"/>
          <w:szCs w:val="17"/>
          <w:color w:val="auto"/>
        </w:rPr>
        <w:t>As required by Section 953(b) of the Dodd-Frank Wall Street Reform and Consumer Protection Act, and Item 402(u) of Regulation S-K, we are providing the following information about the relationship of the annual total compensation of our median employee and the annual total compensation of Vincent Roche, the Company’s President and Chief Executive Officer.</w:t>
      </w:r>
    </w:p>
    <w:p>
      <w:pPr>
        <w:spacing w:after="0" w:line="69" w:lineRule="exact"/>
        <w:rPr>
          <w:sz w:val="20"/>
          <w:szCs w:val="20"/>
          <w:color w:val="auto"/>
        </w:rPr>
      </w:pPr>
    </w:p>
    <w:p>
      <w:pPr>
        <w:ind w:left="480" w:right="100"/>
        <w:spacing w:after="0" w:line="281" w:lineRule="auto"/>
        <w:rPr>
          <w:sz w:val="20"/>
          <w:szCs w:val="20"/>
          <w:color w:val="auto"/>
        </w:rPr>
      </w:pPr>
      <w:r>
        <w:rPr>
          <w:rFonts w:ascii="Arial" w:cs="Arial" w:eastAsia="Arial" w:hAnsi="Arial"/>
          <w:sz w:val="16"/>
          <w:szCs w:val="16"/>
          <w:color w:val="auto"/>
        </w:rPr>
        <w:t>This pay ratio is a reasonable estimate calculated in a manner consistent with SEC rules based on our human resources system of records and the methodology described below. Because 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below, as other companies may have different employment and compensation practices and may utilize different methodologies, exclusions, estimates, and assumptions in calculating their own pay ratios.</w:t>
      </w:r>
    </w:p>
    <w:p>
      <w:pPr>
        <w:spacing w:after="0" w:line="60" w:lineRule="exact"/>
        <w:rPr>
          <w:sz w:val="20"/>
          <w:szCs w:val="20"/>
          <w:color w:val="auto"/>
        </w:rPr>
      </w:pPr>
    </w:p>
    <w:p>
      <w:pPr>
        <w:ind w:left="480"/>
        <w:spacing w:after="0" w:line="306" w:lineRule="auto"/>
        <w:rPr>
          <w:sz w:val="20"/>
          <w:szCs w:val="20"/>
          <w:color w:val="auto"/>
        </w:rPr>
      </w:pPr>
      <w:r>
        <w:rPr>
          <w:rFonts w:ascii="Arial" w:cs="Arial" w:eastAsia="Arial" w:hAnsi="Arial"/>
          <w:sz w:val="15"/>
          <w:szCs w:val="15"/>
          <w:color w:val="auto"/>
        </w:rPr>
        <w:t>As permitted by SEC rules, we used the same median employee for our fiscal 2020 pay ratio calculation as we used for our fiscal 2018 and fiscal 2019 calculations included in our proxy statements for those fiscal years. We believe it is reasonable to use the same median employee for purposes of the pay ratio calculation because there was no material change in our employee population or in the median employee’s compensation arrangement or other material change that would significantly affect our pay ratio calculation. To identify the median employee in fiscal 2018 and to determine such employee’s annual total compensation, we used the following methodology and material assumptions, adjustments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127635</wp:posOffset>
            </wp:positionV>
            <wp:extent cx="654240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542405" cy="8255"/>
                    </a:xfrm>
                    <a:prstGeom prst="rect">
                      <a:avLst/>
                    </a:prstGeom>
                    <a:noFill/>
                  </pic:spPr>
                </pic:pic>
              </a:graphicData>
            </a:graphic>
          </wp:anchor>
        </w:drawing>
      </w:r>
    </w:p>
    <w:p>
      <w:pPr>
        <w:sectPr>
          <w:pgSz w:w="11900" w:h="16838" w:orient="portrait"/>
          <w:cols w:equalWidth="0" w:num="1">
            <w:col w:w="10760"/>
          </w:cols>
          <w:pgMar w:left="320" w:top="447" w:right="819" w:bottom="1440" w:gutter="0" w:footer="0" w:header="0"/>
        </w:sectPr>
      </w:pPr>
    </w:p>
    <w:p>
      <w:pPr>
        <w:spacing w:after="0" w:line="357" w:lineRule="exact"/>
        <w:rPr>
          <w:sz w:val="20"/>
          <w:szCs w:val="20"/>
          <w:color w:val="auto"/>
        </w:rPr>
      </w:pPr>
    </w:p>
    <w:p>
      <w:pPr>
        <w:jc w:val="both"/>
        <w:ind w:left="640" w:right="140" w:hanging="165"/>
        <w:spacing w:after="0" w:line="319" w:lineRule="auto"/>
        <w:tabs>
          <w:tab w:leader="none" w:pos="6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We selected November 3, 2018, as the date upon which we would identify the “median employee.” As noted above, we are using the same median employee for the fiscal 2020 pay ratio calculation.</w:t>
      </w:r>
    </w:p>
    <w:p>
      <w:pPr>
        <w:spacing w:after="0" w:line="1" w:lineRule="exact"/>
        <w:rPr>
          <w:rFonts w:ascii="Arial" w:cs="Arial" w:eastAsia="Arial" w:hAnsi="Arial"/>
          <w:sz w:val="15"/>
          <w:szCs w:val="15"/>
          <w:color w:val="auto"/>
        </w:rPr>
      </w:pPr>
    </w:p>
    <w:p>
      <w:pPr>
        <w:ind w:left="640" w:hanging="165"/>
        <w:spacing w:after="0" w:line="270" w:lineRule="auto"/>
        <w:tabs>
          <w:tab w:leader="none" w:pos="6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We used our global employee population as of this date, which includes operators located in our manufacturing facilities around the world, including the Philippines.</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ind w:left="173" w:right="220" w:hanging="173"/>
        <w:spacing w:after="0" w:line="306" w:lineRule="auto"/>
        <w:tabs>
          <w:tab w:leader="none" w:pos="173" w:val="left"/>
        </w:tabs>
        <w:numPr>
          <w:ilvl w:val="0"/>
          <w:numId w:val="70"/>
        </w:numPr>
        <w:rPr>
          <w:rFonts w:ascii="Arial" w:cs="Arial" w:eastAsia="Arial" w:hAnsi="Arial"/>
          <w:sz w:val="15"/>
          <w:szCs w:val="15"/>
          <w:color w:val="auto"/>
        </w:rPr>
      </w:pPr>
      <w:r>
        <w:rPr>
          <w:rFonts w:ascii="Arial" w:cs="Arial" w:eastAsia="Arial" w:hAnsi="Arial"/>
          <w:sz w:val="15"/>
          <w:szCs w:val="15"/>
          <w:color w:val="auto"/>
        </w:rPr>
        <w:t>To identify the median employee, we used annual base salary and target bonus (or sales incentive) at a target of 1.0x of annual base salary. Base salaries were annualized for all permanent employees who were employees for less than the full fiscal year and not on an unpaid leave of absence as of the identification date.</w:t>
      </w:r>
    </w:p>
    <w:p>
      <w:pPr>
        <w:spacing w:after="0" w:line="6" w:lineRule="exact"/>
        <w:rPr>
          <w:rFonts w:ascii="Arial" w:cs="Arial" w:eastAsia="Arial" w:hAnsi="Arial"/>
          <w:sz w:val="15"/>
          <w:szCs w:val="15"/>
          <w:color w:val="auto"/>
        </w:rPr>
      </w:pPr>
    </w:p>
    <w:p>
      <w:pPr>
        <w:ind w:left="173" w:right="140" w:hanging="173"/>
        <w:spacing w:after="0" w:line="270" w:lineRule="auto"/>
        <w:tabs>
          <w:tab w:leader="none" w:pos="173" w:val="left"/>
        </w:tabs>
        <w:numPr>
          <w:ilvl w:val="0"/>
          <w:numId w:val="70"/>
        </w:numPr>
        <w:rPr>
          <w:rFonts w:ascii="Arial" w:cs="Arial" w:eastAsia="Arial" w:hAnsi="Arial"/>
          <w:sz w:val="17"/>
          <w:szCs w:val="17"/>
          <w:color w:val="auto"/>
        </w:rPr>
      </w:pPr>
      <w:r>
        <w:rPr>
          <w:rFonts w:ascii="Arial" w:cs="Arial" w:eastAsia="Arial" w:hAnsi="Arial"/>
          <w:sz w:val="17"/>
          <w:szCs w:val="17"/>
          <w:color w:val="auto"/>
        </w:rPr>
        <w:t>We identified and calculated the elements of the median employee’s total compensation for fiscal 2020 in accordance with the requirements of Item 402(c)(2)(x) of Regulation S-K.</w:t>
      </w:r>
    </w:p>
    <w:p>
      <w:pPr>
        <w:spacing w:after="0" w:line="29" w:lineRule="exact"/>
        <w:rPr>
          <w:rFonts w:ascii="Arial" w:cs="Arial" w:eastAsia="Arial" w:hAnsi="Arial"/>
          <w:sz w:val="17"/>
          <w:szCs w:val="17"/>
          <w:color w:val="auto"/>
        </w:rPr>
      </w:pPr>
    </w:p>
    <w:p>
      <w:pPr>
        <w:ind w:left="173" w:right="480" w:hanging="173"/>
        <w:spacing w:after="0" w:line="270" w:lineRule="auto"/>
        <w:tabs>
          <w:tab w:leader="none" w:pos="173" w:val="left"/>
        </w:tabs>
        <w:numPr>
          <w:ilvl w:val="0"/>
          <w:numId w:val="70"/>
        </w:numPr>
        <w:rPr>
          <w:rFonts w:ascii="Arial" w:cs="Arial" w:eastAsia="Arial" w:hAnsi="Arial"/>
          <w:sz w:val="17"/>
          <w:szCs w:val="17"/>
          <w:color w:val="auto"/>
        </w:rPr>
      </w:pPr>
      <w:r>
        <w:rPr>
          <w:rFonts w:ascii="Arial" w:cs="Arial" w:eastAsia="Arial" w:hAnsi="Arial"/>
          <w:sz w:val="17"/>
          <w:szCs w:val="17"/>
          <w:color w:val="auto"/>
        </w:rPr>
        <w:t>We applied the exchange rate that we utilize in our accounting system, as of our fiscal year end (October 31, 2020), to convert foreign currency to U.S. dollars.</w:t>
      </w:r>
    </w:p>
    <w:p>
      <w:pPr>
        <w:spacing w:after="0" w:line="200" w:lineRule="exact"/>
        <w:rPr>
          <w:sz w:val="20"/>
          <w:szCs w:val="20"/>
          <w:color w:val="auto"/>
        </w:rPr>
      </w:pPr>
    </w:p>
    <w:p>
      <w:pPr>
        <w:sectPr>
          <w:pgSz w:w="11900" w:h="16838" w:orient="portrait"/>
          <w:cols w:equalWidth="0" w:num="2">
            <w:col w:w="5380" w:space="347"/>
            <w:col w:w="5033"/>
          </w:cols>
          <w:pgMar w:left="320" w:top="447" w:right="819" w:bottom="1440" w:gutter="0" w:footer="0" w:header="0"/>
          <w:type w:val="continuous"/>
        </w:sectPr>
      </w:pPr>
    </w:p>
    <w:p>
      <w:pPr>
        <w:spacing w:after="0" w:line="77" w:lineRule="exact"/>
        <w:rPr>
          <w:sz w:val="20"/>
          <w:szCs w:val="20"/>
          <w:color w:val="auto"/>
        </w:rPr>
      </w:pPr>
    </w:p>
    <w:p>
      <w:pPr>
        <w:ind w:left="480" w:right="200"/>
        <w:spacing w:after="0" w:line="287" w:lineRule="auto"/>
        <w:rPr>
          <w:sz w:val="20"/>
          <w:szCs w:val="20"/>
          <w:color w:val="auto"/>
        </w:rPr>
      </w:pPr>
      <w:r>
        <w:rPr>
          <w:rFonts w:ascii="Arial" w:cs="Arial" w:eastAsia="Arial" w:hAnsi="Arial"/>
          <w:sz w:val="16"/>
          <w:szCs w:val="16"/>
          <w:color w:val="auto"/>
        </w:rPr>
        <w:t>For fiscal 2020, the annual total compensation of the same median employee was $66,008. The annual total compensation of our Chief Executive Officer for fiscal 2020 was $12,357,918, which is the annual total compensation of our Chief Executive Officer reported in the “Total” column of the Summary Compensation Table appearing on page 46. Based on this information, the ratio of the annual total compensation of our Chief Executive Officer to the median of the annual total compensation of all other employees was approximately 187 to 1.</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Equity Award Program Description</w:t>
      </w:r>
    </w:p>
    <w:p>
      <w:pPr>
        <w:spacing w:after="0" w:line="125" w:lineRule="exact"/>
        <w:rPr>
          <w:sz w:val="20"/>
          <w:szCs w:val="20"/>
          <w:color w:val="auto"/>
        </w:rPr>
      </w:pPr>
    </w:p>
    <w:p>
      <w:pPr>
        <w:ind w:left="480" w:right="100"/>
        <w:spacing w:after="0" w:line="263" w:lineRule="auto"/>
        <w:rPr>
          <w:sz w:val="20"/>
          <w:szCs w:val="20"/>
          <w:color w:val="auto"/>
        </w:rPr>
      </w:pPr>
      <w:r>
        <w:rPr>
          <w:rFonts w:ascii="Arial" w:cs="Arial" w:eastAsia="Arial" w:hAnsi="Arial"/>
          <w:sz w:val="17"/>
          <w:szCs w:val="17"/>
          <w:color w:val="auto"/>
        </w:rPr>
        <w:t>Our equity award program is a broad-based, long-term employee retention program that is intended to attract, retain and motivate our employees, officers and directors and to align their interests with those of our shareholders. Our shareholders approved our new 2020 Plan at our 2020 Annual Meeting held on March 11, 2020. Under our 2020 Plan, we may grant options to purchase shares of our common stock, stock appreciation rights, restricted stock, restricted stock units and other stock-based awards to all employees, officers, directors, consultants and advisors of ADI. All stock options have a maximum term of ten years, and for employees,</w:t>
      </w: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0760"/>
          </w:cols>
          <w:pgMar w:left="320" w:top="447" w:right="819" w:bottom="1440" w:gutter="0" w:footer="0" w:header="0"/>
          <w:type w:val="continuous"/>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180"/>
        <w:spacing w:after="0" w:line="277" w:lineRule="auto"/>
        <w:rPr>
          <w:sz w:val="20"/>
          <w:szCs w:val="20"/>
          <w:color w:val="auto"/>
        </w:rPr>
      </w:pPr>
      <w:r>
        <w:rPr>
          <w:rFonts w:ascii="Arial" w:cs="Arial" w:eastAsia="Arial" w:hAnsi="Arial"/>
          <w:sz w:val="16"/>
          <w:szCs w:val="16"/>
          <w:color w:val="auto"/>
        </w:rPr>
        <w:t>generally vest in four equal installments on each of the first, second, third and fourth anniversaries of the date of grant, subject to full or partial acceleration upon death, disability or a change in control. The 2020 Plan does not permit us to grant options at exercise prices that are below the fair market value of our common stock on the date of grant. Generally, our employee time-based RSUs vest in four equal installments on each of the first, second, third and fourth anniversaries of the date of grant. Our TSR PRSUs have a three-year performance period under which the number of shares of ADI common stock received following vesting, if any, will be based on ADI’s TSR performance measured against the median TSR of a comparator group of companies over the three-year period. Our financial metric PRSUs have a three-year vesting period under which the number of shares of ADI common stock received following vesting, if any, will be based on ADI’s achievement of non-GAAP OPBT targets set by the Compensation Committee for one-year, two-year cumulative and three-year cumulative performance periods. RSUs and PRSUs granted under the 2020 Plan are subject to full or partial acceleration upon death, disability or a change in control.</w:t>
      </w:r>
    </w:p>
    <w:p>
      <w:pPr>
        <w:spacing w:after="0" w:line="66" w:lineRule="exact"/>
        <w:rPr>
          <w:sz w:val="20"/>
          <w:szCs w:val="20"/>
          <w:color w:val="auto"/>
        </w:rPr>
      </w:pPr>
    </w:p>
    <w:p>
      <w:pPr>
        <w:ind w:left="480" w:right="180"/>
        <w:spacing w:after="0" w:line="275" w:lineRule="auto"/>
        <w:rPr>
          <w:sz w:val="20"/>
          <w:szCs w:val="20"/>
          <w:color w:val="auto"/>
        </w:rPr>
      </w:pPr>
      <w:r>
        <w:rPr>
          <w:rFonts w:ascii="Arial" w:cs="Arial" w:eastAsia="Arial" w:hAnsi="Arial"/>
          <w:sz w:val="16"/>
          <w:szCs w:val="16"/>
          <w:color w:val="auto"/>
        </w:rPr>
        <w:t>Under our 2006 Stock Incentive Plan, we granted options to purchase shares of our common stock, stock appreciation rights, restricted stock, restricted stock units and other stock-based awards to all employees, officers, directors, consultants and advisors of ADI. The 2006 Stock Incentive Plan expires by its terms on March 12, 2021, but awards outstanding under the 2006 Stock Incentive Plan will remain in effect. We have not granted any new awards under the 2006 Stock Incentive Plan since our shareholders approved our 2020 Plan on March 11, 2020. All stock options have a term of ten years, and for employees, generally vest in four equal installments on each of the first, second, third and fourth anniversaries of the date of grant, subject to full or partial acceleration upon death, disability or a change in control. The 2006 Stock Incentive Plan did not permit us to grant options at exercise prices that are below the fair market value of our common stock on the date of grant. Generally, our employee time-based RSUs vest in four equal installments on each of the first, second, third and fourth anniversaries of the date of grant. Our TSR PRSUs have three year performance periods under which the number of shares of ADI common stock received following vesting, if any, will be based on ADI’s TSR performance measured against the median TSR of a comparator group of companies over the three-year period. Our financial metric PRSUs have a three year vesting period under which the number of shares of ADI common stock received following vesting, if any, will be based on ADI’s achievement of non-GAAP OPBT targets set by the Compensation Committee for one-year, two-year cumulative and three-year cumulative performance periods. RSUs granted under the 2006 Stock Incentive Plan are subject to full or partial acceleration upon death, disability or a change in control.</w:t>
      </w:r>
    </w:p>
    <w:p>
      <w:pPr>
        <w:spacing w:after="0" w:line="67" w:lineRule="exact"/>
        <w:rPr>
          <w:sz w:val="20"/>
          <w:szCs w:val="20"/>
          <w:color w:val="auto"/>
        </w:rPr>
      </w:pPr>
    </w:p>
    <w:p>
      <w:pPr>
        <w:ind w:left="480" w:right="240"/>
        <w:spacing w:after="0" w:line="260" w:lineRule="auto"/>
        <w:rPr>
          <w:sz w:val="20"/>
          <w:szCs w:val="20"/>
          <w:color w:val="auto"/>
        </w:rPr>
      </w:pPr>
      <w:r>
        <w:rPr>
          <w:rFonts w:ascii="Arial" w:cs="Arial" w:eastAsia="Arial" w:hAnsi="Arial"/>
          <w:sz w:val="17"/>
          <w:szCs w:val="17"/>
          <w:color w:val="auto"/>
        </w:rPr>
        <w:t>Under our 2010 Plan, which we assumed as part of the Linear Technology acquisition, we granted options to purchase shares of our common stock, stock appreciation rights, restricted stock, restricted stock units and other stock-based awards to legacy Linear Technology employees. The 2010 Plan expired by its terms on</w:t>
      </w:r>
    </w:p>
    <w:p>
      <w:pPr>
        <w:spacing w:after="0" w:line="2" w:lineRule="exact"/>
        <w:rPr>
          <w:sz w:val="20"/>
          <w:szCs w:val="20"/>
          <w:color w:val="auto"/>
        </w:rPr>
      </w:pPr>
    </w:p>
    <w:p>
      <w:pPr>
        <w:ind w:left="480" w:right="280"/>
        <w:spacing w:after="0" w:line="297" w:lineRule="auto"/>
        <w:rPr>
          <w:sz w:val="20"/>
          <w:szCs w:val="20"/>
          <w:color w:val="auto"/>
        </w:rPr>
      </w:pPr>
      <w:r>
        <w:rPr>
          <w:rFonts w:ascii="Arial" w:cs="Arial" w:eastAsia="Arial" w:hAnsi="Arial"/>
          <w:sz w:val="15"/>
          <w:szCs w:val="15"/>
          <w:color w:val="auto"/>
        </w:rPr>
        <w:t>September 15, 2020, but awards outstanding under the 2010 Plan will remain in effect. We have not granted any new awards under the 2010 Plan since our shareholders approved our 2020 Plan on March 11, 2020. All stock options have a term of ten years, and for employees, generally vest in four equal installments on each of the first, second, third and fourth anniversaries of the date of grant, subject to full or partial acceleration upon death or disability. The 2010 Plan did not permit us to grant options at exercise prices that are below the fair market value of our common stock on the date of grant. Generally, our employee time-based RSUs vest in four equal installments on each of the first, second, third and fourth anniversaries of the date of grant. RSUs under the 2010 Plan are subject to full or partial acceleration upon death or disability. The Compensation Committee has discretion to determine the treatment of outstanding awards under the 2010 Plan in the event of a change in control.</w:t>
      </w:r>
    </w:p>
    <w:p>
      <w:pPr>
        <w:spacing w:after="0" w:line="55" w:lineRule="exact"/>
        <w:rPr>
          <w:sz w:val="20"/>
          <w:szCs w:val="20"/>
          <w:color w:val="auto"/>
        </w:rPr>
      </w:pPr>
    </w:p>
    <w:p>
      <w:pPr>
        <w:ind w:left="480" w:right="260"/>
        <w:spacing w:after="0" w:line="261" w:lineRule="auto"/>
        <w:rPr>
          <w:sz w:val="20"/>
          <w:szCs w:val="20"/>
          <w:color w:val="auto"/>
        </w:rPr>
      </w:pPr>
      <w:r>
        <w:rPr>
          <w:rFonts w:ascii="Arial" w:cs="Arial" w:eastAsia="Arial" w:hAnsi="Arial"/>
          <w:sz w:val="17"/>
          <w:szCs w:val="17"/>
          <w:color w:val="auto"/>
        </w:rPr>
        <w:t>As part of the Linear Technology acquisition, we also assumed the 2005 Plan and converted certain outstanding Linear Technology RSU and restricted stock awards based on share exchange ratios determined in accordance with the merger agreement. The resulting Company stock-based award (either an RSU or an RSA) continue to vest on the same schedule provided under the original Linear Technology RSU or Linear Technology RSA, as applicable. The Company is not granting new awards under the 2005 Plan. RSUs and RSAs under the 2005 Plan are subject to full or partial acceleration upon death or disability. The Compensation Committee has discretion to determine the treatment of outstanding awards under the 2005 Plan in the event of a change in control.</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can make equity award grants to executive officers and directors only from shareholder-approved plans after the Compensation Committee</w:t>
      </w:r>
    </w:p>
    <w:p>
      <w:pPr>
        <w:spacing w:after="0" w:line="3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reviews and approves the grants. All members of the Compensation</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Committee are independent directors, as defined by the Nasdaq Rules.</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940"/>
          </w:cols>
          <w:pgMar w:left="320" w:top="447" w:right="6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Securities Authorized for Issuance Under Equity Compensation Plans</w:t>
      </w:r>
    </w:p>
    <w:p>
      <w:pPr>
        <w:spacing w:after="0" w:line="125" w:lineRule="exact"/>
        <w:rPr>
          <w:sz w:val="20"/>
          <w:szCs w:val="20"/>
          <w:color w:val="auto"/>
        </w:rPr>
      </w:pPr>
    </w:p>
    <w:p>
      <w:pPr>
        <w:ind w:left="480" w:right="80"/>
        <w:spacing w:after="0" w:line="270" w:lineRule="auto"/>
        <w:rPr>
          <w:sz w:val="20"/>
          <w:szCs w:val="20"/>
          <w:color w:val="auto"/>
        </w:rPr>
      </w:pPr>
      <w:r>
        <w:rPr>
          <w:rFonts w:ascii="Arial" w:cs="Arial" w:eastAsia="Arial" w:hAnsi="Arial"/>
          <w:sz w:val="17"/>
          <w:szCs w:val="17"/>
          <w:color w:val="auto"/>
        </w:rPr>
        <w:t>The following table provides information as of October 31, 2020 about the securities which are either already issued, or authorized for future issuance, under our 2020 Plan, and the securities that are issued and outstanding under our 2006 Stock Incentive Plan, as well as our 2005 Plan and our 2010 Plan, which were both assumed in connection with the Linear Technology acquisition.</w:t>
      </w:r>
    </w:p>
    <w:p>
      <w:pPr>
        <w:spacing w:after="0" w:line="211" w:lineRule="exact"/>
        <w:rPr>
          <w:sz w:val="20"/>
          <w:szCs w:val="20"/>
          <w:color w:val="auto"/>
        </w:rPr>
      </w:pPr>
    </w:p>
    <w:tbl>
      <w:tblPr>
        <w:tblLayout w:type="fixed"/>
        <w:tblInd w:w="480" w:type="dxa"/>
        <w:tblCellMar>
          <w:top w:w="0" w:type="dxa"/>
          <w:left w:w="0" w:type="dxa"/>
          <w:bottom w:w="0" w:type="dxa"/>
          <w:right w:w="0" w:type="dxa"/>
        </w:tblCellMar>
      </w:tblPr>
      <w:tr>
        <w:trPr>
          <w:trHeight w:val="169"/>
        </w:trPr>
        <w:tc>
          <w:tcPr>
            <w:tcW w:w="5180" w:type="dxa"/>
            <w:vAlign w:val="bottom"/>
            <w:tcBorders>
              <w:bottom w:val="single" w:sz="8" w:color="0066BA"/>
            </w:tcBorders>
            <w:shd w:val="clear" w:color="auto" w:fill="0066BA"/>
          </w:tcPr>
          <w:p>
            <w:pPr>
              <w:ind w:left="60"/>
              <w:spacing w:after="0"/>
              <w:rPr>
                <w:sz w:val="20"/>
                <w:szCs w:val="20"/>
                <w:color w:val="auto"/>
              </w:rPr>
            </w:pPr>
            <w:r>
              <w:rPr>
                <w:rFonts w:ascii="Arial" w:cs="Arial" w:eastAsia="Arial" w:hAnsi="Arial"/>
                <w:sz w:val="14"/>
                <w:szCs w:val="14"/>
                <w:b w:val="1"/>
                <w:bCs w:val="1"/>
                <w:color w:val="FFFFFF"/>
              </w:rPr>
              <w:t>Plan Category</w:t>
            </w:r>
          </w:p>
        </w:tc>
        <w:tc>
          <w:tcPr>
            <w:tcW w:w="80" w:type="dxa"/>
            <w:vAlign w:val="bottom"/>
            <w:tcBorders>
              <w:bottom w:val="single" w:sz="8" w:color="0066BA"/>
            </w:tcBorders>
            <w:shd w:val="clear" w:color="auto" w:fill="0066BA"/>
          </w:tcPr>
          <w:p>
            <w:pPr>
              <w:spacing w:after="0"/>
              <w:rPr>
                <w:sz w:val="14"/>
                <w:szCs w:val="14"/>
                <w:color w:val="auto"/>
              </w:rPr>
            </w:pPr>
          </w:p>
        </w:tc>
        <w:tc>
          <w:tcPr>
            <w:tcW w:w="1400" w:type="dxa"/>
            <w:vAlign w:val="bottom"/>
            <w:tcBorders>
              <w:bottom w:val="single" w:sz="8" w:color="7FB2DC"/>
            </w:tcBorders>
            <w:shd w:val="clear" w:color="auto" w:fill="0066BA"/>
          </w:tcPr>
          <w:p>
            <w:pPr>
              <w:jc w:val="right"/>
              <w:ind w:right="550"/>
              <w:spacing w:after="0"/>
              <w:rPr>
                <w:sz w:val="20"/>
                <w:szCs w:val="20"/>
                <w:color w:val="auto"/>
              </w:rPr>
            </w:pPr>
            <w:r>
              <w:rPr>
                <w:rFonts w:ascii="Arial" w:cs="Arial" w:eastAsia="Arial" w:hAnsi="Arial"/>
                <w:sz w:val="12"/>
                <w:szCs w:val="12"/>
                <w:b w:val="1"/>
                <w:bCs w:val="1"/>
                <w:color w:val="FFFFFF"/>
              </w:rPr>
              <w:t>(a)</w:t>
            </w:r>
          </w:p>
        </w:tc>
        <w:tc>
          <w:tcPr>
            <w:tcW w:w="20" w:type="dxa"/>
            <w:vAlign w:val="bottom"/>
            <w:tcBorders>
              <w:bottom w:val="single" w:sz="8" w:color="0066BA"/>
            </w:tcBorders>
            <w:shd w:val="clear" w:color="auto" w:fill="0066BA"/>
          </w:tcPr>
          <w:p>
            <w:pPr>
              <w:spacing w:after="0"/>
              <w:rPr>
                <w:sz w:val="14"/>
                <w:szCs w:val="14"/>
                <w:color w:val="auto"/>
              </w:rPr>
            </w:pPr>
          </w:p>
        </w:tc>
        <w:tc>
          <w:tcPr>
            <w:tcW w:w="280" w:type="dxa"/>
            <w:vAlign w:val="bottom"/>
            <w:tcBorders>
              <w:bottom w:val="single" w:sz="8" w:color="0066BA"/>
            </w:tcBorders>
            <w:shd w:val="clear" w:color="auto" w:fill="0066BA"/>
          </w:tcPr>
          <w:p>
            <w:pPr>
              <w:spacing w:after="0"/>
              <w:rPr>
                <w:sz w:val="14"/>
                <w:szCs w:val="14"/>
                <w:color w:val="auto"/>
              </w:rPr>
            </w:pPr>
          </w:p>
        </w:tc>
        <w:tc>
          <w:tcPr>
            <w:tcW w:w="80" w:type="dxa"/>
            <w:vAlign w:val="bottom"/>
            <w:tcBorders>
              <w:bottom w:val="single" w:sz="8" w:color="0066BA"/>
            </w:tcBorders>
            <w:shd w:val="clear" w:color="auto" w:fill="0066BA"/>
          </w:tcPr>
          <w:p>
            <w:pPr>
              <w:spacing w:after="0"/>
              <w:rPr>
                <w:sz w:val="14"/>
                <w:szCs w:val="14"/>
                <w:color w:val="auto"/>
              </w:rPr>
            </w:pPr>
          </w:p>
        </w:tc>
        <w:tc>
          <w:tcPr>
            <w:tcW w:w="860" w:type="dxa"/>
            <w:vAlign w:val="bottom"/>
            <w:tcBorders>
              <w:bottom w:val="single" w:sz="8" w:color="7FB2DC"/>
            </w:tcBorders>
            <w:shd w:val="clear" w:color="auto" w:fill="0066BA"/>
          </w:tcPr>
          <w:p>
            <w:pPr>
              <w:ind w:left="500"/>
              <w:spacing w:after="0"/>
              <w:rPr>
                <w:sz w:val="20"/>
                <w:szCs w:val="20"/>
                <w:color w:val="auto"/>
              </w:rPr>
            </w:pPr>
            <w:r>
              <w:rPr>
                <w:rFonts w:ascii="Arial" w:cs="Arial" w:eastAsia="Arial" w:hAnsi="Arial"/>
                <w:sz w:val="12"/>
                <w:szCs w:val="12"/>
                <w:b w:val="1"/>
                <w:bCs w:val="1"/>
                <w:color w:val="FFFFFF"/>
              </w:rPr>
              <w:t>(b)</w:t>
            </w:r>
          </w:p>
        </w:tc>
        <w:tc>
          <w:tcPr>
            <w:tcW w:w="280" w:type="dxa"/>
            <w:vAlign w:val="bottom"/>
            <w:tcBorders>
              <w:bottom w:val="single" w:sz="8" w:color="7FB2DC"/>
            </w:tcBorders>
            <w:shd w:val="clear" w:color="auto" w:fill="0066BA"/>
          </w:tcPr>
          <w:p>
            <w:pPr>
              <w:spacing w:after="0"/>
              <w:rPr>
                <w:sz w:val="14"/>
                <w:szCs w:val="14"/>
                <w:color w:val="auto"/>
              </w:rPr>
            </w:pPr>
          </w:p>
        </w:tc>
        <w:tc>
          <w:tcPr>
            <w:tcW w:w="300" w:type="dxa"/>
            <w:vAlign w:val="bottom"/>
            <w:tcBorders>
              <w:bottom w:val="single" w:sz="8" w:color="0066BA"/>
            </w:tcBorders>
            <w:shd w:val="clear" w:color="auto" w:fill="0066BA"/>
          </w:tcPr>
          <w:p>
            <w:pPr>
              <w:spacing w:after="0"/>
              <w:rPr>
                <w:sz w:val="14"/>
                <w:szCs w:val="14"/>
                <w:color w:val="auto"/>
              </w:rPr>
            </w:pPr>
          </w:p>
        </w:tc>
        <w:tc>
          <w:tcPr>
            <w:tcW w:w="80" w:type="dxa"/>
            <w:vAlign w:val="bottom"/>
            <w:tcBorders>
              <w:bottom w:val="single" w:sz="8" w:color="0066BA"/>
            </w:tcBorders>
            <w:shd w:val="clear" w:color="auto" w:fill="0066BA"/>
          </w:tcPr>
          <w:p>
            <w:pPr>
              <w:spacing w:after="0"/>
              <w:rPr>
                <w:sz w:val="14"/>
                <w:szCs w:val="14"/>
                <w:color w:val="auto"/>
              </w:rPr>
            </w:pPr>
          </w:p>
        </w:tc>
        <w:tc>
          <w:tcPr>
            <w:tcW w:w="1420" w:type="dxa"/>
            <w:vAlign w:val="bottom"/>
            <w:tcBorders>
              <w:bottom w:val="single" w:sz="8" w:color="7FB2DC"/>
            </w:tcBorders>
            <w:shd w:val="clear" w:color="auto" w:fill="0066BA"/>
          </w:tcPr>
          <w:p>
            <w:pPr>
              <w:ind w:left="660"/>
              <w:spacing w:after="0"/>
              <w:rPr>
                <w:sz w:val="20"/>
                <w:szCs w:val="20"/>
                <w:color w:val="auto"/>
              </w:rPr>
            </w:pPr>
            <w:r>
              <w:rPr>
                <w:rFonts w:ascii="Arial" w:cs="Arial" w:eastAsia="Arial" w:hAnsi="Arial"/>
                <w:sz w:val="12"/>
                <w:szCs w:val="12"/>
                <w:b w:val="1"/>
                <w:bCs w:val="1"/>
                <w:color w:val="FFFFFF"/>
              </w:rPr>
              <w:t>(c)</w:t>
            </w:r>
          </w:p>
        </w:tc>
        <w:tc>
          <w:tcPr>
            <w:tcW w:w="40" w:type="dxa"/>
            <w:vAlign w:val="bottom"/>
            <w:tcBorders>
              <w:bottom w:val="single" w:sz="8" w:color="0066BA"/>
            </w:tcBorders>
            <w:shd w:val="clear" w:color="auto" w:fill="0066BA"/>
          </w:tcPr>
          <w:p>
            <w:pPr>
              <w:spacing w:after="0"/>
              <w:rPr>
                <w:sz w:val="14"/>
                <w:szCs w:val="14"/>
                <w:color w:val="auto"/>
              </w:rPr>
            </w:pPr>
          </w:p>
        </w:tc>
        <w:tc>
          <w:tcPr>
            <w:tcW w:w="260" w:type="dxa"/>
            <w:vAlign w:val="bottom"/>
            <w:tcBorders>
              <w:bottom w:val="single" w:sz="8" w:color="0066BA"/>
            </w:tcBorders>
            <w:shd w:val="clear" w:color="auto" w:fill="0066BA"/>
          </w:tcPr>
          <w:p>
            <w:pPr>
              <w:spacing w:after="0"/>
              <w:rPr>
                <w:sz w:val="14"/>
                <w:szCs w:val="14"/>
                <w:color w:val="auto"/>
              </w:rPr>
            </w:pPr>
          </w:p>
        </w:tc>
      </w:tr>
      <w:tr>
        <w:trPr>
          <w:trHeight w:val="118"/>
        </w:trPr>
        <w:tc>
          <w:tcPr>
            <w:tcW w:w="5180" w:type="dxa"/>
            <w:vAlign w:val="bottom"/>
            <w:shd w:val="clear" w:color="auto" w:fill="0066BA"/>
          </w:tcPr>
          <w:p>
            <w:pPr>
              <w:spacing w:after="0"/>
              <w:rPr>
                <w:sz w:val="10"/>
                <w:szCs w:val="10"/>
                <w:color w:val="auto"/>
              </w:rPr>
            </w:pPr>
          </w:p>
        </w:tc>
        <w:tc>
          <w:tcPr>
            <w:tcW w:w="80" w:type="dxa"/>
            <w:vAlign w:val="bottom"/>
            <w:shd w:val="clear" w:color="auto" w:fill="0066BA"/>
          </w:tcPr>
          <w:p>
            <w:pPr>
              <w:spacing w:after="0"/>
              <w:rPr>
                <w:sz w:val="10"/>
                <w:szCs w:val="10"/>
                <w:color w:val="auto"/>
              </w:rPr>
            </w:pPr>
          </w:p>
        </w:tc>
        <w:tc>
          <w:tcPr>
            <w:tcW w:w="1420" w:type="dxa"/>
            <w:vAlign w:val="bottom"/>
            <w:gridSpan w:val="2"/>
            <w:shd w:val="clear" w:color="auto" w:fill="0066BA"/>
          </w:tcPr>
          <w:p>
            <w:pPr>
              <w:jc w:val="right"/>
              <w:ind w:right="20"/>
              <w:spacing w:after="0" w:line="118" w:lineRule="exact"/>
              <w:rPr>
                <w:sz w:val="20"/>
                <w:szCs w:val="20"/>
                <w:color w:val="auto"/>
              </w:rPr>
            </w:pPr>
            <w:r>
              <w:rPr>
                <w:rFonts w:ascii="Arial" w:cs="Arial" w:eastAsia="Arial" w:hAnsi="Arial"/>
                <w:sz w:val="12"/>
                <w:szCs w:val="12"/>
                <w:b w:val="1"/>
                <w:bCs w:val="1"/>
                <w:color w:val="FFFFFF"/>
                <w:w w:val="90"/>
              </w:rPr>
              <w:t>Number of Securities to be</w:t>
            </w:r>
          </w:p>
        </w:tc>
        <w:tc>
          <w:tcPr>
            <w:tcW w:w="280" w:type="dxa"/>
            <w:vAlign w:val="bottom"/>
            <w:shd w:val="clear" w:color="auto" w:fill="0066BA"/>
          </w:tcPr>
          <w:p>
            <w:pPr>
              <w:spacing w:after="0"/>
              <w:rPr>
                <w:sz w:val="10"/>
                <w:szCs w:val="10"/>
                <w:color w:val="auto"/>
              </w:rPr>
            </w:pPr>
          </w:p>
        </w:tc>
        <w:tc>
          <w:tcPr>
            <w:tcW w:w="80" w:type="dxa"/>
            <w:vAlign w:val="bottom"/>
            <w:shd w:val="clear" w:color="auto" w:fill="0066BA"/>
          </w:tcPr>
          <w:p>
            <w:pPr>
              <w:spacing w:after="0"/>
              <w:rPr>
                <w:sz w:val="10"/>
                <w:szCs w:val="10"/>
                <w:color w:val="auto"/>
              </w:rPr>
            </w:pPr>
          </w:p>
        </w:tc>
        <w:tc>
          <w:tcPr>
            <w:tcW w:w="1440" w:type="dxa"/>
            <w:vAlign w:val="bottom"/>
            <w:gridSpan w:val="3"/>
            <w:shd w:val="clear" w:color="auto" w:fill="0066BA"/>
          </w:tcPr>
          <w:p>
            <w:pPr>
              <w:jc w:val="right"/>
              <w:ind w:right="300"/>
              <w:spacing w:after="0" w:line="118" w:lineRule="exact"/>
              <w:rPr>
                <w:sz w:val="20"/>
                <w:szCs w:val="20"/>
                <w:color w:val="auto"/>
              </w:rPr>
            </w:pPr>
            <w:r>
              <w:rPr>
                <w:rFonts w:ascii="Arial" w:cs="Arial" w:eastAsia="Arial" w:hAnsi="Arial"/>
                <w:sz w:val="12"/>
                <w:szCs w:val="12"/>
                <w:b w:val="1"/>
                <w:bCs w:val="1"/>
                <w:color w:val="FFFFFF"/>
              </w:rPr>
              <w:t>Weighted-Average</w:t>
            </w:r>
          </w:p>
        </w:tc>
        <w:tc>
          <w:tcPr>
            <w:tcW w:w="80" w:type="dxa"/>
            <w:vAlign w:val="bottom"/>
            <w:shd w:val="clear" w:color="auto" w:fill="0066BA"/>
          </w:tcPr>
          <w:p>
            <w:pPr>
              <w:spacing w:after="0"/>
              <w:rPr>
                <w:sz w:val="10"/>
                <w:szCs w:val="10"/>
                <w:color w:val="auto"/>
              </w:rPr>
            </w:pPr>
          </w:p>
        </w:tc>
        <w:tc>
          <w:tcPr>
            <w:tcW w:w="1460" w:type="dxa"/>
            <w:vAlign w:val="bottom"/>
            <w:gridSpan w:val="2"/>
            <w:shd w:val="clear" w:color="auto" w:fill="0066BA"/>
          </w:tcPr>
          <w:p>
            <w:pPr>
              <w:jc w:val="right"/>
              <w:ind w:right="40"/>
              <w:spacing w:after="0" w:line="118" w:lineRule="exact"/>
              <w:rPr>
                <w:sz w:val="20"/>
                <w:szCs w:val="20"/>
                <w:color w:val="auto"/>
              </w:rPr>
            </w:pPr>
            <w:r>
              <w:rPr>
                <w:rFonts w:ascii="Arial" w:cs="Arial" w:eastAsia="Arial" w:hAnsi="Arial"/>
                <w:sz w:val="12"/>
                <w:szCs w:val="12"/>
                <w:b w:val="1"/>
                <w:bCs w:val="1"/>
                <w:color w:val="FFFFFF"/>
              </w:rPr>
              <w:t>Number of Securities</w:t>
            </w:r>
          </w:p>
        </w:tc>
        <w:tc>
          <w:tcPr>
            <w:tcW w:w="260" w:type="dxa"/>
            <w:vAlign w:val="bottom"/>
            <w:shd w:val="clear" w:color="auto" w:fill="0066BA"/>
          </w:tcPr>
          <w:p>
            <w:pPr>
              <w:spacing w:after="0"/>
              <w:rPr>
                <w:sz w:val="10"/>
                <w:szCs w:val="10"/>
                <w:color w:val="auto"/>
              </w:rPr>
            </w:pPr>
          </w:p>
        </w:tc>
      </w:tr>
      <w:tr>
        <w:trPr>
          <w:trHeight w:val="130"/>
        </w:trPr>
        <w:tc>
          <w:tcPr>
            <w:tcW w:w="518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1420" w:type="dxa"/>
            <w:vAlign w:val="bottom"/>
            <w:gridSpan w:val="2"/>
            <w:shd w:val="clear" w:color="auto" w:fill="0066BA"/>
          </w:tcPr>
          <w:p>
            <w:pPr>
              <w:jc w:val="right"/>
              <w:ind w:right="20"/>
              <w:spacing w:after="0" w:line="130" w:lineRule="exact"/>
              <w:rPr>
                <w:sz w:val="20"/>
                <w:szCs w:val="20"/>
                <w:color w:val="auto"/>
              </w:rPr>
            </w:pPr>
            <w:r>
              <w:rPr>
                <w:rFonts w:ascii="Arial" w:cs="Arial" w:eastAsia="Arial" w:hAnsi="Arial"/>
                <w:sz w:val="12"/>
                <w:szCs w:val="12"/>
                <w:b w:val="1"/>
                <w:bCs w:val="1"/>
                <w:color w:val="FFFFFF"/>
                <w:w w:val="98"/>
              </w:rPr>
              <w:t>Issued Upon Exercise of</w:t>
            </w:r>
          </w:p>
        </w:tc>
        <w:tc>
          <w:tcPr>
            <w:tcW w:w="28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1440" w:type="dxa"/>
            <w:vAlign w:val="bottom"/>
            <w:gridSpan w:val="3"/>
            <w:shd w:val="clear" w:color="auto" w:fill="0066BA"/>
          </w:tcPr>
          <w:p>
            <w:pPr>
              <w:jc w:val="right"/>
              <w:ind w:right="300"/>
              <w:spacing w:after="0" w:line="130" w:lineRule="exact"/>
              <w:rPr>
                <w:sz w:val="20"/>
                <w:szCs w:val="20"/>
                <w:color w:val="auto"/>
              </w:rPr>
            </w:pPr>
            <w:r>
              <w:rPr>
                <w:rFonts w:ascii="Arial" w:cs="Arial" w:eastAsia="Arial" w:hAnsi="Arial"/>
                <w:sz w:val="12"/>
                <w:szCs w:val="12"/>
                <w:b w:val="1"/>
                <w:bCs w:val="1"/>
                <w:color w:val="FFFFFF"/>
              </w:rPr>
              <w:t>Exercise Price of</w:t>
            </w:r>
          </w:p>
        </w:tc>
        <w:tc>
          <w:tcPr>
            <w:tcW w:w="80" w:type="dxa"/>
            <w:vAlign w:val="bottom"/>
            <w:shd w:val="clear" w:color="auto" w:fill="0066BA"/>
          </w:tcPr>
          <w:p>
            <w:pPr>
              <w:spacing w:after="0"/>
              <w:rPr>
                <w:sz w:val="11"/>
                <w:szCs w:val="11"/>
                <w:color w:val="auto"/>
              </w:rPr>
            </w:pPr>
          </w:p>
        </w:tc>
        <w:tc>
          <w:tcPr>
            <w:tcW w:w="1460" w:type="dxa"/>
            <w:vAlign w:val="bottom"/>
            <w:gridSpan w:val="2"/>
            <w:shd w:val="clear" w:color="auto" w:fill="0066BA"/>
          </w:tcPr>
          <w:p>
            <w:pPr>
              <w:jc w:val="right"/>
              <w:ind w:right="20"/>
              <w:spacing w:after="0" w:line="130" w:lineRule="exact"/>
              <w:rPr>
                <w:sz w:val="20"/>
                <w:szCs w:val="20"/>
                <w:color w:val="auto"/>
              </w:rPr>
            </w:pPr>
            <w:r>
              <w:rPr>
                <w:rFonts w:ascii="Arial" w:cs="Arial" w:eastAsia="Arial" w:hAnsi="Arial"/>
                <w:sz w:val="12"/>
                <w:szCs w:val="12"/>
                <w:b w:val="1"/>
                <w:bCs w:val="1"/>
                <w:color w:val="FFFFFF"/>
              </w:rPr>
              <w:t>Remaining Available for</w:t>
            </w:r>
          </w:p>
        </w:tc>
        <w:tc>
          <w:tcPr>
            <w:tcW w:w="260" w:type="dxa"/>
            <w:vAlign w:val="bottom"/>
            <w:shd w:val="clear" w:color="auto" w:fill="0066BA"/>
          </w:tcPr>
          <w:p>
            <w:pPr>
              <w:spacing w:after="0"/>
              <w:rPr>
                <w:sz w:val="11"/>
                <w:szCs w:val="11"/>
                <w:color w:val="auto"/>
              </w:rPr>
            </w:pPr>
          </w:p>
        </w:tc>
      </w:tr>
      <w:tr>
        <w:trPr>
          <w:trHeight w:val="130"/>
        </w:trPr>
        <w:tc>
          <w:tcPr>
            <w:tcW w:w="518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1420" w:type="dxa"/>
            <w:vAlign w:val="bottom"/>
            <w:gridSpan w:val="2"/>
            <w:shd w:val="clear" w:color="auto" w:fill="0066BA"/>
          </w:tcPr>
          <w:p>
            <w:pPr>
              <w:jc w:val="right"/>
              <w:ind w:right="20"/>
              <w:spacing w:after="0" w:line="130" w:lineRule="exact"/>
              <w:rPr>
                <w:sz w:val="20"/>
                <w:szCs w:val="20"/>
                <w:color w:val="auto"/>
              </w:rPr>
            </w:pPr>
            <w:r>
              <w:rPr>
                <w:rFonts w:ascii="Arial" w:cs="Arial" w:eastAsia="Arial" w:hAnsi="Arial"/>
                <w:sz w:val="12"/>
                <w:szCs w:val="12"/>
                <w:b w:val="1"/>
                <w:bCs w:val="1"/>
                <w:color w:val="FFFFFF"/>
              </w:rPr>
              <w:t>Outstanding Options,</w:t>
            </w:r>
          </w:p>
        </w:tc>
        <w:tc>
          <w:tcPr>
            <w:tcW w:w="28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1440" w:type="dxa"/>
            <w:vAlign w:val="bottom"/>
            <w:gridSpan w:val="3"/>
            <w:shd w:val="clear" w:color="auto" w:fill="0066BA"/>
          </w:tcPr>
          <w:p>
            <w:pPr>
              <w:jc w:val="right"/>
              <w:ind w:right="300"/>
              <w:spacing w:after="0" w:line="130" w:lineRule="exact"/>
              <w:rPr>
                <w:sz w:val="20"/>
                <w:szCs w:val="20"/>
                <w:color w:val="auto"/>
              </w:rPr>
            </w:pPr>
            <w:r>
              <w:rPr>
                <w:rFonts w:ascii="Arial" w:cs="Arial" w:eastAsia="Arial" w:hAnsi="Arial"/>
                <w:sz w:val="12"/>
                <w:szCs w:val="12"/>
                <w:b w:val="1"/>
                <w:bCs w:val="1"/>
                <w:color w:val="FFFFFF"/>
                <w:w w:val="91"/>
              </w:rPr>
              <w:t>Outstanding Options,</w:t>
            </w:r>
          </w:p>
        </w:tc>
        <w:tc>
          <w:tcPr>
            <w:tcW w:w="80" w:type="dxa"/>
            <w:vAlign w:val="bottom"/>
            <w:shd w:val="clear" w:color="auto" w:fill="0066BA"/>
          </w:tcPr>
          <w:p>
            <w:pPr>
              <w:spacing w:after="0"/>
              <w:rPr>
                <w:sz w:val="11"/>
                <w:szCs w:val="11"/>
                <w:color w:val="auto"/>
              </w:rPr>
            </w:pPr>
          </w:p>
        </w:tc>
        <w:tc>
          <w:tcPr>
            <w:tcW w:w="1460" w:type="dxa"/>
            <w:vAlign w:val="bottom"/>
            <w:gridSpan w:val="2"/>
            <w:shd w:val="clear" w:color="auto" w:fill="0066BA"/>
          </w:tcPr>
          <w:p>
            <w:pPr>
              <w:jc w:val="right"/>
              <w:ind w:right="40"/>
              <w:spacing w:after="0" w:line="130" w:lineRule="exact"/>
              <w:rPr>
                <w:sz w:val="20"/>
                <w:szCs w:val="20"/>
                <w:color w:val="auto"/>
              </w:rPr>
            </w:pPr>
            <w:r>
              <w:rPr>
                <w:rFonts w:ascii="Arial" w:cs="Arial" w:eastAsia="Arial" w:hAnsi="Arial"/>
                <w:sz w:val="12"/>
                <w:szCs w:val="12"/>
                <w:b w:val="1"/>
                <w:bCs w:val="1"/>
                <w:color w:val="FFFFFF"/>
              </w:rPr>
              <w:t>Future Issuance Under</w:t>
            </w:r>
          </w:p>
        </w:tc>
        <w:tc>
          <w:tcPr>
            <w:tcW w:w="260" w:type="dxa"/>
            <w:vAlign w:val="bottom"/>
            <w:shd w:val="clear" w:color="auto" w:fill="0066BA"/>
          </w:tcPr>
          <w:p>
            <w:pPr>
              <w:spacing w:after="0"/>
              <w:rPr>
                <w:sz w:val="11"/>
                <w:szCs w:val="11"/>
                <w:color w:val="auto"/>
              </w:rPr>
            </w:pPr>
          </w:p>
        </w:tc>
      </w:tr>
      <w:tr>
        <w:trPr>
          <w:trHeight w:val="130"/>
        </w:trPr>
        <w:tc>
          <w:tcPr>
            <w:tcW w:w="518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1420" w:type="dxa"/>
            <w:vAlign w:val="bottom"/>
            <w:gridSpan w:val="2"/>
            <w:shd w:val="clear" w:color="auto" w:fill="0066BA"/>
          </w:tcPr>
          <w:p>
            <w:pPr>
              <w:jc w:val="right"/>
              <w:ind w:right="20"/>
              <w:spacing w:after="0" w:line="130" w:lineRule="exact"/>
              <w:rPr>
                <w:sz w:val="20"/>
                <w:szCs w:val="20"/>
                <w:color w:val="auto"/>
              </w:rPr>
            </w:pPr>
            <w:r>
              <w:rPr>
                <w:rFonts w:ascii="Arial" w:cs="Arial" w:eastAsia="Arial" w:hAnsi="Arial"/>
                <w:sz w:val="12"/>
                <w:szCs w:val="12"/>
                <w:b w:val="1"/>
                <w:bCs w:val="1"/>
                <w:color w:val="FFFFFF"/>
              </w:rPr>
              <w:t>Warrants and Rights</w:t>
            </w:r>
          </w:p>
        </w:tc>
        <w:tc>
          <w:tcPr>
            <w:tcW w:w="28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1440" w:type="dxa"/>
            <w:vAlign w:val="bottom"/>
            <w:gridSpan w:val="3"/>
            <w:shd w:val="clear" w:color="auto" w:fill="0066BA"/>
          </w:tcPr>
          <w:p>
            <w:pPr>
              <w:jc w:val="right"/>
              <w:ind w:right="300"/>
              <w:spacing w:after="0" w:line="130" w:lineRule="exact"/>
              <w:rPr>
                <w:sz w:val="20"/>
                <w:szCs w:val="20"/>
                <w:color w:val="auto"/>
              </w:rPr>
            </w:pPr>
            <w:r>
              <w:rPr>
                <w:rFonts w:ascii="Arial" w:cs="Arial" w:eastAsia="Arial" w:hAnsi="Arial"/>
                <w:sz w:val="12"/>
                <w:szCs w:val="12"/>
                <w:b w:val="1"/>
                <w:bCs w:val="1"/>
                <w:color w:val="FFFFFF"/>
                <w:w w:val="95"/>
              </w:rPr>
              <w:t>Warrants and Rights</w:t>
            </w:r>
          </w:p>
        </w:tc>
        <w:tc>
          <w:tcPr>
            <w:tcW w:w="80" w:type="dxa"/>
            <w:vAlign w:val="bottom"/>
            <w:shd w:val="clear" w:color="auto" w:fill="0066BA"/>
          </w:tcPr>
          <w:p>
            <w:pPr>
              <w:spacing w:after="0"/>
              <w:rPr>
                <w:sz w:val="11"/>
                <w:szCs w:val="11"/>
                <w:color w:val="auto"/>
              </w:rPr>
            </w:pPr>
          </w:p>
        </w:tc>
        <w:tc>
          <w:tcPr>
            <w:tcW w:w="1460" w:type="dxa"/>
            <w:vAlign w:val="bottom"/>
            <w:gridSpan w:val="2"/>
            <w:shd w:val="clear" w:color="auto" w:fill="0066BA"/>
          </w:tcPr>
          <w:p>
            <w:pPr>
              <w:jc w:val="right"/>
              <w:ind w:right="40"/>
              <w:spacing w:after="0" w:line="130" w:lineRule="exact"/>
              <w:rPr>
                <w:sz w:val="20"/>
                <w:szCs w:val="20"/>
                <w:color w:val="auto"/>
              </w:rPr>
            </w:pPr>
            <w:r>
              <w:rPr>
                <w:rFonts w:ascii="Arial" w:cs="Arial" w:eastAsia="Arial" w:hAnsi="Arial"/>
                <w:sz w:val="12"/>
                <w:szCs w:val="12"/>
                <w:b w:val="1"/>
                <w:bCs w:val="1"/>
                <w:color w:val="FFFFFF"/>
              </w:rPr>
              <w:t>Equity Compensation</w:t>
            </w:r>
          </w:p>
        </w:tc>
        <w:tc>
          <w:tcPr>
            <w:tcW w:w="260" w:type="dxa"/>
            <w:vAlign w:val="bottom"/>
            <w:shd w:val="clear" w:color="auto" w:fill="0066BA"/>
          </w:tcPr>
          <w:p>
            <w:pPr>
              <w:spacing w:after="0"/>
              <w:rPr>
                <w:sz w:val="11"/>
                <w:szCs w:val="11"/>
                <w:color w:val="auto"/>
              </w:rPr>
            </w:pPr>
          </w:p>
        </w:tc>
      </w:tr>
      <w:tr>
        <w:trPr>
          <w:trHeight w:val="130"/>
        </w:trPr>
        <w:tc>
          <w:tcPr>
            <w:tcW w:w="518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1400" w:type="dxa"/>
            <w:vAlign w:val="bottom"/>
            <w:shd w:val="clear" w:color="auto" w:fill="0066BA"/>
          </w:tcPr>
          <w:p>
            <w:pPr>
              <w:spacing w:after="0"/>
              <w:rPr>
                <w:sz w:val="11"/>
                <w:szCs w:val="11"/>
                <w:color w:val="auto"/>
              </w:rPr>
            </w:pPr>
          </w:p>
        </w:tc>
        <w:tc>
          <w:tcPr>
            <w:tcW w:w="20" w:type="dxa"/>
            <w:vAlign w:val="bottom"/>
            <w:shd w:val="clear" w:color="auto" w:fill="0066BA"/>
          </w:tcPr>
          <w:p>
            <w:pPr>
              <w:spacing w:after="0"/>
              <w:rPr>
                <w:sz w:val="11"/>
                <w:szCs w:val="11"/>
                <w:color w:val="auto"/>
              </w:rPr>
            </w:pPr>
          </w:p>
        </w:tc>
        <w:tc>
          <w:tcPr>
            <w:tcW w:w="28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860" w:type="dxa"/>
            <w:vAlign w:val="bottom"/>
            <w:shd w:val="clear" w:color="auto" w:fill="0066BA"/>
          </w:tcPr>
          <w:p>
            <w:pPr>
              <w:spacing w:after="0"/>
              <w:rPr>
                <w:sz w:val="11"/>
                <w:szCs w:val="11"/>
                <w:color w:val="auto"/>
              </w:rPr>
            </w:pPr>
          </w:p>
        </w:tc>
        <w:tc>
          <w:tcPr>
            <w:tcW w:w="280" w:type="dxa"/>
            <w:vAlign w:val="bottom"/>
            <w:shd w:val="clear" w:color="auto" w:fill="0066BA"/>
          </w:tcPr>
          <w:p>
            <w:pPr>
              <w:spacing w:after="0"/>
              <w:rPr>
                <w:sz w:val="11"/>
                <w:szCs w:val="11"/>
                <w:color w:val="auto"/>
              </w:rPr>
            </w:pPr>
          </w:p>
        </w:tc>
        <w:tc>
          <w:tcPr>
            <w:tcW w:w="30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1460" w:type="dxa"/>
            <w:vAlign w:val="bottom"/>
            <w:gridSpan w:val="2"/>
            <w:shd w:val="clear" w:color="auto" w:fill="0066BA"/>
          </w:tcPr>
          <w:p>
            <w:pPr>
              <w:jc w:val="right"/>
              <w:ind w:right="40"/>
              <w:spacing w:after="0" w:line="130" w:lineRule="exact"/>
              <w:rPr>
                <w:sz w:val="20"/>
                <w:szCs w:val="20"/>
                <w:color w:val="auto"/>
              </w:rPr>
            </w:pPr>
            <w:r>
              <w:rPr>
                <w:rFonts w:ascii="Arial" w:cs="Arial" w:eastAsia="Arial" w:hAnsi="Arial"/>
                <w:sz w:val="12"/>
                <w:szCs w:val="12"/>
                <w:b w:val="1"/>
                <w:bCs w:val="1"/>
                <w:color w:val="FFFFFF"/>
                <w:w w:val="88"/>
              </w:rPr>
              <w:t>Plans (Excluding Securities</w:t>
            </w:r>
          </w:p>
        </w:tc>
        <w:tc>
          <w:tcPr>
            <w:tcW w:w="260" w:type="dxa"/>
            <w:vAlign w:val="bottom"/>
            <w:shd w:val="clear" w:color="auto" w:fill="0066BA"/>
          </w:tcPr>
          <w:p>
            <w:pPr>
              <w:spacing w:after="0"/>
              <w:rPr>
                <w:sz w:val="11"/>
                <w:szCs w:val="11"/>
                <w:color w:val="auto"/>
              </w:rPr>
            </w:pPr>
          </w:p>
        </w:tc>
      </w:tr>
      <w:tr>
        <w:trPr>
          <w:trHeight w:val="148"/>
        </w:trPr>
        <w:tc>
          <w:tcPr>
            <w:tcW w:w="5180" w:type="dxa"/>
            <w:vAlign w:val="bottom"/>
            <w:shd w:val="clear" w:color="auto" w:fill="0066BA"/>
          </w:tcPr>
          <w:p>
            <w:pPr>
              <w:spacing w:after="0"/>
              <w:rPr>
                <w:sz w:val="12"/>
                <w:szCs w:val="12"/>
                <w:color w:val="auto"/>
              </w:rPr>
            </w:pPr>
          </w:p>
        </w:tc>
        <w:tc>
          <w:tcPr>
            <w:tcW w:w="80" w:type="dxa"/>
            <w:vAlign w:val="bottom"/>
            <w:shd w:val="clear" w:color="auto" w:fill="0066BA"/>
          </w:tcPr>
          <w:p>
            <w:pPr>
              <w:spacing w:after="0"/>
              <w:rPr>
                <w:sz w:val="12"/>
                <w:szCs w:val="12"/>
                <w:color w:val="auto"/>
              </w:rPr>
            </w:pPr>
          </w:p>
        </w:tc>
        <w:tc>
          <w:tcPr>
            <w:tcW w:w="1400" w:type="dxa"/>
            <w:vAlign w:val="bottom"/>
            <w:shd w:val="clear" w:color="auto" w:fill="0066BA"/>
          </w:tcPr>
          <w:p>
            <w:pPr>
              <w:spacing w:after="0"/>
              <w:rPr>
                <w:sz w:val="12"/>
                <w:szCs w:val="12"/>
                <w:color w:val="auto"/>
              </w:rPr>
            </w:pPr>
          </w:p>
        </w:tc>
        <w:tc>
          <w:tcPr>
            <w:tcW w:w="20" w:type="dxa"/>
            <w:vAlign w:val="bottom"/>
            <w:shd w:val="clear" w:color="auto" w:fill="0066BA"/>
          </w:tcPr>
          <w:p>
            <w:pPr>
              <w:spacing w:after="0"/>
              <w:rPr>
                <w:sz w:val="12"/>
                <w:szCs w:val="12"/>
                <w:color w:val="auto"/>
              </w:rPr>
            </w:pPr>
          </w:p>
        </w:tc>
        <w:tc>
          <w:tcPr>
            <w:tcW w:w="280" w:type="dxa"/>
            <w:vAlign w:val="bottom"/>
            <w:shd w:val="clear" w:color="auto" w:fill="0066BA"/>
          </w:tcPr>
          <w:p>
            <w:pPr>
              <w:spacing w:after="0"/>
              <w:rPr>
                <w:sz w:val="12"/>
                <w:szCs w:val="12"/>
                <w:color w:val="auto"/>
              </w:rPr>
            </w:pPr>
          </w:p>
        </w:tc>
        <w:tc>
          <w:tcPr>
            <w:tcW w:w="80" w:type="dxa"/>
            <w:vAlign w:val="bottom"/>
            <w:shd w:val="clear" w:color="auto" w:fill="0066BA"/>
          </w:tcPr>
          <w:p>
            <w:pPr>
              <w:spacing w:after="0"/>
              <w:rPr>
                <w:sz w:val="12"/>
                <w:szCs w:val="12"/>
                <w:color w:val="auto"/>
              </w:rPr>
            </w:pPr>
          </w:p>
        </w:tc>
        <w:tc>
          <w:tcPr>
            <w:tcW w:w="860" w:type="dxa"/>
            <w:vAlign w:val="bottom"/>
            <w:shd w:val="clear" w:color="auto" w:fill="0066BA"/>
          </w:tcPr>
          <w:p>
            <w:pPr>
              <w:spacing w:after="0"/>
              <w:rPr>
                <w:sz w:val="12"/>
                <w:szCs w:val="12"/>
                <w:color w:val="auto"/>
              </w:rPr>
            </w:pPr>
          </w:p>
        </w:tc>
        <w:tc>
          <w:tcPr>
            <w:tcW w:w="280" w:type="dxa"/>
            <w:vAlign w:val="bottom"/>
            <w:shd w:val="clear" w:color="auto" w:fill="0066BA"/>
          </w:tcPr>
          <w:p>
            <w:pPr>
              <w:spacing w:after="0"/>
              <w:rPr>
                <w:sz w:val="12"/>
                <w:szCs w:val="12"/>
                <w:color w:val="auto"/>
              </w:rPr>
            </w:pPr>
          </w:p>
        </w:tc>
        <w:tc>
          <w:tcPr>
            <w:tcW w:w="300" w:type="dxa"/>
            <w:vAlign w:val="bottom"/>
            <w:shd w:val="clear" w:color="auto" w:fill="0066BA"/>
          </w:tcPr>
          <w:p>
            <w:pPr>
              <w:spacing w:after="0"/>
              <w:rPr>
                <w:sz w:val="12"/>
                <w:szCs w:val="12"/>
                <w:color w:val="auto"/>
              </w:rPr>
            </w:pPr>
          </w:p>
        </w:tc>
        <w:tc>
          <w:tcPr>
            <w:tcW w:w="80" w:type="dxa"/>
            <w:vAlign w:val="bottom"/>
            <w:shd w:val="clear" w:color="auto" w:fill="0066BA"/>
          </w:tcPr>
          <w:p>
            <w:pPr>
              <w:spacing w:after="0"/>
              <w:rPr>
                <w:sz w:val="12"/>
                <w:szCs w:val="12"/>
                <w:color w:val="auto"/>
              </w:rPr>
            </w:pPr>
          </w:p>
        </w:tc>
        <w:tc>
          <w:tcPr>
            <w:tcW w:w="1460" w:type="dxa"/>
            <w:vAlign w:val="bottom"/>
            <w:gridSpan w:val="2"/>
            <w:shd w:val="clear" w:color="auto" w:fill="0066BA"/>
          </w:tcPr>
          <w:p>
            <w:pPr>
              <w:jc w:val="right"/>
              <w:ind w:right="40"/>
              <w:spacing w:after="0"/>
              <w:rPr>
                <w:sz w:val="20"/>
                <w:szCs w:val="20"/>
                <w:color w:val="auto"/>
              </w:rPr>
            </w:pPr>
            <w:r>
              <w:rPr>
                <w:rFonts w:ascii="Arial" w:cs="Arial" w:eastAsia="Arial" w:hAnsi="Arial"/>
                <w:sz w:val="12"/>
                <w:szCs w:val="12"/>
                <w:b w:val="1"/>
                <w:bCs w:val="1"/>
                <w:color w:val="FFFFFF"/>
              </w:rPr>
              <w:t>Reflected in Column (a)</w:t>
            </w:r>
          </w:p>
        </w:tc>
        <w:tc>
          <w:tcPr>
            <w:tcW w:w="260" w:type="dxa"/>
            <w:vAlign w:val="bottom"/>
            <w:shd w:val="clear" w:color="auto" w:fill="0066BA"/>
          </w:tcPr>
          <w:p>
            <w:pPr>
              <w:spacing w:after="0"/>
              <w:rPr>
                <w:sz w:val="12"/>
                <w:szCs w:val="12"/>
                <w:color w:val="auto"/>
              </w:rPr>
            </w:pPr>
          </w:p>
        </w:tc>
      </w:tr>
      <w:tr>
        <w:trPr>
          <w:trHeight w:val="208"/>
        </w:trPr>
        <w:tc>
          <w:tcPr>
            <w:tcW w:w="51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Equity compensation plans approved by shareholders</w:t>
            </w:r>
          </w:p>
        </w:tc>
        <w:tc>
          <w:tcPr>
            <w:tcW w:w="80" w:type="dxa"/>
            <w:vAlign w:val="bottom"/>
            <w:tcBorders>
              <w:bottom w:val="single" w:sz="8" w:color="auto"/>
            </w:tcBorders>
            <w:shd w:val="clear" w:color="auto" w:fill="EAEAEA"/>
          </w:tcPr>
          <w:p>
            <w:pPr>
              <w:spacing w:after="0"/>
              <w:rPr>
                <w:sz w:val="18"/>
                <w:szCs w:val="18"/>
                <w:color w:val="auto"/>
              </w:rPr>
            </w:pPr>
          </w:p>
        </w:tc>
        <w:tc>
          <w:tcPr>
            <w:tcW w:w="1420" w:type="dxa"/>
            <w:vAlign w:val="bottom"/>
            <w:tcBorders>
              <w:bottom w:val="single" w:sz="8" w:color="auto"/>
            </w:tcBorders>
            <w:gridSpan w:val="2"/>
            <w:shd w:val="clear" w:color="auto" w:fill="EAEAEA"/>
          </w:tcPr>
          <w:p>
            <w:pPr>
              <w:jc w:val="right"/>
              <w:ind w:right="20"/>
              <w:spacing w:after="0"/>
              <w:rPr>
                <w:sz w:val="20"/>
                <w:szCs w:val="20"/>
                <w:color w:val="auto"/>
              </w:rPr>
            </w:pPr>
            <w:r>
              <w:rPr>
                <w:rFonts w:ascii="Arial" w:cs="Arial" w:eastAsia="Arial" w:hAnsi="Arial"/>
                <w:sz w:val="17"/>
                <w:szCs w:val="17"/>
                <w:color w:val="auto"/>
              </w:rPr>
              <w:t>6,747,928</w:t>
            </w:r>
          </w:p>
        </w:tc>
        <w:tc>
          <w:tcPr>
            <w:tcW w:w="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w w:val="96"/>
              </w:rPr>
              <w:t>(1)</w:t>
            </w:r>
          </w:p>
        </w:tc>
        <w:tc>
          <w:tcPr>
            <w:tcW w:w="1520" w:type="dxa"/>
            <w:vAlign w:val="bottom"/>
            <w:tcBorders>
              <w:bottom w:val="single" w:sz="8" w:color="auto"/>
            </w:tcBorders>
            <w:gridSpan w:val="4"/>
          </w:tcPr>
          <w:p>
            <w:pPr>
              <w:ind w:left="740"/>
              <w:spacing w:after="0"/>
              <w:rPr>
                <w:sz w:val="20"/>
                <w:szCs w:val="20"/>
                <w:color w:val="auto"/>
              </w:rPr>
            </w:pPr>
            <w:r>
              <w:rPr>
                <w:rFonts w:ascii="Arial" w:cs="Arial" w:eastAsia="Arial" w:hAnsi="Arial"/>
                <w:sz w:val="17"/>
                <w:szCs w:val="17"/>
                <w:color w:val="auto"/>
                <w:w w:val="98"/>
              </w:rPr>
              <w:t>$70.73 (2)</w:t>
            </w:r>
          </w:p>
        </w:tc>
        <w:tc>
          <w:tcPr>
            <w:tcW w:w="80" w:type="dxa"/>
            <w:vAlign w:val="bottom"/>
            <w:tcBorders>
              <w:bottom w:val="single" w:sz="8" w:color="auto"/>
            </w:tcBorders>
            <w:shd w:val="clear" w:color="auto" w:fill="EAEAEA"/>
          </w:tcPr>
          <w:p>
            <w:pPr>
              <w:spacing w:after="0"/>
              <w:rPr>
                <w:sz w:val="18"/>
                <w:szCs w:val="18"/>
                <w:color w:val="auto"/>
              </w:rPr>
            </w:pPr>
          </w:p>
        </w:tc>
        <w:tc>
          <w:tcPr>
            <w:tcW w:w="1460" w:type="dxa"/>
            <w:vAlign w:val="bottom"/>
            <w:tcBorders>
              <w:bottom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7"/>
                <w:szCs w:val="17"/>
                <w:color w:val="auto"/>
              </w:rPr>
              <w:t>19,634,801</w:t>
            </w:r>
          </w:p>
        </w:tc>
        <w:tc>
          <w:tcPr>
            <w:tcW w:w="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w w:val="96"/>
              </w:rPr>
              <w:t>(3)</w:t>
            </w:r>
          </w:p>
        </w:tc>
      </w:tr>
      <w:tr>
        <w:trPr>
          <w:trHeight w:val="201"/>
        </w:trPr>
        <w:tc>
          <w:tcPr>
            <w:tcW w:w="51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Equity compensation plans not approved by shareholders (4)</w:t>
            </w:r>
          </w:p>
        </w:tc>
        <w:tc>
          <w:tcPr>
            <w:tcW w:w="80" w:type="dxa"/>
            <w:vAlign w:val="bottom"/>
            <w:tcBorders>
              <w:bottom w:val="single" w:sz="8" w:color="auto"/>
            </w:tcBorders>
            <w:shd w:val="clear" w:color="auto" w:fill="EAEAEA"/>
          </w:tcPr>
          <w:p>
            <w:pPr>
              <w:spacing w:after="0"/>
              <w:rPr>
                <w:sz w:val="17"/>
                <w:szCs w:val="17"/>
                <w:color w:val="auto"/>
              </w:rPr>
            </w:pPr>
          </w:p>
        </w:tc>
        <w:tc>
          <w:tcPr>
            <w:tcW w:w="1420" w:type="dxa"/>
            <w:vAlign w:val="bottom"/>
            <w:tcBorders>
              <w:bottom w:val="single" w:sz="8" w:color="auto"/>
            </w:tcBorders>
            <w:gridSpan w:val="2"/>
            <w:shd w:val="clear" w:color="auto" w:fill="EAEAEA"/>
          </w:tcPr>
          <w:p>
            <w:pPr>
              <w:jc w:val="right"/>
              <w:ind w:right="20"/>
              <w:spacing w:after="0"/>
              <w:rPr>
                <w:sz w:val="20"/>
                <w:szCs w:val="20"/>
                <w:color w:val="auto"/>
              </w:rPr>
            </w:pPr>
            <w:r>
              <w:rPr>
                <w:rFonts w:ascii="Arial" w:cs="Arial" w:eastAsia="Arial" w:hAnsi="Arial"/>
                <w:sz w:val="17"/>
                <w:szCs w:val="17"/>
                <w:color w:val="auto"/>
              </w:rPr>
              <w:t>1,081,224</w:t>
            </w:r>
          </w:p>
        </w:tc>
        <w:tc>
          <w:tcPr>
            <w:tcW w:w="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color w:val="auto"/>
                <w:w w:val="96"/>
              </w:rPr>
              <w:t>(4)</w:t>
            </w:r>
          </w:p>
        </w:tc>
        <w:tc>
          <w:tcPr>
            <w:tcW w:w="940" w:type="dxa"/>
            <w:vAlign w:val="bottom"/>
            <w:tcBorders>
              <w:bottom w:val="single" w:sz="8" w:color="auto"/>
            </w:tcBorders>
            <w:gridSpan w:val="2"/>
          </w:tcPr>
          <w:p>
            <w:pPr>
              <w:ind w:left="74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EAEAEA"/>
          </w:tcPr>
          <w:p>
            <w:pPr>
              <w:spacing w:after="0"/>
              <w:rPr>
                <w:sz w:val="17"/>
                <w:szCs w:val="17"/>
                <w:color w:val="auto"/>
              </w:rPr>
            </w:pPr>
          </w:p>
        </w:tc>
        <w:tc>
          <w:tcPr>
            <w:tcW w:w="1460" w:type="dxa"/>
            <w:vAlign w:val="bottom"/>
            <w:tcBorders>
              <w:bottom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EAEAEA"/>
          </w:tcPr>
          <w:p>
            <w:pPr>
              <w:spacing w:after="0"/>
              <w:rPr>
                <w:sz w:val="17"/>
                <w:szCs w:val="17"/>
                <w:color w:val="auto"/>
              </w:rPr>
            </w:pPr>
          </w:p>
        </w:tc>
      </w:tr>
      <w:tr>
        <w:trPr>
          <w:trHeight w:val="201"/>
        </w:trPr>
        <w:tc>
          <w:tcPr>
            <w:tcW w:w="5180" w:type="dxa"/>
            <w:vAlign w:val="bottom"/>
            <w:tcBorders>
              <w:bottom w:val="single" w:sz="8" w:color="0066BA"/>
            </w:tcBorders>
          </w:tcPr>
          <w:p>
            <w:pPr>
              <w:ind w:left="60"/>
              <w:spacing w:after="0"/>
              <w:rPr>
                <w:sz w:val="20"/>
                <w:szCs w:val="20"/>
                <w:color w:val="auto"/>
              </w:rPr>
            </w:pPr>
            <w:r>
              <w:rPr>
                <w:rFonts w:ascii="Arial" w:cs="Arial" w:eastAsia="Arial" w:hAnsi="Arial"/>
                <w:sz w:val="17"/>
                <w:szCs w:val="17"/>
                <w:color w:val="auto"/>
              </w:rPr>
              <w:t>Total</w:t>
            </w:r>
          </w:p>
        </w:tc>
        <w:tc>
          <w:tcPr>
            <w:tcW w:w="80" w:type="dxa"/>
            <w:vAlign w:val="bottom"/>
            <w:tcBorders>
              <w:bottom w:val="single" w:sz="8" w:color="0066BA"/>
            </w:tcBorders>
            <w:shd w:val="clear" w:color="auto" w:fill="EAEAEA"/>
          </w:tcPr>
          <w:p>
            <w:pPr>
              <w:spacing w:after="0"/>
              <w:rPr>
                <w:sz w:val="17"/>
                <w:szCs w:val="17"/>
                <w:color w:val="auto"/>
              </w:rPr>
            </w:pPr>
          </w:p>
        </w:tc>
        <w:tc>
          <w:tcPr>
            <w:tcW w:w="1420" w:type="dxa"/>
            <w:vAlign w:val="bottom"/>
            <w:tcBorders>
              <w:bottom w:val="single" w:sz="8" w:color="0066BA"/>
            </w:tcBorders>
            <w:gridSpan w:val="2"/>
            <w:shd w:val="clear" w:color="auto" w:fill="EAEAEA"/>
          </w:tcPr>
          <w:p>
            <w:pPr>
              <w:jc w:val="right"/>
              <w:ind w:right="20"/>
              <w:spacing w:after="0"/>
              <w:rPr>
                <w:sz w:val="20"/>
                <w:szCs w:val="20"/>
                <w:color w:val="auto"/>
              </w:rPr>
            </w:pPr>
            <w:r>
              <w:rPr>
                <w:rFonts w:ascii="Arial" w:cs="Arial" w:eastAsia="Arial" w:hAnsi="Arial"/>
                <w:sz w:val="17"/>
                <w:szCs w:val="17"/>
                <w:color w:val="auto"/>
              </w:rPr>
              <w:t>7,829,152</w:t>
            </w:r>
          </w:p>
        </w:tc>
        <w:tc>
          <w:tcPr>
            <w:tcW w:w="280" w:type="dxa"/>
            <w:vAlign w:val="bottom"/>
            <w:tcBorders>
              <w:bottom w:val="single" w:sz="8" w:color="0066BA"/>
            </w:tcBorders>
            <w:shd w:val="clear" w:color="auto" w:fill="EAEAEA"/>
          </w:tcPr>
          <w:p>
            <w:pPr>
              <w:spacing w:after="0"/>
              <w:rPr>
                <w:sz w:val="17"/>
                <w:szCs w:val="17"/>
                <w:color w:val="auto"/>
              </w:rPr>
            </w:pPr>
          </w:p>
        </w:tc>
        <w:tc>
          <w:tcPr>
            <w:tcW w:w="1520" w:type="dxa"/>
            <w:vAlign w:val="bottom"/>
            <w:tcBorders>
              <w:bottom w:val="single" w:sz="8" w:color="0066BA"/>
            </w:tcBorders>
            <w:gridSpan w:val="4"/>
          </w:tcPr>
          <w:p>
            <w:pPr>
              <w:ind w:left="740"/>
              <w:spacing w:after="0"/>
              <w:rPr>
                <w:sz w:val="20"/>
                <w:szCs w:val="20"/>
                <w:color w:val="auto"/>
              </w:rPr>
            </w:pPr>
            <w:r>
              <w:rPr>
                <w:rFonts w:ascii="Arial" w:cs="Arial" w:eastAsia="Arial" w:hAnsi="Arial"/>
                <w:sz w:val="17"/>
                <w:szCs w:val="17"/>
                <w:color w:val="auto"/>
                <w:w w:val="98"/>
              </w:rPr>
              <w:t>$70.73 (2)</w:t>
            </w:r>
          </w:p>
        </w:tc>
        <w:tc>
          <w:tcPr>
            <w:tcW w:w="80" w:type="dxa"/>
            <w:vAlign w:val="bottom"/>
            <w:tcBorders>
              <w:bottom w:val="single" w:sz="8" w:color="0066BA"/>
            </w:tcBorders>
            <w:shd w:val="clear" w:color="auto" w:fill="EAEAEA"/>
          </w:tcPr>
          <w:p>
            <w:pPr>
              <w:spacing w:after="0"/>
              <w:rPr>
                <w:sz w:val="17"/>
                <w:szCs w:val="17"/>
                <w:color w:val="auto"/>
              </w:rPr>
            </w:pPr>
          </w:p>
        </w:tc>
        <w:tc>
          <w:tcPr>
            <w:tcW w:w="1460" w:type="dxa"/>
            <w:vAlign w:val="bottom"/>
            <w:tcBorders>
              <w:bottom w:val="single" w:sz="8" w:color="0066BA"/>
            </w:tcBorders>
            <w:gridSpan w:val="2"/>
            <w:shd w:val="clear" w:color="auto" w:fill="EAEAEA"/>
          </w:tcPr>
          <w:p>
            <w:pPr>
              <w:jc w:val="right"/>
              <w:ind w:right="40"/>
              <w:spacing w:after="0"/>
              <w:rPr>
                <w:sz w:val="20"/>
                <w:szCs w:val="20"/>
                <w:color w:val="auto"/>
              </w:rPr>
            </w:pPr>
            <w:r>
              <w:rPr>
                <w:rFonts w:ascii="Arial" w:cs="Arial" w:eastAsia="Arial" w:hAnsi="Arial"/>
                <w:sz w:val="17"/>
                <w:szCs w:val="17"/>
                <w:color w:val="auto"/>
              </w:rPr>
              <w:t>19,634,801</w:t>
            </w:r>
          </w:p>
        </w:tc>
        <w:tc>
          <w:tcPr>
            <w:tcW w:w="260" w:type="dxa"/>
            <w:vAlign w:val="bottom"/>
            <w:tcBorders>
              <w:bottom w:val="single" w:sz="8" w:color="0066BA"/>
            </w:tcBorders>
            <w:shd w:val="clear" w:color="auto" w:fill="EAEAEA"/>
          </w:tcPr>
          <w:p>
            <w:pPr>
              <w:spacing w:after="0"/>
              <w:rPr>
                <w:sz w:val="17"/>
                <w:szCs w:val="17"/>
                <w:color w:val="auto"/>
              </w:rPr>
            </w:pPr>
          </w:p>
        </w:tc>
      </w:tr>
    </w:tbl>
    <w:p>
      <w:pPr>
        <w:spacing w:after="0" w:line="66" w:lineRule="exact"/>
        <w:rPr>
          <w:sz w:val="20"/>
          <w:szCs w:val="20"/>
          <w:color w:val="auto"/>
        </w:rPr>
      </w:pPr>
    </w:p>
    <w:p>
      <w:pPr>
        <w:ind w:left="780" w:right="20" w:hanging="305"/>
        <w:spacing w:after="0" w:line="263" w:lineRule="auto"/>
        <w:tabs>
          <w:tab w:leader="none" w:pos="780" w:val="left"/>
        </w:tabs>
        <w:numPr>
          <w:ilvl w:val="0"/>
          <w:numId w:val="71"/>
        </w:numPr>
        <w:rPr>
          <w:rFonts w:ascii="Arial" w:cs="Arial" w:eastAsia="Arial" w:hAnsi="Arial"/>
          <w:sz w:val="17"/>
          <w:szCs w:val="17"/>
          <w:i w:val="1"/>
          <w:iCs w:val="1"/>
          <w:color w:val="auto"/>
        </w:rPr>
      </w:pPr>
      <w:r>
        <w:rPr>
          <w:rFonts w:ascii="Arial" w:cs="Arial" w:eastAsia="Arial" w:hAnsi="Arial"/>
          <w:sz w:val="17"/>
          <w:szCs w:val="17"/>
          <w:i w:val="1"/>
          <w:iCs w:val="1"/>
          <w:color w:val="auto"/>
        </w:rPr>
        <w:t>Includes 1,208,658 RSUs under our 2006 Stock Incentive Plan that were outstanding on October 31, 2020 and 1,346,868 RSUs under our 2020 Plan that were outstanding on October 31, 2020.</w:t>
      </w:r>
    </w:p>
    <w:p>
      <w:pPr>
        <w:ind w:left="780" w:hanging="305"/>
        <w:spacing w:after="0"/>
        <w:tabs>
          <w:tab w:leader="none" w:pos="780" w:val="left"/>
        </w:tabs>
        <w:numPr>
          <w:ilvl w:val="0"/>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The weighted average exercise price of outstanding options, warrants and rights excludes RSUs, which do not have an exercise price.</w:t>
      </w:r>
    </w:p>
    <w:p>
      <w:pPr>
        <w:spacing w:after="0" w:line="24" w:lineRule="exact"/>
        <w:rPr>
          <w:rFonts w:ascii="Arial" w:cs="Arial" w:eastAsia="Arial" w:hAnsi="Arial"/>
          <w:sz w:val="16"/>
          <w:szCs w:val="16"/>
          <w:i w:val="1"/>
          <w:iCs w:val="1"/>
          <w:color w:val="auto"/>
        </w:rPr>
      </w:pPr>
    </w:p>
    <w:p>
      <w:pPr>
        <w:ind w:left="780" w:hanging="305"/>
        <w:spacing w:after="0" w:line="271" w:lineRule="auto"/>
        <w:tabs>
          <w:tab w:leader="none" w:pos="780" w:val="left"/>
        </w:tabs>
        <w:numPr>
          <w:ilvl w:val="0"/>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Our 2020 Plan, which was approved by shareholders in March 2020, allows for the issuance of 9,585,500 shares of our common stock, plus such additional number of shares of our common stock (up to 20,857,992) as is equal to the sum of (x) the number of shares of common stock reserved for issuance under the 2006 Stock Incentive Plan and the 2010 Plan that remained available for grant under such plan immediately prior to the date that the 2020 Plan was approved by our shareholders and (y) the number of shares of common stock subject to awards granted under the 2006 Stock Incentive Plan, the 2010 Plan and the 2005 Plan which awards expire, terminate or are otherwise surrendered, cancelled, forfeited or repurchased by us at their original issuance price pursuant to a contractual repurchase right.</w:t>
      </w:r>
    </w:p>
    <w:p>
      <w:pPr>
        <w:spacing w:after="0" w:line="2" w:lineRule="exact"/>
        <w:rPr>
          <w:rFonts w:ascii="Arial" w:cs="Arial" w:eastAsia="Arial" w:hAnsi="Arial"/>
          <w:sz w:val="16"/>
          <w:szCs w:val="16"/>
          <w:i w:val="1"/>
          <w:iCs w:val="1"/>
          <w:color w:val="auto"/>
        </w:rPr>
      </w:pPr>
    </w:p>
    <w:p>
      <w:pPr>
        <w:jc w:val="both"/>
        <w:ind w:left="780" w:right="200" w:hanging="305"/>
        <w:spacing w:after="0" w:line="287" w:lineRule="auto"/>
        <w:tabs>
          <w:tab w:leader="none" w:pos="780" w:val="left"/>
        </w:tabs>
        <w:numPr>
          <w:ilvl w:val="0"/>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In connection with the acquisition of Linear Technology in March 2017, we assumed the 2005 Plan and the 2010 Plan and issued 2.8 million RSU and RSA awards, in the aggregate, in replacement of outstanding and unvested Linear Technology equity awards under such plans. The 2010 Plan expired by its terms on September 15, 2020, but awards outstanding under the 2010 Plan will remain in effect.</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Compensation Committee Interlocks and Insider Participation</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During fiscal 2020, Drs. Frank, Wee and Glimcher and Mr. Little served as members of our Compensation</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Committee. Additionally, Dr. Su served as a member of our Compensation Committee until her departure from the Board of Directors in March</w:t>
      </w:r>
    </w:p>
    <w:p>
      <w:pPr>
        <w:spacing w:after="0" w:line="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2020. No member of our Compensation Committee was at any time during fiscal 2020, or formerly, an officer or employee of ADI or any</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subsidiary of ADI. No member of our Compensation Committee had any relationship with us during fiscal 2020 requiring disclosure under Item</w:t>
      </w:r>
    </w:p>
    <w:p>
      <w:pPr>
        <w:spacing w:after="0" w:line="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404 of Regulation</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S-K under the Exchange Act.</w:t>
      </w:r>
    </w:p>
    <w:p>
      <w:pPr>
        <w:spacing w:after="0" w:line="104" w:lineRule="exact"/>
        <w:rPr>
          <w:sz w:val="20"/>
          <w:szCs w:val="20"/>
          <w:color w:val="auto"/>
        </w:rPr>
      </w:pPr>
    </w:p>
    <w:p>
      <w:pPr>
        <w:ind w:left="480" w:right="300"/>
        <w:spacing w:after="0" w:line="270" w:lineRule="auto"/>
        <w:rPr>
          <w:sz w:val="20"/>
          <w:szCs w:val="20"/>
          <w:color w:val="auto"/>
        </w:rPr>
      </w:pPr>
      <w:r>
        <w:rPr>
          <w:rFonts w:ascii="Arial" w:cs="Arial" w:eastAsia="Arial" w:hAnsi="Arial"/>
          <w:sz w:val="17"/>
          <w:szCs w:val="17"/>
          <w:color w:val="auto"/>
        </w:rPr>
        <w:t>During fiscal 2020,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Compensation Committee Report</w:t>
      </w:r>
    </w:p>
    <w:p>
      <w:pPr>
        <w:spacing w:after="0" w:line="125" w:lineRule="exact"/>
        <w:rPr>
          <w:sz w:val="20"/>
          <w:szCs w:val="20"/>
          <w:color w:val="auto"/>
        </w:rPr>
      </w:pPr>
    </w:p>
    <w:p>
      <w:pPr>
        <w:ind w:left="480" w:right="140"/>
        <w:spacing w:after="0" w:line="270" w:lineRule="auto"/>
        <w:rPr>
          <w:sz w:val="20"/>
          <w:szCs w:val="20"/>
          <w:color w:val="auto"/>
        </w:rPr>
      </w:pPr>
      <w:r>
        <w:rPr>
          <w:rFonts w:ascii="Arial" w:cs="Arial" w:eastAsia="Arial" w:hAnsi="Arial"/>
          <w:sz w:val="17"/>
          <w:szCs w:val="17"/>
          <w:color w:val="auto"/>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Compensation Committee</w:t>
      </w:r>
    </w:p>
    <w:p>
      <w:pPr>
        <w:spacing w:after="0" w:line="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Edward H. Frank, Chairman</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Laurie H. Glimcher</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Mark M. Little</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Susie Wee</w:t>
      </w:r>
    </w:p>
    <w:p>
      <w:pPr>
        <w:spacing w:after="0" w:line="200" w:lineRule="exact"/>
        <w:rPr>
          <w:sz w:val="20"/>
          <w:szCs w:val="20"/>
          <w:color w:val="auto"/>
        </w:rPr>
      </w:pPr>
    </w:p>
    <w:p>
      <w:pPr>
        <w:spacing w:after="0" w:line="33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0760"/>
          </w:cols>
          <w:pgMar w:left="320" w:top="447" w:right="81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120" w:type="dxa"/>
        <w:tblCellMar>
          <w:top w:w="0" w:type="dxa"/>
          <w:left w:w="0" w:type="dxa"/>
          <w:bottom w:w="0" w:type="dxa"/>
          <w:right w:w="0" w:type="dxa"/>
        </w:tblCellMar>
      </w:tblPr>
      <w:tr>
        <w:trPr>
          <w:trHeight w:val="705"/>
        </w:trPr>
        <w:tc>
          <w:tcPr>
            <w:tcW w:w="8120" w:type="dxa"/>
            <w:vAlign w:val="bottom"/>
          </w:tcPr>
          <w:p>
            <w:pPr>
              <w:jc w:val="right"/>
              <w:ind w:right="263"/>
              <w:spacing w:after="0"/>
              <w:rPr>
                <w:sz w:val="20"/>
                <w:szCs w:val="20"/>
                <w:color w:val="auto"/>
              </w:rPr>
            </w:pPr>
            <w:r>
              <w:rPr>
                <w:rFonts w:ascii="Arial" w:cs="Arial" w:eastAsia="Arial" w:hAnsi="Arial"/>
                <w:sz w:val="55"/>
                <w:szCs w:val="55"/>
                <w:b w:val="1"/>
                <w:bCs w:val="1"/>
                <w:color w:val="0066BA"/>
              </w:rPr>
              <w:t>Proposal 3</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7"/>
        </w:trPr>
        <w:tc>
          <w:tcPr>
            <w:tcW w:w="8120" w:type="dxa"/>
            <w:vAlign w:val="bottom"/>
          </w:tcPr>
          <w:p>
            <w:pPr>
              <w:jc w:val="right"/>
              <w:ind w:right="263"/>
              <w:spacing w:after="0"/>
              <w:rPr>
                <w:sz w:val="20"/>
                <w:szCs w:val="20"/>
                <w:color w:val="auto"/>
              </w:rPr>
            </w:pPr>
            <w:r>
              <w:rPr>
                <w:rFonts w:ascii="Arial" w:cs="Arial" w:eastAsia="Arial" w:hAnsi="Arial"/>
                <w:sz w:val="55"/>
                <w:szCs w:val="55"/>
                <w:color w:val="auto"/>
              </w:rPr>
              <w:t>Ratification of Selection of</w:t>
            </w:r>
          </w:p>
        </w:tc>
        <w:tc>
          <w:tcPr>
            <w:tcW w:w="1060" w:type="dxa"/>
            <w:vAlign w:val="bottom"/>
            <w:vMerge w:val="restart"/>
          </w:tcPr>
          <w:p>
            <w:pPr>
              <w:ind w:left="520"/>
              <w:spacing w:after="0"/>
              <w:rPr>
                <w:sz w:val="20"/>
                <w:szCs w:val="20"/>
                <w:color w:val="auto"/>
              </w:rPr>
            </w:pPr>
            <w:r>
              <w:rPr>
                <w:rFonts w:ascii="Arial" w:cs="Arial" w:eastAsia="Arial" w:hAnsi="Arial"/>
                <w:sz w:val="191"/>
                <w:szCs w:val="191"/>
                <w:color w:val="0066BA"/>
                <w:w w:val="97"/>
              </w:rPr>
              <w:t>t</w:t>
            </w:r>
          </w:p>
        </w:tc>
        <w:tc>
          <w:tcPr>
            <w:tcW w:w="0" w:type="dxa"/>
            <w:vAlign w:val="bottom"/>
          </w:tcPr>
          <w:p>
            <w:pPr>
              <w:spacing w:after="0"/>
              <w:rPr>
                <w:sz w:val="1"/>
                <w:szCs w:val="1"/>
                <w:color w:val="auto"/>
              </w:rPr>
            </w:pPr>
          </w:p>
        </w:tc>
      </w:tr>
      <w:tr>
        <w:trPr>
          <w:trHeight w:val="637"/>
        </w:trPr>
        <w:tc>
          <w:tcPr>
            <w:tcW w:w="8120" w:type="dxa"/>
            <w:vAlign w:val="bottom"/>
          </w:tcPr>
          <w:p>
            <w:pPr>
              <w:jc w:val="right"/>
              <w:ind w:right="263"/>
              <w:spacing w:after="0"/>
              <w:rPr>
                <w:sz w:val="20"/>
                <w:szCs w:val="20"/>
                <w:color w:val="auto"/>
              </w:rPr>
            </w:pPr>
            <w:r>
              <w:rPr>
                <w:rFonts w:ascii="Arial" w:cs="Arial" w:eastAsia="Arial" w:hAnsi="Arial"/>
                <w:sz w:val="55"/>
                <w:szCs w:val="55"/>
                <w:color w:val="auto"/>
              </w:rPr>
              <w:t>Independent Registered Public</w:t>
            </w: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79"/>
        </w:trPr>
        <w:tc>
          <w:tcPr>
            <w:tcW w:w="8120" w:type="dxa"/>
            <w:vAlign w:val="bottom"/>
          </w:tcPr>
          <w:p>
            <w:pPr>
              <w:jc w:val="right"/>
              <w:ind w:right="263"/>
              <w:spacing w:after="0"/>
              <w:rPr>
                <w:sz w:val="20"/>
                <w:szCs w:val="20"/>
                <w:color w:val="auto"/>
              </w:rPr>
            </w:pPr>
            <w:r>
              <w:rPr>
                <w:rFonts w:ascii="Arial" w:cs="Arial" w:eastAsia="Arial" w:hAnsi="Arial"/>
                <w:sz w:val="55"/>
                <w:szCs w:val="55"/>
                <w:color w:val="auto"/>
              </w:rPr>
              <w:t>Accounting Firm</w:t>
            </w: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80" w:right="780"/>
        <w:spacing w:after="0" w:line="246" w:lineRule="auto"/>
        <w:rPr>
          <w:sz w:val="20"/>
          <w:szCs w:val="20"/>
          <w:color w:val="auto"/>
        </w:rPr>
      </w:pPr>
      <w:r>
        <w:rPr>
          <w:rFonts w:ascii="Arial" w:cs="Arial" w:eastAsia="Arial" w:hAnsi="Arial"/>
          <w:sz w:val="28"/>
          <w:szCs w:val="28"/>
          <w:color w:val="0066BA"/>
        </w:rPr>
        <w:t xml:space="preserve">Our Board of Directors unanimously recommends that you vote </w:t>
      </w:r>
      <w:r>
        <w:rPr>
          <w:sz w:val="1"/>
          <w:szCs w:val="1"/>
          <w:color w:val="auto"/>
        </w:rPr>
        <w:drawing>
          <wp:inline distT="0" distB="0" distL="0" distR="0">
            <wp:extent cx="165100" cy="140335"/>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65100" cy="140335"/>
                    </a:xfrm>
                    <a:prstGeom prst="rect">
                      <a:avLst/>
                    </a:prstGeom>
                    <a:noFill/>
                    <a:ln>
                      <a:noFill/>
                    </a:ln>
                  </pic:spPr>
                </pic:pic>
              </a:graphicData>
            </a:graphic>
          </wp:inline>
        </w:drawing>
      </w:r>
      <w:r>
        <w:rPr>
          <w:rFonts w:ascii="Arial" w:cs="Arial" w:eastAsia="Arial" w:hAnsi="Arial"/>
          <w:sz w:val="28"/>
          <w:szCs w:val="28"/>
          <w:color w:val="FFFFFF"/>
          <w:shd w:val="clear" w:color="auto" w:fill="0066BA"/>
        </w:rPr>
        <w:t xml:space="preserve"> FOR </w:t>
      </w:r>
      <w:r>
        <w:rPr>
          <w:rFonts w:ascii="Arial" w:cs="Arial" w:eastAsia="Arial" w:hAnsi="Arial"/>
          <w:sz w:val="28"/>
          <w:szCs w:val="28"/>
          <w:color w:val="0066BA"/>
        </w:rPr>
        <w:t>the</w:t>
      </w:r>
      <w:r>
        <w:rPr>
          <w:rFonts w:ascii="Arial" w:cs="Arial" w:eastAsia="Arial" w:hAnsi="Arial"/>
          <w:sz w:val="28"/>
          <w:szCs w:val="28"/>
          <w:color w:val="FFFFFF"/>
          <w:shd w:val="clear" w:color="auto" w:fill="0066BA"/>
        </w:rPr>
        <w:t xml:space="preserve"> </w:t>
      </w:r>
      <w:r>
        <w:rPr>
          <w:rFonts w:ascii="Arial" w:cs="Arial" w:eastAsia="Arial" w:hAnsi="Arial"/>
          <w:sz w:val="28"/>
          <w:szCs w:val="28"/>
          <w:color w:val="0066BA"/>
        </w:rPr>
        <w:t>ratification of the selection of Ernst &amp; Young LLP as our independent registered public accounting firm for fiscal 2021.</w:t>
      </w:r>
    </w:p>
    <w:p>
      <w:pPr>
        <w:spacing w:after="0" w:line="289" w:lineRule="exact"/>
        <w:rPr>
          <w:sz w:val="20"/>
          <w:szCs w:val="20"/>
          <w:color w:val="auto"/>
        </w:rPr>
      </w:pPr>
    </w:p>
    <w:p>
      <w:pPr>
        <w:ind w:left="480" w:right="320"/>
        <w:spacing w:after="0" w:line="265" w:lineRule="auto"/>
        <w:rPr>
          <w:sz w:val="20"/>
          <w:szCs w:val="20"/>
          <w:color w:val="auto"/>
        </w:rPr>
      </w:pPr>
      <w:r>
        <w:rPr>
          <w:rFonts w:ascii="Arial" w:cs="Arial" w:eastAsia="Arial" w:hAnsi="Arial"/>
          <w:sz w:val="17"/>
          <w:szCs w:val="17"/>
          <w:color w:val="auto"/>
        </w:rPr>
        <w:t>Our Audit Committee is directly responsible for the appointment, compensation, retention and oversight of the Company’s independent registered public accounting firm. To execute this responsibility, the Audit Committee engages in an annual evaluation of the independent registered public accounting firm’s qualifications, performance and independence and whether the retention of the independent public accounting firm is in the best interests of the Company and our shareholders.</w:t>
      </w:r>
    </w:p>
    <w:p>
      <w:pPr>
        <w:spacing w:after="0" w:line="73" w:lineRule="exact"/>
        <w:rPr>
          <w:sz w:val="20"/>
          <w:szCs w:val="20"/>
          <w:color w:val="auto"/>
        </w:rPr>
      </w:pPr>
    </w:p>
    <w:p>
      <w:pPr>
        <w:ind w:left="480" w:right="160"/>
        <w:spacing w:after="0" w:line="300" w:lineRule="auto"/>
        <w:rPr>
          <w:sz w:val="20"/>
          <w:szCs w:val="20"/>
          <w:color w:val="auto"/>
        </w:rPr>
      </w:pPr>
      <w:r>
        <w:rPr>
          <w:rFonts w:ascii="Arial" w:cs="Arial" w:eastAsia="Arial" w:hAnsi="Arial"/>
          <w:sz w:val="15"/>
          <w:szCs w:val="15"/>
          <w:color w:val="auto"/>
        </w:rPr>
        <w:t>Our Audit Committee has selected the firm of Ernst &amp; Young LLP, independent registered public accounting firm, as our auditors for fiscal 2021. We have engaged Ernst &amp; Young LLP, or its predecessor firms, to serve as our independent registered public accounting firm continuously since 1967. Through Ernst &amp; Young LLP’s years of experience with ADI, Ernst &amp; Young LLP has gained institutional knowledge of and deep expertise regarding ADI’s global operations, accounting policies and practices, and internal control over financial reporting, which enables efficiency with the annual audit and benefits the Company. In accordance with SEC rules and Ernst &amp; Young LLP policies, the firm’s lead engagement partner rotates every five years. Our Audit Committee and its Chairman are directly involved in the selection of Ernst &amp; Young LLP’s lead engagement partner. The Audit Committee also has the sole authority to approve all engagement fees paid to our independent registered public accounting firm.</w:t>
      </w:r>
    </w:p>
    <w:p>
      <w:pPr>
        <w:spacing w:after="0" w:line="52" w:lineRule="exact"/>
        <w:rPr>
          <w:sz w:val="20"/>
          <w:szCs w:val="20"/>
          <w:color w:val="auto"/>
        </w:rPr>
      </w:pPr>
    </w:p>
    <w:p>
      <w:pPr>
        <w:ind w:left="480" w:right="180"/>
        <w:spacing w:after="0" w:line="279" w:lineRule="auto"/>
        <w:rPr>
          <w:sz w:val="20"/>
          <w:szCs w:val="20"/>
          <w:color w:val="auto"/>
        </w:rPr>
      </w:pPr>
      <w:r>
        <w:rPr>
          <w:rFonts w:ascii="Arial" w:cs="Arial" w:eastAsia="Arial" w:hAnsi="Arial"/>
          <w:sz w:val="16"/>
          <w:szCs w:val="16"/>
          <w:color w:val="auto"/>
        </w:rPr>
        <w:t>The Audit Committee and the Board of Directors believe that the continued retention of Ernst &amp; Young LLP as our independent registered public accounting firm is in the best interests of the Company and our shareholders, and we are asking our shareholders to ratify the selection of Ernst &amp; Young LLP as our independent registered public accounting firm for fiscal 2021. Although shareholder approval of the selection of Ernst &amp; Young LLP is not required by law, our Board of Directors believes that it is advisable to give shareholders an opportunity to ratify this selection. If this proposal is not approved by our shareholders at the Annual Meeting, our Audit Committee will reconsider its selection of Ernst &amp; Young LLP. Even if the selection is ratified, the Audit Committee may in its discretion select a different independent registered public accounting firm at any time during the year if it determines that such change would be in the best interests of the Company and our shareholders.</w:t>
      </w:r>
    </w:p>
    <w:p>
      <w:pPr>
        <w:spacing w:after="0" w:line="64" w:lineRule="exact"/>
        <w:rPr>
          <w:sz w:val="20"/>
          <w:szCs w:val="20"/>
          <w:color w:val="auto"/>
        </w:rPr>
      </w:pPr>
    </w:p>
    <w:p>
      <w:pPr>
        <w:ind w:left="480" w:right="440"/>
        <w:spacing w:after="0" w:line="286" w:lineRule="auto"/>
        <w:rPr>
          <w:sz w:val="20"/>
          <w:szCs w:val="20"/>
          <w:color w:val="auto"/>
        </w:rPr>
      </w:pPr>
      <w:r>
        <w:rPr>
          <w:rFonts w:ascii="Arial" w:cs="Arial" w:eastAsia="Arial" w:hAnsi="Arial"/>
          <w:sz w:val="17"/>
          <w:szCs w:val="17"/>
          <w:color w:val="auto"/>
        </w:rPr>
        <w:t>Representatives of Ernst &amp; Young LLP are expected to attend the virtual Annual Meeting. They will have the opportunity to make a statement if they desire to do so and will also be available to respond to appropriate questions from shareholders.</w:t>
      </w:r>
    </w:p>
    <w:p>
      <w:pPr>
        <w:sectPr>
          <w:pgSz w:w="11900" w:h="16838" w:orient="portrait"/>
          <w:cols w:equalWidth="0" w:num="1">
            <w:col w:w="10940"/>
          </w:cols>
          <w:pgMar w:left="320" w:top="447" w:right="6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left="10760"/>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0940"/>
          </w:cols>
          <w:pgMar w:left="320" w:top="447" w:right="639" w:bottom="1440" w:gutter="0" w:footer="0" w:header="0"/>
          <w:type w:val="continuous"/>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Independent Registered Public Accounting Firm Fees</w:t>
      </w:r>
    </w:p>
    <w:p>
      <w:pPr>
        <w:spacing w:after="0" w:line="125" w:lineRule="exact"/>
        <w:rPr>
          <w:sz w:val="20"/>
          <w:szCs w:val="20"/>
          <w:color w:val="auto"/>
        </w:rPr>
      </w:pPr>
    </w:p>
    <w:p>
      <w:pPr>
        <w:ind w:left="480" w:right="220"/>
        <w:spacing w:after="0" w:line="286" w:lineRule="auto"/>
        <w:rPr>
          <w:sz w:val="20"/>
          <w:szCs w:val="20"/>
          <w:color w:val="auto"/>
        </w:rPr>
      </w:pPr>
      <w:r>
        <w:rPr>
          <w:rFonts w:ascii="Arial" w:cs="Arial" w:eastAsia="Arial" w:hAnsi="Arial"/>
          <w:sz w:val="17"/>
          <w:szCs w:val="17"/>
          <w:color w:val="auto"/>
        </w:rPr>
        <w:t>The following table presents the aggregate fees billed for services rendered by Ernst &amp; Young LLP, our independent registered public accounting firm, for fiscal 2020 and the fiscal year ended November 2, 2019, or fiscal 2019.</w:t>
      </w:r>
    </w:p>
    <w:p>
      <w:pPr>
        <w:spacing w:after="0" w:line="197" w:lineRule="exact"/>
        <w:rPr>
          <w:sz w:val="20"/>
          <w:szCs w:val="20"/>
          <w:color w:val="auto"/>
        </w:rPr>
      </w:pPr>
    </w:p>
    <w:tbl>
      <w:tblPr>
        <w:tblLayout w:type="fixed"/>
        <w:tblInd w:w="480" w:type="dxa"/>
        <w:tblCellMar>
          <w:top w:w="0" w:type="dxa"/>
          <w:left w:w="0" w:type="dxa"/>
          <w:bottom w:w="0" w:type="dxa"/>
          <w:right w:w="0" w:type="dxa"/>
        </w:tblCellMar>
      </w:tblPr>
      <w:tr>
        <w:trPr>
          <w:trHeight w:val="182"/>
        </w:trPr>
        <w:tc>
          <w:tcPr>
            <w:tcW w:w="462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Name</w:t>
            </w:r>
          </w:p>
        </w:tc>
        <w:tc>
          <w:tcPr>
            <w:tcW w:w="1400" w:type="dxa"/>
            <w:vAlign w:val="bottom"/>
            <w:shd w:val="clear" w:color="auto" w:fill="0066BA"/>
          </w:tcPr>
          <w:p>
            <w:pPr>
              <w:spacing w:after="0"/>
              <w:rPr>
                <w:sz w:val="15"/>
                <w:szCs w:val="15"/>
                <w:color w:val="auto"/>
              </w:rPr>
            </w:pPr>
          </w:p>
        </w:tc>
        <w:tc>
          <w:tcPr>
            <w:tcW w:w="1360" w:type="dxa"/>
            <w:vAlign w:val="bottom"/>
            <w:shd w:val="clear" w:color="auto" w:fill="0066BA"/>
          </w:tcPr>
          <w:p>
            <w:pPr>
              <w:jc w:val="right"/>
              <w:ind w:right="518"/>
              <w:spacing w:after="0"/>
              <w:rPr>
                <w:sz w:val="20"/>
                <w:szCs w:val="20"/>
                <w:color w:val="auto"/>
              </w:rPr>
            </w:pPr>
            <w:r>
              <w:rPr>
                <w:rFonts w:ascii="Arial" w:cs="Arial" w:eastAsia="Arial" w:hAnsi="Arial"/>
                <w:sz w:val="14"/>
                <w:szCs w:val="14"/>
                <w:b w:val="1"/>
                <w:bCs w:val="1"/>
                <w:color w:val="FFFFFF"/>
                <w:w w:val="98"/>
              </w:rPr>
              <w:t>Fiscal 2020</w:t>
            </w:r>
          </w:p>
        </w:tc>
        <w:tc>
          <w:tcPr>
            <w:tcW w:w="1540" w:type="dxa"/>
            <w:vAlign w:val="bottom"/>
            <w:shd w:val="clear" w:color="auto" w:fill="0066BA"/>
          </w:tcPr>
          <w:p>
            <w:pPr>
              <w:spacing w:after="0"/>
              <w:rPr>
                <w:sz w:val="15"/>
                <w:szCs w:val="15"/>
                <w:color w:val="auto"/>
              </w:rPr>
            </w:pPr>
          </w:p>
        </w:tc>
        <w:tc>
          <w:tcPr>
            <w:tcW w:w="1360" w:type="dxa"/>
            <w:vAlign w:val="bottom"/>
            <w:shd w:val="clear" w:color="auto" w:fill="0066BA"/>
          </w:tcPr>
          <w:p>
            <w:pPr>
              <w:jc w:val="right"/>
              <w:ind w:right="517"/>
              <w:spacing w:after="0"/>
              <w:rPr>
                <w:sz w:val="20"/>
                <w:szCs w:val="20"/>
                <w:color w:val="auto"/>
              </w:rPr>
            </w:pPr>
            <w:r>
              <w:rPr>
                <w:rFonts w:ascii="Arial" w:cs="Arial" w:eastAsia="Arial" w:hAnsi="Arial"/>
                <w:sz w:val="14"/>
                <w:szCs w:val="14"/>
                <w:b w:val="1"/>
                <w:bCs w:val="1"/>
                <w:color w:val="FFFFFF"/>
                <w:w w:val="98"/>
              </w:rPr>
              <w:t>Fiscal 2019</w:t>
            </w:r>
          </w:p>
        </w:tc>
      </w:tr>
      <w:tr>
        <w:trPr>
          <w:trHeight w:val="208"/>
        </w:trPr>
        <w:tc>
          <w:tcPr>
            <w:tcW w:w="46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Audit Fees</w:t>
            </w:r>
          </w:p>
        </w:tc>
        <w:tc>
          <w:tcPr>
            <w:tcW w:w="2760" w:type="dxa"/>
            <w:vAlign w:val="bottom"/>
            <w:tcBorders>
              <w:bottom w:val="single" w:sz="8" w:color="auto"/>
            </w:tcBorders>
            <w:gridSpan w:val="2"/>
            <w:shd w:val="clear" w:color="auto" w:fill="EAEAEA"/>
          </w:tcPr>
          <w:p>
            <w:pPr>
              <w:jc w:val="right"/>
              <w:ind w:right="518"/>
              <w:spacing w:after="0"/>
              <w:rPr>
                <w:sz w:val="20"/>
                <w:szCs w:val="20"/>
                <w:color w:val="auto"/>
              </w:rPr>
            </w:pPr>
            <w:r>
              <w:rPr>
                <w:rFonts w:ascii="Arial" w:cs="Arial" w:eastAsia="Arial" w:hAnsi="Arial"/>
                <w:sz w:val="17"/>
                <w:szCs w:val="17"/>
                <w:color w:val="auto"/>
              </w:rPr>
              <w:t>$ 4,533,000</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517"/>
              <w:spacing w:after="0"/>
              <w:rPr>
                <w:sz w:val="20"/>
                <w:szCs w:val="20"/>
                <w:color w:val="auto"/>
              </w:rPr>
            </w:pPr>
            <w:r>
              <w:rPr>
                <w:rFonts w:ascii="Arial" w:cs="Arial" w:eastAsia="Arial" w:hAnsi="Arial"/>
                <w:sz w:val="17"/>
                <w:szCs w:val="17"/>
                <w:color w:val="auto"/>
                <w:w w:val="97"/>
              </w:rPr>
              <w:t>4,772,000</w:t>
            </w:r>
          </w:p>
        </w:tc>
      </w:tr>
      <w:tr>
        <w:trPr>
          <w:trHeight w:val="201"/>
        </w:trPr>
        <w:tc>
          <w:tcPr>
            <w:tcW w:w="46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Audit-Related Fees</w:t>
            </w:r>
          </w:p>
        </w:tc>
        <w:tc>
          <w:tcPr>
            <w:tcW w:w="1400" w:type="dxa"/>
            <w:vAlign w:val="bottom"/>
            <w:tcBorders>
              <w:bottom w:val="single" w:sz="8" w:color="auto"/>
            </w:tcBorders>
            <w:shd w:val="clear" w:color="auto" w:fill="EAEAEA"/>
          </w:tcPr>
          <w:p>
            <w:pPr>
              <w:spacing w:after="0"/>
              <w:rPr>
                <w:sz w:val="17"/>
                <w:szCs w:val="17"/>
                <w:color w:val="auto"/>
              </w:rPr>
            </w:pPr>
          </w:p>
        </w:tc>
        <w:tc>
          <w:tcPr>
            <w:tcW w:w="1360" w:type="dxa"/>
            <w:vAlign w:val="bottom"/>
            <w:tcBorders>
              <w:bottom w:val="single" w:sz="8" w:color="auto"/>
            </w:tcBorders>
            <w:shd w:val="clear" w:color="auto" w:fill="EAEAEA"/>
          </w:tcPr>
          <w:p>
            <w:pPr>
              <w:jc w:val="right"/>
              <w:ind w:right="518"/>
              <w:spacing w:after="0"/>
              <w:rPr>
                <w:sz w:val="20"/>
                <w:szCs w:val="20"/>
                <w:color w:val="auto"/>
              </w:rPr>
            </w:pPr>
            <w:r>
              <w:rPr>
                <w:rFonts w:ascii="Arial" w:cs="Arial" w:eastAsia="Arial" w:hAnsi="Arial"/>
                <w:sz w:val="17"/>
                <w:szCs w:val="17"/>
                <w:color w:val="auto"/>
                <w:w w:val="97"/>
              </w:rPr>
              <w:t>1,719,000</w:t>
            </w:r>
          </w:p>
        </w:tc>
        <w:tc>
          <w:tcPr>
            <w:tcW w:w="15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17"/>
              <w:spacing w:after="0"/>
              <w:rPr>
                <w:sz w:val="20"/>
                <w:szCs w:val="20"/>
                <w:color w:val="auto"/>
              </w:rPr>
            </w:pPr>
            <w:r>
              <w:rPr>
                <w:rFonts w:ascii="Arial" w:cs="Arial" w:eastAsia="Arial" w:hAnsi="Arial"/>
                <w:sz w:val="17"/>
                <w:szCs w:val="17"/>
                <w:color w:val="auto"/>
              </w:rPr>
              <w:t>116,000</w:t>
            </w:r>
          </w:p>
        </w:tc>
      </w:tr>
      <w:tr>
        <w:trPr>
          <w:trHeight w:val="201"/>
        </w:trPr>
        <w:tc>
          <w:tcPr>
            <w:tcW w:w="46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Tax Fees</w:t>
            </w:r>
          </w:p>
        </w:tc>
        <w:tc>
          <w:tcPr>
            <w:tcW w:w="1400" w:type="dxa"/>
            <w:vAlign w:val="bottom"/>
            <w:tcBorders>
              <w:bottom w:val="single" w:sz="8" w:color="auto"/>
            </w:tcBorders>
            <w:shd w:val="clear" w:color="auto" w:fill="EAEAEA"/>
          </w:tcPr>
          <w:p>
            <w:pPr>
              <w:spacing w:after="0"/>
              <w:rPr>
                <w:sz w:val="17"/>
                <w:szCs w:val="17"/>
                <w:color w:val="auto"/>
              </w:rPr>
            </w:pPr>
          </w:p>
        </w:tc>
        <w:tc>
          <w:tcPr>
            <w:tcW w:w="1360" w:type="dxa"/>
            <w:vAlign w:val="bottom"/>
            <w:tcBorders>
              <w:bottom w:val="single" w:sz="8" w:color="auto"/>
            </w:tcBorders>
            <w:shd w:val="clear" w:color="auto" w:fill="EAEAEA"/>
          </w:tcPr>
          <w:p>
            <w:pPr>
              <w:jc w:val="right"/>
              <w:ind w:right="518"/>
              <w:spacing w:after="0"/>
              <w:rPr>
                <w:sz w:val="20"/>
                <w:szCs w:val="20"/>
                <w:color w:val="auto"/>
              </w:rPr>
            </w:pPr>
            <w:r>
              <w:rPr>
                <w:rFonts w:ascii="Arial" w:cs="Arial" w:eastAsia="Arial" w:hAnsi="Arial"/>
                <w:sz w:val="17"/>
                <w:szCs w:val="17"/>
                <w:color w:val="auto"/>
                <w:w w:val="97"/>
              </w:rPr>
              <w:t>2,223,000</w:t>
            </w:r>
          </w:p>
        </w:tc>
        <w:tc>
          <w:tcPr>
            <w:tcW w:w="15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17"/>
              <w:spacing w:after="0"/>
              <w:rPr>
                <w:sz w:val="20"/>
                <w:szCs w:val="20"/>
                <w:color w:val="auto"/>
              </w:rPr>
            </w:pPr>
            <w:r>
              <w:rPr>
                <w:rFonts w:ascii="Arial" w:cs="Arial" w:eastAsia="Arial" w:hAnsi="Arial"/>
                <w:sz w:val="17"/>
                <w:szCs w:val="17"/>
                <w:color w:val="auto"/>
                <w:w w:val="97"/>
              </w:rPr>
              <w:t>2,714,000</w:t>
            </w:r>
          </w:p>
        </w:tc>
      </w:tr>
      <w:tr>
        <w:trPr>
          <w:trHeight w:val="201"/>
        </w:trPr>
        <w:tc>
          <w:tcPr>
            <w:tcW w:w="4620" w:type="dxa"/>
            <w:vAlign w:val="bottom"/>
            <w:tcBorders>
              <w:bottom w:val="single" w:sz="8" w:color="0066BA"/>
            </w:tcBorders>
          </w:tcPr>
          <w:p>
            <w:pPr>
              <w:ind w:left="60"/>
              <w:spacing w:after="0"/>
              <w:rPr>
                <w:sz w:val="20"/>
                <w:szCs w:val="20"/>
                <w:color w:val="auto"/>
              </w:rPr>
            </w:pPr>
            <w:r>
              <w:rPr>
                <w:rFonts w:ascii="Arial" w:cs="Arial" w:eastAsia="Arial" w:hAnsi="Arial"/>
                <w:sz w:val="17"/>
                <w:szCs w:val="17"/>
                <w:color w:val="auto"/>
              </w:rPr>
              <w:t>Total Fees</w:t>
            </w:r>
          </w:p>
        </w:tc>
        <w:tc>
          <w:tcPr>
            <w:tcW w:w="14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0066BA"/>
            </w:tcBorders>
            <w:shd w:val="clear" w:color="auto" w:fill="EAEAEA"/>
          </w:tcPr>
          <w:p>
            <w:pPr>
              <w:jc w:val="right"/>
              <w:ind w:right="518"/>
              <w:spacing w:after="0"/>
              <w:rPr>
                <w:sz w:val="20"/>
                <w:szCs w:val="20"/>
                <w:color w:val="auto"/>
              </w:rPr>
            </w:pPr>
            <w:r>
              <w:rPr>
                <w:rFonts w:ascii="Arial" w:cs="Arial" w:eastAsia="Arial" w:hAnsi="Arial"/>
                <w:sz w:val="17"/>
                <w:szCs w:val="17"/>
                <w:color w:val="auto"/>
                <w:w w:val="97"/>
              </w:rPr>
              <w:t>8,475,000</w:t>
            </w:r>
          </w:p>
        </w:tc>
        <w:tc>
          <w:tcPr>
            <w:tcW w:w="1540" w:type="dxa"/>
            <w:vAlign w:val="bottom"/>
            <w:tcBorders>
              <w:bottom w:val="single" w:sz="8" w:color="0066BA"/>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0066BA"/>
            </w:tcBorders>
          </w:tcPr>
          <w:p>
            <w:pPr>
              <w:jc w:val="right"/>
              <w:ind w:right="517"/>
              <w:spacing w:after="0"/>
              <w:rPr>
                <w:sz w:val="20"/>
                <w:szCs w:val="20"/>
                <w:color w:val="auto"/>
              </w:rPr>
            </w:pPr>
            <w:r>
              <w:rPr>
                <w:rFonts w:ascii="Arial" w:cs="Arial" w:eastAsia="Arial" w:hAnsi="Arial"/>
                <w:sz w:val="17"/>
                <w:szCs w:val="17"/>
                <w:color w:val="auto"/>
                <w:w w:val="97"/>
              </w:rPr>
              <w:t>7,602,000</w:t>
            </w:r>
          </w:p>
        </w:tc>
      </w:tr>
    </w:tbl>
    <w:p>
      <w:pPr>
        <w:spacing w:after="0" w:line="92" w:lineRule="exact"/>
        <w:rPr>
          <w:sz w:val="20"/>
          <w:szCs w:val="20"/>
          <w:color w:val="auto"/>
        </w:rPr>
      </w:pPr>
    </w:p>
    <w:p>
      <w:pPr>
        <w:ind w:left="480"/>
        <w:spacing w:after="0" w:line="263" w:lineRule="auto"/>
        <w:rPr>
          <w:sz w:val="20"/>
          <w:szCs w:val="20"/>
          <w:color w:val="auto"/>
        </w:rPr>
      </w:pPr>
      <w:r>
        <w:rPr>
          <w:rFonts w:ascii="Arial" w:cs="Arial" w:eastAsia="Arial" w:hAnsi="Arial"/>
          <w:sz w:val="17"/>
          <w:szCs w:val="17"/>
          <w:color w:val="0066BA"/>
        </w:rPr>
        <w:t xml:space="preserve">Audit Fees. </w:t>
      </w:r>
      <w:r>
        <w:rPr>
          <w:rFonts w:ascii="Arial" w:cs="Arial" w:eastAsia="Arial" w:hAnsi="Arial"/>
          <w:sz w:val="17"/>
          <w:szCs w:val="17"/>
          <w:color w:val="000000"/>
        </w:rPr>
        <w:t>These are fees related to professional services rendered in connection with the audit of our consolidated financial statements, the audit</w:t>
      </w:r>
      <w:r>
        <w:rPr>
          <w:rFonts w:ascii="Arial" w:cs="Arial" w:eastAsia="Arial" w:hAnsi="Arial"/>
          <w:sz w:val="17"/>
          <w:szCs w:val="17"/>
          <w:color w:val="0066BA"/>
        </w:rPr>
        <w:t xml:space="preserve"> </w:t>
      </w:r>
      <w:r>
        <w:rPr>
          <w:rFonts w:ascii="Arial" w:cs="Arial" w:eastAsia="Arial" w:hAnsi="Arial"/>
          <w:sz w:val="17"/>
          <w:szCs w:val="17"/>
          <w:color w:val="000000"/>
        </w:rPr>
        <w:t>of the effectiveness of our internal control over financial reporting, the reviews of our interim financial statements included in each of our Quarterly Reports on Form 10-Q, international statutory audits, assistance with registration statements and other periodic filings, and accounting consultations that relate to the audited financial statements and are necessary to comply with U.S. generally accepted accounting principles.</w:t>
      </w:r>
    </w:p>
    <w:p>
      <w:pPr>
        <w:spacing w:after="0" w:line="74" w:lineRule="exact"/>
        <w:rPr>
          <w:sz w:val="20"/>
          <w:szCs w:val="20"/>
          <w:color w:val="auto"/>
        </w:rPr>
      </w:pPr>
    </w:p>
    <w:p>
      <w:pPr>
        <w:ind w:left="480" w:right="100"/>
        <w:spacing w:after="0" w:line="265" w:lineRule="auto"/>
        <w:rPr>
          <w:sz w:val="20"/>
          <w:szCs w:val="20"/>
          <w:color w:val="auto"/>
        </w:rPr>
      </w:pPr>
      <w:r>
        <w:rPr>
          <w:rFonts w:ascii="Arial" w:cs="Arial" w:eastAsia="Arial" w:hAnsi="Arial"/>
          <w:sz w:val="17"/>
          <w:szCs w:val="17"/>
          <w:color w:val="0066BA"/>
        </w:rPr>
        <w:t xml:space="preserve">Audit-Related Fees. </w:t>
      </w:r>
      <w:r>
        <w:rPr>
          <w:rFonts w:ascii="Arial" w:cs="Arial" w:eastAsia="Arial" w:hAnsi="Arial"/>
          <w:sz w:val="17"/>
          <w:szCs w:val="17"/>
          <w:color w:val="000000"/>
        </w:rPr>
        <w:t>These are fees for assurance and related services and consisted primarily of audits of employee benefit plans, accounting</w:t>
      </w:r>
      <w:r>
        <w:rPr>
          <w:rFonts w:ascii="Arial" w:cs="Arial" w:eastAsia="Arial" w:hAnsi="Arial"/>
          <w:sz w:val="17"/>
          <w:szCs w:val="17"/>
          <w:color w:val="0066BA"/>
        </w:rPr>
        <w:t xml:space="preserve"> </w:t>
      </w:r>
      <w:r>
        <w:rPr>
          <w:rFonts w:ascii="Arial" w:cs="Arial" w:eastAsia="Arial" w:hAnsi="Arial"/>
          <w:sz w:val="17"/>
          <w:szCs w:val="17"/>
          <w:color w:val="000000"/>
        </w:rPr>
        <w:t>matters not related to the annual audit, attestation services that are not required by statute or regulation, and accounting consultations in connection with transactions, merger and acquisition due diligence. For fiscal 2020, the year-over-year increase is driven by due diligence services related to the proposed acquisition of Maxim Integrated.</w:t>
      </w:r>
    </w:p>
    <w:p>
      <w:pPr>
        <w:spacing w:after="0" w:line="73" w:lineRule="exact"/>
        <w:rPr>
          <w:sz w:val="20"/>
          <w:szCs w:val="20"/>
          <w:color w:val="auto"/>
        </w:rPr>
      </w:pPr>
    </w:p>
    <w:p>
      <w:pPr>
        <w:ind w:left="480" w:right="100"/>
        <w:spacing w:after="0" w:line="263" w:lineRule="auto"/>
        <w:rPr>
          <w:sz w:val="20"/>
          <w:szCs w:val="20"/>
          <w:color w:val="auto"/>
        </w:rPr>
      </w:pPr>
      <w:r>
        <w:rPr>
          <w:rFonts w:ascii="Arial" w:cs="Arial" w:eastAsia="Arial" w:hAnsi="Arial"/>
          <w:sz w:val="17"/>
          <w:szCs w:val="17"/>
          <w:color w:val="0066BA"/>
        </w:rPr>
        <w:t xml:space="preserve">Tax Fees. </w:t>
      </w:r>
      <w:r>
        <w:rPr>
          <w:rFonts w:ascii="Arial" w:cs="Arial" w:eastAsia="Arial" w:hAnsi="Arial"/>
          <w:sz w:val="17"/>
          <w:szCs w:val="17"/>
          <w:color w:val="000000"/>
        </w:rPr>
        <w:t>These are fees for tax advice and services, including services relating to the integration of Linear Technology, professional services</w:t>
      </w:r>
      <w:r>
        <w:rPr>
          <w:rFonts w:ascii="Arial" w:cs="Arial" w:eastAsia="Arial" w:hAnsi="Arial"/>
          <w:sz w:val="17"/>
          <w:szCs w:val="17"/>
          <w:color w:val="0066BA"/>
        </w:rPr>
        <w:t xml:space="preserve"> </w:t>
      </w:r>
      <w:r>
        <w:rPr>
          <w:rFonts w:ascii="Arial" w:cs="Arial" w:eastAsia="Arial" w:hAnsi="Arial"/>
          <w:sz w:val="17"/>
          <w:szCs w:val="17"/>
          <w:color w:val="000000"/>
        </w:rPr>
        <w:t>related to tax return preparation services for our expatriates, international tax returns, tax advice and planning, and assistance with international tax audits. Included in this amount are fees of $362,000 in fiscal 2020, and $439,000 in fiscal 2019, for tax compliance services for our international affiliates and tax return preparation services for our expatriate employees on international assignments. Ernst &amp; Young LLP does not provide tax services to any person in a financial reporting oversight role at Analog Devices.</w:t>
      </w:r>
    </w:p>
    <w:p>
      <w:pPr>
        <w:spacing w:after="0" w:line="261"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Audit Committee’s Pre-Approval Policy and Procedures</w:t>
      </w:r>
    </w:p>
    <w:p>
      <w:pPr>
        <w:spacing w:after="0" w:line="125" w:lineRule="exact"/>
        <w:rPr>
          <w:sz w:val="20"/>
          <w:szCs w:val="20"/>
          <w:color w:val="auto"/>
        </w:rPr>
      </w:pPr>
    </w:p>
    <w:p>
      <w:pPr>
        <w:ind w:left="480" w:right="100"/>
        <w:spacing w:after="0" w:line="297" w:lineRule="auto"/>
        <w:rPr>
          <w:sz w:val="20"/>
          <w:szCs w:val="20"/>
          <w:color w:val="auto"/>
        </w:rPr>
      </w:pPr>
      <w:r>
        <w:rPr>
          <w:rFonts w:ascii="Arial" w:cs="Arial" w:eastAsia="Arial" w:hAnsi="Arial"/>
          <w:sz w:val="15"/>
          <w:szCs w:val="15"/>
          <w:color w:val="auto"/>
        </w:rPr>
        <w:t>The Audit Committee of our Board of Directors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On an annual basis, the Audit Committee may pre-approve services that are expected to be provided to Analog Devices by the independent registered public accounting firm during the following 12 months. At the time the pre-approval is granted, the Audit Committee must (1) identify the particular pre-approved services in a sufficient level of detail so that management will not be called upon to make a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registered public accounting firm must report to the Audit Committee regarding each service actually provided to Analog Devices.</w:t>
      </w:r>
    </w:p>
    <w:p>
      <w:pPr>
        <w:spacing w:after="0" w:line="51" w:lineRule="exact"/>
        <w:rPr>
          <w:sz w:val="20"/>
          <w:szCs w:val="20"/>
          <w:color w:val="auto"/>
        </w:rPr>
      </w:pPr>
    </w:p>
    <w:p>
      <w:pPr>
        <w:ind w:left="480" w:right="220"/>
        <w:spacing w:after="0" w:line="260" w:lineRule="auto"/>
        <w:rPr>
          <w:sz w:val="20"/>
          <w:szCs w:val="20"/>
          <w:color w:val="auto"/>
        </w:rPr>
      </w:pPr>
      <w:r>
        <w:rPr>
          <w:rFonts w:ascii="Arial" w:cs="Arial" w:eastAsia="Arial" w:hAnsi="Arial"/>
          <w:sz w:val="17"/>
          <w:szCs w:val="17"/>
          <w:color w:val="auto"/>
        </w:rPr>
        <w:t>If the cost of any service exceeds the pre-approved monetary limit, that service must be approved (1) by the entire Audit Committee if the cost of the service exceeds $100,000 or (2) by the Chairman of the Audit Committee if the cost of the service is less than $100,000 but greater than $10,000. If the cost of any service exceeds the pre-approved monetary limit, individual items with a cost of less than $10,000 each do not require further pre-approval, provided that the total cost of all individual items does not exceed $40,000 and an update of all items in this category is provided to the Audit Committee at each quarterly scheduled meeting. However, if the cost of all the individual items will exceed $40,000, the Chairman of the Audit Committee must receive a summary of those items with a request for approval of any amounts to be incurred in excess of $40,000.</w:t>
      </w:r>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0760"/>
          </w:cols>
          <w:pgMar w:left="320" w:top="447" w:right="81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340"/>
        <w:spacing w:after="0" w:line="265" w:lineRule="auto"/>
        <w:rPr>
          <w:sz w:val="20"/>
          <w:szCs w:val="20"/>
          <w:color w:val="auto"/>
        </w:rPr>
      </w:pPr>
      <w:r>
        <w:rPr>
          <w:rFonts w:ascii="Arial" w:cs="Arial" w:eastAsia="Arial" w:hAnsi="Arial"/>
          <w:sz w:val="17"/>
          <w:szCs w:val="17"/>
          <w:color w:val="auto"/>
        </w:rPr>
        <w:t>The Audit Committee has delegated authority to the Chairman of the Audit Committee to pre-approve any audit or non-audit services to be provided to Analog Devices by the independent registered public accounting firm for which the cost is less than $100,000. During fiscal 2020 and fiscal 2019, all services provided to Analog Devices by Ernst &amp; Young LLP were pre-approved in accordance with the pre-approval policies and procedures described above.</w:t>
      </w:r>
    </w:p>
    <w:p>
      <w:pPr>
        <w:spacing w:after="0" w:line="261"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Audit Committee Report</w:t>
      </w:r>
    </w:p>
    <w:p>
      <w:pPr>
        <w:spacing w:after="0" w:line="125" w:lineRule="exact"/>
        <w:rPr>
          <w:sz w:val="20"/>
          <w:szCs w:val="20"/>
          <w:color w:val="auto"/>
        </w:rPr>
      </w:pPr>
    </w:p>
    <w:p>
      <w:pPr>
        <w:ind w:left="480" w:right="180"/>
        <w:spacing w:after="0" w:line="274" w:lineRule="auto"/>
        <w:rPr>
          <w:sz w:val="20"/>
          <w:szCs w:val="20"/>
          <w:color w:val="auto"/>
        </w:rPr>
      </w:pPr>
      <w:r>
        <w:rPr>
          <w:rFonts w:ascii="Arial" w:cs="Arial" w:eastAsia="Arial" w:hAnsi="Arial"/>
          <w:sz w:val="16"/>
          <w:szCs w:val="16"/>
          <w:color w:val="auto"/>
        </w:rPr>
        <w:t>The Audit Committee of the Board of Directors assisted the Board of Directors’ oversight of (i) the integrity of our financial statements and the Company’s systems of internal control over financial reporting and disclosure controls and procedures, (ii) the qualifications and independence of our independent registered public accounting firm, and (iii) the performance of our internal audit function and independent registered public accounting firm. The Audit Committee also met privately with our independent registered public accounting firm and our Director of Internal Audit to discuss our financial statements and disclosures, accounting policies and their application, internal control over financial reporting, and other matters of importance to the Audit Committee, the independent registered public accounting firm and the internal auditors. Management has the primary responsibility for the financial statements and the reporting process, including the system of internal control over financial reporting. In fulfilling its oversight responsibilities, the Audit Committee reviewed and discussed with management the audited financial statements contained in our Annual Report on Form 10-K and the quarterly financial statements during fiscal 2020, including the specific disclosures in the section titled “Management’s Discussion and Analysis of Financial Condition and Results of Operations.” These discussions also addressed the quality, not just the acceptability, of the accounting principles, the reasonableness of significant judgments, and the clarity of disclosures in the financial statements. The Audit Committee reported on these meetings to our Board of Directors. The Audit Committee also selected and appointed our independent registered public accounting firm, reviewed the performance of the independent registered public accounting firm during the annual audit and on assignments unrelated to the audit, assessed the independence of the independent registered public accounting firm and reviewed and approved the independent registered public accounting firm’s fees. The Audit Committee also has adopted policies and procedures for the pre-approval of audit and non-audit services for the purpose of maintaining the independence of our independent registered public accounting firm. The Audit Committee operates under a written charter adopted by our Board of Directors.</w:t>
      </w:r>
    </w:p>
    <w:p>
      <w:pPr>
        <w:spacing w:after="0" w:line="72" w:lineRule="exact"/>
        <w:rPr>
          <w:sz w:val="20"/>
          <w:szCs w:val="20"/>
          <w:color w:val="auto"/>
        </w:rPr>
      </w:pPr>
    </w:p>
    <w:p>
      <w:pPr>
        <w:ind w:left="480" w:right="300"/>
        <w:spacing w:after="0" w:line="258" w:lineRule="auto"/>
        <w:rPr>
          <w:sz w:val="20"/>
          <w:szCs w:val="20"/>
          <w:color w:val="auto"/>
        </w:rPr>
      </w:pPr>
      <w:r>
        <w:rPr>
          <w:rFonts w:ascii="Arial" w:cs="Arial" w:eastAsia="Arial" w:hAnsi="Arial"/>
          <w:sz w:val="17"/>
          <w:szCs w:val="17"/>
          <w:color w:val="auto"/>
        </w:rPr>
        <w:t>The Audit Committee reviewed with our independent registered public accounting firm, who are responsible for expressing an opinion on the conformity of the audited financial statements with generally accepted accounting principles, their judgments as to the quality, not just the acceptability, of our accounting principles and such other matters as are required to be discussed with the Audit Committee under generally accepted auditing standards. In addition, the Audit Committee has discussed with the independent registered public accounting firm (i) the matters required to be discussed by the applicable requirements of the Public Company Accounting Oversight Board (PCAOB) and the SEC and (ii) the independent registered public accounting firm’s independence from Analog Devices and its management, including the matters in the written disclosures and the letter we received from the independent registered public accounting firm required by applicable requirements of the PCAOB regarding the independent registered public accounting firm’s communications with the Audit Committee concerning independence. The Audit Committee considered the appropriateness of the provision of non-audit services by the independent registered public accounting firm relative to their independence.</w:t>
      </w:r>
    </w:p>
    <w:p>
      <w:pPr>
        <w:spacing w:after="0" w:line="84" w:lineRule="exact"/>
        <w:rPr>
          <w:sz w:val="20"/>
          <w:szCs w:val="20"/>
          <w:color w:val="auto"/>
        </w:rPr>
      </w:pPr>
    </w:p>
    <w:p>
      <w:pPr>
        <w:ind w:left="480" w:right="420"/>
        <w:spacing w:after="0" w:line="265" w:lineRule="auto"/>
        <w:rPr>
          <w:sz w:val="20"/>
          <w:szCs w:val="20"/>
          <w:color w:val="auto"/>
        </w:rPr>
      </w:pPr>
      <w:r>
        <w:rPr>
          <w:rFonts w:ascii="Arial" w:cs="Arial" w:eastAsia="Arial" w:hAnsi="Arial"/>
          <w:sz w:val="17"/>
          <w:szCs w:val="17"/>
          <w:color w:val="auto"/>
        </w:rPr>
        <w:t>Based on its review and discussions referred to above, the Audit Committee recommended to our Board of Directors (and the Board of Directors approved) that our audited financial statements be included in our Annual Report on Form 10-K for the fiscal year ended October 31, 2020. The Audit Committee also selected Ernst &amp; Young LLP as our independent registered public accounting firm for the fiscal year ending October 30, 2021.</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Audit Committee</w:t>
      </w:r>
    </w:p>
    <w:p>
      <w:pPr>
        <w:spacing w:after="0" w:line="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Kenton J. Sicchitano, Chairman</w:t>
      </w:r>
    </w:p>
    <w:p>
      <w:pPr>
        <w:spacing w:after="0" w:line="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Bruce R. Evans</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Karen M. Golz</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0940"/>
          </w:cols>
          <w:pgMar w:left="320" w:top="447" w:right="6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480"/>
        <w:spacing w:after="0"/>
        <w:rPr>
          <w:sz w:val="20"/>
          <w:szCs w:val="20"/>
          <w:color w:val="auto"/>
        </w:rPr>
      </w:pPr>
      <w:r>
        <w:rPr>
          <w:rFonts w:ascii="Arial" w:cs="Arial" w:eastAsia="Arial" w:hAnsi="Arial"/>
          <w:sz w:val="55"/>
          <w:szCs w:val="55"/>
          <w:color w:val="auto"/>
        </w:rPr>
        <w:t>Other Matters</w:t>
      </w:r>
    </w:p>
    <w:p>
      <w:pPr>
        <w:spacing w:after="0" w:line="302" w:lineRule="exact"/>
        <w:rPr>
          <w:sz w:val="20"/>
          <w:szCs w:val="20"/>
          <w:color w:val="auto"/>
        </w:rPr>
      </w:pPr>
    </w:p>
    <w:p>
      <w:pPr>
        <w:jc w:val="both"/>
        <w:ind w:left="480"/>
        <w:spacing w:after="0" w:line="270" w:lineRule="auto"/>
        <w:rPr>
          <w:sz w:val="20"/>
          <w:szCs w:val="20"/>
          <w:color w:val="auto"/>
        </w:rPr>
      </w:pPr>
      <w:r>
        <w:rPr>
          <w:rFonts w:ascii="Arial" w:cs="Arial" w:eastAsia="Arial" w:hAnsi="Arial"/>
          <w:sz w:val="17"/>
          <w:szCs w:val="17"/>
          <w:color w:val="auto"/>
        </w:rPr>
        <w:t>Our Board of Directors does not know of any other matters that may come before the Annual Meeting. However, if any other matters are properly presented at the Annual Meeting, it is the intention of the persons named as proxies to vote, or otherwise act, in accordance with their judgment on such matters.</w:t>
      </w:r>
    </w:p>
    <w:p>
      <w:pPr>
        <w:spacing w:after="0" w:line="200" w:lineRule="exact"/>
        <w:rPr>
          <w:sz w:val="20"/>
          <w:szCs w:val="20"/>
          <w:color w:val="auto"/>
        </w:rPr>
      </w:pPr>
    </w:p>
    <w:p>
      <w:pPr>
        <w:spacing w:after="0" w:line="29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0640"/>
          </w:cols>
          <w:pgMar w:left="320" w:top="447" w:right="9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52" w:lineRule="exact"/>
        <w:rPr>
          <w:sz w:val="20"/>
          <w:szCs w:val="20"/>
          <w:color w:val="auto"/>
        </w:rPr>
      </w:pPr>
    </w:p>
    <w:p>
      <w:pPr>
        <w:ind w:left="480"/>
        <w:spacing w:after="0"/>
        <w:rPr>
          <w:sz w:val="20"/>
          <w:szCs w:val="20"/>
          <w:color w:val="auto"/>
        </w:rPr>
      </w:pPr>
      <w:r>
        <w:rPr>
          <w:rFonts w:ascii="Arial" w:cs="Arial" w:eastAsia="Arial" w:hAnsi="Arial"/>
          <w:sz w:val="55"/>
          <w:szCs w:val="55"/>
          <w:b w:val="1"/>
          <w:bCs w:val="1"/>
          <w:color w:val="0066BA"/>
        </w:rPr>
        <w:t>Q&amp;A About Annual Meeting and Voting</w:t>
      </w:r>
    </w:p>
    <w:p>
      <w:pPr>
        <w:sectPr>
          <w:pgSz w:w="11900" w:h="16838" w:orient="portrait"/>
          <w:cols w:equalWidth="0" w:num="1">
            <w:col w:w="10940"/>
          </w:cols>
          <w:pgMar w:left="320" w:top="447" w:right="639" w:bottom="1440" w:gutter="0" w:footer="0" w:header="0"/>
        </w:sectPr>
      </w:pPr>
    </w:p>
    <w:p>
      <w:pPr>
        <w:spacing w:after="0" w:line="33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Q:How do I attend the virtual Annual Meeting?</w:t>
      </w:r>
    </w:p>
    <w:p>
      <w:pPr>
        <w:spacing w:after="0" w:line="84" w:lineRule="exact"/>
        <w:rPr>
          <w:sz w:val="20"/>
          <w:szCs w:val="20"/>
          <w:color w:val="auto"/>
        </w:rPr>
      </w:pPr>
    </w:p>
    <w:p>
      <w:pPr>
        <w:ind w:left="680" w:hanging="205"/>
        <w:spacing w:after="0" w:line="272" w:lineRule="auto"/>
        <w:tabs>
          <w:tab w:leader="none" w:pos="680" w:val="left"/>
        </w:tabs>
        <w:numPr>
          <w:ilvl w:val="0"/>
          <w:numId w:val="72"/>
        </w:numPr>
        <w:rPr>
          <w:rFonts w:ascii="Arial" w:cs="Arial" w:eastAsia="Arial" w:hAnsi="Arial"/>
          <w:sz w:val="16"/>
          <w:szCs w:val="16"/>
          <w:b w:val="1"/>
          <w:bCs w:val="1"/>
          <w:color w:val="0066BA"/>
        </w:rPr>
      </w:pPr>
      <w:r>
        <w:rPr>
          <w:rFonts w:ascii="Arial" w:cs="Arial" w:eastAsia="Arial" w:hAnsi="Arial"/>
          <w:sz w:val="16"/>
          <w:szCs w:val="16"/>
          <w:color w:val="auto"/>
        </w:rPr>
        <w:t>This year’s Annual Meeting will be conducted as a virtual meeting of shareholders. We will host the Annual Meeting live online via audio webcast. You are entitled to participate in the virtual Annual Meeting only if you were an Analog Devices shareholder as of the close of business on January 4, 2021, the record date for the Annual Meeting. You will be able to attend the Annual Meeting online, vote your shares online during the Annual Meeting and submit your questions online before and during the Annual Meeting by visiting www.virtualshareholdermeeting.com/ADI2021. There will not be a physical meeting location and you will not be able to attend the Annual Meeting in person. The webcast will start at 9 a.m. Eastern Time, on March 10, 2021. You will need the 16-digit control number included on your Notice of Internet Availability of Proxy Materials, proxy card or voting instruction form in order to be able to enter the Annual Meeting online. Information contained on this website is not incorporated by reference into this proxy statement or any other report we file with the SEC.</w:t>
      </w:r>
    </w:p>
    <w:p>
      <w:pPr>
        <w:spacing w:after="0" w:line="6" w:lineRule="exact"/>
        <w:rPr>
          <w:rFonts w:ascii="Arial" w:cs="Arial" w:eastAsia="Arial" w:hAnsi="Arial"/>
          <w:sz w:val="16"/>
          <w:szCs w:val="16"/>
          <w:b w:val="1"/>
          <w:bCs w:val="1"/>
          <w:color w:val="0066BA"/>
        </w:rPr>
      </w:pPr>
    </w:p>
    <w:p>
      <w:pPr>
        <w:ind w:left="640" w:right="120"/>
        <w:spacing w:after="0" w:line="297" w:lineRule="auto"/>
        <w:rPr>
          <w:rFonts w:ascii="Arial" w:cs="Arial" w:eastAsia="Arial" w:hAnsi="Arial"/>
          <w:sz w:val="16"/>
          <w:szCs w:val="16"/>
          <w:b w:val="1"/>
          <w:bCs w:val="1"/>
          <w:color w:val="0066BA"/>
        </w:rPr>
      </w:pPr>
      <w:r>
        <w:rPr>
          <w:rFonts w:ascii="Arial" w:cs="Arial" w:eastAsia="Arial" w:hAnsi="Arial"/>
          <w:sz w:val="15"/>
          <w:szCs w:val="15"/>
          <w:color w:val="auto"/>
        </w:rPr>
        <w:t>Online access to the audio webcast will open at 8:30 a.m. Eastern Time to allow time for you to log in and test your device’s audio system. We encourage you to access the meeting prior to the start time. If you encounter any difficulties accessing the virtual Annual Meeting during the check-in or meeting time, please call the technical support number that will be posted on the virtual Annual Meeting website. We will have technicians available to assist you.</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Q:Why is the Annual Meeting a virtual, online meeting?</w:t>
      </w:r>
    </w:p>
    <w:p>
      <w:pPr>
        <w:spacing w:after="0" w:line="84" w:lineRule="exact"/>
        <w:rPr>
          <w:sz w:val="20"/>
          <w:szCs w:val="20"/>
          <w:color w:val="auto"/>
        </w:rPr>
      </w:pPr>
    </w:p>
    <w:p>
      <w:pPr>
        <w:ind w:left="680" w:hanging="205"/>
        <w:spacing w:after="0" w:line="293" w:lineRule="auto"/>
        <w:tabs>
          <w:tab w:leader="none" w:pos="680" w:val="left"/>
        </w:tabs>
        <w:numPr>
          <w:ilvl w:val="0"/>
          <w:numId w:val="73"/>
        </w:numPr>
        <w:rPr>
          <w:rFonts w:ascii="Arial" w:cs="Arial" w:eastAsia="Arial" w:hAnsi="Arial"/>
          <w:sz w:val="15"/>
          <w:szCs w:val="15"/>
          <w:b w:val="1"/>
          <w:bCs w:val="1"/>
          <w:color w:val="0066BA"/>
        </w:rPr>
      </w:pPr>
      <w:r>
        <w:rPr>
          <w:rFonts w:ascii="Arial" w:cs="Arial" w:eastAsia="Arial" w:hAnsi="Arial"/>
          <w:sz w:val="15"/>
          <w:szCs w:val="15"/>
          <w:color w:val="auto"/>
        </w:rPr>
        <w:t>Due to the continued public health concerns about in-person gatherings related to the COVID-19 pandemic, the Board of Directors has determined that this year we will hold a virtual Annual Meeting conducted via live webcast in order to support the health and well-being of our shareholders, employees and directors. We believe that hosting a virtual meeting will facilitate shareholder attendance and participation at the Annual Meeting by enabling shareholders to participate remotely from any location around the world. There will not be a physical meeting location. Our virtual Annual Meeting will be governed by our rules of conduct and procedures, which will be posted at www.virtualshareholdermeeting.com/ADI2021 on the date of the Annual Meeting. We have designed the format of the virtual Annual Meeting so that shareholders have the same rights and opportunities to vote and participate as they would have at a physical meeting. Shareholders will be able to submit questions online before and during the meeting, providing our shareholders with the opportunity for meaningful engagement with the Company.</w:t>
      </w:r>
    </w:p>
    <w:p>
      <w:pPr>
        <w:spacing w:after="0" w:line="226"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Q:What is the purpose of the Annual Meeting?</w:t>
      </w:r>
    </w:p>
    <w:p>
      <w:pPr>
        <w:spacing w:after="0" w:line="84" w:lineRule="exact"/>
        <w:rPr>
          <w:sz w:val="20"/>
          <w:szCs w:val="20"/>
          <w:color w:val="auto"/>
        </w:rPr>
      </w:pPr>
    </w:p>
    <w:p>
      <w:pPr>
        <w:ind w:left="680" w:right="120" w:hanging="205"/>
        <w:spacing w:after="0" w:line="286" w:lineRule="auto"/>
        <w:tabs>
          <w:tab w:leader="none" w:pos="680" w:val="left"/>
        </w:tabs>
        <w:numPr>
          <w:ilvl w:val="0"/>
          <w:numId w:val="74"/>
        </w:numPr>
        <w:rPr>
          <w:rFonts w:ascii="Arial" w:cs="Arial" w:eastAsia="Arial" w:hAnsi="Arial"/>
          <w:sz w:val="17"/>
          <w:szCs w:val="17"/>
          <w:b w:val="1"/>
          <w:bCs w:val="1"/>
          <w:color w:val="0066BA"/>
        </w:rPr>
      </w:pPr>
      <w:r>
        <w:rPr>
          <w:rFonts w:ascii="Arial" w:cs="Arial" w:eastAsia="Arial" w:hAnsi="Arial"/>
          <w:sz w:val="17"/>
          <w:szCs w:val="17"/>
          <w:color w:val="auto"/>
        </w:rPr>
        <w:t>At the Annual Meeting, shareholders will consider and vote on the following matters:</w:t>
      </w:r>
    </w:p>
    <w:p>
      <w:pPr>
        <w:spacing w:after="0" w:line="15" w:lineRule="exact"/>
        <w:rPr>
          <w:sz w:val="20"/>
          <w:szCs w:val="20"/>
          <w:color w:val="auto"/>
        </w:rPr>
      </w:pPr>
    </w:p>
    <w:p>
      <w:pPr>
        <w:ind w:left="640" w:right="120" w:hanging="165"/>
        <w:spacing w:after="0" w:line="270" w:lineRule="auto"/>
        <w:tabs>
          <w:tab w:leader="none" w:pos="6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election of the eleven nominees named in this proxy statement to our Board of Directors, each for a term expiring at the next annual meeting of shareholders.</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180" w:right="200" w:hanging="173"/>
        <w:spacing w:after="0" w:line="311" w:lineRule="auto"/>
        <w:tabs>
          <w:tab w:leader="none" w:pos="18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approval, by non-binding “say on pay” vote, of the compensation of our named executive officers, as described in the Compensation Discussion and Analysis, executive compensation tables and accompanying narrative disclosures in this proxy statement.</w:t>
      </w:r>
    </w:p>
    <w:p>
      <w:pPr>
        <w:spacing w:after="0" w:line="3" w:lineRule="exact"/>
        <w:rPr>
          <w:rFonts w:ascii="Arial" w:cs="Arial" w:eastAsia="Arial" w:hAnsi="Arial"/>
          <w:sz w:val="15"/>
          <w:szCs w:val="15"/>
          <w:color w:val="auto"/>
        </w:rPr>
      </w:pPr>
    </w:p>
    <w:p>
      <w:pPr>
        <w:ind w:left="180" w:right="580" w:hanging="173"/>
        <w:spacing w:after="0" w:line="260" w:lineRule="auto"/>
        <w:tabs>
          <w:tab w:leader="none" w:pos="1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ratification of the selection of Ernst &amp; Young LLP as our independent registered public accounting firm for the fiscal year ending October 30, 2021, or fiscal 2021.</w:t>
      </w:r>
    </w:p>
    <w:p>
      <w:pPr>
        <w:spacing w:after="0" w:line="1" w:lineRule="exact"/>
        <w:rPr>
          <w:rFonts w:ascii="Arial" w:cs="Arial" w:eastAsia="Arial" w:hAnsi="Arial"/>
          <w:sz w:val="17"/>
          <w:szCs w:val="17"/>
          <w:color w:val="auto"/>
        </w:rPr>
      </w:pPr>
    </w:p>
    <w:p>
      <w:pPr>
        <w:ind w:left="180" w:right="180"/>
        <w:spacing w:after="0" w:line="263" w:lineRule="auto"/>
        <w:rPr>
          <w:rFonts w:ascii="Arial" w:cs="Arial" w:eastAsia="Arial" w:hAnsi="Arial"/>
          <w:sz w:val="17"/>
          <w:szCs w:val="17"/>
          <w:color w:val="auto"/>
        </w:rPr>
      </w:pPr>
      <w:r>
        <w:rPr>
          <w:rFonts w:ascii="Arial" w:cs="Arial" w:eastAsia="Arial" w:hAnsi="Arial"/>
          <w:sz w:val="17"/>
          <w:szCs w:val="17"/>
          <w:color w:val="auto"/>
        </w:rPr>
        <w:t>The shareholders will also act on any other business that may properly come before the meeting or any postponement, adjournment, rescheduling or continuation of the meeting.</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Q:Who can vote?</w:t>
      </w:r>
    </w:p>
    <w:p>
      <w:pPr>
        <w:spacing w:after="0" w:line="84" w:lineRule="exact"/>
        <w:rPr>
          <w:sz w:val="20"/>
          <w:szCs w:val="20"/>
          <w:color w:val="auto"/>
        </w:rPr>
      </w:pPr>
    </w:p>
    <w:p>
      <w:pPr>
        <w:ind w:left="200" w:right="360" w:hanging="193"/>
        <w:spacing w:after="0" w:line="283" w:lineRule="auto"/>
        <w:tabs>
          <w:tab w:leader="none" w:pos="200" w:val="left"/>
        </w:tabs>
        <w:numPr>
          <w:ilvl w:val="0"/>
          <w:numId w:val="77"/>
        </w:numPr>
        <w:rPr>
          <w:rFonts w:ascii="Arial" w:cs="Arial" w:eastAsia="Arial" w:hAnsi="Arial"/>
          <w:sz w:val="16"/>
          <w:szCs w:val="16"/>
          <w:b w:val="1"/>
          <w:bCs w:val="1"/>
          <w:color w:val="0066BA"/>
        </w:rPr>
      </w:pPr>
      <w:r>
        <w:rPr>
          <w:rFonts w:ascii="Arial" w:cs="Arial" w:eastAsia="Arial" w:hAnsi="Arial"/>
          <w:sz w:val="16"/>
          <w:szCs w:val="16"/>
          <w:color w:val="auto"/>
        </w:rPr>
        <w:t>To be able to vote, you must have been an Analog Devices shareholder of record at the close of business on January 4, 2021. This date is the record date for the Annual Meeting. The number of outstanding shares entitled to vote on each proposal at the Annual Meeting is 369,328,983 shares of our common stock.</w:t>
      </w:r>
    </w:p>
    <w:p>
      <w:pPr>
        <w:spacing w:after="0" w:line="15" w:lineRule="exact"/>
        <w:rPr>
          <w:sz w:val="20"/>
          <w:szCs w:val="20"/>
          <w:color w:val="auto"/>
        </w:rPr>
      </w:pPr>
    </w:p>
    <w:p>
      <w:pPr>
        <w:ind w:left="200" w:right="400" w:hanging="194"/>
        <w:spacing w:after="0" w:line="293" w:lineRule="auto"/>
        <w:rPr>
          <w:sz w:val="20"/>
          <w:szCs w:val="20"/>
          <w:color w:val="auto"/>
        </w:rPr>
      </w:pPr>
      <w:r>
        <w:rPr>
          <w:rFonts w:ascii="Arial" w:cs="Arial" w:eastAsia="Arial" w:hAnsi="Arial"/>
          <w:sz w:val="17"/>
          <w:szCs w:val="17"/>
          <w:b w:val="1"/>
          <w:bCs w:val="1"/>
          <w:color w:val="0066BA"/>
        </w:rPr>
        <w:t>Q:May I see a list of shareholders entitled to notice of the Annual Meeting?</w:t>
      </w:r>
    </w:p>
    <w:p>
      <w:pPr>
        <w:spacing w:after="0" w:line="4" w:lineRule="exact"/>
        <w:rPr>
          <w:sz w:val="20"/>
          <w:szCs w:val="20"/>
          <w:color w:val="auto"/>
        </w:rPr>
      </w:pPr>
    </w:p>
    <w:p>
      <w:pPr>
        <w:ind w:left="200" w:right="180" w:hanging="194"/>
        <w:spacing w:after="0" w:line="263" w:lineRule="auto"/>
        <w:rPr>
          <w:sz w:val="20"/>
          <w:szCs w:val="20"/>
          <w:color w:val="auto"/>
        </w:rPr>
      </w:pPr>
      <w:r>
        <w:rPr>
          <w:rFonts w:ascii="Arial" w:cs="Arial" w:eastAsia="Arial" w:hAnsi="Arial"/>
          <w:sz w:val="17"/>
          <w:szCs w:val="17"/>
          <w:b w:val="1"/>
          <w:bCs w:val="1"/>
          <w:color w:val="0066BA"/>
        </w:rPr>
        <w:t>A:</w:t>
      </w:r>
      <w:r>
        <w:rPr>
          <w:rFonts w:ascii="Arial" w:cs="Arial" w:eastAsia="Arial" w:hAnsi="Arial"/>
          <w:sz w:val="17"/>
          <w:szCs w:val="17"/>
          <w:color w:val="000000"/>
        </w:rPr>
        <w:t>A list of our shareholders who are entitled to notice of the Annual</w:t>
      </w:r>
      <w:r>
        <w:rPr>
          <w:rFonts w:ascii="Arial" w:cs="Arial" w:eastAsia="Arial" w:hAnsi="Arial"/>
          <w:sz w:val="17"/>
          <w:szCs w:val="17"/>
          <w:b w:val="1"/>
          <w:bCs w:val="1"/>
          <w:color w:val="0066BA"/>
        </w:rPr>
        <w:t xml:space="preserve"> </w:t>
      </w:r>
      <w:r>
        <w:rPr>
          <w:rFonts w:ascii="Arial" w:cs="Arial" w:eastAsia="Arial" w:hAnsi="Arial"/>
          <w:sz w:val="17"/>
          <w:szCs w:val="17"/>
          <w:color w:val="000000"/>
        </w:rPr>
        <w:t>Meeting will be available to shareholders during the meeting at www.virtualshareholdermeeting.com/ADI2021. To access such list of shareholders beginning January 24, 2021 and until the meeting, shareholders should email Analog Devices Investor Relations at investor.relations@analog.com.</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Q:How many votes do I have?</w:t>
      </w:r>
    </w:p>
    <w:p>
      <w:pPr>
        <w:spacing w:after="0" w:line="84" w:lineRule="exact"/>
        <w:rPr>
          <w:sz w:val="20"/>
          <w:szCs w:val="20"/>
          <w:color w:val="auto"/>
        </w:rPr>
      </w:pPr>
    </w:p>
    <w:p>
      <w:pPr>
        <w:ind w:left="200" w:right="500" w:hanging="193"/>
        <w:spacing w:after="0" w:line="310" w:lineRule="auto"/>
        <w:tabs>
          <w:tab w:leader="none" w:pos="200" w:val="left"/>
        </w:tabs>
        <w:numPr>
          <w:ilvl w:val="0"/>
          <w:numId w:val="78"/>
        </w:numPr>
        <w:rPr>
          <w:rFonts w:ascii="Arial" w:cs="Arial" w:eastAsia="Arial" w:hAnsi="Arial"/>
          <w:sz w:val="16"/>
          <w:szCs w:val="16"/>
          <w:b w:val="1"/>
          <w:bCs w:val="1"/>
          <w:color w:val="0066BA"/>
        </w:rPr>
      </w:pPr>
      <w:r>
        <w:rPr>
          <w:rFonts w:ascii="Arial" w:cs="Arial" w:eastAsia="Arial" w:hAnsi="Arial"/>
          <w:sz w:val="16"/>
          <w:szCs w:val="16"/>
          <w:color w:val="auto"/>
        </w:rPr>
        <w:t>Each share of our common stock that you own on the record date entitles you to one vote on each matter that is voted on.</w:t>
      </w:r>
    </w:p>
    <w:p>
      <w:pPr>
        <w:spacing w:after="0"/>
        <w:rPr>
          <w:sz w:val="20"/>
          <w:szCs w:val="20"/>
          <w:color w:val="auto"/>
        </w:rPr>
      </w:pPr>
      <w:r>
        <w:rPr>
          <w:rFonts w:ascii="Arial" w:cs="Arial" w:eastAsia="Arial" w:hAnsi="Arial"/>
          <w:sz w:val="17"/>
          <w:szCs w:val="17"/>
          <w:b w:val="1"/>
          <w:bCs w:val="1"/>
          <w:color w:val="0066BA"/>
        </w:rPr>
        <w:t>Q:Is my vote important?</w:t>
      </w:r>
    </w:p>
    <w:p>
      <w:pPr>
        <w:spacing w:after="0" w:line="84" w:lineRule="exact"/>
        <w:rPr>
          <w:sz w:val="20"/>
          <w:szCs w:val="20"/>
          <w:color w:val="auto"/>
        </w:rPr>
      </w:pPr>
    </w:p>
    <w:p>
      <w:pPr>
        <w:ind w:left="200" w:right="200" w:hanging="193"/>
        <w:spacing w:after="0" w:line="287" w:lineRule="auto"/>
        <w:tabs>
          <w:tab w:leader="none" w:pos="200" w:val="left"/>
        </w:tabs>
        <w:numPr>
          <w:ilvl w:val="0"/>
          <w:numId w:val="79"/>
        </w:numPr>
        <w:rPr>
          <w:rFonts w:ascii="Arial" w:cs="Arial" w:eastAsia="Arial" w:hAnsi="Arial"/>
          <w:sz w:val="16"/>
          <w:szCs w:val="16"/>
          <w:b w:val="1"/>
          <w:bCs w:val="1"/>
          <w:color w:val="0066BA"/>
        </w:rPr>
      </w:pPr>
      <w:r>
        <w:rPr>
          <w:rFonts w:ascii="Arial" w:cs="Arial" w:eastAsia="Arial" w:hAnsi="Arial"/>
          <w:sz w:val="16"/>
          <w:szCs w:val="16"/>
          <w:color w:val="auto"/>
        </w:rPr>
        <w:t>Yes. Your vote is important no matter how many shares you own. Please take the time to vote. Take a moment to read the instructions below. Choose the way to vote that is easiest and most convenient for you and cast your vote as soon as possible.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Q:How do I vote?</w:t>
      </w:r>
    </w:p>
    <w:p>
      <w:pPr>
        <w:spacing w:after="0" w:line="84" w:lineRule="exact"/>
        <w:rPr>
          <w:sz w:val="20"/>
          <w:szCs w:val="20"/>
          <w:color w:val="auto"/>
        </w:rPr>
      </w:pPr>
    </w:p>
    <w:p>
      <w:pPr>
        <w:ind w:left="200" w:right="300" w:hanging="193"/>
        <w:spacing w:after="0" w:line="270" w:lineRule="auto"/>
        <w:tabs>
          <w:tab w:leader="none" w:pos="200" w:val="left"/>
        </w:tabs>
        <w:numPr>
          <w:ilvl w:val="0"/>
          <w:numId w:val="80"/>
        </w:numPr>
        <w:rPr>
          <w:rFonts w:ascii="Arial" w:cs="Arial" w:eastAsia="Arial" w:hAnsi="Arial"/>
          <w:sz w:val="17"/>
          <w:szCs w:val="17"/>
          <w:b w:val="1"/>
          <w:bCs w:val="1"/>
          <w:color w:val="0066BA"/>
        </w:rPr>
      </w:pPr>
      <w:r>
        <w:rPr>
          <w:rFonts w:ascii="Arial" w:cs="Arial" w:eastAsia="Arial" w:hAnsi="Arial"/>
          <w:sz w:val="17"/>
          <w:szCs w:val="17"/>
          <w:color w:val="auto"/>
        </w:rPr>
        <w:t>If you are the “record holder” of your shares, meaning that you own your shares in your own name and not through a bank, broker or other nominee, you may vote in one of four ways.</w:t>
      </w:r>
    </w:p>
    <w:p>
      <w:pPr>
        <w:spacing w:after="0" w:line="30" w:lineRule="exact"/>
        <w:rPr>
          <w:sz w:val="20"/>
          <w:szCs w:val="20"/>
          <w:color w:val="auto"/>
        </w:rPr>
      </w:pPr>
    </w:p>
    <w:p>
      <w:pPr>
        <w:ind w:left="180" w:right="260" w:hanging="173"/>
        <w:spacing w:after="0" w:line="281" w:lineRule="auto"/>
        <w:tabs>
          <w:tab w:leader="none" w:pos="1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You may vote over the Internet. If you have Internet access, you may vote your shares from any location in the world by going to proxyvote.com and following the Internet voting instructions on the Notice of Internet Availability of Proxy Materials or the proxy card. Proxies submitted via the Internet must be received by 11:59 p.m. Eastern Time on March 9, 2021.</w:t>
      </w:r>
    </w:p>
    <w:p>
      <w:pPr>
        <w:spacing w:after="0" w:line="21" w:lineRule="exact"/>
        <w:rPr>
          <w:rFonts w:ascii="Arial" w:cs="Arial" w:eastAsia="Arial" w:hAnsi="Arial"/>
          <w:sz w:val="16"/>
          <w:szCs w:val="16"/>
          <w:color w:val="auto"/>
        </w:rPr>
      </w:pPr>
    </w:p>
    <w:p>
      <w:pPr>
        <w:ind w:left="180" w:hanging="173"/>
        <w:spacing w:after="0"/>
        <w:tabs>
          <w:tab w:leader="none" w:pos="1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You may vote by telephone. You may vote your shares by calling</w:t>
      </w:r>
    </w:p>
    <w:p>
      <w:pPr>
        <w:spacing w:after="0" w:line="36" w:lineRule="exact"/>
        <w:rPr>
          <w:rFonts w:ascii="Arial" w:cs="Arial" w:eastAsia="Arial" w:hAnsi="Arial"/>
          <w:sz w:val="16"/>
          <w:szCs w:val="16"/>
          <w:color w:val="auto"/>
        </w:rPr>
      </w:pPr>
    </w:p>
    <w:p>
      <w:pPr>
        <w:ind w:left="180" w:right="200"/>
        <w:spacing w:after="0" w:line="260" w:lineRule="auto"/>
        <w:rPr>
          <w:rFonts w:ascii="Arial" w:cs="Arial" w:eastAsia="Arial" w:hAnsi="Arial"/>
          <w:sz w:val="16"/>
          <w:szCs w:val="16"/>
          <w:color w:val="auto"/>
        </w:rPr>
      </w:pPr>
      <w:r>
        <w:rPr>
          <w:rFonts w:ascii="Arial" w:cs="Arial" w:eastAsia="Arial" w:hAnsi="Arial"/>
          <w:sz w:val="17"/>
          <w:szCs w:val="17"/>
          <w:color w:val="auto"/>
        </w:rPr>
        <w:t>1-800-690-6903 toll-free within the United States, U.S. territories and Canada and following the instructions provided by the recorded message. Proxies submitted via telephone must be received by 11:59 p.m. Eastern Time, on March 9, 2021.</w:t>
      </w:r>
    </w:p>
    <w:p>
      <w:pPr>
        <w:spacing w:after="0" w:line="377" w:lineRule="exact"/>
        <w:rPr>
          <w:sz w:val="20"/>
          <w:szCs w:val="20"/>
          <w:color w:val="auto"/>
        </w:rPr>
      </w:pPr>
    </w:p>
    <w:p>
      <w:pPr>
        <w:sectPr>
          <w:pgSz w:w="11900" w:h="16838" w:orient="portrait"/>
          <w:cols w:equalWidth="0" w:num="2">
            <w:col w:w="5400" w:space="320"/>
            <w:col w:w="5220"/>
          </w:cols>
          <w:pgMar w:left="320" w:top="447" w:right="63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ind w:left="10760"/>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0940"/>
          </w:cols>
          <w:pgMar w:left="320" w:top="447" w:right="639" w:bottom="1440" w:gutter="0" w:footer="0" w:header="0"/>
          <w:type w:val="continuous"/>
        </w:sectPr>
      </w:pPr>
    </w:p>
    <w:bookmarkStart w:id="75" w:name="page76"/>
    <w:bookmarkEnd w:id="75"/>
    <w:p>
      <w:pPr>
        <w:spacing w:after="0"/>
        <w:rPr>
          <w:rFonts w:ascii="Arial" w:cs="Arial" w:eastAsia="Arial" w:hAnsi="Arial"/>
          <w:sz w:val="17"/>
          <w:szCs w:val="17"/>
          <w:b w:val="1"/>
          <w:bCs w:val="1"/>
          <w:u w:val="single" w:color="auto"/>
          <w:color w:val="0000EE"/>
        </w:rPr>
      </w:pPr>
      <w:hyperlink w:anchor="page10">
        <w:r>
          <w:rPr>
            <w:rFonts w:ascii="Arial" w:cs="Arial" w:eastAsia="Arial" w:hAnsi="Arial"/>
            <w:sz w:val="17"/>
            <w:szCs w:val="17"/>
            <w:b w:val="1"/>
            <w:bCs w:val="1"/>
            <w:u w:val="single" w:color="auto"/>
            <w:color w:val="0000EE"/>
          </w:rPr>
          <w:t>Table of Contents</w:t>
        </w:r>
      </w:hyperlink>
    </w:p>
    <w:p>
      <w:pPr>
        <w:spacing w:after="0" w:line="356" w:lineRule="exact"/>
        <w:rPr>
          <w:sz w:val="20"/>
          <w:szCs w:val="20"/>
          <w:color w:val="auto"/>
        </w:rPr>
      </w:pPr>
    </w:p>
    <w:p>
      <w:pPr>
        <w:ind w:left="640" w:right="140" w:hanging="165"/>
        <w:spacing w:after="0" w:line="296" w:lineRule="auto"/>
        <w:tabs>
          <w:tab w:leader="none" w:pos="640" w:val="left"/>
        </w:tabs>
        <w:numPr>
          <w:ilvl w:val="0"/>
          <w:numId w:val="82"/>
        </w:numPr>
        <w:rPr>
          <w:rFonts w:ascii="Arial" w:cs="Arial" w:eastAsia="Arial" w:hAnsi="Arial"/>
          <w:sz w:val="15"/>
          <w:szCs w:val="15"/>
          <w:color w:val="auto"/>
        </w:rPr>
      </w:pPr>
      <w:r>
        <w:rPr>
          <w:rFonts w:ascii="Arial" w:cs="Arial" w:eastAsia="Arial" w:hAnsi="Arial"/>
          <w:sz w:val="15"/>
          <w:szCs w:val="15"/>
          <w:color w:val="auto"/>
        </w:rPr>
        <w:t xml:space="preserve">You may vote by mail. If you received a printed proxy card, you may vote by completing and signing the proxy card and promptly mailing it in the enclosed postage-prepaid envelope. You do not need to put a stamp on the enclosed envelope if you mail it in the United States. The shares you own will be voted according to your instructions on the proxy card that you mail. </w:t>
      </w:r>
      <w:r>
        <w:rPr>
          <w:rFonts w:ascii="Arial" w:cs="Arial" w:eastAsia="Arial" w:hAnsi="Arial"/>
          <w:sz w:val="15"/>
          <w:szCs w:val="15"/>
          <w:b w:val="1"/>
          <w:bCs w:val="1"/>
          <w:color w:val="auto"/>
        </w:rPr>
        <w:t>If you return the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proxy card, but do not give any instructions on a particular matter described in this proxy statement, the shares you own will be voted in accordance with the recommendations of our Board of Directors. </w:t>
      </w:r>
      <w:r>
        <w:rPr>
          <w:rFonts w:ascii="Arial" w:cs="Arial" w:eastAsia="Arial" w:hAnsi="Arial"/>
          <w:sz w:val="15"/>
          <w:szCs w:val="15"/>
          <w:color w:val="auto"/>
        </w:rPr>
        <w:t>The Board of Directors recommends that you</w:t>
      </w:r>
      <w:r>
        <w:rPr>
          <w:rFonts w:ascii="Arial" w:cs="Arial" w:eastAsia="Arial" w:hAnsi="Arial"/>
          <w:sz w:val="15"/>
          <w:szCs w:val="15"/>
          <w:b w:val="1"/>
          <w:bCs w:val="1"/>
          <w:color w:val="auto"/>
        </w:rPr>
        <w:t xml:space="preserve"> </w:t>
      </w:r>
      <w:r>
        <w:rPr>
          <w:rFonts w:ascii="Arial" w:cs="Arial" w:eastAsia="Arial" w:hAnsi="Arial"/>
          <w:sz w:val="15"/>
          <w:szCs w:val="15"/>
          <w:color w:val="auto"/>
        </w:rPr>
        <w:t>vote FOR each director nominee and FOR Proposals 2 and 3.</w:t>
      </w:r>
    </w:p>
    <w:p>
      <w:pPr>
        <w:spacing w:after="0" w:line="14" w:lineRule="exact"/>
        <w:rPr>
          <w:rFonts w:ascii="Arial" w:cs="Arial" w:eastAsia="Arial" w:hAnsi="Arial"/>
          <w:sz w:val="15"/>
          <w:szCs w:val="15"/>
          <w:color w:val="auto"/>
        </w:rPr>
      </w:pPr>
    </w:p>
    <w:p>
      <w:pPr>
        <w:ind w:left="640" w:right="40" w:hanging="165"/>
        <w:spacing w:after="0" w:line="274" w:lineRule="auto"/>
        <w:tabs>
          <w:tab w:leader="none" w:pos="6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You may vote electronically during the virtual Annual Meeting. If you attend the virtual Annual Meeting, you may vote online during the virtual Annual Meeting at www.virtualshareholdermeeting.com/ ADI2021. You will need your 16-digit control number included on your Notice of Internet Availability of Proxy Materials or proxy card in order to be able to vote during the virtual Annual Meeting.</w:t>
      </w:r>
    </w:p>
    <w:p>
      <w:pPr>
        <w:ind w:left="640" w:right="100"/>
        <w:spacing w:after="0" w:line="287" w:lineRule="auto"/>
        <w:rPr>
          <w:rFonts w:ascii="Arial" w:cs="Arial" w:eastAsia="Arial" w:hAnsi="Arial"/>
          <w:sz w:val="16"/>
          <w:szCs w:val="16"/>
          <w:color w:val="auto"/>
        </w:rPr>
      </w:pPr>
      <w:r>
        <w:rPr>
          <w:rFonts w:ascii="Arial" w:cs="Arial" w:eastAsia="Arial" w:hAnsi="Arial"/>
          <w:sz w:val="16"/>
          <w:szCs w:val="16"/>
          <w:b w:val="1"/>
          <w:bCs w:val="1"/>
          <w:color w:val="auto"/>
        </w:rPr>
        <w:t>Please note that you cannot vote by marking up the Notice of Internet Availability of Proxy Materials and mailing the Notice back. Any votes returned in that manner will not be counted</w:t>
      </w:r>
      <w:r>
        <w:rPr>
          <w:rFonts w:ascii="Arial" w:cs="Arial" w:eastAsia="Arial" w:hAnsi="Arial"/>
          <w:sz w:val="16"/>
          <w:szCs w:val="16"/>
          <w:color w:val="auto"/>
        </w:rPr>
        <w:t>.</w:t>
      </w:r>
    </w:p>
    <w:p>
      <w:pPr>
        <w:spacing w:after="0" w:line="1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Q:Can I vote if my shares are held in “street name”?</w:t>
      </w:r>
    </w:p>
    <w:p>
      <w:pPr>
        <w:spacing w:after="0" w:line="84" w:lineRule="exact"/>
        <w:rPr>
          <w:sz w:val="20"/>
          <w:szCs w:val="20"/>
          <w:color w:val="auto"/>
        </w:rPr>
      </w:pPr>
    </w:p>
    <w:p>
      <w:pPr>
        <w:ind w:left="680" w:right="20" w:hanging="205"/>
        <w:spacing w:after="0" w:line="273" w:lineRule="auto"/>
        <w:tabs>
          <w:tab w:leader="none" w:pos="680" w:val="left"/>
        </w:tabs>
        <w:numPr>
          <w:ilvl w:val="0"/>
          <w:numId w:val="83"/>
        </w:numPr>
        <w:rPr>
          <w:rFonts w:ascii="Arial" w:cs="Arial" w:eastAsia="Arial" w:hAnsi="Arial"/>
          <w:sz w:val="16"/>
          <w:szCs w:val="16"/>
          <w:b w:val="1"/>
          <w:bCs w:val="1"/>
          <w:color w:val="0066BA"/>
        </w:rPr>
      </w:pPr>
      <w:r>
        <w:rPr>
          <w:rFonts w:ascii="Arial" w:cs="Arial" w:eastAsia="Arial" w:hAnsi="Arial"/>
          <w:sz w:val="16"/>
          <w:szCs w:val="16"/>
          <w:color w:val="auto"/>
        </w:rPr>
        <w:t>If the Analog Devices shares that you own are held in “street name” by a bank, broker or other nominee, your bank, broker or other nominee is considered, with respect to those shares, the record holder of your shares, and is required to vote your shares according to your instructions. In order to vote your shares, you will need to follow the instructions that your bank, broker or other nominee provides you. Many banks, brokers or other nominees also offer the option of voting over the Internet or by telephone, instructions for which would be provided by your bank, broker or other nominee on your voting instruction form.</w:t>
      </w:r>
    </w:p>
    <w:p>
      <w:pPr>
        <w:ind w:left="640"/>
        <w:spacing w:after="0" w:line="292" w:lineRule="auto"/>
        <w:rPr>
          <w:rFonts w:ascii="Arial" w:cs="Arial" w:eastAsia="Arial" w:hAnsi="Arial"/>
          <w:sz w:val="16"/>
          <w:szCs w:val="16"/>
          <w:b w:val="1"/>
          <w:bCs w:val="1"/>
          <w:color w:val="0066BA"/>
        </w:rPr>
      </w:pPr>
      <w:r>
        <w:rPr>
          <w:rFonts w:ascii="Arial" w:cs="Arial" w:eastAsia="Arial" w:hAnsi="Arial"/>
          <w:sz w:val="15"/>
          <w:szCs w:val="15"/>
          <w:color w:val="auto"/>
        </w:rPr>
        <w:t>If you hold shares through an account with a broker, the voting of shares by such broker when you do not provide voting instructions is governed by applicable stock exchange rules. These rules allow brokers to vote shares at their discretion on “routine” matters for which their customers do not provide voting instructions. On matters that are considered “non-routine,” brokers may not vote shares without your instruction. The ratification of the selection of Ernst &amp; Young LLP as our independent registered public accounting firm for fiscal 2021 (Proposal 3) is considered a “routine” matter and your broker will be able to vote on that proposal even if it does not receive instructions from you, so long as it holds your shares in its name. The election of directors (Proposal 1) and the “say on pay” advisory vote (Proposal 2) are “non-routine” matters. If you do not instruct your bank, broker or other nominee how to vote with respect to these proposals, your bank, broker or other nominee may not vote with respect to these proposals and those votes will be counted as “broker non-votes.” “Broker non-votes” are shares that are held in “street name” by a bank, broker or other nominee that indicates on its proxy that it does not have or did not exercise discretionary authority to vote on a particular proposal.</w:t>
      </w:r>
    </w:p>
    <w:p>
      <w:pPr>
        <w:spacing w:after="0" w:line="175" w:lineRule="exact"/>
        <w:rPr>
          <w:rFonts w:ascii="Arial" w:cs="Arial" w:eastAsia="Arial" w:hAnsi="Arial"/>
          <w:sz w:val="16"/>
          <w:szCs w:val="16"/>
          <w:b w:val="1"/>
          <w:bCs w:val="1"/>
          <w:color w:val="0066BA"/>
        </w:rPr>
      </w:pPr>
    </w:p>
    <w:p>
      <w:pPr>
        <w:ind w:left="640" w:right="140"/>
        <w:spacing w:after="0" w:line="263" w:lineRule="auto"/>
        <w:rPr>
          <w:rFonts w:ascii="Arial" w:cs="Arial" w:eastAsia="Arial" w:hAnsi="Arial"/>
          <w:sz w:val="16"/>
          <w:szCs w:val="16"/>
          <w:b w:val="1"/>
          <w:bCs w:val="1"/>
          <w:color w:val="0066BA"/>
        </w:rPr>
      </w:pPr>
      <w:r>
        <w:rPr>
          <w:rFonts w:ascii="Arial" w:cs="Arial" w:eastAsia="Arial" w:hAnsi="Arial"/>
          <w:sz w:val="17"/>
          <w:szCs w:val="17"/>
          <w:color w:val="auto"/>
        </w:rPr>
        <w:t>If your shares are held in “street name” as of the record date January 4, 2021, you may virtually attend the Annual Meeting and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180" w:right="80"/>
        <w:spacing w:after="0" w:line="263" w:lineRule="auto"/>
        <w:rPr>
          <w:sz w:val="20"/>
          <w:szCs w:val="20"/>
          <w:color w:val="auto"/>
        </w:rPr>
      </w:pPr>
      <w:r>
        <w:rPr>
          <w:rFonts w:ascii="Arial" w:cs="Arial" w:eastAsia="Arial" w:hAnsi="Arial"/>
          <w:sz w:val="17"/>
          <w:szCs w:val="17"/>
          <w:color w:val="auto"/>
        </w:rPr>
        <w:t>your shares online while attending the virtual Annual Meeting. You will need the control number included on your Notice of Internet Availability of Proxy Materials or voting instruction form in order to demonstrate proof of beneficial ownership and to be able to vote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-3629025</wp:posOffset>
            </wp:positionH>
            <wp:positionV relativeFrom="paragraph">
              <wp:posOffset>-1224915</wp:posOffset>
            </wp:positionV>
            <wp:extent cx="7153910" cy="247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p>
    <w:p>
      <w:pPr>
        <w:spacing w:after="0" w:line="9" w:lineRule="exact"/>
        <w:rPr>
          <w:sz w:val="20"/>
          <w:szCs w:val="20"/>
          <w:color w:val="auto"/>
        </w:rPr>
      </w:pPr>
    </w:p>
    <w:p>
      <w:pPr>
        <w:ind w:left="200" w:right="20" w:hanging="194"/>
        <w:spacing w:after="0" w:line="313" w:lineRule="auto"/>
        <w:rPr>
          <w:sz w:val="20"/>
          <w:szCs w:val="20"/>
          <w:color w:val="auto"/>
        </w:rPr>
      </w:pPr>
      <w:r>
        <w:rPr>
          <w:rFonts w:ascii="Arial" w:cs="Arial" w:eastAsia="Arial" w:hAnsi="Arial"/>
          <w:sz w:val="16"/>
          <w:szCs w:val="16"/>
          <w:b w:val="1"/>
          <w:bCs w:val="1"/>
          <w:color w:val="0066BA"/>
        </w:rPr>
        <w:t>Q:Can I change my vote after I have mailed my proxy card or after I have voted my shares over the Internet or by telephone?</w:t>
      </w:r>
    </w:p>
    <w:p>
      <w:pPr>
        <w:spacing w:after="0" w:line="7" w:lineRule="exact"/>
        <w:rPr>
          <w:sz w:val="20"/>
          <w:szCs w:val="20"/>
          <w:color w:val="auto"/>
        </w:rPr>
      </w:pPr>
    </w:p>
    <w:p>
      <w:pPr>
        <w:ind w:left="200" w:right="20" w:hanging="193"/>
        <w:spacing w:after="0" w:line="295" w:lineRule="auto"/>
        <w:tabs>
          <w:tab w:leader="none" w:pos="200" w:val="left"/>
        </w:tabs>
        <w:numPr>
          <w:ilvl w:val="0"/>
          <w:numId w:val="84"/>
        </w:numPr>
        <w:rPr>
          <w:rFonts w:ascii="Arial" w:cs="Arial" w:eastAsia="Arial" w:hAnsi="Arial"/>
          <w:sz w:val="16"/>
          <w:szCs w:val="16"/>
          <w:b w:val="1"/>
          <w:bCs w:val="1"/>
          <w:color w:val="0066BA"/>
        </w:rPr>
      </w:pPr>
      <w:r>
        <w:rPr>
          <w:rFonts w:ascii="Arial" w:cs="Arial" w:eastAsia="Arial" w:hAnsi="Arial"/>
          <w:sz w:val="16"/>
          <w:szCs w:val="16"/>
          <w:color w:val="auto"/>
        </w:rPr>
        <w:t>Yes. If you are the “record holder” of your shares, you can revoke your proxy or change your vote at any time before the polls close at the virtual Annual Meeting by doing any one of the following things:</w:t>
      </w:r>
    </w:p>
    <w:p>
      <w:pPr>
        <w:spacing w:after="0" w:line="11" w:lineRule="exact"/>
        <w:rPr>
          <w:rFonts w:ascii="Arial" w:cs="Arial" w:eastAsia="Arial" w:hAnsi="Arial"/>
          <w:sz w:val="16"/>
          <w:szCs w:val="16"/>
          <w:b w:val="1"/>
          <w:bCs w:val="1"/>
          <w:color w:val="0066BA"/>
        </w:rPr>
      </w:pPr>
    </w:p>
    <w:p>
      <w:pPr>
        <w:ind w:left="400" w:right="80" w:hanging="185"/>
        <w:spacing w:after="0" w:line="286" w:lineRule="auto"/>
        <w:tabs>
          <w:tab w:leader="none" w:pos="400" w:val="left"/>
        </w:tabs>
        <w:numPr>
          <w:ilvl w:val="1"/>
          <w:numId w:val="84"/>
        </w:numPr>
        <w:rPr>
          <w:rFonts w:ascii="Arial" w:cs="Arial" w:eastAsia="Arial" w:hAnsi="Arial"/>
          <w:sz w:val="17"/>
          <w:szCs w:val="17"/>
          <w:color w:val="auto"/>
        </w:rPr>
      </w:pPr>
      <w:r>
        <w:rPr>
          <w:rFonts w:ascii="Arial" w:cs="Arial" w:eastAsia="Arial" w:hAnsi="Arial"/>
          <w:sz w:val="17"/>
          <w:szCs w:val="17"/>
          <w:color w:val="auto"/>
        </w:rPr>
        <w:t>voting over the Internet or by telephone as instructed above (only your latest Internet or telephone vote is counted);</w:t>
      </w:r>
    </w:p>
    <w:p>
      <w:pPr>
        <w:spacing w:after="0" w:line="15" w:lineRule="exact"/>
        <w:rPr>
          <w:rFonts w:ascii="Arial" w:cs="Arial" w:eastAsia="Arial" w:hAnsi="Arial"/>
          <w:sz w:val="17"/>
          <w:szCs w:val="17"/>
          <w:color w:val="auto"/>
        </w:rPr>
      </w:pPr>
    </w:p>
    <w:p>
      <w:pPr>
        <w:ind w:left="400" w:hanging="185"/>
        <w:spacing w:after="0"/>
        <w:tabs>
          <w:tab w:leader="none" w:pos="400" w:val="left"/>
        </w:tabs>
        <w:numPr>
          <w:ilvl w:val="1"/>
          <w:numId w:val="84"/>
        </w:numPr>
        <w:rPr>
          <w:rFonts w:ascii="Arial" w:cs="Arial" w:eastAsia="Arial" w:hAnsi="Arial"/>
          <w:sz w:val="17"/>
          <w:szCs w:val="17"/>
          <w:color w:val="auto"/>
        </w:rPr>
      </w:pPr>
      <w:r>
        <w:rPr>
          <w:rFonts w:ascii="Arial" w:cs="Arial" w:eastAsia="Arial" w:hAnsi="Arial"/>
          <w:sz w:val="17"/>
          <w:szCs w:val="17"/>
          <w:color w:val="auto"/>
        </w:rPr>
        <w:t>signing and returning another proxy card with a later date;</w:t>
      </w:r>
    </w:p>
    <w:p>
      <w:pPr>
        <w:spacing w:after="0" w:line="77" w:lineRule="exact"/>
        <w:rPr>
          <w:rFonts w:ascii="Arial" w:cs="Arial" w:eastAsia="Arial" w:hAnsi="Arial"/>
          <w:sz w:val="17"/>
          <w:szCs w:val="17"/>
          <w:color w:val="auto"/>
        </w:rPr>
      </w:pPr>
    </w:p>
    <w:p>
      <w:pPr>
        <w:ind w:left="400" w:right="140" w:hanging="185"/>
        <w:spacing w:after="0" w:line="286" w:lineRule="auto"/>
        <w:tabs>
          <w:tab w:leader="none" w:pos="400" w:val="left"/>
        </w:tabs>
        <w:numPr>
          <w:ilvl w:val="1"/>
          <w:numId w:val="84"/>
        </w:numPr>
        <w:rPr>
          <w:rFonts w:ascii="Arial" w:cs="Arial" w:eastAsia="Arial" w:hAnsi="Arial"/>
          <w:sz w:val="17"/>
          <w:szCs w:val="17"/>
          <w:color w:val="auto"/>
        </w:rPr>
      </w:pPr>
      <w:r>
        <w:rPr>
          <w:rFonts w:ascii="Arial" w:cs="Arial" w:eastAsia="Arial" w:hAnsi="Arial"/>
          <w:sz w:val="17"/>
          <w:szCs w:val="17"/>
          <w:color w:val="auto"/>
        </w:rPr>
        <w:t>giving our Secretary a written notice before the meeting that you want to revoke your proxy; or</w:t>
      </w:r>
    </w:p>
    <w:p>
      <w:pPr>
        <w:spacing w:after="0" w:line="15" w:lineRule="exact"/>
        <w:rPr>
          <w:rFonts w:ascii="Arial" w:cs="Arial" w:eastAsia="Arial" w:hAnsi="Arial"/>
          <w:sz w:val="17"/>
          <w:szCs w:val="17"/>
          <w:color w:val="auto"/>
        </w:rPr>
      </w:pPr>
    </w:p>
    <w:p>
      <w:pPr>
        <w:ind w:left="400" w:right="280" w:hanging="185"/>
        <w:spacing w:after="0" w:line="279" w:lineRule="auto"/>
        <w:tabs>
          <w:tab w:leader="none" w:pos="4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attending the virtual Annual Meeting and voting electronically during the virtual Annual Meeting as instructed above.</w:t>
      </w:r>
    </w:p>
    <w:p>
      <w:pPr>
        <w:spacing w:after="0" w:line="1" w:lineRule="exact"/>
        <w:rPr>
          <w:sz w:val="20"/>
          <w:szCs w:val="20"/>
          <w:color w:val="auto"/>
        </w:rPr>
      </w:pPr>
    </w:p>
    <w:p>
      <w:pPr>
        <w:ind w:left="180" w:right="100"/>
        <w:spacing w:after="0" w:line="255" w:lineRule="auto"/>
        <w:rPr>
          <w:sz w:val="20"/>
          <w:szCs w:val="20"/>
          <w:color w:val="auto"/>
        </w:rPr>
      </w:pPr>
      <w:r>
        <w:rPr>
          <w:rFonts w:ascii="Arial" w:cs="Arial" w:eastAsia="Arial" w:hAnsi="Arial"/>
          <w:sz w:val="17"/>
          <w:szCs w:val="17"/>
          <w:color w:val="auto"/>
        </w:rPr>
        <w:t>Your attendance at the virtual Annual Meeting alone will not revoke your proxy.</w:t>
      </w:r>
    </w:p>
    <w:p>
      <w:pPr>
        <w:spacing w:after="0" w:line="1" w:lineRule="exact"/>
        <w:rPr>
          <w:sz w:val="20"/>
          <w:szCs w:val="20"/>
          <w:color w:val="auto"/>
        </w:rPr>
      </w:pPr>
    </w:p>
    <w:p>
      <w:pPr>
        <w:ind w:left="180" w:right="20"/>
        <w:spacing w:after="0" w:line="259" w:lineRule="auto"/>
        <w:rPr>
          <w:sz w:val="20"/>
          <w:szCs w:val="20"/>
          <w:color w:val="auto"/>
        </w:rPr>
      </w:pPr>
      <w:r>
        <w:rPr>
          <w:rFonts w:ascii="Arial" w:cs="Arial" w:eastAsia="Arial" w:hAnsi="Arial"/>
          <w:sz w:val="17"/>
          <w:szCs w:val="17"/>
          <w:color w:val="auto"/>
        </w:rPr>
        <w:t>If your shares are held in “street name,” you may submit a new, later-dated voting instruction form or contact your bank, broker or other nominee. You may also vote your shares online while virtually attending the Annual Meeting, which will have the effect of revoking any previously submitted voting instructions.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Q:What constitutes a quorum?</w:t>
      </w:r>
    </w:p>
    <w:p>
      <w:pPr>
        <w:spacing w:after="0" w:line="84" w:lineRule="exact"/>
        <w:rPr>
          <w:sz w:val="20"/>
          <w:szCs w:val="20"/>
          <w:color w:val="auto"/>
        </w:rPr>
      </w:pPr>
    </w:p>
    <w:p>
      <w:pPr>
        <w:ind w:left="200" w:hanging="193"/>
        <w:spacing w:after="0" w:line="274" w:lineRule="auto"/>
        <w:tabs>
          <w:tab w:leader="none" w:pos="200" w:val="left"/>
        </w:tabs>
        <w:numPr>
          <w:ilvl w:val="0"/>
          <w:numId w:val="85"/>
        </w:numPr>
        <w:rPr>
          <w:rFonts w:ascii="Arial" w:cs="Arial" w:eastAsia="Arial" w:hAnsi="Arial"/>
          <w:sz w:val="16"/>
          <w:szCs w:val="16"/>
          <w:b w:val="1"/>
          <w:bCs w:val="1"/>
          <w:color w:val="0066BA"/>
        </w:rPr>
      </w:pPr>
      <w:r>
        <w:rPr>
          <w:rFonts w:ascii="Arial" w:cs="Arial" w:eastAsia="Arial" w:hAnsi="Arial"/>
          <w:sz w:val="16"/>
          <w:szCs w:val="16"/>
          <w:color w:val="auto"/>
        </w:rPr>
        <w:t>In order for business to be conducted at the Annual Meeting, a quorum must be present in person or represented by valid proxies. For each of the proposals to be presented at the Annual Meeting, a quorum consists of the holders of a majority of the shares of common stock issued and outstanding on January 4, 2021, the record date, or at least 184,664,492 shares.</w:t>
      </w:r>
    </w:p>
    <w:p>
      <w:pPr>
        <w:ind w:left="180"/>
        <w:spacing w:after="0" w:line="255" w:lineRule="auto"/>
        <w:rPr>
          <w:rFonts w:ascii="Arial" w:cs="Arial" w:eastAsia="Arial" w:hAnsi="Arial"/>
          <w:sz w:val="16"/>
          <w:szCs w:val="16"/>
          <w:b w:val="1"/>
          <w:bCs w:val="1"/>
          <w:color w:val="0066BA"/>
        </w:rPr>
      </w:pPr>
      <w:r>
        <w:rPr>
          <w:rFonts w:ascii="Arial" w:cs="Arial" w:eastAsia="Arial" w:hAnsi="Arial"/>
          <w:sz w:val="17"/>
          <w:szCs w:val="17"/>
          <w:color w:val="auto"/>
        </w:rPr>
        <w:t>Shares of common stock represented in person or by proxy (including “broker non-votes” and shares that abstain or do not vote with respect to a particular proposal) will be counted for the purpose of determining whether a quorum exists at the Annual Meeting for that proposal. If a quorum is not present, the Annual Meeting will be adjourned until a quorum is obtained.</w:t>
      </w:r>
    </w:p>
    <w:p>
      <w:pPr>
        <w:spacing w:after="0" w:line="2" w:lineRule="exact"/>
        <w:rPr>
          <w:rFonts w:ascii="Arial" w:cs="Arial" w:eastAsia="Arial" w:hAnsi="Arial"/>
          <w:sz w:val="16"/>
          <w:szCs w:val="16"/>
          <w:b w:val="1"/>
          <w:bCs w:val="1"/>
          <w:color w:val="0066BA"/>
        </w:rPr>
      </w:pPr>
    </w:p>
    <w:p>
      <w:pPr>
        <w:ind w:left="180" w:right="420"/>
        <w:spacing w:after="0" w:line="263" w:lineRule="auto"/>
        <w:rPr>
          <w:rFonts w:ascii="Arial" w:cs="Arial" w:eastAsia="Arial" w:hAnsi="Arial"/>
          <w:sz w:val="16"/>
          <w:szCs w:val="16"/>
          <w:b w:val="1"/>
          <w:bCs w:val="1"/>
          <w:color w:val="0066BA"/>
        </w:rPr>
      </w:pPr>
      <w:r>
        <w:rPr>
          <w:rFonts w:ascii="Arial" w:cs="Arial" w:eastAsia="Arial" w:hAnsi="Arial"/>
          <w:sz w:val="17"/>
          <w:szCs w:val="17"/>
          <w:color w:val="auto"/>
        </w:rPr>
        <w:t>Shares present virtually during the Annual Meeting will be considered shares of common stock represented in person at the meeting.</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Q:What vote is required for each proposal?</w:t>
      </w:r>
    </w:p>
    <w:p>
      <w:pPr>
        <w:spacing w:after="0" w:line="78" w:lineRule="exact"/>
        <w:rPr>
          <w:sz w:val="20"/>
          <w:szCs w:val="20"/>
          <w:color w:val="auto"/>
        </w:rPr>
      </w:pPr>
    </w:p>
    <w:p>
      <w:pPr>
        <w:ind w:left="200" w:right="60" w:hanging="193"/>
        <w:spacing w:after="0" w:line="296" w:lineRule="auto"/>
        <w:tabs>
          <w:tab w:leader="none" w:pos="200" w:val="left"/>
        </w:tabs>
        <w:numPr>
          <w:ilvl w:val="0"/>
          <w:numId w:val="86"/>
        </w:numPr>
        <w:rPr>
          <w:rFonts w:ascii="Arial" w:cs="Arial" w:eastAsia="Arial" w:hAnsi="Arial"/>
          <w:sz w:val="15"/>
          <w:szCs w:val="15"/>
          <w:b w:val="1"/>
          <w:bCs w:val="1"/>
          <w:color w:val="0066BA"/>
        </w:rPr>
      </w:pPr>
      <w:r>
        <w:rPr>
          <w:rFonts w:ascii="Arial" w:cs="Arial" w:eastAsia="Arial" w:hAnsi="Arial"/>
          <w:sz w:val="15"/>
          <w:szCs w:val="15"/>
          <w:b w:val="1"/>
          <w:bCs w:val="1"/>
          <w:color w:val="auto"/>
        </w:rPr>
        <w:t>Election of directors</w:t>
      </w:r>
      <w:r>
        <w:rPr>
          <w:rFonts w:ascii="Arial" w:cs="Arial" w:eastAsia="Arial" w:hAnsi="Arial"/>
          <w:sz w:val="15"/>
          <w:szCs w:val="15"/>
          <w:color w:val="auto"/>
        </w:rPr>
        <w:t>. Under our bylaws, a nominee will be elected</w:t>
      </w:r>
      <w:r>
        <w:rPr>
          <w:rFonts w:ascii="Arial" w:cs="Arial" w:eastAsia="Arial" w:hAnsi="Arial"/>
          <w:sz w:val="15"/>
          <w:szCs w:val="15"/>
          <w:b w:val="1"/>
          <w:bCs w:val="1"/>
          <w:color w:val="auto"/>
        </w:rPr>
        <w:t xml:space="preserve"> </w:t>
      </w:r>
      <w:r>
        <w:rPr>
          <w:rFonts w:ascii="Arial" w:cs="Arial" w:eastAsia="Arial" w:hAnsi="Arial"/>
          <w:sz w:val="15"/>
          <w:szCs w:val="15"/>
          <w:color w:val="auto"/>
        </w:rPr>
        <w:t>to the Board of Directors if the votes cast “for” the nominee’s election exceed the votes cast “against” the nominee’s election, with abstentions and “broker non-votes” not counting as votes “for” or “against.” If the shares you own are held in “street name” by a bank, broker or other nominee, your bank, broker or other nominee, as the record holder of your shares, is required to vote your shares according to your instructions. If you do not instruct your bank, broker or other nominee how to vote with respect to this proposal, your bank, broker or other nominee may not vote your shares with respect to the election of directors. If an incumbent director nominee in an uncontested election of directors receives a majority of votes</w:t>
      </w:r>
    </w:p>
    <w:p>
      <w:pPr>
        <w:spacing w:after="0" w:line="200" w:lineRule="exact"/>
        <w:rPr>
          <w:sz w:val="20"/>
          <w:szCs w:val="20"/>
          <w:color w:val="auto"/>
        </w:rPr>
      </w:pPr>
    </w:p>
    <w:p>
      <w:pPr>
        <w:sectPr>
          <w:pgSz w:w="11900" w:h="16838" w:orient="portrait"/>
          <w:cols w:equalWidth="0" w:num="2">
            <w:col w:w="5400" w:space="320"/>
            <w:col w:w="5020"/>
          </w:cols>
          <w:pgMar w:left="320" w:top="447" w:right="8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0740"/>
          </w:cols>
          <w:pgMar w:left="320" w:top="447" w:right="839" w:bottom="1440" w:gutter="0" w:footer="0" w:header="0"/>
          <w:type w:val="continuous"/>
        </w:sectPr>
      </w:pPr>
    </w:p>
    <w:bookmarkStart w:id="76" w:name="page77"/>
    <w:bookmarkEnd w:id="76"/>
    <w:p>
      <w:pPr>
        <w:spacing w:after="0"/>
        <w:rPr>
          <w:rFonts w:ascii="Arial" w:cs="Arial" w:eastAsia="Arial" w:hAnsi="Arial"/>
          <w:sz w:val="17"/>
          <w:szCs w:val="17"/>
          <w:b w:val="1"/>
          <w:bCs w:val="1"/>
          <w:u w:val="single" w:color="auto"/>
          <w:color w:val="0000EE"/>
        </w:rPr>
      </w:pPr>
      <w:hyperlink w:anchor="page10">
        <w:r>
          <w:rPr>
            <w:rFonts w:ascii="Arial" w:cs="Arial" w:eastAsia="Arial" w:hAnsi="Arial"/>
            <w:sz w:val="17"/>
            <w:szCs w:val="17"/>
            <w:b w:val="1"/>
            <w:bCs w:val="1"/>
            <w:u w:val="single" w:color="auto"/>
            <w:color w:val="0000EE"/>
          </w:rPr>
          <w:t>Table of Contents</w:t>
        </w:r>
      </w:hyperlink>
    </w:p>
    <w:p>
      <w:pPr>
        <w:spacing w:after="0" w:line="356" w:lineRule="exact"/>
        <w:rPr>
          <w:sz w:val="20"/>
          <w:szCs w:val="20"/>
          <w:color w:val="auto"/>
        </w:rPr>
      </w:pPr>
    </w:p>
    <w:p>
      <w:pPr>
        <w:ind w:left="640" w:right="60"/>
        <w:spacing w:after="0" w:line="273" w:lineRule="auto"/>
        <w:rPr>
          <w:sz w:val="20"/>
          <w:szCs w:val="20"/>
          <w:color w:val="auto"/>
        </w:rPr>
      </w:pPr>
      <w:r>
        <w:rPr>
          <w:rFonts w:ascii="Arial" w:cs="Arial" w:eastAsia="Arial" w:hAnsi="Arial"/>
          <w:sz w:val="16"/>
          <w:szCs w:val="16"/>
          <w:color w:val="auto"/>
        </w:rPr>
        <w:t>“against” his or her election, the director must tender a resignation from the Board of Directors. The Board of Directors will then decide whether to accept the resignation within 90 days following certification of the shareholder vote (based on the recommendation of a committee of independent directors). We will publicly disclose the Board of Directors’ decision and its reasoning with regard to the offered resignation.</w:t>
      </w:r>
    </w:p>
    <w:p>
      <w:pPr>
        <w:spacing w:after="0" w:line="4" w:lineRule="exact"/>
        <w:rPr>
          <w:sz w:val="20"/>
          <w:szCs w:val="20"/>
          <w:color w:val="auto"/>
        </w:rPr>
      </w:pPr>
    </w:p>
    <w:p>
      <w:pPr>
        <w:ind w:left="640"/>
        <w:spacing w:after="0" w:line="294" w:lineRule="auto"/>
        <w:rPr>
          <w:sz w:val="20"/>
          <w:szCs w:val="20"/>
          <w:color w:val="auto"/>
        </w:rPr>
      </w:pPr>
      <w:r>
        <w:rPr>
          <w:rFonts w:ascii="Arial" w:cs="Arial" w:eastAsia="Arial" w:hAnsi="Arial"/>
          <w:sz w:val="15"/>
          <w:szCs w:val="15"/>
          <w:b w:val="1"/>
          <w:bCs w:val="1"/>
          <w:color w:val="auto"/>
        </w:rPr>
        <w:t xml:space="preserve">“Say on Pay.” </w:t>
      </w:r>
      <w:r>
        <w:rPr>
          <w:rFonts w:ascii="Arial" w:cs="Arial" w:eastAsia="Arial" w:hAnsi="Arial"/>
          <w:sz w:val="15"/>
          <w:szCs w:val="15"/>
          <w:color w:val="auto"/>
        </w:rPr>
        <w:t>Our Board of Directors is seeking a non-binding</w:t>
      </w:r>
      <w:r>
        <w:rPr>
          <w:rFonts w:ascii="Arial" w:cs="Arial" w:eastAsia="Arial" w:hAnsi="Arial"/>
          <w:sz w:val="15"/>
          <w:szCs w:val="15"/>
          <w:b w:val="1"/>
          <w:bCs w:val="1"/>
          <w:color w:val="auto"/>
        </w:rPr>
        <w:t xml:space="preserve"> </w:t>
      </w:r>
      <w:r>
        <w:rPr>
          <w:rFonts w:ascii="Arial" w:cs="Arial" w:eastAsia="Arial" w:hAnsi="Arial"/>
          <w:sz w:val="15"/>
          <w:szCs w:val="15"/>
          <w:color w:val="auto"/>
        </w:rPr>
        <w:t>advisory vote regarding the compensation of our named executive officers, as described in the Compensation Discussion and Analysis, executive compensation tables and accompanying narrative disclosures contained in this proxy statement. Under our bylaws, the affirmative vote of a majority of the total number of votes cast on the proposal is needed to approve this resolution. The vote is advisory and non-binding in nature but our Compensation Committee will take into account the outcome of the vote when considering future executive compensation arrangements. If you do not instruct your bank, broker or other nominee how to vote with respect to this proposal, your bank, broker or other nominee may not vote your shares with respect to this proposal.</w:t>
      </w:r>
    </w:p>
    <w:p>
      <w:pPr>
        <w:spacing w:after="0" w:line="170" w:lineRule="exact"/>
        <w:rPr>
          <w:sz w:val="20"/>
          <w:szCs w:val="20"/>
          <w:color w:val="auto"/>
        </w:rPr>
      </w:pPr>
    </w:p>
    <w:p>
      <w:pPr>
        <w:ind w:left="640" w:right="20"/>
        <w:spacing w:after="0" w:line="257" w:lineRule="auto"/>
        <w:rPr>
          <w:sz w:val="20"/>
          <w:szCs w:val="20"/>
          <w:color w:val="auto"/>
        </w:rPr>
      </w:pPr>
      <w:r>
        <w:rPr>
          <w:rFonts w:ascii="Arial" w:cs="Arial" w:eastAsia="Arial" w:hAnsi="Arial"/>
          <w:sz w:val="17"/>
          <w:szCs w:val="17"/>
          <w:b w:val="1"/>
          <w:bCs w:val="1"/>
          <w:color w:val="auto"/>
        </w:rPr>
        <w:t>Ratification of independent registered public accounting firm</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Under our bylaws, the affirmative vote of a majority of the total number of votes cast on the proposal is needed to ratify the selection of Ernst &amp; Young LLP as our independent registered public accounting firm for fiscal 2021. Even if you do not instruct your bank, broker or other nominee how to vote with respect to this proposal, your bank, broker or other nominee may vote your shares with respect to this proposal.</w:t>
      </w:r>
    </w:p>
    <w:p>
      <w:pPr>
        <w:spacing w:after="0" w:line="37"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Q:How will votes be counted?</w:t>
      </w:r>
    </w:p>
    <w:p>
      <w:pPr>
        <w:spacing w:after="0" w:line="84" w:lineRule="exact"/>
        <w:rPr>
          <w:sz w:val="20"/>
          <w:szCs w:val="20"/>
          <w:color w:val="auto"/>
        </w:rPr>
      </w:pPr>
    </w:p>
    <w:p>
      <w:pPr>
        <w:ind w:left="680" w:right="20" w:hanging="205"/>
        <w:spacing w:after="0" w:line="275" w:lineRule="auto"/>
        <w:tabs>
          <w:tab w:leader="none" w:pos="680" w:val="left"/>
        </w:tabs>
        <w:numPr>
          <w:ilvl w:val="0"/>
          <w:numId w:val="87"/>
        </w:numPr>
        <w:rPr>
          <w:rFonts w:ascii="Arial" w:cs="Arial" w:eastAsia="Arial" w:hAnsi="Arial"/>
          <w:sz w:val="16"/>
          <w:szCs w:val="16"/>
          <w:b w:val="1"/>
          <w:bCs w:val="1"/>
          <w:color w:val="0066BA"/>
        </w:rPr>
      </w:pPr>
      <w:r>
        <w:rPr>
          <w:rFonts w:ascii="Arial" w:cs="Arial" w:eastAsia="Arial" w:hAnsi="Arial"/>
          <w:sz w:val="16"/>
          <w:szCs w:val="16"/>
          <w:color w:val="auto"/>
        </w:rPr>
        <w:t>Each share of common stock will be counted as one vote according to the instructions contained on a properly completed proxy card, whether submitted by mail, over the Internet, by telephone, or electronically during the virtual Annual Meeting. With respect to all proposals, shares will not be voted in favor of the matter, and will not be counted as voting on the matter, if they either (1) abstain from voting on a particular matter, or (2) are “broker non-votes.” Banks, brokers and other nominees who do not receive instructions with respect to Proposals 1 and 2 will not be allowed to vote these shares, and all such shares will be “broker non-votes” rather than votes “for” or “against.” Accordingly, assuming the presence of a quorum, abstentions and “broker non-votes” for a particular proposal will not be counted as votes cast to determine the outcome of a particular proposal.</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Q:Who will count the votes?</w:t>
      </w:r>
    </w:p>
    <w:p>
      <w:pPr>
        <w:spacing w:after="0" w:line="84" w:lineRule="exact"/>
        <w:rPr>
          <w:sz w:val="20"/>
          <w:szCs w:val="20"/>
          <w:color w:val="auto"/>
        </w:rPr>
      </w:pPr>
    </w:p>
    <w:p>
      <w:pPr>
        <w:ind w:left="680" w:hanging="205"/>
        <w:spacing w:after="0"/>
        <w:tabs>
          <w:tab w:leader="none" w:pos="680" w:val="left"/>
        </w:tabs>
        <w:numPr>
          <w:ilvl w:val="0"/>
          <w:numId w:val="88"/>
        </w:numPr>
        <w:rPr>
          <w:rFonts w:ascii="Arial" w:cs="Arial" w:eastAsia="Arial" w:hAnsi="Arial"/>
          <w:sz w:val="16"/>
          <w:szCs w:val="16"/>
          <w:b w:val="1"/>
          <w:bCs w:val="1"/>
          <w:color w:val="0066BA"/>
        </w:rPr>
      </w:pPr>
      <w:r>
        <w:rPr>
          <w:rFonts w:ascii="Arial" w:cs="Arial" w:eastAsia="Arial" w:hAnsi="Arial"/>
          <w:sz w:val="16"/>
          <w:szCs w:val="16"/>
          <w:color w:val="auto"/>
        </w:rPr>
        <w:t>The votes will be counted, tabulated and certified by Broadridge.</w:t>
      </w:r>
    </w:p>
    <w:p>
      <w:pPr>
        <w:spacing w:after="0" w:line="83" w:lineRule="exact"/>
        <w:rPr>
          <w:rFonts w:ascii="Arial" w:cs="Arial" w:eastAsia="Arial" w:hAnsi="Arial"/>
          <w:sz w:val="16"/>
          <w:szCs w:val="16"/>
          <w:b w:val="1"/>
          <w:bCs w:val="1"/>
          <w:color w:val="0066BA"/>
        </w:rPr>
      </w:pPr>
    </w:p>
    <w:p>
      <w:pPr>
        <w:ind w:left="480"/>
        <w:spacing w:after="0"/>
        <w:rPr>
          <w:rFonts w:ascii="Arial" w:cs="Arial" w:eastAsia="Arial" w:hAnsi="Arial"/>
          <w:sz w:val="16"/>
          <w:szCs w:val="16"/>
          <w:b w:val="1"/>
          <w:bCs w:val="1"/>
          <w:color w:val="0066BA"/>
        </w:rPr>
      </w:pPr>
      <w:r>
        <w:rPr>
          <w:rFonts w:ascii="Arial" w:cs="Arial" w:eastAsia="Arial" w:hAnsi="Arial"/>
          <w:sz w:val="17"/>
          <w:szCs w:val="17"/>
          <w:b w:val="1"/>
          <w:bCs w:val="1"/>
          <w:color w:val="0066BA"/>
        </w:rPr>
        <w:t>Q:Will my vote be kept confidential?</w:t>
      </w:r>
    </w:p>
    <w:p>
      <w:pPr>
        <w:spacing w:after="0" w:line="84" w:lineRule="exact"/>
        <w:rPr>
          <w:sz w:val="20"/>
          <w:szCs w:val="20"/>
          <w:color w:val="auto"/>
        </w:rPr>
      </w:pPr>
    </w:p>
    <w:p>
      <w:pPr>
        <w:ind w:left="680" w:right="60" w:hanging="205"/>
        <w:spacing w:after="0" w:line="259" w:lineRule="auto"/>
        <w:tabs>
          <w:tab w:leader="none" w:pos="680" w:val="left"/>
        </w:tabs>
        <w:numPr>
          <w:ilvl w:val="0"/>
          <w:numId w:val="89"/>
        </w:numPr>
        <w:rPr>
          <w:rFonts w:ascii="Arial" w:cs="Arial" w:eastAsia="Arial" w:hAnsi="Arial"/>
          <w:sz w:val="17"/>
          <w:szCs w:val="17"/>
          <w:b w:val="1"/>
          <w:bCs w:val="1"/>
          <w:color w:val="0066BA"/>
        </w:rPr>
      </w:pPr>
      <w:r>
        <w:rPr>
          <w:rFonts w:ascii="Arial" w:cs="Arial" w:eastAsia="Arial" w:hAnsi="Arial"/>
          <w:sz w:val="17"/>
          <w:szCs w:val="17"/>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tabulation agent will forward any written comments that you make on the proxy card to management without providing your name, unless you expressly request disclosure on your proxy card.</w:t>
      </w:r>
    </w:p>
    <w:p>
      <w:pPr>
        <w:spacing w:after="0" w:line="37" w:lineRule="exact"/>
        <w:rPr>
          <w:sz w:val="20"/>
          <w:szCs w:val="20"/>
          <w:color w:val="auto"/>
        </w:rPr>
      </w:pPr>
    </w:p>
    <w:p>
      <w:pPr>
        <w:ind w:left="680" w:right="100" w:hanging="194"/>
        <w:spacing w:after="0" w:line="293" w:lineRule="auto"/>
        <w:rPr>
          <w:sz w:val="20"/>
          <w:szCs w:val="20"/>
          <w:color w:val="auto"/>
        </w:rPr>
      </w:pPr>
      <w:r>
        <w:rPr>
          <w:rFonts w:ascii="Arial" w:cs="Arial" w:eastAsia="Arial" w:hAnsi="Arial"/>
          <w:sz w:val="17"/>
          <w:szCs w:val="17"/>
          <w:b w:val="1"/>
          <w:bCs w:val="1"/>
          <w:color w:val="0066BA"/>
        </w:rPr>
        <w:t>Q:How does the Board of Directors recommend that I vote on the proposals?</w:t>
      </w:r>
    </w:p>
    <w:p>
      <w:pPr>
        <w:spacing w:after="0" w:line="10" w:lineRule="exact"/>
        <w:rPr>
          <w:sz w:val="20"/>
          <w:szCs w:val="20"/>
          <w:color w:val="auto"/>
        </w:rPr>
      </w:pPr>
    </w:p>
    <w:p>
      <w:pPr>
        <w:ind w:left="680" w:hanging="205"/>
        <w:spacing w:after="0"/>
        <w:tabs>
          <w:tab w:leader="none" w:pos="680" w:val="left"/>
        </w:tabs>
        <w:numPr>
          <w:ilvl w:val="0"/>
          <w:numId w:val="90"/>
        </w:numPr>
        <w:rPr>
          <w:rFonts w:ascii="Arial" w:cs="Arial" w:eastAsia="Arial" w:hAnsi="Arial"/>
          <w:sz w:val="17"/>
          <w:szCs w:val="17"/>
          <w:b w:val="1"/>
          <w:bCs w:val="1"/>
          <w:color w:val="0066BA"/>
        </w:rPr>
      </w:pPr>
      <w:r>
        <w:rPr>
          <w:rFonts w:ascii="Arial" w:cs="Arial" w:eastAsia="Arial" w:hAnsi="Arial"/>
          <w:sz w:val="17"/>
          <w:szCs w:val="17"/>
          <w:color w:val="auto"/>
        </w:rPr>
        <w:t>The Board of Directors recommends that you vote:</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election of each of the eleven nominees to serve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180" w:right="440"/>
        <w:spacing w:after="0" w:line="263" w:lineRule="auto"/>
        <w:rPr>
          <w:sz w:val="20"/>
          <w:szCs w:val="20"/>
          <w:color w:val="auto"/>
        </w:rPr>
      </w:pPr>
      <w:r>
        <w:rPr>
          <w:rFonts w:ascii="Arial" w:cs="Arial" w:eastAsia="Arial" w:hAnsi="Arial"/>
          <w:sz w:val="17"/>
          <w:szCs w:val="17"/>
          <w:color w:val="auto"/>
        </w:rPr>
        <w:t>directors on the Board of Directors, each for a term expiring at the next annual meeting of shareholders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-3629025</wp:posOffset>
            </wp:positionH>
            <wp:positionV relativeFrom="paragraph">
              <wp:posOffset>-816610</wp:posOffset>
            </wp:positionV>
            <wp:extent cx="7153910" cy="247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p>
    <w:p>
      <w:pPr>
        <w:ind w:left="180" w:right="180"/>
        <w:spacing w:after="0" w:line="255" w:lineRule="auto"/>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by non-binding “say on pay” vote,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of our named executive officers, as described in the Compensation Discussion and Analysis, executive compensation tables and accompanying narrative disclosures contained in this proxy statement (Proposal 2); and</w:t>
      </w:r>
    </w:p>
    <w:p>
      <w:pPr>
        <w:spacing w:after="0" w:line="2" w:lineRule="exact"/>
        <w:rPr>
          <w:sz w:val="20"/>
          <w:szCs w:val="20"/>
          <w:color w:val="auto"/>
        </w:rPr>
      </w:pPr>
    </w:p>
    <w:p>
      <w:pPr>
        <w:ind w:left="180" w:right="420"/>
        <w:spacing w:after="0" w:line="263" w:lineRule="auto"/>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selection of Ernst &amp; Young LLP as our</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registered public accounting firm for fiscal 2021 (Proposal 3).</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Q:Will any other matters be voted on at this meeting?</w:t>
      </w:r>
    </w:p>
    <w:p>
      <w:pPr>
        <w:spacing w:after="0" w:line="84" w:lineRule="exact"/>
        <w:rPr>
          <w:sz w:val="20"/>
          <w:szCs w:val="20"/>
          <w:color w:val="auto"/>
        </w:rPr>
      </w:pPr>
    </w:p>
    <w:p>
      <w:pPr>
        <w:ind w:left="200" w:right="260" w:hanging="192"/>
        <w:spacing w:after="0" w:line="279" w:lineRule="auto"/>
        <w:tabs>
          <w:tab w:leader="none" w:pos="200" w:val="left"/>
        </w:tabs>
        <w:numPr>
          <w:ilvl w:val="0"/>
          <w:numId w:val="91"/>
        </w:numPr>
        <w:rPr>
          <w:rFonts w:ascii="Arial" w:cs="Arial" w:eastAsia="Arial" w:hAnsi="Arial"/>
          <w:sz w:val="16"/>
          <w:szCs w:val="16"/>
          <w:b w:val="1"/>
          <w:bCs w:val="1"/>
          <w:color w:val="0066BA"/>
        </w:rPr>
      </w:pPr>
      <w:r>
        <w:rPr>
          <w:rFonts w:ascii="Arial" w:cs="Arial" w:eastAsia="Arial" w:hAnsi="Arial"/>
          <w:sz w:val="16"/>
          <w:szCs w:val="16"/>
          <w:color w:val="auto"/>
        </w:rPr>
        <w:t>No. Under the laws of Massachusetts, where we are incorporated, an item may not be brought before our shareholders at a meeting unless it appears in the notice of the meeting. Our bylaws establish the process for a shareholder to bring a matter before a meeting. See “How and when may I submit a shareholder proposal, including a shareholder nomination for director, for the 2022 annual meeting of shareholders?” below.</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Q:How do I submit a question at the virtual Annual Meeting?</w:t>
      </w:r>
    </w:p>
    <w:p>
      <w:pPr>
        <w:spacing w:after="0" w:line="31" w:lineRule="exact"/>
        <w:rPr>
          <w:sz w:val="20"/>
          <w:szCs w:val="20"/>
          <w:color w:val="auto"/>
        </w:rPr>
      </w:pPr>
    </w:p>
    <w:p>
      <w:pPr>
        <w:ind w:left="200" w:right="200" w:hanging="192"/>
        <w:spacing w:after="0" w:line="292" w:lineRule="auto"/>
        <w:tabs>
          <w:tab w:leader="none" w:pos="200" w:val="left"/>
        </w:tabs>
        <w:numPr>
          <w:ilvl w:val="0"/>
          <w:numId w:val="92"/>
        </w:numPr>
        <w:rPr>
          <w:rFonts w:ascii="Arial" w:cs="Arial" w:eastAsia="Arial" w:hAnsi="Arial"/>
          <w:sz w:val="15"/>
          <w:szCs w:val="15"/>
          <w:b w:val="1"/>
          <w:bCs w:val="1"/>
          <w:color w:val="0066BA"/>
        </w:rPr>
      </w:pPr>
      <w:r>
        <w:rPr>
          <w:rFonts w:ascii="Arial" w:cs="Arial" w:eastAsia="Arial" w:hAnsi="Arial"/>
          <w:sz w:val="15"/>
          <w:szCs w:val="15"/>
          <w:color w:val="auto"/>
        </w:rPr>
        <w:t>Before the Annual Meeting, you can submit questions at www.proxyvote.com. During the Annual Meeting, you can view our agenda and rules of conduct and procedures and submit questions at www.virtualshareholdermeeting.com/ADI2021. Shareholders must have their 16-digit control number to submit questions. We intend to answer during the Annual Meeting all questions submitted that are pertinent to the Company and the items being voted on by shareholders, as time permits and in accordance with our rules of conduct and procedures. If we are unable to respond to a shareholder’s properly submitted question due to time constraints, we will either post the response on the investor relations section of our website following the Annual Meeting, or respond directly to that shareholder using the contact information provided. Questions and answers will be grouped by topic, and substantially similar questions will be answered only once. To promote fairness, efficiently use the Company’s resources and address all shareholder questions, we will respond to no more than two questions from any single shareholder.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Q:Where can I find the voting results?</w:t>
      </w:r>
    </w:p>
    <w:p>
      <w:pPr>
        <w:spacing w:after="0" w:line="84" w:lineRule="exact"/>
        <w:rPr>
          <w:sz w:val="20"/>
          <w:szCs w:val="20"/>
          <w:color w:val="auto"/>
        </w:rPr>
      </w:pPr>
    </w:p>
    <w:p>
      <w:pPr>
        <w:ind w:left="200" w:right="300" w:hanging="192"/>
        <w:spacing w:after="0" w:line="270" w:lineRule="auto"/>
        <w:tabs>
          <w:tab w:leader="none" w:pos="200" w:val="left"/>
        </w:tabs>
        <w:numPr>
          <w:ilvl w:val="0"/>
          <w:numId w:val="93"/>
        </w:numPr>
        <w:rPr>
          <w:rFonts w:ascii="Arial" w:cs="Arial" w:eastAsia="Arial" w:hAnsi="Arial"/>
          <w:sz w:val="17"/>
          <w:szCs w:val="17"/>
          <w:b w:val="1"/>
          <w:bCs w:val="1"/>
          <w:color w:val="0066BA"/>
        </w:rPr>
      </w:pPr>
      <w:r>
        <w:rPr>
          <w:rFonts w:ascii="Arial" w:cs="Arial" w:eastAsia="Arial" w:hAnsi="Arial"/>
          <w:sz w:val="17"/>
          <w:szCs w:val="17"/>
          <w:color w:val="auto"/>
        </w:rPr>
        <w:t>We will report the voting results in a Form 8-K filed with the U.S. Securities and Exchange Commission, or SEC, within four business days after the conclusion of the Annual Meeting.</w:t>
      </w:r>
    </w:p>
    <w:p>
      <w:pPr>
        <w:spacing w:after="0" w:line="24" w:lineRule="exact"/>
        <w:rPr>
          <w:sz w:val="20"/>
          <w:szCs w:val="20"/>
          <w:color w:val="auto"/>
        </w:rPr>
      </w:pPr>
    </w:p>
    <w:p>
      <w:pPr>
        <w:jc w:val="both"/>
        <w:ind w:left="200" w:right="200" w:hanging="193"/>
        <w:spacing w:after="0" w:line="274" w:lineRule="auto"/>
        <w:rPr>
          <w:sz w:val="20"/>
          <w:szCs w:val="20"/>
          <w:color w:val="auto"/>
        </w:rPr>
      </w:pPr>
      <w:r>
        <w:rPr>
          <w:rFonts w:ascii="Arial" w:cs="Arial" w:eastAsia="Arial" w:hAnsi="Arial"/>
          <w:sz w:val="17"/>
          <w:szCs w:val="17"/>
          <w:b w:val="1"/>
          <w:bCs w:val="1"/>
          <w:color w:val="0066BA"/>
        </w:rPr>
        <w:t>Q:How and when may I submit a shareholder proposal, including a shareholder nomination for director, for the 2022 annual meeting of shareholders?</w:t>
      </w:r>
    </w:p>
    <w:p>
      <w:pPr>
        <w:spacing w:after="0" w:line="20" w:lineRule="exact"/>
        <w:rPr>
          <w:sz w:val="20"/>
          <w:szCs w:val="20"/>
          <w:color w:val="auto"/>
        </w:rPr>
      </w:pPr>
    </w:p>
    <w:p>
      <w:pPr>
        <w:ind w:left="200" w:right="280" w:hanging="192"/>
        <w:spacing w:after="0" w:line="260" w:lineRule="auto"/>
        <w:tabs>
          <w:tab w:leader="none" w:pos="200" w:val="left"/>
        </w:tabs>
        <w:numPr>
          <w:ilvl w:val="0"/>
          <w:numId w:val="94"/>
        </w:numPr>
        <w:rPr>
          <w:rFonts w:ascii="Arial" w:cs="Arial" w:eastAsia="Arial" w:hAnsi="Arial"/>
          <w:sz w:val="17"/>
          <w:szCs w:val="17"/>
          <w:b w:val="1"/>
          <w:bCs w:val="1"/>
          <w:color w:val="0066BA"/>
        </w:rPr>
      </w:pPr>
      <w:r>
        <w:rPr>
          <w:rFonts w:ascii="Arial" w:cs="Arial" w:eastAsia="Arial" w:hAnsi="Arial"/>
          <w:sz w:val="17"/>
          <w:szCs w:val="17"/>
          <w:b w:val="1"/>
          <w:bCs w:val="1"/>
          <w:color w:val="auto"/>
        </w:rPr>
        <w:t xml:space="preserve">Shareholder proposals for inclusion in proxy statement: </w:t>
      </w:r>
      <w:r>
        <w:rPr>
          <w:rFonts w:ascii="Arial" w:cs="Arial" w:eastAsia="Arial" w:hAnsi="Arial"/>
          <w:sz w:val="17"/>
          <w:szCs w:val="17"/>
          <w:color w:val="auto"/>
        </w:rPr>
        <w:t>If you</w:t>
      </w:r>
      <w:r>
        <w:rPr>
          <w:rFonts w:ascii="Arial" w:cs="Arial" w:eastAsia="Arial" w:hAnsi="Arial"/>
          <w:sz w:val="17"/>
          <w:szCs w:val="17"/>
          <w:b w:val="1"/>
          <w:bCs w:val="1"/>
          <w:color w:val="auto"/>
        </w:rPr>
        <w:t xml:space="preserve"> </w:t>
      </w:r>
      <w:r>
        <w:rPr>
          <w:rFonts w:ascii="Arial" w:cs="Arial" w:eastAsia="Arial" w:hAnsi="Arial"/>
          <w:sz w:val="17"/>
          <w:szCs w:val="17"/>
          <w:color w:val="auto"/>
        </w:rPr>
        <w:t>are interested in submitting a proposal for inclusion in our proxy statement for the 2022 annual meeting, you need to follow the procedures outlined in Rule 14a-8 of the Securities Exchange Act of 1934, or the Exchange Act. To be eligible for inclusion, we must receive your shareholder proposal for our proxy statement for the 2022 annual meeting of shareholders at our principal corporate offices in Wilmington, Massachusetts at the address below no later than September 24, 2021.</w:t>
      </w:r>
    </w:p>
    <w:p>
      <w:pPr>
        <w:spacing w:after="0" w:line="1487" w:lineRule="exact"/>
        <w:rPr>
          <w:sz w:val="20"/>
          <w:szCs w:val="20"/>
          <w:color w:val="auto"/>
        </w:rPr>
      </w:pPr>
    </w:p>
    <w:p>
      <w:pPr>
        <w:sectPr>
          <w:pgSz w:w="11900" w:h="16838" w:orient="portrait"/>
          <w:cols w:equalWidth="0" w:num="2">
            <w:col w:w="5420" w:space="300"/>
            <w:col w:w="5220"/>
          </w:cols>
          <w:pgMar w:left="320" w:top="447" w:right="6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10760"/>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0940"/>
          </w:cols>
          <w:pgMar w:left="320" w:top="447" w:right="639" w:bottom="1440" w:gutter="0" w:footer="0" w:header="0"/>
          <w:type w:val="continuous"/>
        </w:sectPr>
      </w:pPr>
    </w:p>
    <w:bookmarkStart w:id="77" w:name="page78"/>
    <w:bookmarkEnd w:id="77"/>
    <w:p>
      <w:pPr>
        <w:spacing w:after="0"/>
        <w:rPr>
          <w:rFonts w:ascii="Arial" w:cs="Arial" w:eastAsia="Arial" w:hAnsi="Arial"/>
          <w:sz w:val="17"/>
          <w:szCs w:val="17"/>
          <w:b w:val="1"/>
          <w:bCs w:val="1"/>
          <w:u w:val="single" w:color="auto"/>
          <w:color w:val="0000EE"/>
        </w:rPr>
      </w:pPr>
      <w:hyperlink w:anchor="page10">
        <w:r>
          <w:rPr>
            <w:rFonts w:ascii="Arial" w:cs="Arial" w:eastAsia="Arial" w:hAnsi="Arial"/>
            <w:sz w:val="17"/>
            <w:szCs w:val="17"/>
            <w:b w:val="1"/>
            <w:bCs w:val="1"/>
            <w:u w:val="single" w:color="auto"/>
            <w:color w:val="0000EE"/>
          </w:rPr>
          <w:t>Table of Contents</w:t>
        </w:r>
      </w:hyperlink>
    </w:p>
    <w:p>
      <w:pPr>
        <w:spacing w:after="0" w:line="350" w:lineRule="exact"/>
        <w:rPr>
          <w:sz w:val="20"/>
          <w:szCs w:val="20"/>
          <w:color w:val="auto"/>
        </w:rPr>
      </w:pPr>
    </w:p>
    <w:p>
      <w:pPr>
        <w:ind w:left="640"/>
        <w:spacing w:after="0" w:line="292" w:lineRule="auto"/>
        <w:rPr>
          <w:sz w:val="20"/>
          <w:szCs w:val="20"/>
          <w:color w:val="auto"/>
        </w:rPr>
      </w:pPr>
      <w:r>
        <w:rPr>
          <w:rFonts w:ascii="Arial" w:cs="Arial" w:eastAsia="Arial" w:hAnsi="Arial"/>
          <w:sz w:val="15"/>
          <w:szCs w:val="15"/>
          <w:b w:val="1"/>
          <w:bCs w:val="1"/>
          <w:color w:val="auto"/>
        </w:rPr>
        <w:t>Shareholder director nominations for inclusion in proxy statement</w:t>
      </w:r>
      <w:r>
        <w:rPr>
          <w:rFonts w:ascii="Arial" w:cs="Arial" w:eastAsia="Arial" w:hAnsi="Arial"/>
          <w:sz w:val="15"/>
          <w:szCs w:val="15"/>
          <w:color w:val="auto"/>
        </w:rPr>
        <w:t>: The Board of Directors has implemented a proxy access</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 in our bylaws, which allows a shareholder or group of up to 20 shareholders owning in aggregate 3% or more of our outstanding shares of common stock continuously for at least three years to nominate and include in our proxy materials director nominees constituting up to 20% of the number of directors in office or two nominees, whichever is greater, provided the shareholder(s) and nominee(s) satisfy the requirements in the bylaws. If a shareholder or group of shareholders wishes to nominate one or more director candidates to be included in our proxy statement pursuant to these proxy access provisions in Article I, Section 1.9(c) of our bylaws, the Secretary must receive advance written notice at the address noted below not less than 120 days nor more than 150 days before the first anniversary of the preceding year’s annual meeting. However, if the date of our annual meeting is advanced by more than 20 days, or delayed by more than 60 days, from the anniversary date, or if no annual meeting was held in the preceding year, then we must receive such notice at the address noted below not earlier than the 150th day before such annual meeting and not later than the close of business on the later of (1) the 120th day prior to such annual meeting and (2) the seventh day after the day on which notice of the meeting date was mailed or public disclosure was made, whichever occurs first. Assuming that the 2022 annual meeting is not advanced by more than 20 days nor delayed by more than 60 days from the anniversary date of the 2021 annual meeting, you would need to give us appropriate notice at the address noted below no earlier than October 11, 2021, and no later than November 10, 2021.</w:t>
      </w:r>
    </w:p>
    <w:p>
      <w:pPr>
        <w:spacing w:after="0" w:line="179" w:lineRule="exact"/>
        <w:rPr>
          <w:sz w:val="20"/>
          <w:szCs w:val="20"/>
          <w:color w:val="auto"/>
        </w:rPr>
      </w:pPr>
    </w:p>
    <w:p>
      <w:pPr>
        <w:ind w:left="640" w:right="20"/>
        <w:spacing w:after="0" w:line="289" w:lineRule="auto"/>
        <w:rPr>
          <w:sz w:val="20"/>
          <w:szCs w:val="20"/>
          <w:color w:val="auto"/>
        </w:rPr>
      </w:pPr>
      <w:r>
        <w:rPr>
          <w:rFonts w:ascii="Arial" w:cs="Arial" w:eastAsia="Arial" w:hAnsi="Arial"/>
          <w:sz w:val="15"/>
          <w:szCs w:val="15"/>
          <w:b w:val="1"/>
          <w:bCs w:val="1"/>
          <w:color w:val="auto"/>
        </w:rPr>
        <w:t>Shareholder proposals and director nominations not included in proxy statement</w:t>
      </w:r>
      <w:r>
        <w:rPr>
          <w:rFonts w:ascii="Arial" w:cs="Arial" w:eastAsia="Arial" w:hAnsi="Arial"/>
          <w:sz w:val="15"/>
          <w:szCs w:val="15"/>
          <w:color w:val="auto"/>
        </w:rPr>
        <w:t>: In addition, our bylaws require that we be given</w:t>
      </w:r>
      <w:r>
        <w:rPr>
          <w:rFonts w:ascii="Arial" w:cs="Arial" w:eastAsia="Arial" w:hAnsi="Arial"/>
          <w:sz w:val="15"/>
          <w:szCs w:val="15"/>
          <w:b w:val="1"/>
          <w:bCs w:val="1"/>
          <w:color w:val="auto"/>
        </w:rPr>
        <w:t xml:space="preserve"> </w:t>
      </w:r>
      <w:r>
        <w:rPr>
          <w:rFonts w:ascii="Arial" w:cs="Arial" w:eastAsia="Arial" w:hAnsi="Arial"/>
          <w:sz w:val="15"/>
          <w:szCs w:val="15"/>
          <w:color w:val="auto"/>
        </w:rPr>
        <w:t>advance written notice for nominations for election to our Board of Directors and other matters that shareholders wish to present for action at an annual meeting other than those to be included in our proxy statement under Rule 14a-8. The Secretary must receive such notice at the address noted below not less than 90 days or more than 120 days before the first anniversary of the preceding year’s annual meeting. However, if the date of our annual meeting is advanced by more than 20 days, or delayed by more than 60 days, from the anniversary date, then we must receive such notice at the address noted below not earlier than the 120th day before such annual meeting and not later than the close of business on the later of</w:t>
      </w:r>
    </w:p>
    <w:p>
      <w:pPr>
        <w:spacing w:after="0" w:line="6" w:lineRule="exact"/>
        <w:rPr>
          <w:sz w:val="20"/>
          <w:szCs w:val="20"/>
          <w:color w:val="auto"/>
        </w:rPr>
      </w:pPr>
    </w:p>
    <w:p>
      <w:pPr>
        <w:ind w:left="640" w:right="20" w:firstLine="9"/>
        <w:spacing w:after="0" w:line="274" w:lineRule="auto"/>
        <w:tabs>
          <w:tab w:leader="none" w:pos="886"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90th day before such annual meeting and (2) the seventh day after the day on which notice of the meeting date was mailed or public disclosure was made, whichever occurs first. Assuming that the 2022 annual meeting is not advanced by more than 20 days nor delayed by more than 60 days from the anniversary date of the 2021 annual meeting, you would need to give us appropriate notice at the address noted below no earlier than November 10, 2021, and no later than December 10, 2021. If a shareholder does not provide timely notice of a nomination or other matter to be presented at the 2022 annual meeting, under Massachusetts law, it may not be brought before our shareholders at a meeting.</w:t>
      </w:r>
    </w:p>
    <w:p>
      <w:pPr>
        <w:spacing w:after="0" w:line="19" w:lineRule="exact"/>
        <w:rPr>
          <w:sz w:val="20"/>
          <w:szCs w:val="20"/>
          <w:color w:val="auto"/>
        </w:rPr>
      </w:pPr>
    </w:p>
    <w:p>
      <w:pPr>
        <w:ind w:left="640" w:right="120"/>
        <w:spacing w:after="0" w:line="356" w:lineRule="auto"/>
        <w:rPr>
          <w:sz w:val="20"/>
          <w:szCs w:val="20"/>
          <w:color w:val="auto"/>
        </w:rPr>
      </w:pPr>
      <w:r>
        <w:rPr>
          <w:rFonts w:ascii="Arial" w:cs="Arial" w:eastAsia="Arial" w:hAnsi="Arial"/>
          <w:sz w:val="15"/>
          <w:szCs w:val="15"/>
          <w:color w:val="auto"/>
        </w:rPr>
        <w:t>Our bylaws also specify requirements relating to the content of the notice that shareholders must provide to the Secretary of Analog</w:t>
      </w:r>
    </w:p>
    <w:p>
      <w:pPr>
        <w:spacing w:after="0" w:line="200" w:lineRule="exact"/>
        <w:rPr>
          <w:sz w:val="20"/>
          <w:szCs w:val="20"/>
          <w:color w:val="auto"/>
        </w:rPr>
      </w:pPr>
    </w:p>
    <w:p>
      <w:pPr>
        <w:spacing w:after="0" w:line="38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180"/>
        <w:spacing w:after="0" w:line="259" w:lineRule="auto"/>
        <w:rPr>
          <w:sz w:val="20"/>
          <w:szCs w:val="20"/>
          <w:color w:val="auto"/>
        </w:rPr>
      </w:pPr>
      <w:r>
        <w:rPr>
          <w:rFonts w:ascii="Arial" w:cs="Arial" w:eastAsia="Arial" w:hAnsi="Arial"/>
          <w:sz w:val="17"/>
          <w:szCs w:val="17"/>
          <w:color w:val="auto"/>
        </w:rPr>
        <w:t>Devices for any matter, including a shareholder proposal or nomination for director, to be properly presented at a shareholder meeting. A copy of the full text of our bylaws is on file with the SEC and publicly available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-3629025</wp:posOffset>
            </wp:positionH>
            <wp:positionV relativeFrom="paragraph">
              <wp:posOffset>-1080770</wp:posOffset>
            </wp:positionV>
            <wp:extent cx="7153910" cy="247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7"/>
          <w:szCs w:val="17"/>
          <w:color w:val="auto"/>
        </w:rPr>
        <w:t>Any proposals, nominations or notices should be sent to:</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Yoon Ah Oh, Secretary</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Analog Devices, Inc.</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One Analog Way</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Wilmington, Massachusetts 01887</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Phone: 781-935-5565</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Email: yoonah.oh@analog.com</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0066BA"/>
        </w:rPr>
        <w:t>Q:What are the costs of soliciting these proxies and who will pay?</w:t>
      </w:r>
    </w:p>
    <w:p>
      <w:pPr>
        <w:spacing w:after="0" w:line="107" w:lineRule="exact"/>
        <w:rPr>
          <w:sz w:val="20"/>
          <w:szCs w:val="20"/>
          <w:color w:val="auto"/>
        </w:rPr>
      </w:pPr>
    </w:p>
    <w:p>
      <w:pPr>
        <w:ind w:left="200" w:hanging="193"/>
        <w:spacing w:after="0" w:line="276" w:lineRule="auto"/>
        <w:tabs>
          <w:tab w:leader="none" w:pos="200" w:val="left"/>
        </w:tabs>
        <w:numPr>
          <w:ilvl w:val="0"/>
          <w:numId w:val="96"/>
        </w:numPr>
        <w:rPr>
          <w:rFonts w:ascii="Arial" w:cs="Arial" w:eastAsia="Arial" w:hAnsi="Arial"/>
          <w:sz w:val="16"/>
          <w:szCs w:val="16"/>
          <w:b w:val="1"/>
          <w:bCs w:val="1"/>
          <w:color w:val="0066BA"/>
        </w:rPr>
      </w:pPr>
      <w:r>
        <w:rPr>
          <w:rFonts w:ascii="Arial" w:cs="Arial" w:eastAsia="Arial" w:hAnsi="Arial"/>
          <w:sz w:val="16"/>
          <w:szCs w:val="16"/>
          <w:color w:val="auto"/>
        </w:rPr>
        <w:t>We will bear the costs of solicitation of proxies. We have engaged Alliance Advisors LLC to assist us with the solicitation of proxies and expect to pay Alliance Advisors approximately $12,500 for their services. In addition to solicitations by mail, Alliance Advisors and our directors, officers and regular employees may solicit proxies by telephone, email and personal interviews without additional remuneration. We will request brokers, custodians and fiduciaries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21" w:lineRule="exact"/>
        <w:rPr>
          <w:sz w:val="20"/>
          <w:szCs w:val="20"/>
          <w:color w:val="auto"/>
        </w:rPr>
      </w:pPr>
    </w:p>
    <w:p>
      <w:pPr>
        <w:ind w:left="200" w:right="320" w:hanging="194"/>
        <w:spacing w:after="0" w:line="293" w:lineRule="auto"/>
        <w:rPr>
          <w:sz w:val="20"/>
          <w:szCs w:val="20"/>
          <w:color w:val="auto"/>
        </w:rPr>
      </w:pPr>
      <w:r>
        <w:rPr>
          <w:rFonts w:ascii="Arial" w:cs="Arial" w:eastAsia="Arial" w:hAnsi="Arial"/>
          <w:sz w:val="17"/>
          <w:szCs w:val="17"/>
          <w:b w:val="1"/>
          <w:bCs w:val="1"/>
          <w:color w:val="0066BA"/>
        </w:rPr>
        <w:t>Q:Why did I receive a “Notice of Internet Availability of Proxy Materials” but no proxy materials?</w:t>
      </w:r>
    </w:p>
    <w:p>
      <w:pPr>
        <w:spacing w:after="0" w:line="10" w:lineRule="exact"/>
        <w:rPr>
          <w:sz w:val="20"/>
          <w:szCs w:val="20"/>
          <w:color w:val="auto"/>
        </w:rPr>
      </w:pPr>
    </w:p>
    <w:p>
      <w:pPr>
        <w:ind w:left="200" w:right="20" w:hanging="193"/>
        <w:spacing w:after="0" w:line="277" w:lineRule="auto"/>
        <w:tabs>
          <w:tab w:leader="none" w:pos="200" w:val="left"/>
        </w:tabs>
        <w:numPr>
          <w:ilvl w:val="0"/>
          <w:numId w:val="97"/>
        </w:numPr>
        <w:rPr>
          <w:rFonts w:ascii="Arial" w:cs="Arial" w:eastAsia="Arial" w:hAnsi="Arial"/>
          <w:sz w:val="16"/>
          <w:szCs w:val="16"/>
          <w:b w:val="1"/>
          <w:bCs w:val="1"/>
          <w:color w:val="0066BA"/>
        </w:rPr>
      </w:pPr>
      <w:r>
        <w:rPr>
          <w:rFonts w:ascii="Arial" w:cs="Arial" w:eastAsia="Arial" w:hAnsi="Arial"/>
          <w:sz w:val="16"/>
          <w:szCs w:val="16"/>
          <w:color w:val="auto"/>
        </w:rPr>
        <w:t>We are distributing our proxy materials to shareholders via the Internet under the “Notice and Access” approach permitted by the rules of the SEC. This approach expedites shareholders’ receipt of proxy materials while conserving natural resources and reducing our distribution costs. On or about January 22, 2021, we mailed a Notice of Internet Availability of Proxy Materials to participating shareholders containing instructions on how to access the proxy materials on the Internet, and if desired, to request to receive a paper copy of our proxy materials by mail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Q:How can I obtain an Annual Report on Form 10-K?</w:t>
      </w:r>
    </w:p>
    <w:p>
      <w:pPr>
        <w:spacing w:after="0" w:line="84" w:lineRule="exact"/>
        <w:rPr>
          <w:sz w:val="20"/>
          <w:szCs w:val="20"/>
          <w:color w:val="auto"/>
        </w:rPr>
      </w:pPr>
    </w:p>
    <w:p>
      <w:pPr>
        <w:ind w:left="200" w:right="40" w:hanging="193"/>
        <w:spacing w:after="0" w:line="274" w:lineRule="auto"/>
        <w:tabs>
          <w:tab w:leader="none" w:pos="200" w:val="left"/>
        </w:tabs>
        <w:numPr>
          <w:ilvl w:val="0"/>
          <w:numId w:val="98"/>
        </w:numPr>
        <w:rPr>
          <w:rFonts w:ascii="Arial" w:cs="Arial" w:eastAsia="Arial" w:hAnsi="Arial"/>
          <w:sz w:val="16"/>
          <w:szCs w:val="16"/>
          <w:b w:val="1"/>
          <w:bCs w:val="1"/>
          <w:color w:val="0066BA"/>
        </w:rPr>
      </w:pPr>
      <w:r>
        <w:rPr>
          <w:rFonts w:ascii="Arial" w:cs="Arial" w:eastAsia="Arial" w:hAnsi="Arial"/>
          <w:sz w:val="16"/>
          <w:szCs w:val="16"/>
          <w:color w:val="auto"/>
        </w:rPr>
        <w:t>Our Annual Report on Form 10-K for the fiscal year ended October 31, 2020, or fiscal 2020, is available on our website at www.analog.com. If you would like a copy of our Annual Report on Form 10-K for fiscal 2020 and/or any of its exhibits, we will send you such materials without charge. Please contact:</w:t>
      </w:r>
    </w:p>
    <w:p>
      <w:pPr>
        <w:spacing w:after="0" w:line="2" w:lineRule="exact"/>
        <w:rPr>
          <w:rFonts w:ascii="Arial" w:cs="Arial" w:eastAsia="Arial" w:hAnsi="Arial"/>
          <w:sz w:val="16"/>
          <w:szCs w:val="16"/>
          <w:b w:val="1"/>
          <w:bCs w:val="1"/>
          <w:color w:val="0066BA"/>
        </w:rPr>
      </w:pPr>
    </w:p>
    <w:p>
      <w:pPr>
        <w:ind w:left="180" w:right="2680"/>
        <w:spacing w:after="0" w:line="289" w:lineRule="auto"/>
        <w:rPr>
          <w:rFonts w:ascii="Arial" w:cs="Arial" w:eastAsia="Arial" w:hAnsi="Arial"/>
          <w:sz w:val="16"/>
          <w:szCs w:val="16"/>
          <w:b w:val="1"/>
          <w:bCs w:val="1"/>
          <w:color w:val="0066BA"/>
        </w:rPr>
      </w:pPr>
      <w:r>
        <w:rPr>
          <w:rFonts w:ascii="Arial" w:cs="Arial" w:eastAsia="Arial" w:hAnsi="Arial"/>
          <w:sz w:val="15"/>
          <w:szCs w:val="15"/>
          <w:color w:val="auto"/>
        </w:rPr>
        <w:t>Investor Relations Department Analog Devices, Inc.</w:t>
      </w:r>
    </w:p>
    <w:p>
      <w:pPr>
        <w:ind w:left="180"/>
        <w:spacing w:after="0"/>
        <w:rPr>
          <w:rFonts w:ascii="Arial" w:cs="Arial" w:eastAsia="Arial" w:hAnsi="Arial"/>
          <w:sz w:val="16"/>
          <w:szCs w:val="16"/>
          <w:b w:val="1"/>
          <w:bCs w:val="1"/>
          <w:color w:val="0066BA"/>
        </w:rPr>
      </w:pPr>
      <w:r>
        <w:rPr>
          <w:rFonts w:ascii="Arial" w:cs="Arial" w:eastAsia="Arial" w:hAnsi="Arial"/>
          <w:sz w:val="17"/>
          <w:szCs w:val="17"/>
          <w:color w:val="auto"/>
        </w:rPr>
        <w:t>One Analog Way</w:t>
      </w:r>
    </w:p>
    <w:p>
      <w:pPr>
        <w:spacing w:after="0" w:line="12" w:lineRule="exact"/>
        <w:rPr>
          <w:rFonts w:ascii="Arial" w:cs="Arial" w:eastAsia="Arial" w:hAnsi="Arial"/>
          <w:sz w:val="16"/>
          <w:szCs w:val="16"/>
          <w:b w:val="1"/>
          <w:bCs w:val="1"/>
          <w:color w:val="0066BA"/>
        </w:rPr>
      </w:pPr>
    </w:p>
    <w:p>
      <w:pPr>
        <w:ind w:left="180" w:right="2400"/>
        <w:spacing w:after="0" w:line="255" w:lineRule="auto"/>
        <w:rPr>
          <w:rFonts w:ascii="Arial" w:cs="Arial" w:eastAsia="Arial" w:hAnsi="Arial"/>
          <w:sz w:val="16"/>
          <w:szCs w:val="16"/>
          <w:b w:val="1"/>
          <w:bCs w:val="1"/>
          <w:color w:val="0066BA"/>
        </w:rPr>
      </w:pPr>
      <w:r>
        <w:rPr>
          <w:rFonts w:ascii="Arial" w:cs="Arial" w:eastAsia="Arial" w:hAnsi="Arial"/>
          <w:sz w:val="17"/>
          <w:szCs w:val="17"/>
          <w:color w:val="auto"/>
        </w:rPr>
        <w:t>Wilmington, Massachusetts 01887 Phone: 781-461-3282</w:t>
      </w:r>
    </w:p>
    <w:p>
      <w:pPr>
        <w:ind w:left="180"/>
        <w:spacing w:after="0"/>
        <w:rPr>
          <w:rFonts w:ascii="Arial" w:cs="Arial" w:eastAsia="Arial" w:hAnsi="Arial"/>
          <w:sz w:val="16"/>
          <w:szCs w:val="16"/>
          <w:b w:val="1"/>
          <w:bCs w:val="1"/>
          <w:color w:val="0066BA"/>
        </w:rPr>
      </w:pPr>
      <w:r>
        <w:rPr>
          <w:rFonts w:ascii="Arial" w:cs="Arial" w:eastAsia="Arial" w:hAnsi="Arial"/>
          <w:sz w:val="17"/>
          <w:szCs w:val="17"/>
          <w:color w:val="auto"/>
        </w:rPr>
        <w:t>Email: investor.relations@analog.com</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Q:Whom should I contact if I have any questions?</w:t>
      </w:r>
    </w:p>
    <w:p>
      <w:pPr>
        <w:spacing w:after="0" w:line="84" w:lineRule="exact"/>
        <w:rPr>
          <w:sz w:val="20"/>
          <w:szCs w:val="20"/>
          <w:color w:val="auto"/>
        </w:rPr>
      </w:pPr>
    </w:p>
    <w:p>
      <w:pPr>
        <w:ind w:left="200" w:right="280" w:hanging="193"/>
        <w:spacing w:after="0" w:line="265" w:lineRule="auto"/>
        <w:tabs>
          <w:tab w:leader="none" w:pos="200" w:val="left"/>
        </w:tabs>
        <w:numPr>
          <w:ilvl w:val="0"/>
          <w:numId w:val="99"/>
        </w:numPr>
        <w:rPr>
          <w:rFonts w:ascii="Arial" w:cs="Arial" w:eastAsia="Arial" w:hAnsi="Arial"/>
          <w:sz w:val="17"/>
          <w:szCs w:val="17"/>
          <w:b w:val="1"/>
          <w:bCs w:val="1"/>
          <w:color w:val="0066BA"/>
        </w:rPr>
      </w:pPr>
      <w:r>
        <w:rPr>
          <w:rFonts w:ascii="Arial" w:cs="Arial" w:eastAsia="Arial" w:hAnsi="Arial"/>
          <w:sz w:val="17"/>
          <w:szCs w:val="17"/>
          <w:color w:val="auto"/>
        </w:rPr>
        <w:t>If you have any questions about the Annual Meeting or your ownership of our common stock, please contact our Investor Relations Department, at the address, telephone number or email address listed above.</w:t>
      </w:r>
    </w:p>
    <w:p>
      <w:pPr>
        <w:sectPr>
          <w:pgSz w:w="11900" w:h="16838" w:orient="portrait"/>
          <w:cols w:equalWidth="0" w:num="2">
            <w:col w:w="5400" w:space="320"/>
            <w:col w:w="4980"/>
          </w:cols>
          <w:pgMar w:left="320" w:top="447" w:right="87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40"/>
        <w:spacing w:after="0"/>
        <w:rPr>
          <w:sz w:val="20"/>
          <w:szCs w:val="20"/>
          <w:color w:val="auto"/>
        </w:rPr>
      </w:pPr>
      <w:r>
        <w:rPr>
          <w:rFonts w:ascii="Arial" w:cs="Arial" w:eastAsia="Arial" w:hAnsi="Arial"/>
          <w:sz w:val="55"/>
          <w:szCs w:val="55"/>
          <w:color w:val="333333"/>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Householding of Annual Meeting Materials</w:t>
      </w:r>
    </w:p>
    <w:p>
      <w:pPr>
        <w:spacing w:after="0" w:line="125" w:lineRule="exact"/>
        <w:rPr>
          <w:sz w:val="20"/>
          <w:szCs w:val="20"/>
          <w:color w:val="auto"/>
        </w:rPr>
      </w:pPr>
    </w:p>
    <w:p>
      <w:pPr>
        <w:ind w:left="480" w:right="100"/>
        <w:spacing w:after="0" w:line="277"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unless we have received contrary instructions from one or more shareholders. We will promptly deliver a separate copy of either document to you if you contact us at the following address, telephone number or email address: Investor Relations Department, Analog Devices, Inc., One Analog Way, Wilmington, Massachusetts 01887, telephone: 781-461-3282, email: investor.relations@analog.com.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25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Security Ownership Of Certain Beneficial Owners</w:t>
      </w:r>
    </w:p>
    <w:p>
      <w:pPr>
        <w:spacing w:after="0" w:line="125" w:lineRule="exact"/>
        <w:rPr>
          <w:sz w:val="20"/>
          <w:szCs w:val="20"/>
          <w:color w:val="auto"/>
        </w:rPr>
      </w:pPr>
    </w:p>
    <w:p>
      <w:pPr>
        <w:ind w:left="480" w:right="100"/>
        <w:spacing w:after="0" w:line="286" w:lineRule="auto"/>
        <w:rPr>
          <w:sz w:val="20"/>
          <w:szCs w:val="20"/>
          <w:color w:val="auto"/>
        </w:rPr>
      </w:pPr>
      <w:r>
        <w:rPr>
          <w:rFonts w:ascii="Arial" w:cs="Arial" w:eastAsia="Arial" w:hAnsi="Arial"/>
          <w:sz w:val="17"/>
          <w:szCs w:val="17"/>
          <w:color w:val="auto"/>
        </w:rPr>
        <w:t>The following table lists information about those holders known to Analog Devices to be the beneficial owners of 5% or more of our outstanding shares of common stock as of January 8, 2021:</w:t>
      </w:r>
    </w:p>
    <w:p>
      <w:pPr>
        <w:spacing w:after="0" w:line="197" w:lineRule="exact"/>
        <w:rPr>
          <w:sz w:val="20"/>
          <w:szCs w:val="20"/>
          <w:color w:val="auto"/>
        </w:rPr>
      </w:pPr>
    </w:p>
    <w:tbl>
      <w:tblPr>
        <w:tblLayout w:type="fixed"/>
        <w:tblInd w:w="480" w:type="dxa"/>
        <w:tblCellMar>
          <w:top w:w="0" w:type="dxa"/>
          <w:left w:w="0" w:type="dxa"/>
          <w:bottom w:w="0" w:type="dxa"/>
          <w:right w:w="0" w:type="dxa"/>
        </w:tblCellMar>
      </w:tblPr>
      <w:tr>
        <w:trPr>
          <w:trHeight w:val="223"/>
        </w:trPr>
        <w:tc>
          <w:tcPr>
            <w:tcW w:w="3500" w:type="dxa"/>
            <w:vAlign w:val="bottom"/>
            <w:shd w:val="clear" w:color="auto" w:fill="EAEAEA"/>
          </w:tcPr>
          <w:p>
            <w:pPr>
              <w:ind w:left="60"/>
              <w:spacing w:after="0"/>
              <w:rPr>
                <w:sz w:val="20"/>
                <w:szCs w:val="20"/>
                <w:color w:val="auto"/>
              </w:rPr>
            </w:pPr>
            <w:r>
              <w:rPr>
                <w:rFonts w:ascii="Arial" w:cs="Arial" w:eastAsia="Arial" w:hAnsi="Arial"/>
                <w:sz w:val="14"/>
                <w:szCs w:val="14"/>
                <w:b w:val="1"/>
                <w:bCs w:val="1"/>
                <w:color w:val="auto"/>
              </w:rPr>
              <w:t>Name and Address of Beneficial Owner</w:t>
            </w:r>
          </w:p>
        </w:tc>
        <w:tc>
          <w:tcPr>
            <w:tcW w:w="2840" w:type="dxa"/>
            <w:vAlign w:val="bottom"/>
            <w:shd w:val="clear" w:color="auto" w:fill="EAEAEA"/>
          </w:tcPr>
          <w:p>
            <w:pPr>
              <w:jc w:val="right"/>
              <w:ind w:right="398"/>
              <w:spacing w:after="0"/>
              <w:rPr>
                <w:sz w:val="20"/>
                <w:szCs w:val="20"/>
                <w:color w:val="auto"/>
              </w:rPr>
            </w:pPr>
            <w:r>
              <w:rPr>
                <w:rFonts w:ascii="Arial" w:cs="Arial" w:eastAsia="Arial" w:hAnsi="Arial"/>
                <w:sz w:val="14"/>
                <w:szCs w:val="14"/>
                <w:b w:val="1"/>
                <w:bCs w:val="1"/>
                <w:color w:val="auto"/>
              </w:rPr>
              <w:t>Shares Beneficially Owned</w:t>
            </w:r>
          </w:p>
        </w:tc>
        <w:tc>
          <w:tcPr>
            <w:tcW w:w="2500" w:type="dxa"/>
            <w:vAlign w:val="bottom"/>
            <w:shd w:val="clear" w:color="auto" w:fill="EAEAEA"/>
          </w:tcPr>
          <w:p>
            <w:pPr>
              <w:jc w:val="right"/>
              <w:ind w:right="220"/>
              <w:spacing w:after="0"/>
              <w:rPr>
                <w:sz w:val="20"/>
                <w:szCs w:val="20"/>
                <w:color w:val="auto"/>
              </w:rPr>
            </w:pPr>
            <w:r>
              <w:rPr>
                <w:rFonts w:ascii="Arial" w:cs="Arial" w:eastAsia="Arial" w:hAnsi="Arial"/>
                <w:sz w:val="14"/>
                <w:szCs w:val="14"/>
                <w:b w:val="1"/>
                <w:bCs w:val="1"/>
                <w:color w:val="auto"/>
              </w:rPr>
              <w:t>Percent of Common Stock</w:t>
            </w:r>
          </w:p>
        </w:tc>
      </w:tr>
      <w:tr>
        <w:trPr>
          <w:trHeight w:val="182"/>
        </w:trPr>
        <w:tc>
          <w:tcPr>
            <w:tcW w:w="3500" w:type="dxa"/>
            <w:vAlign w:val="bottom"/>
            <w:shd w:val="clear" w:color="auto" w:fill="EAEAEA"/>
          </w:tcPr>
          <w:p>
            <w:pPr>
              <w:spacing w:after="0"/>
              <w:rPr>
                <w:sz w:val="15"/>
                <w:szCs w:val="15"/>
                <w:color w:val="auto"/>
              </w:rPr>
            </w:pPr>
          </w:p>
        </w:tc>
        <w:tc>
          <w:tcPr>
            <w:tcW w:w="2840" w:type="dxa"/>
            <w:vAlign w:val="bottom"/>
            <w:shd w:val="clear" w:color="auto" w:fill="EAEAEA"/>
          </w:tcPr>
          <w:p>
            <w:pPr>
              <w:spacing w:after="0"/>
              <w:rPr>
                <w:sz w:val="15"/>
                <w:szCs w:val="15"/>
                <w:color w:val="auto"/>
              </w:rPr>
            </w:pPr>
          </w:p>
        </w:tc>
        <w:tc>
          <w:tcPr>
            <w:tcW w:w="2500" w:type="dxa"/>
            <w:vAlign w:val="bottom"/>
            <w:shd w:val="clear" w:color="auto" w:fill="EAEAEA"/>
          </w:tcPr>
          <w:p>
            <w:pPr>
              <w:jc w:val="right"/>
              <w:ind w:right="220"/>
              <w:spacing w:after="0"/>
              <w:rPr>
                <w:sz w:val="20"/>
                <w:szCs w:val="20"/>
                <w:color w:val="auto"/>
              </w:rPr>
            </w:pPr>
            <w:r>
              <w:rPr>
                <w:rFonts w:ascii="Arial" w:cs="Arial" w:eastAsia="Arial" w:hAnsi="Arial"/>
                <w:sz w:val="14"/>
                <w:szCs w:val="14"/>
                <w:b w:val="1"/>
                <w:bCs w:val="1"/>
                <w:color w:val="auto"/>
              </w:rPr>
              <w:t>Beneficially Owned (1)</w:t>
            </w:r>
          </w:p>
        </w:tc>
      </w:tr>
      <w:tr>
        <w:trPr>
          <w:trHeight w:val="64"/>
        </w:trPr>
        <w:tc>
          <w:tcPr>
            <w:tcW w:w="3500" w:type="dxa"/>
            <w:vAlign w:val="bottom"/>
            <w:shd w:val="clear" w:color="auto" w:fill="EAEAEA"/>
          </w:tcPr>
          <w:p>
            <w:pPr>
              <w:spacing w:after="0"/>
              <w:rPr>
                <w:sz w:val="5"/>
                <w:szCs w:val="5"/>
                <w:color w:val="auto"/>
              </w:rPr>
            </w:pPr>
          </w:p>
        </w:tc>
        <w:tc>
          <w:tcPr>
            <w:tcW w:w="2840" w:type="dxa"/>
            <w:vAlign w:val="bottom"/>
            <w:shd w:val="clear" w:color="auto" w:fill="EAEAEA"/>
          </w:tcPr>
          <w:p>
            <w:pPr>
              <w:spacing w:after="0"/>
              <w:rPr>
                <w:sz w:val="5"/>
                <w:szCs w:val="5"/>
                <w:color w:val="auto"/>
              </w:rPr>
            </w:pPr>
          </w:p>
        </w:tc>
        <w:tc>
          <w:tcPr>
            <w:tcW w:w="2500" w:type="dxa"/>
            <w:vAlign w:val="bottom"/>
            <w:shd w:val="clear" w:color="auto" w:fill="EAEAEA"/>
          </w:tcPr>
          <w:p>
            <w:pPr>
              <w:spacing w:after="0"/>
              <w:rPr>
                <w:sz w:val="5"/>
                <w:szCs w:val="5"/>
                <w:color w:val="auto"/>
              </w:rPr>
            </w:pPr>
          </w:p>
        </w:tc>
      </w:tr>
      <w:tr>
        <w:trPr>
          <w:trHeight w:val="260"/>
        </w:trPr>
        <w:tc>
          <w:tcPr>
            <w:tcW w:w="3500" w:type="dxa"/>
            <w:vAlign w:val="bottom"/>
          </w:tcPr>
          <w:p>
            <w:pPr>
              <w:ind w:left="60"/>
              <w:spacing w:after="0"/>
              <w:rPr>
                <w:sz w:val="20"/>
                <w:szCs w:val="20"/>
                <w:color w:val="auto"/>
              </w:rPr>
            </w:pPr>
            <w:r>
              <w:rPr>
                <w:rFonts w:ascii="Arial" w:cs="Arial" w:eastAsia="Arial" w:hAnsi="Arial"/>
                <w:sz w:val="17"/>
                <w:szCs w:val="17"/>
                <w:color w:val="auto"/>
              </w:rPr>
              <w:t>5% Shareholders:</w:t>
            </w:r>
          </w:p>
        </w:tc>
        <w:tc>
          <w:tcPr>
            <w:tcW w:w="284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26"/>
        </w:trPr>
        <w:tc>
          <w:tcPr>
            <w:tcW w:w="35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0"/>
        </w:trPr>
        <w:tc>
          <w:tcPr>
            <w:tcW w:w="3500" w:type="dxa"/>
            <w:vAlign w:val="bottom"/>
          </w:tcPr>
          <w:p>
            <w:pPr>
              <w:ind w:left="200"/>
              <w:spacing w:after="0"/>
              <w:rPr>
                <w:sz w:val="20"/>
                <w:szCs w:val="20"/>
                <w:color w:val="auto"/>
              </w:rPr>
            </w:pPr>
            <w:r>
              <w:rPr>
                <w:rFonts w:ascii="Arial" w:cs="Arial" w:eastAsia="Arial" w:hAnsi="Arial"/>
                <w:sz w:val="17"/>
                <w:szCs w:val="17"/>
                <w:b w:val="1"/>
                <w:bCs w:val="1"/>
                <w:color w:val="auto"/>
              </w:rPr>
              <w:t>Vanguard Group Inc. (2)</w:t>
            </w:r>
          </w:p>
        </w:tc>
        <w:tc>
          <w:tcPr>
            <w:tcW w:w="284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273"/>
        </w:trPr>
        <w:tc>
          <w:tcPr>
            <w:tcW w:w="3500" w:type="dxa"/>
            <w:vAlign w:val="bottom"/>
          </w:tcPr>
          <w:p>
            <w:pPr>
              <w:ind w:left="200"/>
              <w:spacing w:after="0"/>
              <w:rPr>
                <w:sz w:val="20"/>
                <w:szCs w:val="20"/>
                <w:color w:val="auto"/>
              </w:rPr>
            </w:pPr>
            <w:r>
              <w:rPr>
                <w:rFonts w:ascii="Arial" w:cs="Arial" w:eastAsia="Arial" w:hAnsi="Arial"/>
                <w:sz w:val="17"/>
                <w:szCs w:val="17"/>
                <w:color w:val="auto"/>
              </w:rPr>
              <w:t>PO Box 2600</w:t>
            </w:r>
          </w:p>
        </w:tc>
        <w:tc>
          <w:tcPr>
            <w:tcW w:w="284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3"/>
        </w:trPr>
        <w:tc>
          <w:tcPr>
            <w:tcW w:w="3500" w:type="dxa"/>
            <w:vAlign w:val="bottom"/>
          </w:tcPr>
          <w:p>
            <w:pPr>
              <w:ind w:left="200"/>
              <w:spacing w:after="0"/>
              <w:rPr>
                <w:sz w:val="20"/>
                <w:szCs w:val="20"/>
                <w:color w:val="auto"/>
              </w:rPr>
            </w:pPr>
            <w:r>
              <w:rPr>
                <w:rFonts w:ascii="Arial" w:cs="Arial" w:eastAsia="Arial" w:hAnsi="Arial"/>
                <w:sz w:val="17"/>
                <w:szCs w:val="17"/>
                <w:color w:val="auto"/>
              </w:rPr>
              <w:t>Valley Forge, Pennsylvania 19482</w:t>
            </w:r>
          </w:p>
        </w:tc>
        <w:tc>
          <w:tcPr>
            <w:tcW w:w="2840" w:type="dxa"/>
            <w:vAlign w:val="bottom"/>
          </w:tcPr>
          <w:p>
            <w:pPr>
              <w:jc w:val="right"/>
              <w:ind w:right="398"/>
              <w:spacing w:after="0"/>
              <w:rPr>
                <w:sz w:val="20"/>
                <w:szCs w:val="20"/>
                <w:color w:val="auto"/>
              </w:rPr>
            </w:pPr>
            <w:r>
              <w:rPr>
                <w:rFonts w:ascii="Arial" w:cs="Arial" w:eastAsia="Arial" w:hAnsi="Arial"/>
                <w:sz w:val="17"/>
                <w:szCs w:val="17"/>
                <w:color w:val="auto"/>
              </w:rPr>
              <w:t>32,088,636</w:t>
            </w:r>
          </w:p>
        </w:tc>
        <w:tc>
          <w:tcPr>
            <w:tcW w:w="2500" w:type="dxa"/>
            <w:vAlign w:val="bottom"/>
          </w:tcPr>
          <w:p>
            <w:pPr>
              <w:jc w:val="right"/>
              <w:ind w:right="220"/>
              <w:spacing w:after="0"/>
              <w:rPr>
                <w:sz w:val="20"/>
                <w:szCs w:val="20"/>
                <w:color w:val="auto"/>
              </w:rPr>
            </w:pPr>
            <w:r>
              <w:rPr>
                <w:rFonts w:ascii="Arial" w:cs="Arial" w:eastAsia="Arial" w:hAnsi="Arial"/>
                <w:sz w:val="17"/>
                <w:szCs w:val="17"/>
                <w:color w:val="auto"/>
              </w:rPr>
              <w:t>8.7%</w:t>
            </w:r>
          </w:p>
        </w:tc>
      </w:tr>
      <w:tr>
        <w:trPr>
          <w:trHeight w:val="26"/>
        </w:trPr>
        <w:tc>
          <w:tcPr>
            <w:tcW w:w="35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0"/>
        </w:trPr>
        <w:tc>
          <w:tcPr>
            <w:tcW w:w="3500" w:type="dxa"/>
            <w:vAlign w:val="bottom"/>
          </w:tcPr>
          <w:p>
            <w:pPr>
              <w:ind w:left="200"/>
              <w:spacing w:after="0"/>
              <w:rPr>
                <w:sz w:val="20"/>
                <w:szCs w:val="20"/>
                <w:color w:val="auto"/>
              </w:rPr>
            </w:pPr>
            <w:r>
              <w:rPr>
                <w:rFonts w:ascii="Arial" w:cs="Arial" w:eastAsia="Arial" w:hAnsi="Arial"/>
                <w:sz w:val="17"/>
                <w:szCs w:val="17"/>
                <w:b w:val="1"/>
                <w:bCs w:val="1"/>
                <w:color w:val="auto"/>
              </w:rPr>
              <w:t>BlackRock Inc. (3)</w:t>
            </w:r>
          </w:p>
        </w:tc>
        <w:tc>
          <w:tcPr>
            <w:tcW w:w="284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273"/>
        </w:trPr>
        <w:tc>
          <w:tcPr>
            <w:tcW w:w="3500" w:type="dxa"/>
            <w:vAlign w:val="bottom"/>
          </w:tcPr>
          <w:p>
            <w:pPr>
              <w:ind w:left="200"/>
              <w:spacing w:after="0"/>
              <w:rPr>
                <w:sz w:val="20"/>
                <w:szCs w:val="20"/>
                <w:color w:val="auto"/>
              </w:rPr>
            </w:pPr>
            <w:r>
              <w:rPr>
                <w:rFonts w:ascii="Arial" w:cs="Arial" w:eastAsia="Arial" w:hAnsi="Arial"/>
                <w:sz w:val="17"/>
                <w:szCs w:val="17"/>
                <w:color w:val="auto"/>
              </w:rPr>
              <w:t>55 East 52nd Street</w:t>
            </w:r>
          </w:p>
        </w:tc>
        <w:tc>
          <w:tcPr>
            <w:tcW w:w="284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3"/>
        </w:trPr>
        <w:tc>
          <w:tcPr>
            <w:tcW w:w="3500" w:type="dxa"/>
            <w:vAlign w:val="bottom"/>
          </w:tcPr>
          <w:p>
            <w:pPr>
              <w:ind w:left="200"/>
              <w:spacing w:after="0"/>
              <w:rPr>
                <w:sz w:val="20"/>
                <w:szCs w:val="20"/>
                <w:color w:val="auto"/>
              </w:rPr>
            </w:pPr>
            <w:r>
              <w:rPr>
                <w:rFonts w:ascii="Arial" w:cs="Arial" w:eastAsia="Arial" w:hAnsi="Arial"/>
                <w:sz w:val="17"/>
                <w:szCs w:val="17"/>
                <w:color w:val="auto"/>
              </w:rPr>
              <w:t>New York, New York 10055</w:t>
            </w:r>
          </w:p>
        </w:tc>
        <w:tc>
          <w:tcPr>
            <w:tcW w:w="2840" w:type="dxa"/>
            <w:vAlign w:val="bottom"/>
          </w:tcPr>
          <w:p>
            <w:pPr>
              <w:jc w:val="right"/>
              <w:ind w:right="398"/>
              <w:spacing w:after="0"/>
              <w:rPr>
                <w:sz w:val="20"/>
                <w:szCs w:val="20"/>
                <w:color w:val="auto"/>
              </w:rPr>
            </w:pPr>
            <w:r>
              <w:rPr>
                <w:rFonts w:ascii="Arial" w:cs="Arial" w:eastAsia="Arial" w:hAnsi="Arial"/>
                <w:sz w:val="17"/>
                <w:szCs w:val="17"/>
                <w:color w:val="auto"/>
              </w:rPr>
              <w:t>30,760,256</w:t>
            </w:r>
          </w:p>
        </w:tc>
        <w:tc>
          <w:tcPr>
            <w:tcW w:w="2500" w:type="dxa"/>
            <w:vAlign w:val="bottom"/>
          </w:tcPr>
          <w:p>
            <w:pPr>
              <w:jc w:val="right"/>
              <w:ind w:right="220"/>
              <w:spacing w:after="0"/>
              <w:rPr>
                <w:sz w:val="20"/>
                <w:szCs w:val="20"/>
                <w:color w:val="auto"/>
              </w:rPr>
            </w:pPr>
            <w:r>
              <w:rPr>
                <w:rFonts w:ascii="Arial" w:cs="Arial" w:eastAsia="Arial" w:hAnsi="Arial"/>
                <w:sz w:val="17"/>
                <w:szCs w:val="17"/>
                <w:color w:val="auto"/>
              </w:rPr>
              <w:t>8.3%</w:t>
            </w:r>
          </w:p>
        </w:tc>
      </w:tr>
      <w:tr>
        <w:trPr>
          <w:trHeight w:val="26"/>
        </w:trPr>
        <w:tc>
          <w:tcPr>
            <w:tcW w:w="35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0"/>
        </w:trPr>
        <w:tc>
          <w:tcPr>
            <w:tcW w:w="3500" w:type="dxa"/>
            <w:vAlign w:val="bottom"/>
          </w:tcPr>
          <w:p>
            <w:pPr>
              <w:ind w:left="200"/>
              <w:spacing w:after="0"/>
              <w:rPr>
                <w:sz w:val="20"/>
                <w:szCs w:val="20"/>
                <w:color w:val="auto"/>
              </w:rPr>
            </w:pPr>
            <w:r>
              <w:rPr>
                <w:rFonts w:ascii="Arial" w:cs="Arial" w:eastAsia="Arial" w:hAnsi="Arial"/>
                <w:sz w:val="17"/>
                <w:szCs w:val="17"/>
                <w:b w:val="1"/>
                <w:bCs w:val="1"/>
                <w:color w:val="auto"/>
              </w:rPr>
              <w:t>JPMorgan Chase &amp; Co. (4)</w:t>
            </w:r>
          </w:p>
        </w:tc>
        <w:tc>
          <w:tcPr>
            <w:tcW w:w="284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273"/>
        </w:trPr>
        <w:tc>
          <w:tcPr>
            <w:tcW w:w="3500" w:type="dxa"/>
            <w:vAlign w:val="bottom"/>
          </w:tcPr>
          <w:p>
            <w:pPr>
              <w:ind w:left="200"/>
              <w:spacing w:after="0"/>
              <w:rPr>
                <w:sz w:val="20"/>
                <w:szCs w:val="20"/>
                <w:color w:val="auto"/>
              </w:rPr>
            </w:pPr>
            <w:r>
              <w:rPr>
                <w:rFonts w:ascii="Arial" w:cs="Arial" w:eastAsia="Arial" w:hAnsi="Arial"/>
                <w:sz w:val="17"/>
                <w:szCs w:val="17"/>
                <w:color w:val="auto"/>
              </w:rPr>
              <w:t>383 Madison Avenue</w:t>
            </w:r>
          </w:p>
        </w:tc>
        <w:tc>
          <w:tcPr>
            <w:tcW w:w="284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3"/>
        </w:trPr>
        <w:tc>
          <w:tcPr>
            <w:tcW w:w="3500" w:type="dxa"/>
            <w:vAlign w:val="bottom"/>
          </w:tcPr>
          <w:p>
            <w:pPr>
              <w:ind w:left="200"/>
              <w:spacing w:after="0"/>
              <w:rPr>
                <w:sz w:val="20"/>
                <w:szCs w:val="20"/>
                <w:color w:val="auto"/>
              </w:rPr>
            </w:pPr>
            <w:r>
              <w:rPr>
                <w:rFonts w:ascii="Arial" w:cs="Arial" w:eastAsia="Arial" w:hAnsi="Arial"/>
                <w:sz w:val="17"/>
                <w:szCs w:val="17"/>
                <w:color w:val="auto"/>
              </w:rPr>
              <w:t>New York, New York 10179</w:t>
            </w:r>
          </w:p>
        </w:tc>
        <w:tc>
          <w:tcPr>
            <w:tcW w:w="2840" w:type="dxa"/>
            <w:vAlign w:val="bottom"/>
          </w:tcPr>
          <w:p>
            <w:pPr>
              <w:jc w:val="right"/>
              <w:ind w:right="398"/>
              <w:spacing w:after="0"/>
              <w:rPr>
                <w:sz w:val="20"/>
                <w:szCs w:val="20"/>
                <w:color w:val="auto"/>
              </w:rPr>
            </w:pPr>
            <w:r>
              <w:rPr>
                <w:rFonts w:ascii="Arial" w:cs="Arial" w:eastAsia="Arial" w:hAnsi="Arial"/>
                <w:sz w:val="17"/>
                <w:szCs w:val="17"/>
                <w:color w:val="auto"/>
              </w:rPr>
              <w:t>26,039,376</w:t>
            </w:r>
          </w:p>
        </w:tc>
        <w:tc>
          <w:tcPr>
            <w:tcW w:w="2500" w:type="dxa"/>
            <w:vAlign w:val="bottom"/>
          </w:tcPr>
          <w:p>
            <w:pPr>
              <w:jc w:val="right"/>
              <w:ind w:right="220"/>
              <w:spacing w:after="0"/>
              <w:rPr>
                <w:sz w:val="20"/>
                <w:szCs w:val="20"/>
                <w:color w:val="auto"/>
              </w:rPr>
            </w:pPr>
            <w:r>
              <w:rPr>
                <w:rFonts w:ascii="Arial" w:cs="Arial" w:eastAsia="Arial" w:hAnsi="Arial"/>
                <w:sz w:val="17"/>
                <w:szCs w:val="17"/>
                <w:color w:val="auto"/>
              </w:rPr>
              <w:t>7.0%</w:t>
            </w:r>
          </w:p>
        </w:tc>
      </w:tr>
    </w:tbl>
    <w:p>
      <w:pPr>
        <w:spacing w:after="0" w:line="24" w:lineRule="exact"/>
        <w:rPr>
          <w:sz w:val="20"/>
          <w:szCs w:val="20"/>
          <w:color w:val="auto"/>
        </w:rPr>
      </w:pPr>
    </w:p>
    <w:p>
      <w:pPr>
        <w:ind w:left="700" w:right="280" w:hanging="186"/>
        <w:spacing w:after="0"/>
        <w:tabs>
          <w:tab w:leader="none" w:pos="700" w:val="left"/>
        </w:tabs>
        <w:numPr>
          <w:ilvl w:val="0"/>
          <w:numId w:val="100"/>
        </w:numPr>
        <w:rPr>
          <w:rFonts w:ascii="Arial" w:cs="Arial" w:eastAsia="Arial" w:hAnsi="Arial"/>
          <w:sz w:val="13"/>
          <w:szCs w:val="13"/>
          <w:i w:val="1"/>
          <w:iCs w:val="1"/>
          <w:color w:val="auto"/>
        </w:rPr>
      </w:pPr>
      <w:r>
        <w:rPr>
          <w:rFonts w:ascii="Arial" w:cs="Arial" w:eastAsia="Arial" w:hAnsi="Arial"/>
          <w:sz w:val="13"/>
          <w:szCs w:val="13"/>
          <w:i w:val="1"/>
          <w:iCs w:val="1"/>
          <w:color w:val="auto"/>
        </w:rPr>
        <w:t>The percent ownership for each shareholder on January 8, 2021 is calculated by dividing (1) the total number of shares beneficially owned by the shareholder by (2) the number of shares of our common stock outstanding on January 8, 2021 (369,403,562 shares).</w:t>
      </w:r>
    </w:p>
    <w:p>
      <w:pPr>
        <w:spacing w:after="0" w:line="1" w:lineRule="exact"/>
        <w:rPr>
          <w:rFonts w:ascii="Arial" w:cs="Arial" w:eastAsia="Arial" w:hAnsi="Arial"/>
          <w:sz w:val="13"/>
          <w:szCs w:val="13"/>
          <w:i w:val="1"/>
          <w:iCs w:val="1"/>
          <w:color w:val="auto"/>
        </w:rPr>
      </w:pPr>
    </w:p>
    <w:p>
      <w:pPr>
        <w:ind w:left="700" w:right="20" w:hanging="186"/>
        <w:spacing w:after="0" w:line="229" w:lineRule="auto"/>
        <w:tabs>
          <w:tab w:leader="none" w:pos="700" w:val="left"/>
        </w:tabs>
        <w:numPr>
          <w:ilvl w:val="0"/>
          <w:numId w:val="100"/>
        </w:numPr>
        <w:rPr>
          <w:rFonts w:ascii="Arial" w:cs="Arial" w:eastAsia="Arial" w:hAnsi="Arial"/>
          <w:sz w:val="13"/>
          <w:szCs w:val="13"/>
          <w:i w:val="1"/>
          <w:iCs w:val="1"/>
          <w:color w:val="auto"/>
        </w:rPr>
      </w:pPr>
      <w:r>
        <w:rPr>
          <w:rFonts w:ascii="Arial" w:cs="Arial" w:eastAsia="Arial" w:hAnsi="Arial"/>
          <w:sz w:val="13"/>
          <w:szCs w:val="13"/>
          <w:i w:val="1"/>
          <w:iCs w:val="1"/>
          <w:color w:val="auto"/>
        </w:rPr>
        <w:t>Based solely on a Form 13F-HR filed by Vanguard Group Inc. on November 16, 2020 reporting stock ownership as of September 30, 2020. Vanguard Group Inc. also reported that, as of September 30, 2020, it had sole investment power for 30,447,767 shares, shared voting power for 609,439 shares, shared investment power for 1,641,169 shares and no voting power with respect to 31,479,197 shares.</w:t>
      </w:r>
    </w:p>
    <w:p>
      <w:pPr>
        <w:spacing w:after="0" w:line="1" w:lineRule="exact"/>
        <w:rPr>
          <w:rFonts w:ascii="Arial" w:cs="Arial" w:eastAsia="Arial" w:hAnsi="Arial"/>
          <w:sz w:val="13"/>
          <w:szCs w:val="13"/>
          <w:i w:val="1"/>
          <w:iCs w:val="1"/>
          <w:color w:val="auto"/>
        </w:rPr>
      </w:pPr>
    </w:p>
    <w:p>
      <w:pPr>
        <w:jc w:val="both"/>
        <w:ind w:left="700" w:right="120" w:hanging="186"/>
        <w:spacing w:after="0" w:line="229" w:lineRule="auto"/>
        <w:tabs>
          <w:tab w:leader="none" w:pos="700" w:val="left"/>
        </w:tabs>
        <w:numPr>
          <w:ilvl w:val="0"/>
          <w:numId w:val="100"/>
        </w:numPr>
        <w:rPr>
          <w:rFonts w:ascii="Arial" w:cs="Arial" w:eastAsia="Arial" w:hAnsi="Arial"/>
          <w:sz w:val="13"/>
          <w:szCs w:val="13"/>
          <w:i w:val="1"/>
          <w:iCs w:val="1"/>
          <w:color w:val="auto"/>
        </w:rPr>
      </w:pPr>
      <w:r>
        <w:rPr>
          <w:rFonts w:ascii="Arial" w:cs="Arial" w:eastAsia="Arial" w:hAnsi="Arial"/>
          <w:sz w:val="13"/>
          <w:szCs w:val="13"/>
          <w:i w:val="1"/>
          <w:iCs w:val="1"/>
          <w:color w:val="auto"/>
        </w:rPr>
        <w:t>Based solely on a Form 13F-HR filed by BlackRock Inc. on November 6, 2020 reporting stock ownership as of September 30, 2020. BlackRock Inc. also reported that, as of September 30, 2020, it had sole voting power for 25,534,030 shares and no voting power with respect to 5,226,122 shares.</w:t>
      </w:r>
    </w:p>
    <w:p>
      <w:pPr>
        <w:ind w:left="700" w:right="340" w:hanging="186"/>
        <w:spacing w:after="0" w:line="236" w:lineRule="auto"/>
        <w:tabs>
          <w:tab w:leader="none" w:pos="700" w:val="left"/>
        </w:tabs>
        <w:numPr>
          <w:ilvl w:val="0"/>
          <w:numId w:val="100"/>
        </w:numPr>
        <w:rPr>
          <w:rFonts w:ascii="Arial" w:cs="Arial" w:eastAsia="Arial" w:hAnsi="Arial"/>
          <w:sz w:val="13"/>
          <w:szCs w:val="13"/>
          <w:i w:val="1"/>
          <w:iCs w:val="1"/>
          <w:color w:val="auto"/>
        </w:rPr>
      </w:pPr>
      <w:r>
        <w:rPr>
          <w:rFonts w:ascii="Arial" w:cs="Arial" w:eastAsia="Arial" w:hAnsi="Arial"/>
          <w:sz w:val="13"/>
          <w:szCs w:val="13"/>
          <w:i w:val="1"/>
          <w:iCs w:val="1"/>
          <w:color w:val="auto"/>
        </w:rPr>
        <w:t>Based solely on a Form 13F-HR filed by JPMorgan Chase &amp; Co. on November 12, 2020 reporting stock ownership as of September 30, 2020. JPMorgan Chase &amp; Co. also reported that, as of September 30, 2020, it had sole voting power with respect to 24,632,500 shares, shared voting power for 69,478 shares and no voting power with respect to 1,337,398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-923290</wp:posOffset>
            </wp:positionV>
            <wp:extent cx="561721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617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91"/>
          <w:szCs w:val="191"/>
          <w:color w:val="333333"/>
        </w:rPr>
        <w: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69</w:t>
      </w:r>
    </w:p>
    <w:p>
      <w:pPr>
        <w:sectPr>
          <w:pgSz w:w="11900" w:h="16838" w:orient="portrait"/>
          <w:cols w:equalWidth="0" w:num="2">
            <w:col w:w="9320" w:space="440"/>
            <w:col w:w="1180"/>
          </w:cols>
          <w:pgMar w:left="320" w:top="447" w:right="63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Security Ownership of Directors and Executive Officers</w:t>
      </w:r>
    </w:p>
    <w:p>
      <w:pPr>
        <w:spacing w:after="0" w:line="125" w:lineRule="exact"/>
        <w:rPr>
          <w:sz w:val="20"/>
          <w:szCs w:val="20"/>
          <w:color w:val="auto"/>
        </w:rPr>
      </w:pPr>
    </w:p>
    <w:p>
      <w:pPr>
        <w:ind w:left="480" w:right="120"/>
        <w:spacing w:after="0" w:line="270" w:lineRule="auto"/>
        <w:rPr>
          <w:sz w:val="20"/>
          <w:szCs w:val="20"/>
          <w:color w:val="auto"/>
        </w:rPr>
      </w:pPr>
      <w:r>
        <w:rPr>
          <w:rFonts w:ascii="Arial" w:cs="Arial" w:eastAsia="Arial" w:hAnsi="Arial"/>
          <w:sz w:val="17"/>
          <w:szCs w:val="17"/>
          <w:color w:val="auto"/>
        </w:rPr>
        <w:t>The following table lists information as of January 8, 2021, about the beneficial ownership of common stock by each director or director nominee, by each executive officer named in the Summary Compensation Table included in this proxy statement, and by all of the directors and executive officers of Analog Devices as a group.</w:t>
      </w:r>
    </w:p>
    <w:p>
      <w:pPr>
        <w:spacing w:after="0" w:line="211" w:lineRule="exact"/>
        <w:rPr>
          <w:sz w:val="20"/>
          <w:szCs w:val="20"/>
          <w:color w:val="auto"/>
        </w:rPr>
      </w:pPr>
    </w:p>
    <w:tbl>
      <w:tblPr>
        <w:tblLayout w:type="fixed"/>
        <w:tblInd w:w="480" w:type="dxa"/>
        <w:tblCellMar>
          <w:top w:w="0" w:type="dxa"/>
          <w:left w:w="0" w:type="dxa"/>
          <w:bottom w:w="0" w:type="dxa"/>
          <w:right w:w="0" w:type="dxa"/>
        </w:tblCellMar>
      </w:tblPr>
      <w:tr>
        <w:trPr>
          <w:trHeight w:val="223"/>
        </w:trPr>
        <w:tc>
          <w:tcPr>
            <w:tcW w:w="3180" w:type="dxa"/>
            <w:vAlign w:val="bottom"/>
            <w:shd w:val="clear" w:color="auto" w:fill="EAEAEA"/>
          </w:tcPr>
          <w:p>
            <w:pPr>
              <w:ind w:left="60"/>
              <w:spacing w:after="0"/>
              <w:rPr>
                <w:sz w:val="20"/>
                <w:szCs w:val="20"/>
                <w:color w:val="auto"/>
              </w:rPr>
            </w:pPr>
            <w:r>
              <w:rPr>
                <w:rFonts w:ascii="Arial" w:cs="Arial" w:eastAsia="Arial" w:hAnsi="Arial"/>
                <w:sz w:val="14"/>
                <w:szCs w:val="14"/>
                <w:b w:val="1"/>
                <w:bCs w:val="1"/>
                <w:color w:val="auto"/>
              </w:rPr>
              <w:t>Name and Address of Beneficial Owner (1)</w:t>
            </w:r>
          </w:p>
        </w:tc>
        <w:tc>
          <w:tcPr>
            <w:tcW w:w="1800" w:type="dxa"/>
            <w:vAlign w:val="bottom"/>
            <w:shd w:val="clear" w:color="auto" w:fill="EAEAEA"/>
          </w:tcPr>
          <w:p>
            <w:pPr>
              <w:jc w:val="right"/>
              <w:ind w:right="115"/>
              <w:spacing w:after="0"/>
              <w:rPr>
                <w:sz w:val="20"/>
                <w:szCs w:val="20"/>
                <w:color w:val="auto"/>
              </w:rPr>
            </w:pPr>
            <w:r>
              <w:rPr>
                <w:rFonts w:ascii="Arial" w:cs="Arial" w:eastAsia="Arial" w:hAnsi="Arial"/>
                <w:sz w:val="14"/>
                <w:szCs w:val="14"/>
                <w:b w:val="1"/>
                <w:bCs w:val="1"/>
                <w:color w:val="auto"/>
              </w:rPr>
              <w:t>Shares Beneficially</w:t>
            </w:r>
          </w:p>
        </w:tc>
        <w:tc>
          <w:tcPr>
            <w:tcW w:w="1800" w:type="dxa"/>
            <w:vAlign w:val="bottom"/>
            <w:shd w:val="clear" w:color="auto" w:fill="EAEAEA"/>
          </w:tcPr>
          <w:p>
            <w:pPr>
              <w:jc w:val="right"/>
              <w:ind w:right="115"/>
              <w:spacing w:after="0"/>
              <w:rPr>
                <w:sz w:val="20"/>
                <w:szCs w:val="20"/>
                <w:color w:val="auto"/>
              </w:rPr>
            </w:pPr>
            <w:r>
              <w:rPr>
                <w:rFonts w:ascii="Arial" w:cs="Arial" w:eastAsia="Arial" w:hAnsi="Arial"/>
                <w:sz w:val="14"/>
                <w:szCs w:val="14"/>
                <w:b w:val="1"/>
                <w:bCs w:val="1"/>
                <w:color w:val="auto"/>
              </w:rPr>
              <w:t>Shares Acquirable</w:t>
            </w:r>
          </w:p>
        </w:tc>
        <w:tc>
          <w:tcPr>
            <w:tcW w:w="1600" w:type="dxa"/>
            <w:vAlign w:val="bottom"/>
            <w:shd w:val="clear" w:color="auto" w:fill="EAEAEA"/>
          </w:tcPr>
          <w:p>
            <w:pPr>
              <w:jc w:val="right"/>
              <w:ind w:right="115"/>
              <w:spacing w:after="0"/>
              <w:rPr>
                <w:sz w:val="20"/>
                <w:szCs w:val="20"/>
                <w:color w:val="auto"/>
              </w:rPr>
            </w:pPr>
            <w:r>
              <w:rPr>
                <w:rFonts w:ascii="Arial" w:cs="Arial" w:eastAsia="Arial" w:hAnsi="Arial"/>
                <w:sz w:val="14"/>
                <w:szCs w:val="14"/>
                <w:b w:val="1"/>
                <w:bCs w:val="1"/>
                <w:color w:val="auto"/>
              </w:rPr>
              <w:t>Total Beneficial</w:t>
            </w:r>
          </w:p>
        </w:tc>
        <w:tc>
          <w:tcPr>
            <w:tcW w:w="1900" w:type="dxa"/>
            <w:vAlign w:val="bottom"/>
            <w:shd w:val="clear" w:color="auto" w:fill="EAEAEA"/>
          </w:tcPr>
          <w:p>
            <w:pPr>
              <w:jc w:val="right"/>
              <w:ind w:right="96"/>
              <w:spacing w:after="0"/>
              <w:rPr>
                <w:sz w:val="20"/>
                <w:szCs w:val="20"/>
                <w:color w:val="auto"/>
              </w:rPr>
            </w:pPr>
            <w:r>
              <w:rPr>
                <w:rFonts w:ascii="Arial" w:cs="Arial" w:eastAsia="Arial" w:hAnsi="Arial"/>
                <w:sz w:val="14"/>
                <w:szCs w:val="14"/>
                <w:b w:val="1"/>
                <w:bCs w:val="1"/>
                <w:color w:val="auto"/>
              </w:rPr>
              <w:t>Percent of Common</w:t>
            </w:r>
          </w:p>
        </w:tc>
      </w:tr>
      <w:tr>
        <w:trPr>
          <w:trHeight w:val="156"/>
        </w:trPr>
        <w:tc>
          <w:tcPr>
            <w:tcW w:w="3180" w:type="dxa"/>
            <w:vAlign w:val="bottom"/>
            <w:shd w:val="clear" w:color="auto" w:fill="EAEAEA"/>
          </w:tcPr>
          <w:p>
            <w:pPr>
              <w:spacing w:after="0"/>
              <w:rPr>
                <w:sz w:val="13"/>
                <w:szCs w:val="13"/>
                <w:color w:val="auto"/>
              </w:rPr>
            </w:pPr>
          </w:p>
        </w:tc>
        <w:tc>
          <w:tcPr>
            <w:tcW w:w="1800" w:type="dxa"/>
            <w:vAlign w:val="bottom"/>
            <w:shd w:val="clear" w:color="auto" w:fill="EAEAEA"/>
          </w:tcPr>
          <w:p>
            <w:pPr>
              <w:jc w:val="right"/>
              <w:ind w:right="115"/>
              <w:spacing w:after="0" w:line="156" w:lineRule="exact"/>
              <w:rPr>
                <w:sz w:val="20"/>
                <w:szCs w:val="20"/>
                <w:color w:val="auto"/>
              </w:rPr>
            </w:pPr>
            <w:r>
              <w:rPr>
                <w:rFonts w:ascii="Arial" w:cs="Arial" w:eastAsia="Arial" w:hAnsi="Arial"/>
                <w:sz w:val="14"/>
                <w:szCs w:val="14"/>
                <w:b w:val="1"/>
                <w:bCs w:val="1"/>
                <w:color w:val="auto"/>
              </w:rPr>
              <w:t>Owned (2)</w:t>
            </w:r>
          </w:p>
        </w:tc>
        <w:tc>
          <w:tcPr>
            <w:tcW w:w="1800" w:type="dxa"/>
            <w:vAlign w:val="bottom"/>
            <w:shd w:val="clear" w:color="auto" w:fill="EAEAEA"/>
          </w:tcPr>
          <w:p>
            <w:pPr>
              <w:jc w:val="right"/>
              <w:ind w:right="115"/>
              <w:spacing w:after="0" w:line="156" w:lineRule="exact"/>
              <w:rPr>
                <w:sz w:val="20"/>
                <w:szCs w:val="20"/>
                <w:color w:val="auto"/>
              </w:rPr>
            </w:pPr>
            <w:r>
              <w:rPr>
                <w:rFonts w:ascii="Arial" w:cs="Arial" w:eastAsia="Arial" w:hAnsi="Arial"/>
                <w:sz w:val="14"/>
                <w:szCs w:val="14"/>
                <w:b w:val="1"/>
                <w:bCs w:val="1"/>
                <w:color w:val="auto"/>
              </w:rPr>
              <w:t>Within 60 Days (3)</w:t>
            </w:r>
          </w:p>
        </w:tc>
        <w:tc>
          <w:tcPr>
            <w:tcW w:w="1600" w:type="dxa"/>
            <w:vAlign w:val="bottom"/>
            <w:shd w:val="clear" w:color="auto" w:fill="EAEAEA"/>
          </w:tcPr>
          <w:p>
            <w:pPr>
              <w:jc w:val="right"/>
              <w:ind w:right="115"/>
              <w:spacing w:after="0" w:line="156" w:lineRule="exact"/>
              <w:rPr>
                <w:sz w:val="20"/>
                <w:szCs w:val="20"/>
                <w:color w:val="auto"/>
              </w:rPr>
            </w:pPr>
            <w:r>
              <w:rPr>
                <w:rFonts w:ascii="Arial" w:cs="Arial" w:eastAsia="Arial" w:hAnsi="Arial"/>
                <w:sz w:val="14"/>
                <w:szCs w:val="14"/>
                <w:b w:val="1"/>
                <w:bCs w:val="1"/>
                <w:color w:val="auto"/>
              </w:rPr>
              <w:t>Ownership</w:t>
            </w:r>
          </w:p>
        </w:tc>
        <w:tc>
          <w:tcPr>
            <w:tcW w:w="1900" w:type="dxa"/>
            <w:vAlign w:val="bottom"/>
            <w:shd w:val="clear" w:color="auto" w:fill="EAEAEA"/>
          </w:tcPr>
          <w:p>
            <w:pPr>
              <w:jc w:val="right"/>
              <w:ind w:right="96"/>
              <w:spacing w:after="0" w:line="156" w:lineRule="exact"/>
              <w:rPr>
                <w:sz w:val="20"/>
                <w:szCs w:val="20"/>
                <w:color w:val="auto"/>
              </w:rPr>
            </w:pPr>
            <w:r>
              <w:rPr>
                <w:rFonts w:ascii="Arial" w:cs="Arial" w:eastAsia="Arial" w:hAnsi="Arial"/>
                <w:sz w:val="14"/>
                <w:szCs w:val="14"/>
                <w:b w:val="1"/>
                <w:bCs w:val="1"/>
                <w:color w:val="auto"/>
              </w:rPr>
              <w:t>Stock Beneficially</w:t>
            </w:r>
          </w:p>
        </w:tc>
      </w:tr>
      <w:tr>
        <w:trPr>
          <w:trHeight w:val="182"/>
        </w:trPr>
        <w:tc>
          <w:tcPr>
            <w:tcW w:w="3180" w:type="dxa"/>
            <w:vAlign w:val="bottom"/>
            <w:shd w:val="clear" w:color="auto" w:fill="EAEAEA"/>
          </w:tcPr>
          <w:p>
            <w:pPr>
              <w:spacing w:after="0"/>
              <w:rPr>
                <w:sz w:val="15"/>
                <w:szCs w:val="15"/>
                <w:color w:val="auto"/>
              </w:rPr>
            </w:pPr>
          </w:p>
        </w:tc>
        <w:tc>
          <w:tcPr>
            <w:tcW w:w="1800" w:type="dxa"/>
            <w:vAlign w:val="bottom"/>
            <w:shd w:val="clear" w:color="auto" w:fill="EAEAEA"/>
          </w:tcPr>
          <w:p>
            <w:pPr>
              <w:spacing w:after="0"/>
              <w:rPr>
                <w:sz w:val="15"/>
                <w:szCs w:val="15"/>
                <w:color w:val="auto"/>
              </w:rPr>
            </w:pPr>
          </w:p>
        </w:tc>
        <w:tc>
          <w:tcPr>
            <w:tcW w:w="1800" w:type="dxa"/>
            <w:vAlign w:val="bottom"/>
            <w:shd w:val="clear" w:color="auto" w:fill="EAEAEA"/>
          </w:tcPr>
          <w:p>
            <w:pPr>
              <w:spacing w:after="0"/>
              <w:rPr>
                <w:sz w:val="15"/>
                <w:szCs w:val="15"/>
                <w:color w:val="auto"/>
              </w:rPr>
            </w:pPr>
          </w:p>
        </w:tc>
        <w:tc>
          <w:tcPr>
            <w:tcW w:w="1600" w:type="dxa"/>
            <w:vAlign w:val="bottom"/>
            <w:shd w:val="clear" w:color="auto" w:fill="EAEAEA"/>
          </w:tcPr>
          <w:p>
            <w:pPr>
              <w:spacing w:after="0"/>
              <w:rPr>
                <w:sz w:val="15"/>
                <w:szCs w:val="15"/>
                <w:color w:val="auto"/>
              </w:rPr>
            </w:pPr>
          </w:p>
        </w:tc>
        <w:tc>
          <w:tcPr>
            <w:tcW w:w="1900" w:type="dxa"/>
            <w:vAlign w:val="bottom"/>
            <w:shd w:val="clear" w:color="auto" w:fill="EAEAEA"/>
          </w:tcPr>
          <w:p>
            <w:pPr>
              <w:jc w:val="right"/>
              <w:ind w:right="96"/>
              <w:spacing w:after="0"/>
              <w:rPr>
                <w:sz w:val="20"/>
                <w:szCs w:val="20"/>
                <w:color w:val="auto"/>
              </w:rPr>
            </w:pPr>
            <w:r>
              <w:rPr>
                <w:rFonts w:ascii="Arial" w:cs="Arial" w:eastAsia="Arial" w:hAnsi="Arial"/>
                <w:sz w:val="14"/>
                <w:szCs w:val="14"/>
                <w:b w:val="1"/>
                <w:bCs w:val="1"/>
                <w:color w:val="auto"/>
              </w:rPr>
              <w:t>Owned (4)</w:t>
            </w:r>
          </w:p>
        </w:tc>
      </w:tr>
      <w:tr>
        <w:trPr>
          <w:trHeight w:val="64"/>
        </w:trPr>
        <w:tc>
          <w:tcPr>
            <w:tcW w:w="3180" w:type="dxa"/>
            <w:vAlign w:val="bottom"/>
            <w:shd w:val="clear" w:color="auto" w:fill="EAEAEA"/>
          </w:tcPr>
          <w:p>
            <w:pPr>
              <w:spacing w:after="0"/>
              <w:rPr>
                <w:sz w:val="5"/>
                <w:szCs w:val="5"/>
                <w:color w:val="auto"/>
              </w:rPr>
            </w:pPr>
          </w:p>
        </w:tc>
        <w:tc>
          <w:tcPr>
            <w:tcW w:w="1800" w:type="dxa"/>
            <w:vAlign w:val="bottom"/>
            <w:shd w:val="clear" w:color="auto" w:fill="EAEAEA"/>
          </w:tcPr>
          <w:p>
            <w:pPr>
              <w:spacing w:after="0"/>
              <w:rPr>
                <w:sz w:val="5"/>
                <w:szCs w:val="5"/>
                <w:color w:val="auto"/>
              </w:rPr>
            </w:pPr>
          </w:p>
        </w:tc>
        <w:tc>
          <w:tcPr>
            <w:tcW w:w="1800" w:type="dxa"/>
            <w:vAlign w:val="bottom"/>
            <w:shd w:val="clear" w:color="auto" w:fill="EAEAEA"/>
          </w:tcPr>
          <w:p>
            <w:pPr>
              <w:spacing w:after="0"/>
              <w:rPr>
                <w:sz w:val="5"/>
                <w:szCs w:val="5"/>
                <w:color w:val="auto"/>
              </w:rPr>
            </w:pPr>
          </w:p>
        </w:tc>
        <w:tc>
          <w:tcPr>
            <w:tcW w:w="1600" w:type="dxa"/>
            <w:vAlign w:val="bottom"/>
            <w:shd w:val="clear" w:color="auto" w:fill="EAEAEA"/>
          </w:tcPr>
          <w:p>
            <w:pPr>
              <w:spacing w:after="0"/>
              <w:rPr>
                <w:sz w:val="5"/>
                <w:szCs w:val="5"/>
                <w:color w:val="auto"/>
              </w:rPr>
            </w:pPr>
          </w:p>
        </w:tc>
        <w:tc>
          <w:tcPr>
            <w:tcW w:w="1900" w:type="dxa"/>
            <w:vAlign w:val="bottom"/>
            <w:shd w:val="clear" w:color="auto" w:fill="EAEAEA"/>
          </w:tcPr>
          <w:p>
            <w:pPr>
              <w:spacing w:after="0"/>
              <w:rPr>
                <w:sz w:val="5"/>
                <w:szCs w:val="5"/>
                <w:color w:val="auto"/>
              </w:rPr>
            </w:pPr>
          </w:p>
        </w:tc>
      </w:tr>
      <w:tr>
        <w:trPr>
          <w:trHeight w:val="286"/>
        </w:trPr>
        <w:tc>
          <w:tcPr>
            <w:tcW w:w="3180" w:type="dxa"/>
            <w:vAlign w:val="bottom"/>
          </w:tcPr>
          <w:p>
            <w:pPr>
              <w:ind w:left="60"/>
              <w:spacing w:after="0"/>
              <w:rPr>
                <w:sz w:val="20"/>
                <w:szCs w:val="20"/>
                <w:color w:val="auto"/>
              </w:rPr>
            </w:pPr>
            <w:r>
              <w:rPr>
                <w:rFonts w:ascii="Arial" w:cs="Arial" w:eastAsia="Arial" w:hAnsi="Arial"/>
                <w:sz w:val="17"/>
                <w:szCs w:val="17"/>
                <w:color w:val="auto"/>
              </w:rPr>
              <w:t>James A. Champy (5)</w:t>
            </w:r>
          </w:p>
        </w:tc>
        <w:tc>
          <w:tcPr>
            <w:tcW w:w="1800" w:type="dxa"/>
            <w:vAlign w:val="bottom"/>
            <w:tcBorders>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49,846</w:t>
            </w:r>
          </w:p>
        </w:tc>
        <w:tc>
          <w:tcPr>
            <w:tcW w:w="1800" w:type="dxa"/>
            <w:vAlign w:val="bottom"/>
          </w:tcPr>
          <w:p>
            <w:pPr>
              <w:jc w:val="right"/>
              <w:ind w:right="115"/>
              <w:spacing w:after="0"/>
              <w:rPr>
                <w:sz w:val="20"/>
                <w:szCs w:val="20"/>
                <w:color w:val="auto"/>
              </w:rPr>
            </w:pPr>
            <w:r>
              <w:rPr>
                <w:rFonts w:ascii="Arial" w:cs="Arial" w:eastAsia="Arial" w:hAnsi="Arial"/>
                <w:sz w:val="17"/>
                <w:szCs w:val="17"/>
                <w:color w:val="auto"/>
              </w:rPr>
              <w:t>37,620</w:t>
            </w:r>
          </w:p>
        </w:tc>
        <w:tc>
          <w:tcPr>
            <w:tcW w:w="1600" w:type="dxa"/>
            <w:vAlign w:val="bottom"/>
            <w:tcBorders>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87,466</w:t>
            </w:r>
          </w:p>
        </w:tc>
        <w:tc>
          <w:tcPr>
            <w:tcW w:w="1900" w:type="dxa"/>
            <w:vAlign w:val="bottom"/>
          </w:tcPr>
          <w:p>
            <w:pPr>
              <w:jc w:val="right"/>
              <w:ind w:right="96"/>
              <w:spacing w:after="0"/>
              <w:rPr>
                <w:sz w:val="20"/>
                <w:szCs w:val="20"/>
                <w:color w:val="auto"/>
              </w:rPr>
            </w:pPr>
            <w:r>
              <w:rPr>
                <w:rFonts w:ascii="Arial" w:cs="Arial" w:eastAsia="Arial" w:hAnsi="Arial"/>
                <w:sz w:val="17"/>
                <w:szCs w:val="17"/>
                <w:color w:val="auto"/>
              </w:rPr>
              <w:t>*</w:t>
            </w:r>
          </w:p>
        </w:tc>
      </w:tr>
      <w:tr>
        <w:trPr>
          <w:trHeight w:val="266"/>
        </w:trPr>
        <w:tc>
          <w:tcPr>
            <w:tcW w:w="318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Anantha P. Chandrakasan</w:t>
            </w:r>
          </w:p>
        </w:tc>
        <w:tc>
          <w:tcPr>
            <w:tcW w:w="18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2,485</w:t>
            </w:r>
          </w:p>
        </w:tc>
        <w:tc>
          <w:tcPr>
            <w:tcW w:w="18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2,485</w:t>
            </w:r>
          </w:p>
        </w:tc>
        <w:tc>
          <w:tcPr>
            <w:tcW w:w="19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r>
      <w:tr>
        <w:trPr>
          <w:trHeight w:val="266"/>
        </w:trPr>
        <w:tc>
          <w:tcPr>
            <w:tcW w:w="318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Martin Cotter</w:t>
            </w:r>
          </w:p>
        </w:tc>
        <w:tc>
          <w:tcPr>
            <w:tcW w:w="18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5,908</w:t>
            </w:r>
          </w:p>
        </w:tc>
        <w:tc>
          <w:tcPr>
            <w:tcW w:w="18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72,016</w:t>
            </w:r>
          </w:p>
        </w:tc>
        <w:tc>
          <w:tcPr>
            <w:tcW w:w="16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77,924</w:t>
            </w:r>
          </w:p>
        </w:tc>
        <w:tc>
          <w:tcPr>
            <w:tcW w:w="19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r>
      <w:tr>
        <w:trPr>
          <w:trHeight w:val="266"/>
        </w:trPr>
        <w:tc>
          <w:tcPr>
            <w:tcW w:w="318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Bruce R. Evans (6)</w:t>
            </w:r>
          </w:p>
        </w:tc>
        <w:tc>
          <w:tcPr>
            <w:tcW w:w="18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90,253</w:t>
            </w:r>
          </w:p>
        </w:tc>
        <w:tc>
          <w:tcPr>
            <w:tcW w:w="18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90,253</w:t>
            </w:r>
          </w:p>
        </w:tc>
        <w:tc>
          <w:tcPr>
            <w:tcW w:w="19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r>
      <w:tr>
        <w:trPr>
          <w:trHeight w:val="266"/>
        </w:trPr>
        <w:tc>
          <w:tcPr>
            <w:tcW w:w="318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Edward H. Frank (7)</w:t>
            </w:r>
          </w:p>
        </w:tc>
        <w:tc>
          <w:tcPr>
            <w:tcW w:w="18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11,315</w:t>
            </w:r>
          </w:p>
        </w:tc>
        <w:tc>
          <w:tcPr>
            <w:tcW w:w="18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11,315</w:t>
            </w:r>
          </w:p>
        </w:tc>
        <w:tc>
          <w:tcPr>
            <w:tcW w:w="19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r>
      <w:tr>
        <w:trPr>
          <w:trHeight w:val="266"/>
        </w:trPr>
        <w:tc>
          <w:tcPr>
            <w:tcW w:w="318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Laurie H. Glimcher (8)</w:t>
            </w:r>
          </w:p>
        </w:tc>
        <w:tc>
          <w:tcPr>
            <w:tcW w:w="18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w:t>
            </w:r>
          </w:p>
        </w:tc>
        <w:tc>
          <w:tcPr>
            <w:tcW w:w="18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w:t>
            </w:r>
          </w:p>
        </w:tc>
        <w:tc>
          <w:tcPr>
            <w:tcW w:w="19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r>
      <w:tr>
        <w:trPr>
          <w:trHeight w:val="266"/>
        </w:trPr>
        <w:tc>
          <w:tcPr>
            <w:tcW w:w="318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Karen M. Golz</w:t>
            </w:r>
          </w:p>
        </w:tc>
        <w:tc>
          <w:tcPr>
            <w:tcW w:w="18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3,539</w:t>
            </w:r>
          </w:p>
        </w:tc>
        <w:tc>
          <w:tcPr>
            <w:tcW w:w="18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3,539</w:t>
            </w:r>
          </w:p>
        </w:tc>
        <w:tc>
          <w:tcPr>
            <w:tcW w:w="19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r>
      <w:tr>
        <w:trPr>
          <w:trHeight w:val="266"/>
        </w:trPr>
        <w:tc>
          <w:tcPr>
            <w:tcW w:w="318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Joseph (John) Hassett</w:t>
            </w:r>
          </w:p>
        </w:tc>
        <w:tc>
          <w:tcPr>
            <w:tcW w:w="18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17,317</w:t>
            </w:r>
          </w:p>
        </w:tc>
        <w:tc>
          <w:tcPr>
            <w:tcW w:w="18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29,407</w:t>
            </w:r>
          </w:p>
        </w:tc>
        <w:tc>
          <w:tcPr>
            <w:tcW w:w="16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46,724</w:t>
            </w:r>
          </w:p>
        </w:tc>
        <w:tc>
          <w:tcPr>
            <w:tcW w:w="19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r>
      <w:tr>
        <w:trPr>
          <w:trHeight w:val="266"/>
        </w:trPr>
        <w:tc>
          <w:tcPr>
            <w:tcW w:w="318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Mark M. Little</w:t>
            </w:r>
          </w:p>
        </w:tc>
        <w:tc>
          <w:tcPr>
            <w:tcW w:w="18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6,840</w:t>
            </w:r>
          </w:p>
        </w:tc>
        <w:tc>
          <w:tcPr>
            <w:tcW w:w="18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1,040</w:t>
            </w:r>
          </w:p>
        </w:tc>
        <w:tc>
          <w:tcPr>
            <w:tcW w:w="16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7,880</w:t>
            </w:r>
          </w:p>
        </w:tc>
        <w:tc>
          <w:tcPr>
            <w:tcW w:w="19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r>
      <w:tr>
        <w:trPr>
          <w:trHeight w:val="266"/>
        </w:trPr>
        <w:tc>
          <w:tcPr>
            <w:tcW w:w="318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Prashanth Mahendra-Rajah</w:t>
            </w:r>
          </w:p>
        </w:tc>
        <w:tc>
          <w:tcPr>
            <w:tcW w:w="18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11,694</w:t>
            </w:r>
          </w:p>
        </w:tc>
        <w:tc>
          <w:tcPr>
            <w:tcW w:w="18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24,017</w:t>
            </w:r>
          </w:p>
        </w:tc>
        <w:tc>
          <w:tcPr>
            <w:tcW w:w="16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35,711</w:t>
            </w:r>
          </w:p>
        </w:tc>
        <w:tc>
          <w:tcPr>
            <w:tcW w:w="19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r>
      <w:tr>
        <w:trPr>
          <w:trHeight w:val="266"/>
        </w:trPr>
        <w:tc>
          <w:tcPr>
            <w:tcW w:w="318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Steve Pietkiewicz (9)</w:t>
            </w:r>
          </w:p>
        </w:tc>
        <w:tc>
          <w:tcPr>
            <w:tcW w:w="18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35,268</w:t>
            </w:r>
          </w:p>
        </w:tc>
        <w:tc>
          <w:tcPr>
            <w:tcW w:w="18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37,620</w:t>
            </w:r>
          </w:p>
        </w:tc>
        <w:tc>
          <w:tcPr>
            <w:tcW w:w="16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72,888</w:t>
            </w:r>
          </w:p>
        </w:tc>
        <w:tc>
          <w:tcPr>
            <w:tcW w:w="19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r>
      <w:tr>
        <w:trPr>
          <w:trHeight w:val="266"/>
        </w:trPr>
        <w:tc>
          <w:tcPr>
            <w:tcW w:w="318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Vincent Roche</w:t>
            </w:r>
          </w:p>
        </w:tc>
        <w:tc>
          <w:tcPr>
            <w:tcW w:w="18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16,957</w:t>
            </w:r>
          </w:p>
        </w:tc>
        <w:tc>
          <w:tcPr>
            <w:tcW w:w="18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280,550</w:t>
            </w:r>
          </w:p>
        </w:tc>
        <w:tc>
          <w:tcPr>
            <w:tcW w:w="16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297,507</w:t>
            </w:r>
          </w:p>
        </w:tc>
        <w:tc>
          <w:tcPr>
            <w:tcW w:w="19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r>
      <w:tr>
        <w:trPr>
          <w:trHeight w:val="266"/>
        </w:trPr>
        <w:tc>
          <w:tcPr>
            <w:tcW w:w="318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Kenton J. Sicchitano</w:t>
            </w:r>
          </w:p>
        </w:tc>
        <w:tc>
          <w:tcPr>
            <w:tcW w:w="18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24,430</w:t>
            </w:r>
          </w:p>
        </w:tc>
        <w:tc>
          <w:tcPr>
            <w:tcW w:w="18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16,100</w:t>
            </w:r>
          </w:p>
        </w:tc>
        <w:tc>
          <w:tcPr>
            <w:tcW w:w="16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40,530</w:t>
            </w:r>
          </w:p>
        </w:tc>
        <w:tc>
          <w:tcPr>
            <w:tcW w:w="19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r>
      <w:tr>
        <w:trPr>
          <w:trHeight w:val="266"/>
        </w:trPr>
        <w:tc>
          <w:tcPr>
            <w:tcW w:w="318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Ray Stata (10)</w:t>
            </w:r>
          </w:p>
        </w:tc>
        <w:tc>
          <w:tcPr>
            <w:tcW w:w="18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816,585</w:t>
            </w:r>
          </w:p>
        </w:tc>
        <w:tc>
          <w:tcPr>
            <w:tcW w:w="18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37,620</w:t>
            </w:r>
          </w:p>
        </w:tc>
        <w:tc>
          <w:tcPr>
            <w:tcW w:w="16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854,205</w:t>
            </w:r>
          </w:p>
        </w:tc>
        <w:tc>
          <w:tcPr>
            <w:tcW w:w="19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r>
      <w:tr>
        <w:trPr>
          <w:trHeight w:val="266"/>
        </w:trPr>
        <w:tc>
          <w:tcPr>
            <w:tcW w:w="318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Susie Wee</w:t>
            </w:r>
          </w:p>
        </w:tc>
        <w:tc>
          <w:tcPr>
            <w:tcW w:w="18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610</w:t>
            </w:r>
          </w:p>
        </w:tc>
        <w:tc>
          <w:tcPr>
            <w:tcW w:w="18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610</w:t>
            </w:r>
          </w:p>
        </w:tc>
        <w:tc>
          <w:tcPr>
            <w:tcW w:w="19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r>
      <w:tr>
        <w:trPr>
          <w:trHeight w:val="228"/>
        </w:trPr>
        <w:tc>
          <w:tcPr>
            <w:tcW w:w="318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All directors and executive officers as a</w:t>
            </w:r>
          </w:p>
        </w:tc>
        <w:tc>
          <w:tcPr>
            <w:tcW w:w="1800" w:type="dxa"/>
            <w:vAlign w:val="bottom"/>
            <w:tcBorders>
              <w:top w:val="single" w:sz="8" w:color="auto"/>
            </w:tcBorders>
            <w:shd w:val="clear" w:color="auto" w:fill="EAEAEA"/>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shd w:val="clear" w:color="auto" w:fill="EAEAEA"/>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r>
      <w:tr>
        <w:trPr>
          <w:trHeight w:val="208"/>
        </w:trPr>
        <w:tc>
          <w:tcPr>
            <w:tcW w:w="3180" w:type="dxa"/>
            <w:vAlign w:val="bottom"/>
          </w:tcPr>
          <w:p>
            <w:pPr>
              <w:ind w:left="60"/>
              <w:spacing w:after="0"/>
              <w:rPr>
                <w:sz w:val="20"/>
                <w:szCs w:val="20"/>
                <w:color w:val="auto"/>
              </w:rPr>
            </w:pPr>
            <w:r>
              <w:rPr>
                <w:rFonts w:ascii="Arial" w:cs="Arial" w:eastAsia="Arial" w:hAnsi="Arial"/>
                <w:sz w:val="17"/>
                <w:szCs w:val="17"/>
                <w:color w:val="auto"/>
              </w:rPr>
              <w:t>group (17 persons, consisting of 7</w:t>
            </w:r>
          </w:p>
        </w:tc>
        <w:tc>
          <w:tcPr>
            <w:tcW w:w="1800" w:type="dxa"/>
            <w:vAlign w:val="bottom"/>
            <w:shd w:val="clear" w:color="auto" w:fill="EAEAEA"/>
          </w:tcPr>
          <w:p>
            <w:pPr>
              <w:spacing w:after="0"/>
              <w:rPr>
                <w:sz w:val="18"/>
                <w:szCs w:val="18"/>
                <w:color w:val="auto"/>
              </w:rPr>
            </w:pPr>
          </w:p>
        </w:tc>
        <w:tc>
          <w:tcPr>
            <w:tcW w:w="1800" w:type="dxa"/>
            <w:vAlign w:val="bottom"/>
          </w:tcPr>
          <w:p>
            <w:pPr>
              <w:spacing w:after="0"/>
              <w:rPr>
                <w:sz w:val="18"/>
                <w:szCs w:val="18"/>
                <w:color w:val="auto"/>
              </w:rPr>
            </w:pPr>
          </w:p>
        </w:tc>
        <w:tc>
          <w:tcPr>
            <w:tcW w:w="1600" w:type="dxa"/>
            <w:vAlign w:val="bottom"/>
            <w:shd w:val="clear" w:color="auto" w:fill="EAEAEA"/>
          </w:tcPr>
          <w:p>
            <w:pPr>
              <w:spacing w:after="0"/>
              <w:rPr>
                <w:sz w:val="18"/>
                <w:szCs w:val="18"/>
                <w:color w:val="auto"/>
              </w:rPr>
            </w:pPr>
          </w:p>
        </w:tc>
        <w:tc>
          <w:tcPr>
            <w:tcW w:w="1900" w:type="dxa"/>
            <w:vAlign w:val="bottom"/>
          </w:tcPr>
          <w:p>
            <w:pPr>
              <w:spacing w:after="0"/>
              <w:rPr>
                <w:sz w:val="18"/>
                <w:szCs w:val="18"/>
                <w:color w:val="auto"/>
              </w:rPr>
            </w:pPr>
          </w:p>
        </w:tc>
      </w:tr>
      <w:tr>
        <w:trPr>
          <w:trHeight w:val="208"/>
        </w:trPr>
        <w:tc>
          <w:tcPr>
            <w:tcW w:w="3180" w:type="dxa"/>
            <w:vAlign w:val="bottom"/>
          </w:tcPr>
          <w:p>
            <w:pPr>
              <w:ind w:left="60"/>
              <w:spacing w:after="0"/>
              <w:rPr>
                <w:sz w:val="20"/>
                <w:szCs w:val="20"/>
                <w:color w:val="auto"/>
              </w:rPr>
            </w:pPr>
            <w:r>
              <w:rPr>
                <w:rFonts w:ascii="Arial" w:cs="Arial" w:eastAsia="Arial" w:hAnsi="Arial"/>
                <w:sz w:val="17"/>
                <w:szCs w:val="17"/>
                <w:color w:val="auto"/>
              </w:rPr>
              <w:t>executive officers and 10 non-employee</w:t>
            </w:r>
          </w:p>
        </w:tc>
        <w:tc>
          <w:tcPr>
            <w:tcW w:w="1800" w:type="dxa"/>
            <w:vAlign w:val="bottom"/>
            <w:shd w:val="clear" w:color="auto" w:fill="EAEAEA"/>
          </w:tcPr>
          <w:p>
            <w:pPr>
              <w:spacing w:after="0"/>
              <w:rPr>
                <w:sz w:val="18"/>
                <w:szCs w:val="18"/>
                <w:color w:val="auto"/>
              </w:rPr>
            </w:pPr>
          </w:p>
        </w:tc>
        <w:tc>
          <w:tcPr>
            <w:tcW w:w="1800" w:type="dxa"/>
            <w:vAlign w:val="bottom"/>
          </w:tcPr>
          <w:p>
            <w:pPr>
              <w:spacing w:after="0"/>
              <w:rPr>
                <w:sz w:val="18"/>
                <w:szCs w:val="18"/>
                <w:color w:val="auto"/>
              </w:rPr>
            </w:pPr>
          </w:p>
        </w:tc>
        <w:tc>
          <w:tcPr>
            <w:tcW w:w="1600" w:type="dxa"/>
            <w:vAlign w:val="bottom"/>
            <w:shd w:val="clear" w:color="auto" w:fill="EAEAEA"/>
          </w:tcPr>
          <w:p>
            <w:pPr>
              <w:spacing w:after="0"/>
              <w:rPr>
                <w:sz w:val="18"/>
                <w:szCs w:val="18"/>
                <w:color w:val="auto"/>
              </w:rPr>
            </w:pPr>
          </w:p>
        </w:tc>
        <w:tc>
          <w:tcPr>
            <w:tcW w:w="1900" w:type="dxa"/>
            <w:vAlign w:val="bottom"/>
          </w:tcPr>
          <w:p>
            <w:pPr>
              <w:spacing w:after="0"/>
              <w:rPr>
                <w:sz w:val="18"/>
                <w:szCs w:val="18"/>
                <w:color w:val="auto"/>
              </w:rPr>
            </w:pPr>
          </w:p>
        </w:tc>
      </w:tr>
      <w:tr>
        <w:trPr>
          <w:trHeight w:val="227"/>
        </w:trPr>
        <w:tc>
          <w:tcPr>
            <w:tcW w:w="3180" w:type="dxa"/>
            <w:vAlign w:val="bottom"/>
          </w:tcPr>
          <w:p>
            <w:pPr>
              <w:ind w:left="60"/>
              <w:spacing w:after="0"/>
              <w:rPr>
                <w:sz w:val="20"/>
                <w:szCs w:val="20"/>
                <w:color w:val="auto"/>
              </w:rPr>
            </w:pPr>
            <w:r>
              <w:rPr>
                <w:rFonts w:ascii="Arial" w:cs="Arial" w:eastAsia="Arial" w:hAnsi="Arial"/>
                <w:sz w:val="17"/>
                <w:szCs w:val="17"/>
                <w:color w:val="auto"/>
              </w:rPr>
              <w:t>directors) (11)</w:t>
            </w:r>
          </w:p>
        </w:tc>
        <w:tc>
          <w:tcPr>
            <w:tcW w:w="1800" w:type="dxa"/>
            <w:vAlign w:val="bottom"/>
            <w:tcBorders>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1,102,821</w:t>
            </w:r>
          </w:p>
        </w:tc>
        <w:tc>
          <w:tcPr>
            <w:tcW w:w="1800" w:type="dxa"/>
            <w:vAlign w:val="bottom"/>
          </w:tcPr>
          <w:p>
            <w:pPr>
              <w:jc w:val="right"/>
              <w:ind w:right="115"/>
              <w:spacing w:after="0"/>
              <w:rPr>
                <w:sz w:val="20"/>
                <w:szCs w:val="20"/>
                <w:color w:val="auto"/>
              </w:rPr>
            </w:pPr>
            <w:r>
              <w:rPr>
                <w:rFonts w:ascii="Arial" w:cs="Arial" w:eastAsia="Arial" w:hAnsi="Arial"/>
                <w:sz w:val="17"/>
                <w:szCs w:val="17"/>
                <w:color w:val="auto"/>
              </w:rPr>
              <w:t>571,246</w:t>
            </w:r>
          </w:p>
        </w:tc>
        <w:tc>
          <w:tcPr>
            <w:tcW w:w="1600" w:type="dxa"/>
            <w:vAlign w:val="bottom"/>
            <w:tcBorders>
              <w:bottom w:val="single" w:sz="8" w:color="EAEAEA"/>
            </w:tcBorders>
            <w:shd w:val="clear" w:color="auto" w:fill="EAEAEA"/>
          </w:tcPr>
          <w:p>
            <w:pPr>
              <w:jc w:val="right"/>
              <w:ind w:right="115"/>
              <w:spacing w:after="0"/>
              <w:rPr>
                <w:sz w:val="20"/>
                <w:szCs w:val="20"/>
                <w:color w:val="auto"/>
              </w:rPr>
            </w:pPr>
            <w:r>
              <w:rPr>
                <w:rFonts w:ascii="Arial" w:cs="Arial" w:eastAsia="Arial" w:hAnsi="Arial"/>
                <w:sz w:val="17"/>
                <w:szCs w:val="17"/>
                <w:color w:val="auto"/>
              </w:rPr>
              <w:t>1,674,067</w:t>
            </w:r>
          </w:p>
        </w:tc>
        <w:tc>
          <w:tcPr>
            <w:tcW w:w="1900" w:type="dxa"/>
            <w:vAlign w:val="bottom"/>
          </w:tcPr>
          <w:p>
            <w:pPr>
              <w:jc w:val="right"/>
              <w:ind w:right="96"/>
              <w:spacing w:after="0"/>
              <w:rPr>
                <w:sz w:val="20"/>
                <w:szCs w:val="20"/>
                <w:color w:val="auto"/>
              </w:rPr>
            </w:pPr>
            <w:r>
              <w:rPr>
                <w:rFonts w:ascii="Arial" w:cs="Arial" w:eastAsia="Arial" w:hAnsi="Arial"/>
                <w:sz w:val="17"/>
                <w:szCs w:val="17"/>
                <w:color w:val="auto"/>
              </w:rPr>
              <w:t>*</w:t>
            </w:r>
          </w:p>
        </w:tc>
      </w:tr>
      <w:tr>
        <w:trPr>
          <w:trHeight w:val="20"/>
        </w:trPr>
        <w:tc>
          <w:tcPr>
            <w:tcW w:w="31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bl>
    <w:p>
      <w:pPr>
        <w:spacing w:after="0" w:line="63" w:lineRule="exact"/>
        <w:rPr>
          <w:sz w:val="20"/>
          <w:szCs w:val="20"/>
          <w:color w:val="auto"/>
        </w:rPr>
      </w:pPr>
    </w:p>
    <w:p>
      <w:pPr>
        <w:ind w:left="780" w:hanging="305"/>
        <w:spacing w:after="0"/>
        <w:tabs>
          <w:tab w:leader="none" w:pos="780" w:val="left"/>
        </w:tabs>
        <w:numPr>
          <w:ilvl w:val="0"/>
          <w:numId w:val="10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less than 1% of the outstanding shares of our common stock.</w:t>
      </w:r>
    </w:p>
    <w:p>
      <w:pPr>
        <w:spacing w:after="0" w:line="1" w:lineRule="exact"/>
        <w:rPr>
          <w:sz w:val="20"/>
          <w:szCs w:val="20"/>
          <w:color w:val="auto"/>
        </w:rPr>
      </w:pPr>
    </w:p>
    <w:p>
      <w:pPr>
        <w:ind w:left="780" w:hanging="305"/>
        <w:spacing w:after="0"/>
        <w:tabs>
          <w:tab w:leader="none" w:pos="780" w:val="left"/>
        </w:tabs>
        <w:numPr>
          <w:ilvl w:val="0"/>
          <w:numId w:val="102"/>
        </w:numPr>
        <w:rPr>
          <w:rFonts w:ascii="Arial" w:cs="Arial" w:eastAsia="Arial" w:hAnsi="Arial"/>
          <w:sz w:val="13"/>
          <w:szCs w:val="13"/>
          <w:i w:val="1"/>
          <w:iCs w:val="1"/>
          <w:color w:val="auto"/>
        </w:rPr>
      </w:pPr>
      <w:r>
        <w:rPr>
          <w:rFonts w:ascii="Arial" w:cs="Arial" w:eastAsia="Arial" w:hAnsi="Arial"/>
          <w:sz w:val="13"/>
          <w:szCs w:val="13"/>
          <w:i w:val="1"/>
          <w:iCs w:val="1"/>
          <w:color w:val="auto"/>
        </w:rPr>
        <w:t>Unless otherwise indicated, the address of each beneficial owner listed is c/o Analog Devices, Inc., One Analog Way, Wilmington, Massachusetts 01887.</w:t>
      </w:r>
    </w:p>
    <w:p>
      <w:pPr>
        <w:ind w:left="780" w:right="140" w:hanging="305"/>
        <w:spacing w:after="0" w:line="229" w:lineRule="auto"/>
        <w:tabs>
          <w:tab w:leader="none" w:pos="780" w:val="left"/>
        </w:tabs>
        <w:numPr>
          <w:ilvl w:val="0"/>
          <w:numId w:val="102"/>
        </w:numPr>
        <w:rPr>
          <w:rFonts w:ascii="Arial" w:cs="Arial" w:eastAsia="Arial" w:hAnsi="Arial"/>
          <w:sz w:val="13"/>
          <w:szCs w:val="13"/>
          <w:i w:val="1"/>
          <w:iCs w:val="1"/>
          <w:color w:val="auto"/>
        </w:rPr>
      </w:pPr>
      <w:r>
        <w:rPr>
          <w:rFonts w:ascii="Arial" w:cs="Arial" w:eastAsia="Arial" w:hAnsi="Arial"/>
          <w:sz w:val="13"/>
          <w:szCs w:val="13"/>
          <w:i w:val="1"/>
          <w:iCs w:val="1"/>
          <w:color w:val="auto"/>
        </w:rPr>
        <w:t>For each person, the “Shares Beneficially Owned” column may include shares of common stock attributable to the person because of that person’s voting or investment power. Unless otherwise indicated, each person in the table has sole voting and investment power over the shares listed. The inclusion in the table of any shares, however, does not constitute an admission of beneficial ownership of those shares by the named shareholder.</w:t>
      </w:r>
    </w:p>
    <w:p>
      <w:pPr>
        <w:spacing w:after="0" w:line="1" w:lineRule="exact"/>
        <w:rPr>
          <w:rFonts w:ascii="Arial" w:cs="Arial" w:eastAsia="Arial" w:hAnsi="Arial"/>
          <w:sz w:val="13"/>
          <w:szCs w:val="13"/>
          <w:i w:val="1"/>
          <w:iCs w:val="1"/>
          <w:color w:val="auto"/>
        </w:rPr>
      </w:pPr>
    </w:p>
    <w:p>
      <w:pPr>
        <w:ind w:left="780" w:hanging="305"/>
        <w:spacing w:after="0" w:line="229" w:lineRule="auto"/>
        <w:tabs>
          <w:tab w:leader="none" w:pos="780" w:val="left"/>
        </w:tabs>
        <w:numPr>
          <w:ilvl w:val="0"/>
          <w:numId w:val="102"/>
        </w:numPr>
        <w:rPr>
          <w:rFonts w:ascii="Arial" w:cs="Arial" w:eastAsia="Arial" w:hAnsi="Arial"/>
          <w:sz w:val="13"/>
          <w:szCs w:val="13"/>
          <w:i w:val="1"/>
          <w:iCs w:val="1"/>
          <w:color w:val="auto"/>
        </w:rPr>
      </w:pPr>
      <w:r>
        <w:rPr>
          <w:rFonts w:ascii="Arial" w:cs="Arial" w:eastAsia="Arial" w:hAnsi="Arial"/>
          <w:sz w:val="13"/>
          <w:szCs w:val="13"/>
          <w:i w:val="1"/>
          <w:iCs w:val="1"/>
          <w:color w:val="auto"/>
        </w:rPr>
        <w:t>The number of shares of common stock beneficially owned by each person is determined under applicable SEC rules. Under these rules, a person is deemed to have “beneficial ownership” of any shares over which that person has or shares voting or investment power, plus any shares that the person has the right to acquire within 60 days, including through the exercise of stock options. Unless otherwise indicated, for each person named in the table, the number in the “Shares Acquirable within 60 Days” column consists of shares covered by stock options that may be exercised and restricted stock units, or RSUs, that vest within 60 days after January 8, 2021.</w:t>
      </w:r>
    </w:p>
    <w:p>
      <w:pPr>
        <w:spacing w:after="0" w:line="1" w:lineRule="exact"/>
        <w:rPr>
          <w:rFonts w:ascii="Arial" w:cs="Arial" w:eastAsia="Arial" w:hAnsi="Arial"/>
          <w:sz w:val="13"/>
          <w:szCs w:val="13"/>
          <w:i w:val="1"/>
          <w:iCs w:val="1"/>
          <w:color w:val="auto"/>
        </w:rPr>
      </w:pPr>
    </w:p>
    <w:p>
      <w:pPr>
        <w:ind w:left="780" w:right="340" w:hanging="305"/>
        <w:spacing w:after="0" w:line="229" w:lineRule="auto"/>
        <w:tabs>
          <w:tab w:leader="none" w:pos="780" w:val="left"/>
        </w:tabs>
        <w:numPr>
          <w:ilvl w:val="0"/>
          <w:numId w:val="102"/>
        </w:numPr>
        <w:rPr>
          <w:rFonts w:ascii="Arial" w:cs="Arial" w:eastAsia="Arial" w:hAnsi="Arial"/>
          <w:sz w:val="13"/>
          <w:szCs w:val="13"/>
          <w:i w:val="1"/>
          <w:iCs w:val="1"/>
          <w:color w:val="auto"/>
        </w:rPr>
      </w:pPr>
      <w:r>
        <w:rPr>
          <w:rFonts w:ascii="Arial" w:cs="Arial" w:eastAsia="Arial" w:hAnsi="Arial"/>
          <w:sz w:val="13"/>
          <w:szCs w:val="13"/>
          <w:i w:val="1"/>
          <w:iCs w:val="1"/>
          <w:color w:val="auto"/>
        </w:rPr>
        <w:t>The percent ownership for each shareholder on January 8, 2021 is calculated by dividing (1) the total number of shares beneficially owned by the shareholder by (2) the number of shares of our common stock outstanding on January 8, 2021 (369,403,562 shares) plus any shares acquirable (including exercisable stock options) by the shareholder in question within 60 days after January 8, 2021.</w:t>
      </w:r>
    </w:p>
    <w:p>
      <w:pPr>
        <w:spacing w:after="0" w:line="1" w:lineRule="exact"/>
        <w:rPr>
          <w:rFonts w:ascii="Arial" w:cs="Arial" w:eastAsia="Arial" w:hAnsi="Arial"/>
          <w:sz w:val="13"/>
          <w:szCs w:val="13"/>
          <w:i w:val="1"/>
          <w:iCs w:val="1"/>
          <w:color w:val="auto"/>
        </w:rPr>
      </w:pPr>
    </w:p>
    <w:p>
      <w:pPr>
        <w:ind w:left="780" w:hanging="305"/>
        <w:spacing w:after="0" w:line="229" w:lineRule="auto"/>
        <w:tabs>
          <w:tab w:leader="none" w:pos="780" w:val="left"/>
        </w:tabs>
        <w:numPr>
          <w:ilvl w:val="0"/>
          <w:numId w:val="102"/>
        </w:numPr>
        <w:rPr>
          <w:rFonts w:ascii="Arial" w:cs="Arial" w:eastAsia="Arial" w:hAnsi="Arial"/>
          <w:sz w:val="13"/>
          <w:szCs w:val="13"/>
          <w:i w:val="1"/>
          <w:iCs w:val="1"/>
          <w:color w:val="auto"/>
        </w:rPr>
      </w:pPr>
      <w:r>
        <w:rPr>
          <w:rFonts w:ascii="Arial" w:cs="Arial" w:eastAsia="Arial" w:hAnsi="Arial"/>
          <w:sz w:val="13"/>
          <w:szCs w:val="13"/>
          <w:i w:val="1"/>
          <w:iCs w:val="1"/>
          <w:color w:val="auto"/>
        </w:rPr>
        <w:t>Includes 39,878 shares held in trust for the benefit of Mr. Champy’s spouse and son, as to which Mr. Champy disclaims beneficial ownership.</w:t>
      </w:r>
    </w:p>
    <w:p>
      <w:pPr>
        <w:ind w:left="780" w:hanging="305"/>
        <w:spacing w:after="0" w:line="229" w:lineRule="auto"/>
        <w:tabs>
          <w:tab w:leader="none" w:pos="780" w:val="left"/>
        </w:tabs>
        <w:numPr>
          <w:ilvl w:val="0"/>
          <w:numId w:val="102"/>
        </w:numPr>
        <w:rPr>
          <w:rFonts w:ascii="Arial" w:cs="Arial" w:eastAsia="Arial" w:hAnsi="Arial"/>
          <w:sz w:val="13"/>
          <w:szCs w:val="13"/>
          <w:i w:val="1"/>
          <w:iCs w:val="1"/>
          <w:color w:val="auto"/>
        </w:rPr>
      </w:pPr>
      <w:r>
        <w:rPr>
          <w:rFonts w:ascii="Arial" w:cs="Arial" w:eastAsia="Arial" w:hAnsi="Arial"/>
          <w:sz w:val="13"/>
          <w:szCs w:val="13"/>
          <w:i w:val="1"/>
          <w:iCs w:val="1"/>
          <w:color w:val="auto"/>
        </w:rPr>
        <w:t>Includes 106 shares held by Evans Investment Management, LLC, of which Mr. Evans is managing member.</w:t>
      </w:r>
    </w:p>
    <w:p>
      <w:pPr>
        <w:ind w:left="780" w:hanging="305"/>
        <w:spacing w:after="0" w:line="229" w:lineRule="auto"/>
        <w:tabs>
          <w:tab w:leader="none" w:pos="780" w:val="left"/>
        </w:tabs>
        <w:numPr>
          <w:ilvl w:val="0"/>
          <w:numId w:val="102"/>
        </w:numPr>
        <w:rPr>
          <w:rFonts w:ascii="Arial" w:cs="Arial" w:eastAsia="Arial" w:hAnsi="Arial"/>
          <w:sz w:val="13"/>
          <w:szCs w:val="13"/>
          <w:i w:val="1"/>
          <w:iCs w:val="1"/>
          <w:color w:val="auto"/>
        </w:rPr>
      </w:pPr>
      <w:r>
        <w:rPr>
          <w:rFonts w:ascii="Arial" w:cs="Arial" w:eastAsia="Arial" w:hAnsi="Arial"/>
          <w:sz w:val="13"/>
          <w:szCs w:val="13"/>
          <w:i w:val="1"/>
          <w:iCs w:val="1"/>
          <w:color w:val="auto"/>
        </w:rPr>
        <w:t>Includes 11,000 shares held by irrevocable trusts for the benefit of Mr. Frank’s daughters, of which Mr. Frank is a trustee.</w:t>
      </w:r>
    </w:p>
    <w:p>
      <w:pPr>
        <w:ind w:left="780" w:hanging="305"/>
        <w:spacing w:after="0" w:line="229" w:lineRule="auto"/>
        <w:tabs>
          <w:tab w:leader="none" w:pos="780" w:val="left"/>
        </w:tabs>
        <w:numPr>
          <w:ilvl w:val="0"/>
          <w:numId w:val="102"/>
        </w:numPr>
        <w:rPr>
          <w:rFonts w:ascii="Arial" w:cs="Arial" w:eastAsia="Arial" w:hAnsi="Arial"/>
          <w:sz w:val="13"/>
          <w:szCs w:val="13"/>
          <w:i w:val="1"/>
          <w:iCs w:val="1"/>
          <w:color w:val="auto"/>
        </w:rPr>
      </w:pPr>
      <w:r>
        <w:rPr>
          <w:rFonts w:ascii="Arial" w:cs="Arial" w:eastAsia="Arial" w:hAnsi="Arial"/>
          <w:sz w:val="13"/>
          <w:szCs w:val="13"/>
          <w:i w:val="1"/>
          <w:iCs w:val="1"/>
          <w:color w:val="auto"/>
        </w:rPr>
        <w:t>Dr. Laurie Glimcher joined the Board of Directors on August 18, 2020.</w:t>
      </w:r>
    </w:p>
    <w:p>
      <w:pPr>
        <w:ind w:left="780" w:hanging="305"/>
        <w:spacing w:after="0" w:line="229" w:lineRule="auto"/>
        <w:tabs>
          <w:tab w:leader="none" w:pos="780" w:val="left"/>
        </w:tabs>
        <w:numPr>
          <w:ilvl w:val="0"/>
          <w:numId w:val="102"/>
        </w:numPr>
        <w:rPr>
          <w:rFonts w:ascii="Arial" w:cs="Arial" w:eastAsia="Arial" w:hAnsi="Arial"/>
          <w:sz w:val="13"/>
          <w:szCs w:val="13"/>
          <w:i w:val="1"/>
          <w:iCs w:val="1"/>
          <w:color w:val="auto"/>
        </w:rPr>
      </w:pPr>
      <w:r>
        <w:rPr>
          <w:rFonts w:ascii="Arial" w:cs="Arial" w:eastAsia="Arial" w:hAnsi="Arial"/>
          <w:sz w:val="13"/>
          <w:szCs w:val="13"/>
          <w:i w:val="1"/>
          <w:iCs w:val="1"/>
          <w:color w:val="auto"/>
        </w:rPr>
        <w:t>Includes 4,956 shares held in trust.</w:t>
      </w:r>
    </w:p>
    <w:p>
      <w:pPr>
        <w:ind w:left="780" w:right="120" w:hanging="305"/>
        <w:spacing w:after="0" w:line="229" w:lineRule="auto"/>
        <w:tabs>
          <w:tab w:leader="none" w:pos="780" w:val="left"/>
        </w:tabs>
        <w:numPr>
          <w:ilvl w:val="0"/>
          <w:numId w:val="102"/>
        </w:numPr>
        <w:rPr>
          <w:rFonts w:ascii="Arial" w:cs="Arial" w:eastAsia="Arial" w:hAnsi="Arial"/>
          <w:sz w:val="13"/>
          <w:szCs w:val="13"/>
          <w:i w:val="1"/>
          <w:iCs w:val="1"/>
          <w:color w:val="auto"/>
        </w:rPr>
      </w:pPr>
      <w:r>
        <w:rPr>
          <w:rFonts w:ascii="Arial" w:cs="Arial" w:eastAsia="Arial" w:hAnsi="Arial"/>
          <w:sz w:val="13"/>
          <w:szCs w:val="13"/>
          <w:i w:val="1"/>
          <w:iCs w:val="1"/>
          <w:color w:val="auto"/>
        </w:rPr>
        <w:t>Includes 660,459 shares held by Mr. Stata’s spouse, as to which Mr. Stata disclaims beneficial ownership. Includes 648,709 shares held by Mr. Stata’s spouse and 156,126 shares held directly by Mr. Stata that are pledged as collateral for a line of credit from a bank. Since January 2013, we have prohibited our directors and executive officers from future pledging of their Company securities as collateral for a loan.</w:t>
      </w:r>
    </w:p>
    <w:p>
      <w:pPr>
        <w:spacing w:after="0" w:line="1" w:lineRule="exact"/>
        <w:rPr>
          <w:rFonts w:ascii="Arial" w:cs="Arial" w:eastAsia="Arial" w:hAnsi="Arial"/>
          <w:sz w:val="13"/>
          <w:szCs w:val="13"/>
          <w:i w:val="1"/>
          <w:iCs w:val="1"/>
          <w:color w:val="auto"/>
        </w:rPr>
      </w:pPr>
    </w:p>
    <w:p>
      <w:pPr>
        <w:ind w:left="780" w:hanging="305"/>
        <w:spacing w:after="0"/>
        <w:tabs>
          <w:tab w:leader="none" w:pos="780" w:val="left"/>
        </w:tabs>
        <w:numPr>
          <w:ilvl w:val="0"/>
          <w:numId w:val="102"/>
        </w:numPr>
        <w:rPr>
          <w:rFonts w:ascii="Arial" w:cs="Arial" w:eastAsia="Arial" w:hAnsi="Arial"/>
          <w:sz w:val="13"/>
          <w:szCs w:val="13"/>
          <w:i w:val="1"/>
          <w:iCs w:val="1"/>
          <w:color w:val="auto"/>
        </w:rPr>
      </w:pPr>
      <w:r>
        <w:rPr>
          <w:rFonts w:ascii="Arial" w:cs="Arial" w:eastAsia="Arial" w:hAnsi="Arial"/>
          <w:sz w:val="13"/>
          <w:szCs w:val="13"/>
          <w:i w:val="1"/>
          <w:iCs w:val="1"/>
          <w:color w:val="auto"/>
        </w:rPr>
        <w:t>All directors and executive officers as a group disclaim beneficial ownership of a total of 700,337 shares.</w:t>
      </w:r>
    </w:p>
    <w:p>
      <w:pPr>
        <w:spacing w:after="0" w:line="27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Delinquent Section 16(a) Reports</w:t>
      </w:r>
    </w:p>
    <w:p>
      <w:pPr>
        <w:spacing w:after="0" w:line="125" w:lineRule="exact"/>
        <w:rPr>
          <w:sz w:val="20"/>
          <w:szCs w:val="20"/>
          <w:color w:val="auto"/>
        </w:rPr>
      </w:pPr>
    </w:p>
    <w:p>
      <w:pPr>
        <w:ind w:left="480" w:right="40"/>
        <w:spacing w:after="0" w:line="261" w:lineRule="auto"/>
        <w:rPr>
          <w:sz w:val="20"/>
          <w:szCs w:val="20"/>
          <w:color w:val="auto"/>
        </w:rPr>
      </w:pPr>
      <w:r>
        <w:rPr>
          <w:rFonts w:ascii="Arial" w:cs="Arial" w:eastAsia="Arial" w:hAnsi="Arial"/>
          <w:sz w:val="17"/>
          <w:szCs w:val="17"/>
          <w:color w:val="auto"/>
        </w:rPr>
        <w:t>Section 16(a) of the Exchange Act requires our executive officers, directors and the holders of more than 10% of our common stock to file with the SEC initial reports of ownership of our common stock and other equity securities on a Form 3 and reports of changes in such ownership on a Form 4 or Form 5. Officers, directors and 10% shareholders are required by SEC regulations to furnish us with copies of all Section 16(a) forms they file. To our knowledge, based solely on a review of our records and written representations by the persons required to file these reports, all filing requirements of Section 16(a) were satisfied on a timely basis with respect to fiscal 2020, with the exception of a late filing by Mr. Stata to report a gift of 8,250 shares to an educational institution.</w:t>
      </w:r>
    </w:p>
    <w:p>
      <w:pPr>
        <w:sectPr>
          <w:pgSz w:w="11900" w:h="16838" w:orient="portrait"/>
          <w:cols w:equalWidth="0" w:num="1">
            <w:col w:w="10760"/>
          </w:cols>
          <w:pgMar w:left="320" w:top="447" w:right="81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0760"/>
          </w:cols>
          <w:pgMar w:left="320" w:top="447" w:right="819" w:bottom="1440" w:gutter="0" w:footer="0" w:header="0"/>
          <w:type w:val="continuous"/>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190" w:lineRule="exact"/>
        <w:rPr>
          <w:sz w:val="20"/>
          <w:szCs w:val="20"/>
          <w:color w:val="auto"/>
        </w:rPr>
      </w:pPr>
    </w:p>
    <w:tbl>
      <w:tblPr>
        <w:tblLayout w:type="fixed"/>
        <w:tblInd w:w="1060" w:type="dxa"/>
        <w:tblCellMar>
          <w:top w:w="0" w:type="dxa"/>
          <w:left w:w="0" w:type="dxa"/>
          <w:bottom w:w="0" w:type="dxa"/>
          <w:right w:w="0" w:type="dxa"/>
        </w:tblCellMar>
      </w:tblPr>
      <w:tr>
        <w:trPr>
          <w:trHeight w:val="975"/>
        </w:trPr>
        <w:tc>
          <w:tcPr>
            <w:tcW w:w="8180" w:type="dxa"/>
            <w:vAlign w:val="bottom"/>
          </w:tcPr>
          <w:p>
            <w:pPr>
              <w:jc w:val="right"/>
              <w:ind w:right="263"/>
              <w:spacing w:after="0"/>
              <w:rPr>
                <w:sz w:val="20"/>
                <w:szCs w:val="20"/>
                <w:color w:val="auto"/>
              </w:rPr>
            </w:pPr>
            <w:r>
              <w:rPr>
                <w:rFonts w:ascii="Arial" w:cs="Arial" w:eastAsia="Arial" w:hAnsi="Arial"/>
                <w:sz w:val="55"/>
                <w:szCs w:val="55"/>
                <w:color w:val="333333"/>
              </w:rPr>
              <w:t>Appendix A: Reconciliation of</w:t>
            </w:r>
          </w:p>
        </w:tc>
        <w:tc>
          <w:tcPr>
            <w:tcW w:w="1060" w:type="dxa"/>
            <w:vAlign w:val="bottom"/>
            <w:vMerge w:val="restart"/>
          </w:tcPr>
          <w:p>
            <w:pPr>
              <w:ind w:left="520"/>
              <w:spacing w:after="0"/>
              <w:rPr>
                <w:sz w:val="20"/>
                <w:szCs w:val="20"/>
                <w:color w:val="auto"/>
              </w:rPr>
            </w:pPr>
            <w:r>
              <w:rPr>
                <w:rFonts w:ascii="Arial" w:cs="Arial" w:eastAsia="Arial" w:hAnsi="Arial"/>
                <w:sz w:val="191"/>
                <w:szCs w:val="191"/>
                <w:color w:val="333333"/>
                <w:w w:val="97"/>
              </w:rPr>
              <w:t>t</w:t>
            </w:r>
          </w:p>
        </w:tc>
        <w:tc>
          <w:tcPr>
            <w:tcW w:w="0" w:type="dxa"/>
            <w:vAlign w:val="bottom"/>
          </w:tcPr>
          <w:p>
            <w:pPr>
              <w:spacing w:after="0"/>
              <w:rPr>
                <w:sz w:val="1"/>
                <w:szCs w:val="1"/>
                <w:color w:val="auto"/>
              </w:rPr>
            </w:pPr>
          </w:p>
        </w:tc>
      </w:tr>
      <w:tr>
        <w:trPr>
          <w:trHeight w:val="637"/>
        </w:trPr>
        <w:tc>
          <w:tcPr>
            <w:tcW w:w="8180" w:type="dxa"/>
            <w:vAlign w:val="bottom"/>
          </w:tcPr>
          <w:p>
            <w:pPr>
              <w:jc w:val="right"/>
              <w:ind w:right="263"/>
              <w:spacing w:after="0"/>
              <w:rPr>
                <w:sz w:val="20"/>
                <w:szCs w:val="20"/>
                <w:color w:val="auto"/>
              </w:rPr>
            </w:pPr>
            <w:r>
              <w:rPr>
                <w:rFonts w:ascii="Arial" w:cs="Arial" w:eastAsia="Arial" w:hAnsi="Arial"/>
                <w:sz w:val="55"/>
                <w:szCs w:val="55"/>
                <w:color w:val="333333"/>
              </w:rPr>
              <w:t>GAAP Measures to Non-GAAP</w:t>
            </w: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18"/>
        </w:trPr>
        <w:tc>
          <w:tcPr>
            <w:tcW w:w="8180" w:type="dxa"/>
            <w:vAlign w:val="bottom"/>
          </w:tcPr>
          <w:p>
            <w:pPr>
              <w:jc w:val="right"/>
              <w:ind w:right="263"/>
              <w:spacing w:after="0"/>
              <w:rPr>
                <w:sz w:val="20"/>
                <w:szCs w:val="20"/>
                <w:color w:val="auto"/>
              </w:rPr>
            </w:pPr>
            <w:r>
              <w:rPr>
                <w:rFonts w:ascii="Arial" w:cs="Arial" w:eastAsia="Arial" w:hAnsi="Arial"/>
                <w:sz w:val="55"/>
                <w:szCs w:val="55"/>
                <w:color w:val="333333"/>
              </w:rPr>
              <w:t>Measures</w:t>
            </w: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left="480" w:right="1700"/>
        <w:spacing w:after="0" w:line="313" w:lineRule="auto"/>
        <w:rPr>
          <w:sz w:val="20"/>
          <w:szCs w:val="20"/>
          <w:color w:val="auto"/>
        </w:rPr>
      </w:pPr>
      <w:r>
        <w:rPr>
          <w:rFonts w:ascii="Arial" w:cs="Arial" w:eastAsia="Arial" w:hAnsi="Arial"/>
          <w:sz w:val="15"/>
          <w:szCs w:val="15"/>
          <w:color w:val="auto"/>
        </w:rPr>
        <w:t>Non-GAAP financial measures included in this Proxy Statement are financial measures that are not in accordance with, nor an alternative to, generally accepted accounting principles and may be different from non-GAAP measures used by other companies. In addition, these non-GAAP measures are not based on any comprehensive set of accounting rules or principles.</w:t>
      </w:r>
    </w:p>
    <w:p>
      <w:pPr>
        <w:spacing w:after="0" w:line="40" w:lineRule="exact"/>
        <w:rPr>
          <w:sz w:val="20"/>
          <w:szCs w:val="20"/>
          <w:color w:val="auto"/>
        </w:rPr>
      </w:pPr>
    </w:p>
    <w:p>
      <w:pPr>
        <w:ind w:left="480" w:right="1640"/>
        <w:spacing w:after="0" w:line="276" w:lineRule="auto"/>
        <w:rPr>
          <w:sz w:val="20"/>
          <w:szCs w:val="20"/>
          <w:color w:val="auto"/>
        </w:rPr>
      </w:pPr>
      <w:r>
        <w:rPr>
          <w:rFonts w:ascii="Arial" w:cs="Arial" w:eastAsia="Arial" w:hAnsi="Arial"/>
          <w:sz w:val="16"/>
          <w:szCs w:val="16"/>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the primary performance measurement when communicating with analysts and investors regarding the Company’s earnings results and outlook and believes that the presentation of these non-GAAP measures is useful to investors because it provides investors with the operating results that management uses to manage the Company and enables investors and analysts to evaluate the Company’s core business. Management also believes that the non-GAAP liquidity measure free cash flow is useful both internally and to investors because it provides information about the amount of cash generated after capital expenditures that is then available to repay debt obligations, make investments and fund acquisitions, and for certain other activities.</w:t>
      </w:r>
    </w:p>
    <w:p>
      <w:pPr>
        <w:spacing w:after="0" w:line="70" w:lineRule="exact"/>
        <w:rPr>
          <w:sz w:val="20"/>
          <w:szCs w:val="20"/>
          <w:color w:val="auto"/>
        </w:rPr>
      </w:pPr>
    </w:p>
    <w:p>
      <w:pPr>
        <w:ind w:left="480" w:right="1680"/>
        <w:spacing w:after="0" w:line="300" w:lineRule="auto"/>
        <w:rPr>
          <w:sz w:val="20"/>
          <w:szCs w:val="20"/>
          <w:color w:val="auto"/>
        </w:rPr>
      </w:pPr>
      <w:r>
        <w:rPr>
          <w:rFonts w:ascii="Arial" w:cs="Arial" w:eastAsia="Arial" w:hAnsi="Arial"/>
          <w:sz w:val="15"/>
          <w:szCs w:val="15"/>
          <w:color w:val="auto"/>
        </w:rPr>
        <w:t>Analog Devices believes that non-GAAP measures have material limitations in that they do not reflect all of the amounts associated with our results of operations as determined in accordance with GAAP and that these measures should only be used to evaluate our results of operations in conjunction with the corresponding GAAP measures. In addition, our non-GAAP measures may not be comparable to the non-GAAP measures reported by other companies. The Company’s use of non-GAAP measures, and the underlying methodology when excluding certain items, is not necessarily an indication of the results of operations that may be expected in the future, or that the Company will not, in fact, record such items in future periods. Investors should consider our non-GAAP financial measures in conjunction with the corresponding GAAP measures.</w:t>
      </w:r>
    </w:p>
    <w:p>
      <w:pPr>
        <w:spacing w:after="0" w:line="52" w:lineRule="exact"/>
        <w:rPr>
          <w:sz w:val="20"/>
          <w:szCs w:val="20"/>
          <w:color w:val="auto"/>
        </w:rPr>
      </w:pPr>
    </w:p>
    <w:p>
      <w:pPr>
        <w:ind w:left="480" w:right="1660"/>
        <w:spacing w:after="0" w:line="302" w:lineRule="auto"/>
        <w:rPr>
          <w:sz w:val="20"/>
          <w:szCs w:val="20"/>
          <w:color w:val="auto"/>
        </w:rPr>
      </w:pPr>
      <w:r>
        <w:rPr>
          <w:rFonts w:ascii="Arial" w:cs="Arial" w:eastAsia="Arial" w:hAnsi="Arial"/>
          <w:sz w:val="15"/>
          <w:szCs w:val="15"/>
          <w:color w:val="0066BA"/>
        </w:rPr>
        <w:t xml:space="preserve">Acquisition Related Expenses: </w:t>
      </w:r>
      <w:r>
        <w:rPr>
          <w:rFonts w:ascii="Arial" w:cs="Arial" w:eastAsia="Arial" w:hAnsi="Arial"/>
          <w:sz w:val="15"/>
          <w:szCs w:val="15"/>
          <w:color w:val="000000"/>
        </w:rPr>
        <w:t>Expenses incurred as a result of current and prior period acquisitions and primarily include</w:t>
      </w:r>
      <w:r>
        <w:rPr>
          <w:rFonts w:ascii="Arial" w:cs="Arial" w:eastAsia="Arial" w:hAnsi="Arial"/>
          <w:sz w:val="15"/>
          <w:szCs w:val="15"/>
          <w:color w:val="0066BA"/>
        </w:rPr>
        <w:t xml:space="preserve"> </w:t>
      </w:r>
      <w:r>
        <w:rPr>
          <w:rFonts w:ascii="Arial" w:cs="Arial" w:eastAsia="Arial" w:hAnsi="Arial"/>
          <w:sz w:val="15"/>
          <w:szCs w:val="15"/>
          <w:color w:val="000000"/>
        </w:rPr>
        <w:t>expenses associated with the fair value adjustments to inventory, property, plant and equipment and amortization of acquisition related intangibles, which include acquired intangibles such as purchased technology and customer relationships. Expenses also include severance payments, equity award accelerations, and the fair value adjustment associated with the replacement of share-based awards related to the Linear Technology Corporation (Linear) acquisition. We excluded these costs from our non-GAAP measures because they relate to specific transactions and are not reflective of our ongoing financial performance.</w:t>
      </w:r>
    </w:p>
    <w:p>
      <w:pPr>
        <w:spacing w:after="0" w:line="51" w:lineRule="exact"/>
        <w:rPr>
          <w:sz w:val="20"/>
          <w:szCs w:val="20"/>
          <w:color w:val="auto"/>
        </w:rPr>
      </w:pPr>
    </w:p>
    <w:p>
      <w:pPr>
        <w:ind w:left="480" w:right="1740"/>
        <w:spacing w:after="0" w:line="323" w:lineRule="auto"/>
        <w:rPr>
          <w:sz w:val="20"/>
          <w:szCs w:val="20"/>
          <w:color w:val="auto"/>
        </w:rPr>
      </w:pPr>
      <w:r>
        <w:rPr>
          <w:rFonts w:ascii="Arial" w:cs="Arial" w:eastAsia="Arial" w:hAnsi="Arial"/>
          <w:sz w:val="15"/>
          <w:szCs w:val="15"/>
          <w:color w:val="0066BA"/>
        </w:rPr>
        <w:t xml:space="preserve">Acquisition Related Transaction Costs: </w:t>
      </w:r>
      <w:r>
        <w:rPr>
          <w:rFonts w:ascii="Arial" w:cs="Arial" w:eastAsia="Arial" w:hAnsi="Arial"/>
          <w:sz w:val="15"/>
          <w:szCs w:val="15"/>
          <w:color w:val="000000"/>
        </w:rPr>
        <w:t>Costs directly related to the proposed Maxim Integrated Products, Inc. acquisition,</w:t>
      </w:r>
      <w:r>
        <w:rPr>
          <w:rFonts w:ascii="Arial" w:cs="Arial" w:eastAsia="Arial" w:hAnsi="Arial"/>
          <w:sz w:val="15"/>
          <w:szCs w:val="15"/>
          <w:color w:val="0066BA"/>
        </w:rPr>
        <w:t xml:space="preserve"> </w:t>
      </w:r>
      <w:r>
        <w:rPr>
          <w:rFonts w:ascii="Arial" w:cs="Arial" w:eastAsia="Arial" w:hAnsi="Arial"/>
          <w:sz w:val="15"/>
          <w:szCs w:val="15"/>
          <w:color w:val="000000"/>
        </w:rPr>
        <w:t>including legal, accounting and other professional fees as well as integration-related costs. We excluded these costs from our non-GAAP measures because they relate to a specific transaction and are not reflective of our ongoing financial performance.</w:t>
      </w:r>
    </w:p>
    <w:p>
      <w:pPr>
        <w:spacing w:after="0" w:line="32" w:lineRule="exact"/>
        <w:rPr>
          <w:sz w:val="20"/>
          <w:szCs w:val="20"/>
          <w:color w:val="auto"/>
        </w:rPr>
      </w:pPr>
    </w:p>
    <w:p>
      <w:pPr>
        <w:ind w:left="480" w:right="1680"/>
        <w:spacing w:after="0" w:line="311" w:lineRule="auto"/>
        <w:rPr>
          <w:sz w:val="20"/>
          <w:szCs w:val="20"/>
          <w:color w:val="auto"/>
        </w:rPr>
      </w:pPr>
      <w:r>
        <w:rPr>
          <w:rFonts w:ascii="Arial" w:cs="Arial" w:eastAsia="Arial" w:hAnsi="Arial"/>
          <w:sz w:val="15"/>
          <w:szCs w:val="15"/>
          <w:color w:val="0066BA"/>
        </w:rPr>
        <w:t xml:space="preserve">Restructuring Related Expense: </w:t>
      </w:r>
      <w:r>
        <w:rPr>
          <w:rFonts w:ascii="Arial" w:cs="Arial" w:eastAsia="Arial" w:hAnsi="Arial"/>
          <w:sz w:val="15"/>
          <w:szCs w:val="15"/>
          <w:color w:val="000000"/>
        </w:rPr>
        <w:t>Expenses incurred in connection with facility closures, consolidation of manufacturing</w:t>
      </w:r>
      <w:r>
        <w:rPr>
          <w:rFonts w:ascii="Arial" w:cs="Arial" w:eastAsia="Arial" w:hAnsi="Arial"/>
          <w:sz w:val="15"/>
          <w:szCs w:val="15"/>
          <w:color w:val="0066BA"/>
        </w:rPr>
        <w:t xml:space="preserve"> </w:t>
      </w:r>
      <w:r>
        <w:rPr>
          <w:rFonts w:ascii="Arial" w:cs="Arial" w:eastAsia="Arial" w:hAnsi="Arial"/>
          <w:sz w:val="15"/>
          <w:szCs w:val="15"/>
          <w:color w:val="000000"/>
        </w:rPr>
        <w:t>facilities, severance, other accelerated stock-based compensation expense and other cost reduction efforts or reorganizational initiatives. We excluded these expenses from our non-GAAP measures because apart from ongoing expense savings as a result of such items, these expenses have no direct correlation to the operation of our business in the future.</w:t>
      </w:r>
    </w:p>
    <w:p>
      <w:pPr>
        <w:spacing w:after="0" w:line="43" w:lineRule="exact"/>
        <w:rPr>
          <w:sz w:val="20"/>
          <w:szCs w:val="20"/>
          <w:color w:val="auto"/>
        </w:rPr>
      </w:pPr>
    </w:p>
    <w:p>
      <w:pPr>
        <w:jc w:val="both"/>
        <w:ind w:left="480" w:right="2040"/>
        <w:spacing w:after="0" w:line="270" w:lineRule="auto"/>
        <w:rPr>
          <w:sz w:val="20"/>
          <w:szCs w:val="20"/>
          <w:color w:val="auto"/>
        </w:rPr>
      </w:pPr>
      <w:r>
        <w:rPr>
          <w:rFonts w:ascii="Arial" w:cs="Arial" w:eastAsia="Arial" w:hAnsi="Arial"/>
          <w:sz w:val="17"/>
          <w:szCs w:val="17"/>
          <w:color w:val="0066BA"/>
        </w:rPr>
        <w:t xml:space="preserve">Charitable Foundation Contribution: </w:t>
      </w:r>
      <w:r>
        <w:rPr>
          <w:rFonts w:ascii="Arial" w:cs="Arial" w:eastAsia="Arial" w:hAnsi="Arial"/>
          <w:sz w:val="17"/>
          <w:szCs w:val="17"/>
          <w:color w:val="000000"/>
        </w:rPr>
        <w:t>Expenses incurred in connection with a one time contribution of registered shares of</w:t>
      </w:r>
      <w:r>
        <w:rPr>
          <w:rFonts w:ascii="Arial" w:cs="Arial" w:eastAsia="Arial" w:hAnsi="Arial"/>
          <w:sz w:val="17"/>
          <w:szCs w:val="17"/>
          <w:color w:val="0066BA"/>
        </w:rPr>
        <w:t xml:space="preserve"> </w:t>
      </w:r>
      <w:r>
        <w:rPr>
          <w:rFonts w:ascii="Arial" w:cs="Arial" w:eastAsia="Arial" w:hAnsi="Arial"/>
          <w:sz w:val="17"/>
          <w:szCs w:val="17"/>
          <w:color w:val="000000"/>
        </w:rPr>
        <w:t>common stock to the Analog Devices Foundation. We excluded this expense from our non-GAAP measures because this expense has no direct correlation to the operation of our business in the future.</w:t>
      </w:r>
    </w:p>
    <w:p>
      <w:pPr>
        <w:spacing w:after="0" w:line="69" w:lineRule="exact"/>
        <w:rPr>
          <w:sz w:val="20"/>
          <w:szCs w:val="20"/>
          <w:color w:val="auto"/>
        </w:rPr>
      </w:pPr>
    </w:p>
    <w:p>
      <w:pPr>
        <w:ind w:left="480" w:right="1740"/>
        <w:spacing w:after="0" w:line="261" w:lineRule="auto"/>
        <w:rPr>
          <w:sz w:val="20"/>
          <w:szCs w:val="20"/>
          <w:color w:val="auto"/>
        </w:rPr>
      </w:pPr>
      <w:r>
        <w:rPr>
          <w:rFonts w:ascii="Arial" w:cs="Arial" w:eastAsia="Arial" w:hAnsi="Arial"/>
          <w:sz w:val="17"/>
          <w:szCs w:val="17"/>
          <w:color w:val="0066BA"/>
        </w:rPr>
        <w:t xml:space="preserve">Tax Related Items: </w:t>
      </w:r>
      <w:r>
        <w:rPr>
          <w:rFonts w:ascii="Arial" w:cs="Arial" w:eastAsia="Arial" w:hAnsi="Arial"/>
          <w:sz w:val="17"/>
          <w:szCs w:val="17"/>
          <w:color w:val="000000"/>
        </w:rPr>
        <w:t>Income tax effect of the non-GAAP items discussed above and income tax from certain discrete tax items</w:t>
      </w:r>
      <w:r>
        <w:rPr>
          <w:rFonts w:ascii="Arial" w:cs="Arial" w:eastAsia="Arial" w:hAnsi="Arial"/>
          <w:sz w:val="17"/>
          <w:szCs w:val="17"/>
          <w:color w:val="0066BA"/>
        </w:rPr>
        <w:t xml:space="preserve"> </w:t>
      </w:r>
      <w:r>
        <w:rPr>
          <w:rFonts w:ascii="Arial" w:cs="Arial" w:eastAsia="Arial" w:hAnsi="Arial"/>
          <w:sz w:val="17"/>
          <w:szCs w:val="17"/>
          <w:color w:val="000000"/>
        </w:rPr>
        <w:t>primarily related to the resolution of prior period tax audits, income tax from certain uncertain tax positions, income tax from state valuation allowance adjustments, income tax on certain inventory intra-entity transfers, the impact of a voluntary accounting policy change and other income tax adjustments related to prior periods. We excluded the income tax benefit / provision effect of these tax related items from our non-GAAP measures because they are not associated with the tax expense on our ongoing operating results.</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0940"/>
          </w:cols>
          <w:pgMar w:left="320" w:top="447" w:right="6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Reconciliation of GAAP Measures to Non-GAAP Earnings Measures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3F3F3F"/>
        </w:rPr>
        <w:t>(In thousands, except per-share amounts)</w:t>
      </w:r>
    </w:p>
    <w:p>
      <w:pPr>
        <w:spacing w:after="0" w:line="257" w:lineRule="exact"/>
        <w:rPr>
          <w:sz w:val="20"/>
          <w:szCs w:val="20"/>
          <w:color w:val="auto"/>
        </w:rPr>
      </w:pPr>
    </w:p>
    <w:tbl>
      <w:tblPr>
        <w:tblLayout w:type="fixed"/>
        <w:tblInd w:w="480" w:type="dxa"/>
        <w:tblCellMar>
          <w:top w:w="0" w:type="dxa"/>
          <w:left w:w="0" w:type="dxa"/>
          <w:bottom w:w="0" w:type="dxa"/>
          <w:right w:w="0" w:type="dxa"/>
        </w:tblCellMar>
      </w:tblPr>
      <w:tr>
        <w:trPr>
          <w:trHeight w:val="274"/>
        </w:trPr>
        <w:tc>
          <w:tcPr>
            <w:tcW w:w="5880" w:type="dxa"/>
            <w:vAlign w:val="bottom"/>
            <w:shd w:val="clear" w:color="auto" w:fill="EAEAEA"/>
          </w:tcPr>
          <w:p>
            <w:pPr>
              <w:spacing w:after="0"/>
              <w:rPr>
                <w:sz w:val="23"/>
                <w:szCs w:val="23"/>
                <w:color w:val="auto"/>
              </w:rPr>
            </w:pPr>
          </w:p>
        </w:tc>
        <w:tc>
          <w:tcPr>
            <w:tcW w:w="4400" w:type="dxa"/>
            <w:vAlign w:val="bottom"/>
            <w:gridSpan w:val="3"/>
            <w:shd w:val="clear" w:color="auto" w:fill="EAEAEA"/>
          </w:tcPr>
          <w:p>
            <w:pPr>
              <w:jc w:val="right"/>
              <w:spacing w:after="0"/>
              <w:rPr>
                <w:sz w:val="20"/>
                <w:szCs w:val="20"/>
                <w:color w:val="auto"/>
              </w:rPr>
            </w:pPr>
            <w:r>
              <w:rPr>
                <w:rFonts w:ascii="Arial" w:cs="Arial" w:eastAsia="Arial" w:hAnsi="Arial"/>
                <w:sz w:val="14"/>
                <w:szCs w:val="14"/>
                <w:b w:val="1"/>
                <w:bCs w:val="1"/>
                <w:color w:val="auto"/>
              </w:rPr>
              <w:t>Twelve months ended Oct 31, 2020</w:t>
            </w:r>
          </w:p>
        </w:tc>
      </w:tr>
      <w:tr>
        <w:trPr>
          <w:trHeight w:val="90"/>
        </w:trPr>
        <w:tc>
          <w:tcPr>
            <w:tcW w:w="5880" w:type="dxa"/>
            <w:vAlign w:val="bottom"/>
            <w:shd w:val="clear" w:color="auto" w:fill="EAEAEA"/>
          </w:tcPr>
          <w:p>
            <w:pPr>
              <w:spacing w:after="0"/>
              <w:rPr>
                <w:sz w:val="7"/>
                <w:szCs w:val="7"/>
                <w:color w:val="auto"/>
              </w:rPr>
            </w:pPr>
          </w:p>
        </w:tc>
        <w:tc>
          <w:tcPr>
            <w:tcW w:w="3420" w:type="dxa"/>
            <w:vAlign w:val="bottom"/>
            <w:shd w:val="clear" w:color="auto" w:fill="EAEAEA"/>
          </w:tcPr>
          <w:p>
            <w:pPr>
              <w:spacing w:after="0"/>
              <w:rPr>
                <w:sz w:val="7"/>
                <w:szCs w:val="7"/>
                <w:color w:val="auto"/>
              </w:rPr>
            </w:pPr>
          </w:p>
        </w:tc>
        <w:tc>
          <w:tcPr>
            <w:tcW w:w="240" w:type="dxa"/>
            <w:vAlign w:val="bottom"/>
            <w:shd w:val="clear" w:color="auto" w:fill="EAEAEA"/>
          </w:tcPr>
          <w:p>
            <w:pPr>
              <w:spacing w:after="0"/>
              <w:rPr>
                <w:sz w:val="7"/>
                <w:szCs w:val="7"/>
                <w:color w:val="auto"/>
              </w:rPr>
            </w:pPr>
          </w:p>
        </w:tc>
        <w:tc>
          <w:tcPr>
            <w:tcW w:w="740" w:type="dxa"/>
            <w:vAlign w:val="bottom"/>
            <w:shd w:val="clear" w:color="auto" w:fill="EAEAEA"/>
          </w:tcPr>
          <w:p>
            <w:pPr>
              <w:spacing w:after="0"/>
              <w:rPr>
                <w:sz w:val="7"/>
                <w:szCs w:val="7"/>
                <w:color w:val="auto"/>
              </w:rPr>
            </w:pPr>
          </w:p>
        </w:tc>
      </w:tr>
      <w:tr>
        <w:trPr>
          <w:trHeight w:val="208"/>
        </w:trPr>
        <w:tc>
          <w:tcPr>
            <w:tcW w:w="58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Gross margin</w:t>
            </w:r>
          </w:p>
        </w:tc>
        <w:tc>
          <w:tcPr>
            <w:tcW w:w="3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3,690,478</w:t>
            </w:r>
          </w:p>
        </w:tc>
      </w:tr>
      <w:tr>
        <w:trPr>
          <w:trHeight w:val="201"/>
        </w:trPr>
        <w:tc>
          <w:tcPr>
            <w:tcW w:w="588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Gross margin percentage</w:t>
            </w:r>
          </w:p>
        </w:tc>
        <w:tc>
          <w:tcPr>
            <w:tcW w:w="3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w:t>
            </w:r>
          </w:p>
        </w:tc>
      </w:tr>
      <w:tr>
        <w:trPr>
          <w:trHeight w:val="201"/>
        </w:trPr>
        <w:tc>
          <w:tcPr>
            <w:tcW w:w="58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Acquisition related expenses</w:t>
            </w:r>
          </w:p>
        </w:tc>
        <w:tc>
          <w:tcPr>
            <w:tcW w:w="3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179,374</w:t>
            </w:r>
          </w:p>
        </w:tc>
      </w:tr>
      <w:tr>
        <w:trPr>
          <w:trHeight w:val="201"/>
        </w:trPr>
        <w:tc>
          <w:tcPr>
            <w:tcW w:w="58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Adjusted gross margin</w:t>
            </w:r>
          </w:p>
        </w:tc>
        <w:tc>
          <w:tcPr>
            <w:tcW w:w="3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b w:val="1"/>
                <w:bCs w:val="1"/>
                <w:color w:val="auto"/>
                <w:w w:val="89"/>
              </w:rPr>
              <w:t>3,869,852</w:t>
            </w:r>
          </w:p>
        </w:tc>
      </w:tr>
      <w:tr>
        <w:trPr>
          <w:trHeight w:val="201"/>
        </w:trPr>
        <w:tc>
          <w:tcPr>
            <w:tcW w:w="588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Adjusted gross margin percentage</w:t>
            </w:r>
          </w:p>
        </w:tc>
        <w:tc>
          <w:tcPr>
            <w:tcW w:w="3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w:t>
            </w:r>
          </w:p>
        </w:tc>
      </w:tr>
      <w:tr>
        <w:trPr>
          <w:trHeight w:val="201"/>
        </w:trPr>
        <w:tc>
          <w:tcPr>
            <w:tcW w:w="58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Operating income</w:t>
            </w:r>
          </w:p>
        </w:tc>
        <w:tc>
          <w:tcPr>
            <w:tcW w:w="3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1,498,244</w:t>
            </w:r>
          </w:p>
        </w:tc>
      </w:tr>
      <w:tr>
        <w:trPr>
          <w:trHeight w:val="201"/>
        </w:trPr>
        <w:tc>
          <w:tcPr>
            <w:tcW w:w="588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Operating margin</w:t>
            </w:r>
          </w:p>
        </w:tc>
        <w:tc>
          <w:tcPr>
            <w:tcW w:w="3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w:t>
            </w:r>
          </w:p>
        </w:tc>
      </w:tr>
      <w:tr>
        <w:trPr>
          <w:trHeight w:val="201"/>
        </w:trPr>
        <w:tc>
          <w:tcPr>
            <w:tcW w:w="58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Acquisition related expenses</w:t>
            </w:r>
          </w:p>
        </w:tc>
        <w:tc>
          <w:tcPr>
            <w:tcW w:w="3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623,635</w:t>
            </w:r>
          </w:p>
        </w:tc>
      </w:tr>
      <w:tr>
        <w:trPr>
          <w:trHeight w:val="201"/>
        </w:trPr>
        <w:tc>
          <w:tcPr>
            <w:tcW w:w="58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Acquisition related transaction costs</w:t>
            </w:r>
          </w:p>
        </w:tc>
        <w:tc>
          <w:tcPr>
            <w:tcW w:w="3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20,098</w:t>
            </w:r>
          </w:p>
        </w:tc>
      </w:tr>
      <w:tr>
        <w:trPr>
          <w:trHeight w:val="201"/>
        </w:trPr>
        <w:tc>
          <w:tcPr>
            <w:tcW w:w="58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Charitable foundation contribution</w:t>
            </w:r>
          </w:p>
        </w:tc>
        <w:tc>
          <w:tcPr>
            <w:tcW w:w="3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40,000</w:t>
            </w:r>
          </w:p>
        </w:tc>
      </w:tr>
      <w:tr>
        <w:trPr>
          <w:trHeight w:val="201"/>
        </w:trPr>
        <w:tc>
          <w:tcPr>
            <w:tcW w:w="58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Restructuring related expense</w:t>
            </w:r>
          </w:p>
        </w:tc>
        <w:tc>
          <w:tcPr>
            <w:tcW w:w="3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52,337</w:t>
            </w:r>
          </w:p>
        </w:tc>
      </w:tr>
      <w:tr>
        <w:trPr>
          <w:trHeight w:val="201"/>
        </w:trPr>
        <w:tc>
          <w:tcPr>
            <w:tcW w:w="58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Adjusted operating income</w:t>
            </w:r>
          </w:p>
        </w:tc>
        <w:tc>
          <w:tcPr>
            <w:tcW w:w="3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b w:val="1"/>
                <w:bCs w:val="1"/>
                <w:color w:val="auto"/>
                <w:w w:val="89"/>
              </w:rPr>
              <w:t>2,234,314</w:t>
            </w:r>
          </w:p>
        </w:tc>
      </w:tr>
      <w:tr>
        <w:trPr>
          <w:trHeight w:val="201"/>
        </w:trPr>
        <w:tc>
          <w:tcPr>
            <w:tcW w:w="588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Adjusted operating margin percentage</w:t>
            </w:r>
          </w:p>
        </w:tc>
        <w:tc>
          <w:tcPr>
            <w:tcW w:w="3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w:t>
            </w:r>
          </w:p>
        </w:tc>
      </w:tr>
      <w:tr>
        <w:trPr>
          <w:trHeight w:val="201"/>
        </w:trPr>
        <w:tc>
          <w:tcPr>
            <w:tcW w:w="58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Diluted EPS</w:t>
            </w:r>
          </w:p>
        </w:tc>
        <w:tc>
          <w:tcPr>
            <w:tcW w:w="3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w:t>
            </w:r>
          </w:p>
        </w:tc>
      </w:tr>
      <w:tr>
        <w:trPr>
          <w:trHeight w:val="201"/>
        </w:trPr>
        <w:tc>
          <w:tcPr>
            <w:tcW w:w="58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Acquisition related expenses</w:t>
            </w:r>
          </w:p>
        </w:tc>
        <w:tc>
          <w:tcPr>
            <w:tcW w:w="3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w:t>
            </w:r>
          </w:p>
        </w:tc>
      </w:tr>
      <w:tr>
        <w:trPr>
          <w:trHeight w:val="201"/>
        </w:trPr>
        <w:tc>
          <w:tcPr>
            <w:tcW w:w="58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Acquisition related transaction costs</w:t>
            </w:r>
          </w:p>
        </w:tc>
        <w:tc>
          <w:tcPr>
            <w:tcW w:w="3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0.05</w:t>
            </w:r>
          </w:p>
        </w:tc>
      </w:tr>
      <w:tr>
        <w:trPr>
          <w:trHeight w:val="201"/>
        </w:trPr>
        <w:tc>
          <w:tcPr>
            <w:tcW w:w="58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Charitable foundation contribution</w:t>
            </w:r>
          </w:p>
        </w:tc>
        <w:tc>
          <w:tcPr>
            <w:tcW w:w="3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0.11</w:t>
            </w:r>
          </w:p>
        </w:tc>
      </w:tr>
      <w:tr>
        <w:trPr>
          <w:trHeight w:val="201"/>
        </w:trPr>
        <w:tc>
          <w:tcPr>
            <w:tcW w:w="58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Restructuring related expense</w:t>
            </w:r>
          </w:p>
        </w:tc>
        <w:tc>
          <w:tcPr>
            <w:tcW w:w="3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0.14</w:t>
            </w:r>
          </w:p>
        </w:tc>
      </w:tr>
      <w:tr>
        <w:trPr>
          <w:trHeight w:val="201"/>
        </w:trPr>
        <w:tc>
          <w:tcPr>
            <w:tcW w:w="58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Income tax effect of adjustments above</w:t>
            </w:r>
          </w:p>
        </w:tc>
        <w:tc>
          <w:tcPr>
            <w:tcW w:w="3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(0.29)</w:t>
            </w:r>
          </w:p>
        </w:tc>
      </w:tr>
      <w:tr>
        <w:trPr>
          <w:trHeight w:val="201"/>
        </w:trPr>
        <w:tc>
          <w:tcPr>
            <w:tcW w:w="58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Income tax from certain discrete tax items</w:t>
            </w:r>
          </w:p>
        </w:tc>
        <w:tc>
          <w:tcPr>
            <w:tcW w:w="3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(0.07)</w:t>
            </w:r>
          </w:p>
        </w:tc>
      </w:tr>
      <w:tr>
        <w:trPr>
          <w:trHeight w:val="201"/>
        </w:trPr>
        <w:tc>
          <w:tcPr>
            <w:tcW w:w="58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Adjusted diluted EPS (1)</w:t>
            </w:r>
          </w:p>
        </w:tc>
        <w:tc>
          <w:tcPr>
            <w:tcW w:w="3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b w:val="1"/>
                <w:bCs w:val="1"/>
                <w:color w:val="auto"/>
              </w:rPr>
              <w:t>4.91</w:t>
            </w:r>
          </w:p>
        </w:tc>
      </w:tr>
    </w:tbl>
    <w:p>
      <w:pPr>
        <w:spacing w:after="0" w:line="102" w:lineRule="exact"/>
        <w:rPr>
          <w:sz w:val="20"/>
          <w:szCs w:val="20"/>
          <w:color w:val="auto"/>
        </w:rPr>
      </w:pPr>
    </w:p>
    <w:p>
      <w:pPr>
        <w:ind w:left="480"/>
        <w:spacing w:after="0"/>
        <w:rPr>
          <w:sz w:val="20"/>
          <w:szCs w:val="20"/>
          <w:color w:val="auto"/>
        </w:rPr>
      </w:pPr>
      <w:r>
        <w:rPr>
          <w:rFonts w:ascii="Arial" w:cs="Arial" w:eastAsia="Arial" w:hAnsi="Arial"/>
          <w:sz w:val="13"/>
          <w:szCs w:val="13"/>
          <w:i w:val="1"/>
          <w:iCs w:val="1"/>
          <w:color w:val="auto"/>
        </w:rPr>
        <w:t>(1) The sum of the individual per share amounts may not equal the total due to rounding</w:t>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F3F3F"/>
        </w:rPr>
        <w:t>Reconciliation of Net Cash Provided by Operating Activities to Free Cash Flow</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3F3F3F"/>
        </w:rPr>
        <w:t>(In thousands)</w:t>
      </w:r>
    </w:p>
    <w:p>
      <w:pPr>
        <w:spacing w:after="0" w:line="257" w:lineRule="exact"/>
        <w:rPr>
          <w:sz w:val="20"/>
          <w:szCs w:val="20"/>
          <w:color w:val="auto"/>
        </w:rPr>
      </w:pPr>
    </w:p>
    <w:tbl>
      <w:tblPr>
        <w:tblLayout w:type="fixed"/>
        <w:tblInd w:w="480" w:type="dxa"/>
        <w:tblCellMar>
          <w:top w:w="0" w:type="dxa"/>
          <w:left w:w="0" w:type="dxa"/>
          <w:bottom w:w="0" w:type="dxa"/>
          <w:right w:w="0" w:type="dxa"/>
        </w:tblCellMar>
      </w:tblPr>
      <w:tr>
        <w:trPr>
          <w:trHeight w:val="274"/>
        </w:trPr>
        <w:tc>
          <w:tcPr>
            <w:tcW w:w="6880" w:type="dxa"/>
            <w:vAlign w:val="bottom"/>
            <w:shd w:val="clear" w:color="auto" w:fill="EAEAEA"/>
          </w:tcPr>
          <w:p>
            <w:pPr>
              <w:spacing w:after="0"/>
              <w:rPr>
                <w:sz w:val="23"/>
                <w:szCs w:val="23"/>
                <w:color w:val="auto"/>
              </w:rPr>
            </w:pPr>
          </w:p>
        </w:tc>
        <w:tc>
          <w:tcPr>
            <w:tcW w:w="3400" w:type="dxa"/>
            <w:vAlign w:val="bottom"/>
            <w:gridSpan w:val="3"/>
            <w:shd w:val="clear" w:color="auto" w:fill="EAEAEA"/>
          </w:tcPr>
          <w:p>
            <w:pPr>
              <w:ind w:left="940"/>
              <w:spacing w:after="0"/>
              <w:rPr>
                <w:sz w:val="20"/>
                <w:szCs w:val="20"/>
                <w:color w:val="auto"/>
              </w:rPr>
            </w:pPr>
            <w:r>
              <w:rPr>
                <w:rFonts w:ascii="Arial" w:cs="Arial" w:eastAsia="Arial" w:hAnsi="Arial"/>
                <w:sz w:val="14"/>
                <w:szCs w:val="14"/>
                <w:b w:val="1"/>
                <w:bCs w:val="1"/>
                <w:color w:val="auto"/>
                <w:w w:val="99"/>
              </w:rPr>
              <w:t>Trailing Twelve Months, Oct 31, 2020</w:t>
            </w:r>
          </w:p>
        </w:tc>
      </w:tr>
      <w:tr>
        <w:trPr>
          <w:trHeight w:val="90"/>
        </w:trPr>
        <w:tc>
          <w:tcPr>
            <w:tcW w:w="6880" w:type="dxa"/>
            <w:vAlign w:val="bottom"/>
            <w:shd w:val="clear" w:color="auto" w:fill="EAEAEA"/>
          </w:tcPr>
          <w:p>
            <w:pPr>
              <w:spacing w:after="0"/>
              <w:rPr>
                <w:sz w:val="7"/>
                <w:szCs w:val="7"/>
                <w:color w:val="auto"/>
              </w:rPr>
            </w:pPr>
          </w:p>
        </w:tc>
        <w:tc>
          <w:tcPr>
            <w:tcW w:w="2140" w:type="dxa"/>
            <w:vAlign w:val="bottom"/>
            <w:shd w:val="clear" w:color="auto" w:fill="EAEAEA"/>
          </w:tcPr>
          <w:p>
            <w:pPr>
              <w:spacing w:after="0"/>
              <w:rPr>
                <w:sz w:val="7"/>
                <w:szCs w:val="7"/>
                <w:color w:val="auto"/>
              </w:rPr>
            </w:pPr>
          </w:p>
        </w:tc>
        <w:tc>
          <w:tcPr>
            <w:tcW w:w="1200" w:type="dxa"/>
            <w:vAlign w:val="bottom"/>
            <w:shd w:val="clear" w:color="auto" w:fill="EAEAEA"/>
          </w:tcPr>
          <w:p>
            <w:pPr>
              <w:spacing w:after="0"/>
              <w:rPr>
                <w:sz w:val="7"/>
                <w:szCs w:val="7"/>
                <w:color w:val="auto"/>
              </w:rPr>
            </w:pPr>
          </w:p>
        </w:tc>
        <w:tc>
          <w:tcPr>
            <w:tcW w:w="60" w:type="dxa"/>
            <w:vAlign w:val="bottom"/>
            <w:shd w:val="clear" w:color="auto" w:fill="EAEAEA"/>
          </w:tcPr>
          <w:p>
            <w:pPr>
              <w:spacing w:after="0"/>
              <w:rPr>
                <w:sz w:val="7"/>
                <w:szCs w:val="7"/>
                <w:color w:val="auto"/>
              </w:rPr>
            </w:pPr>
          </w:p>
        </w:tc>
      </w:tr>
      <w:tr>
        <w:trPr>
          <w:trHeight w:val="208"/>
        </w:trPr>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Revenue</w:t>
            </w:r>
          </w:p>
        </w:tc>
        <w:tc>
          <w:tcPr>
            <w:tcW w:w="3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$5,603,056</w:t>
            </w:r>
          </w:p>
        </w:tc>
        <w:tc>
          <w:tcPr>
            <w:tcW w:w="60" w:type="dxa"/>
            <w:vAlign w:val="bottom"/>
          </w:tcPr>
          <w:p>
            <w:pPr>
              <w:spacing w:after="0"/>
              <w:rPr>
                <w:sz w:val="18"/>
                <w:szCs w:val="18"/>
                <w:color w:val="auto"/>
              </w:rPr>
            </w:pPr>
          </w:p>
        </w:tc>
      </w:tr>
      <w:tr>
        <w:trPr>
          <w:trHeight w:val="201"/>
        </w:trPr>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Net cash provided by operating activities</w:t>
            </w:r>
          </w:p>
        </w:tc>
        <w:tc>
          <w:tcPr>
            <w:tcW w:w="3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$2,008,487</w:t>
            </w:r>
          </w:p>
        </w:tc>
        <w:tc>
          <w:tcPr>
            <w:tcW w:w="60" w:type="dxa"/>
            <w:vAlign w:val="bottom"/>
          </w:tcPr>
          <w:p>
            <w:pPr>
              <w:spacing w:after="0"/>
              <w:rPr>
                <w:sz w:val="17"/>
                <w:szCs w:val="17"/>
                <w:color w:val="auto"/>
              </w:rPr>
            </w:pPr>
          </w:p>
        </w:tc>
      </w:tr>
      <w:tr>
        <w:trPr>
          <w:trHeight w:val="201"/>
        </w:trPr>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 of revenue</w:t>
            </w:r>
          </w:p>
        </w:tc>
        <w:tc>
          <w:tcPr>
            <w:tcW w:w="3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36%</w:t>
            </w:r>
          </w:p>
        </w:tc>
        <w:tc>
          <w:tcPr>
            <w:tcW w:w="60" w:type="dxa"/>
            <w:vAlign w:val="bottom"/>
          </w:tcPr>
          <w:p>
            <w:pPr>
              <w:spacing w:after="0"/>
              <w:rPr>
                <w:sz w:val="17"/>
                <w:szCs w:val="17"/>
                <w:color w:val="auto"/>
              </w:rPr>
            </w:pPr>
          </w:p>
        </w:tc>
      </w:tr>
      <w:tr>
        <w:trPr>
          <w:trHeight w:val="201"/>
        </w:trPr>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Capital expenditures</w:t>
            </w:r>
          </w:p>
        </w:tc>
        <w:tc>
          <w:tcPr>
            <w:tcW w:w="3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(165,692)</w:t>
            </w:r>
          </w:p>
        </w:tc>
        <w:tc>
          <w:tcPr>
            <w:tcW w:w="60" w:type="dxa"/>
            <w:vAlign w:val="bottom"/>
          </w:tcPr>
          <w:p>
            <w:pPr>
              <w:spacing w:after="0"/>
              <w:rPr>
                <w:sz w:val="17"/>
                <w:szCs w:val="17"/>
                <w:color w:val="auto"/>
              </w:rPr>
            </w:pPr>
          </w:p>
        </w:tc>
      </w:tr>
      <w:tr>
        <w:trPr>
          <w:trHeight w:val="201"/>
        </w:trPr>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Free cash flow (1)</w:t>
            </w:r>
          </w:p>
        </w:tc>
        <w:tc>
          <w:tcPr>
            <w:tcW w:w="2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7"/>
                <w:szCs w:val="17"/>
                <w:b w:val="1"/>
                <w:bCs w:val="1"/>
                <w:color w:val="auto"/>
                <w:shd w:val="clear" w:color="auto" w:fill="EAEAEA"/>
              </w:rPr>
              <w:t>$1,842,795</w:t>
            </w:r>
          </w:p>
        </w:tc>
        <w:tc>
          <w:tcPr>
            <w:tcW w:w="60" w:type="dxa"/>
            <w:vAlign w:val="bottom"/>
          </w:tcPr>
          <w:p>
            <w:pPr>
              <w:spacing w:after="0"/>
              <w:rPr>
                <w:sz w:val="17"/>
                <w:szCs w:val="17"/>
                <w:color w:val="auto"/>
              </w:rPr>
            </w:pPr>
          </w:p>
        </w:tc>
      </w:tr>
      <w:tr>
        <w:trPr>
          <w:trHeight w:val="201"/>
        </w:trPr>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 of revenue</w:t>
            </w:r>
          </w:p>
        </w:tc>
        <w:tc>
          <w:tcPr>
            <w:tcW w:w="3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33%</w:t>
            </w:r>
          </w:p>
        </w:tc>
        <w:tc>
          <w:tcPr>
            <w:tcW w:w="60" w:type="dxa"/>
            <w:vAlign w:val="bottom"/>
          </w:tcPr>
          <w:p>
            <w:pPr>
              <w:spacing w:after="0"/>
              <w:rPr>
                <w:sz w:val="17"/>
                <w:szCs w:val="17"/>
                <w:color w:val="auto"/>
              </w:rPr>
            </w:pPr>
          </w:p>
        </w:tc>
      </w:tr>
    </w:tbl>
    <w:p>
      <w:pPr>
        <w:spacing w:after="0" w:line="102" w:lineRule="exact"/>
        <w:rPr>
          <w:sz w:val="20"/>
          <w:szCs w:val="20"/>
          <w:color w:val="auto"/>
        </w:rPr>
      </w:pPr>
    </w:p>
    <w:p>
      <w:pPr>
        <w:ind w:left="480"/>
        <w:spacing w:after="0"/>
        <w:rPr>
          <w:sz w:val="20"/>
          <w:szCs w:val="20"/>
          <w:color w:val="auto"/>
        </w:rPr>
      </w:pPr>
      <w:r>
        <w:rPr>
          <w:rFonts w:ascii="Arial" w:cs="Arial" w:eastAsia="Arial" w:hAnsi="Arial"/>
          <w:sz w:val="13"/>
          <w:szCs w:val="13"/>
          <w:i w:val="1"/>
          <w:iCs w:val="1"/>
          <w:color w:val="auto"/>
        </w:rPr>
        <w:t>(1) Free cash flow is defined as net cash provided by operating activities, less capital expenditures.</w:t>
      </w:r>
    </w:p>
    <w:p>
      <w:pPr>
        <w:spacing w:after="0" w:line="200" w:lineRule="exact"/>
        <w:rPr>
          <w:sz w:val="20"/>
          <w:szCs w:val="20"/>
          <w:color w:val="auto"/>
        </w:rPr>
      </w:pPr>
    </w:p>
    <w:p>
      <w:pPr>
        <w:spacing w:after="0" w:line="34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0760"/>
          </w:cols>
          <w:pgMar w:left="320" w:top="447" w:right="81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3840" w:type="dxa"/>
        <w:tblCellMar>
          <w:top w:w="0" w:type="dxa"/>
          <w:left w:w="0" w:type="dxa"/>
          <w:bottom w:w="0" w:type="dxa"/>
          <w:right w:w="0" w:type="dxa"/>
        </w:tblCellMar>
      </w:tblPr>
      <w:tr>
        <w:trPr>
          <w:trHeight w:val="208"/>
        </w:trPr>
        <w:tc>
          <w:tcPr>
            <w:tcW w:w="2400" w:type="dxa"/>
            <w:vAlign w:val="bottom"/>
          </w:tcPr>
          <w:p>
            <w:pPr>
              <w:spacing w:after="0"/>
              <w:rPr>
                <w:sz w:val="20"/>
                <w:szCs w:val="20"/>
                <w:color w:val="auto"/>
              </w:rPr>
            </w:pPr>
            <w:r>
              <w:rPr>
                <w:rFonts w:ascii="Arial" w:cs="Arial" w:eastAsia="Arial" w:hAnsi="Arial"/>
                <w:sz w:val="17"/>
                <w:szCs w:val="17"/>
                <w:color w:val="auto"/>
              </w:rPr>
              <w:t>One Analog Way</w:t>
            </w:r>
          </w:p>
        </w:tc>
        <w:tc>
          <w:tcPr>
            <w:tcW w:w="26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34"/>
        </w:trPr>
        <w:tc>
          <w:tcPr>
            <w:tcW w:w="2400" w:type="dxa"/>
            <w:vAlign w:val="bottom"/>
          </w:tcPr>
          <w:p>
            <w:pPr>
              <w:spacing w:after="0"/>
              <w:rPr>
                <w:sz w:val="20"/>
                <w:szCs w:val="20"/>
                <w:color w:val="auto"/>
              </w:rPr>
            </w:pPr>
            <w:r>
              <w:rPr>
                <w:rFonts w:ascii="Arial" w:cs="Arial" w:eastAsia="Arial" w:hAnsi="Arial"/>
                <w:sz w:val="17"/>
                <w:szCs w:val="17"/>
                <w:color w:val="auto"/>
              </w:rPr>
              <w:t>Wilmington, MA 01887</w:t>
            </w:r>
          </w:p>
        </w:tc>
        <w:tc>
          <w:tcPr>
            <w:tcW w:w="2660" w:type="dxa"/>
            <w:vAlign w:val="bottom"/>
          </w:tcPr>
          <w:p>
            <w:pPr>
              <w:jc w:val="right"/>
              <w:ind w:right="733"/>
              <w:spacing w:after="0"/>
              <w:rPr>
                <w:sz w:val="20"/>
                <w:szCs w:val="20"/>
                <w:color w:val="auto"/>
              </w:rPr>
            </w:pPr>
            <w:r>
              <w:rPr>
                <w:rFonts w:ascii="Arial" w:cs="Arial" w:eastAsia="Arial" w:hAnsi="Arial"/>
                <w:sz w:val="17"/>
                <w:szCs w:val="17"/>
                <w:color w:val="auto"/>
              </w:rPr>
              <w:t>1-800-262-5643</w:t>
            </w:r>
          </w:p>
        </w:tc>
        <w:tc>
          <w:tcPr>
            <w:tcW w:w="2040" w:type="dxa"/>
            <w:vAlign w:val="bottom"/>
          </w:tcPr>
          <w:p>
            <w:pPr>
              <w:ind w:left="820"/>
              <w:spacing w:after="0"/>
              <w:rPr>
                <w:sz w:val="20"/>
                <w:szCs w:val="20"/>
                <w:color w:val="auto"/>
              </w:rPr>
            </w:pPr>
            <w:r>
              <w:rPr>
                <w:rFonts w:ascii="Arial" w:cs="Arial" w:eastAsia="Arial" w:hAnsi="Arial"/>
                <w:sz w:val="17"/>
                <w:szCs w:val="17"/>
                <w:color w:val="auto"/>
                <w:w w:val="92"/>
              </w:rPr>
              <w:t>www.analog.com</w:t>
            </w:r>
          </w:p>
        </w:tc>
      </w:tr>
    </w:tbl>
    <w:p>
      <w:pPr>
        <w:sectPr>
          <w:pgSz w:w="11900" w:h="16838" w:orient="portrait"/>
          <w:cols w:equalWidth="0" w:num="1">
            <w:col w:w="10940"/>
          </w:cols>
          <w:pgMar w:left="320" w:top="447" w:right="63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215900</wp:posOffset>
            </wp:positionV>
            <wp:extent cx="6773545" cy="87649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73545" cy="8764905"/>
                    </a:xfrm>
                    <a:prstGeom prst="rect">
                      <a:avLst/>
                    </a:prstGeom>
                    <a:noFill/>
                  </pic:spPr>
                </pic:pic>
              </a:graphicData>
            </a:graphic>
          </wp:anchor>
        </w:drawing>
      </w:r>
    </w:p>
    <w:p>
      <w:pPr>
        <w:sectPr>
          <w:pgSz w:w="11900" w:h="16838" w:orient="portrait"/>
          <w:cols w:equalWidth="0" w:num="1">
            <w:col w:w="10139"/>
          </w:cols>
          <w:pgMar w:left="320" w:top="447" w:right="1440"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215900</wp:posOffset>
            </wp:positionV>
            <wp:extent cx="6773545" cy="87649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73545" cy="8764905"/>
                    </a:xfrm>
                    <a:prstGeom prst="rect">
                      <a:avLst/>
                    </a:prstGeom>
                    <a:noFill/>
                  </pic:spPr>
                </pic:pic>
              </a:graphicData>
            </a:graphic>
          </wp:anchor>
        </w:drawing>
      </w:r>
    </w:p>
    <w:sectPr>
      <w:pgSz w:w="11900" w:h="16838" w:orient="portrait"/>
      <w:cols w:equalWidth="0" w:num="1">
        <w:col w:w="10139"/>
      </w:cols>
      <w:pgMar w:left="320" w:top="4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lvl w:ilvl="1">
      <w:lvlJc w:val="left"/>
      <w:lvlText w:val="(%2)"/>
      <w:numFmt w:val="decimal"/>
      <w:start w:val="1"/>
    </w:lvl>
  </w:abstractNum>
  <w:abstractNum w:abstractNumId="3">
    <w:nsid w:val="70C6A529"/>
    <w:multiLevelType w:val="hybridMultilevel"/>
    <w:lvl w:ilvl="0">
      <w:lvlJc w:val="left"/>
      <w:lvlText w:val="%1."/>
      <w:numFmt w:val="decimal"/>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1)"/>
      <w:numFmt w:val="decimal"/>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1."/>
      <w:numFmt w:val="decimal"/>
      <w:start w:val="1"/>
    </w:lvl>
  </w:abstractNum>
  <w:abstractNum w:abstractNumId="17">
    <w:nsid w:val="741226BB"/>
    <w:multiLevelType w:val="hybridMultilevel"/>
    <w:lvl w:ilvl="0">
      <w:lvlJc w:val="left"/>
      <w:lvlText w:val="%1."/>
      <w:numFmt w:val="decimal"/>
      <w:start w:val="3"/>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1)"/>
      <w:numFmt w:val="decimal"/>
      <w:start w:val="2"/>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lvl w:ilvl="1">
      <w:lvlJc w:val="left"/>
      <w:lvlText w:val="\emdash "/>
      <w:numFmt w:val="bullet"/>
      <w:start w:val="1"/>
    </w:lvl>
  </w:abstractNum>
  <w:abstractNum w:abstractNumId="27">
    <w:nsid w:val="2F305DEF"/>
    <w:multiLevelType w:val="hybridMultilevel"/>
    <w:lvl w:ilvl="0">
      <w:lvlJc w:val="left"/>
      <w:lvlText w:val="•"/>
      <w:numFmt w:val="bullet"/>
      <w:start w:val="1"/>
    </w:lvl>
    <w:lvl w:ilvl="1">
      <w:lvlJc w:val="left"/>
      <w:lvlText w:val="\emdash "/>
      <w:numFmt w:val="bullet"/>
      <w:start w:val="1"/>
    </w:lvl>
  </w:abstractNum>
  <w:abstractNum w:abstractNumId="28">
    <w:nsid w:val="25A70BF7"/>
    <w:multiLevelType w:val="hybridMultilevel"/>
    <w:lvl w:ilvl="0">
      <w:lvlJc w:val="left"/>
      <w:lvlText w:val="(%1)"/>
      <w:numFmt w:val="decimal"/>
      <w:start w:val="1"/>
    </w:lvl>
  </w:abstractNum>
  <w:abstractNum w:abstractNumId="29">
    <w:nsid w:val="1DBABF00"/>
    <w:multiLevelType w:val="hybridMultilevel"/>
    <w:lvl w:ilvl="0">
      <w:lvlJc w:val="left"/>
      <w:lvlText w:val="(%1)"/>
      <w:numFmt w:val="decimal"/>
      <w:start w:val="4"/>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1."/>
      <w:numFmt w:val="decimal"/>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1)"/>
      <w:numFmt w:val="decimal"/>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1)"/>
      <w:numFmt w:val="decimal"/>
      <w:start w:val="1"/>
    </w:lvl>
    <w:lvl w:ilvl="1">
      <w:lvlJc w:val="left"/>
      <w:lvlText w:val="%2"/>
      <w:numFmt w:val="lowerLetter"/>
      <w:start w:val="1"/>
    </w:lvl>
  </w:abstractNum>
  <w:abstractNum w:abstractNumId="50">
    <w:nsid w:val="BF72B14"/>
    <w:multiLevelType w:val="hybridMultilevel"/>
    <w:lvl w:ilvl="0">
      <w:lvlJc w:val="left"/>
      <w:lvlText w:val="(%1)"/>
      <w:numFmt w:val="decimal"/>
      <w:start w:val="2"/>
    </w:lvl>
  </w:abstractNum>
  <w:abstractNum w:abstractNumId="51">
    <w:nsid w:val="11447B73"/>
    <w:multiLevelType w:val="hybridMultilevel"/>
    <w:lvl w:ilvl="0">
      <w:lvlJc w:val="left"/>
      <w:lvlText w:val="(%1)"/>
      <w:numFmt w:val="lowerLetter"/>
      <w:start w:val="1"/>
    </w:lvl>
  </w:abstractNum>
  <w:abstractNum w:abstractNumId="52">
    <w:nsid w:val="42963E5A"/>
    <w:multiLevelType w:val="hybridMultilevel"/>
    <w:lvl w:ilvl="0">
      <w:lvlJc w:val="left"/>
      <w:lvlText w:val="(%1)"/>
      <w:numFmt w:val="decimal"/>
      <w:start w:val="1"/>
    </w:lvl>
  </w:abstractNum>
  <w:abstractNum w:abstractNumId="53">
    <w:nsid w:val="A0382C5"/>
    <w:multiLevelType w:val="hybridMultilevel"/>
    <w:lvl w:ilvl="0">
      <w:lvlJc w:val="left"/>
      <w:lvlText w:val="(%1)"/>
      <w:numFmt w:val="decimal"/>
      <w:start w:val="2"/>
    </w:lvl>
  </w:abstractNum>
  <w:abstractNum w:abstractNumId="54">
    <w:nsid w:val="8F2B15E"/>
    <w:multiLevelType w:val="hybridMultilevel"/>
    <w:lvl w:ilvl="0">
      <w:lvlJc w:val="left"/>
      <w:lvlText w:val="(%1)"/>
      <w:numFmt w:val="decimal"/>
      <w:start w:val="3"/>
    </w:lvl>
  </w:abstractNum>
  <w:abstractNum w:abstractNumId="55">
    <w:nsid w:val="1A32234B"/>
    <w:multiLevelType w:val="hybridMultilevel"/>
    <w:lvl w:ilvl="0">
      <w:lvlJc w:val="left"/>
      <w:lvlText w:val="(%1)"/>
      <w:numFmt w:val="decimal"/>
      <w:start w:val="8"/>
    </w:lvl>
  </w:abstractNum>
  <w:abstractNum w:abstractNumId="56">
    <w:nsid w:val="3B0FD379"/>
    <w:multiLevelType w:val="hybridMultilevel"/>
    <w:lvl w:ilvl="0">
      <w:lvlJc w:val="left"/>
      <w:lvlText w:val="(%1)"/>
      <w:numFmt w:val="decimal"/>
      <w:start w:val="1"/>
    </w:lvl>
  </w:abstractNum>
  <w:abstractNum w:abstractNumId="57">
    <w:nsid w:val="68EB2F63"/>
    <w:multiLevelType w:val="hybridMultilevel"/>
    <w:lvl w:ilvl="0">
      <w:lvlJc w:val="left"/>
      <w:lvlText w:val="(%1)"/>
      <w:numFmt w:val="decimal"/>
      <w:start w:val="2"/>
    </w:lvl>
  </w:abstractNum>
  <w:abstractNum w:abstractNumId="58">
    <w:nsid w:val="4962813B"/>
    <w:multiLevelType w:val="hybridMultilevel"/>
    <w:lvl w:ilvl="0">
      <w:lvlJc w:val="left"/>
      <w:lvlText w:val="(%1)"/>
      <w:numFmt w:val="decimal"/>
      <w:start w:val="1"/>
    </w:lvl>
  </w:abstractNum>
  <w:abstractNum w:abstractNumId="59">
    <w:nsid w:val="60B6DF70"/>
    <w:multiLevelType w:val="hybridMultilevel"/>
    <w:lvl w:ilvl="0">
      <w:lvlJc w:val="left"/>
      <w:lvlText w:val="(%1)"/>
      <w:numFmt w:val="decimal"/>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
      <w:numFmt w:val="bullet"/>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1)"/>
      <w:numFmt w:val="decimal"/>
      <w:start w:val="1"/>
    </w:lvl>
  </w:abstractNum>
  <w:abstractNum w:abstractNumId="67">
    <w:nsid w:val="6EB5BD4"/>
    <w:multiLevelType w:val="hybridMultilevel"/>
    <w:lvl w:ilvl="0">
      <w:lvlJc w:val="left"/>
      <w:lvlText w:val="(%1)"/>
      <w:numFmt w:val="decimal"/>
      <w:start w:val="5"/>
    </w:lvl>
  </w:abstractNum>
  <w:abstractNum w:abstractNumId="68">
    <w:nsid w:val="6F6DD9AC"/>
    <w:multiLevelType w:val="hybridMultilevel"/>
    <w:lvl w:ilvl="0">
      <w:lvlJc w:val="left"/>
      <w:lvlText w:val="•"/>
      <w:numFmt w:val="bullet"/>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1)"/>
      <w:numFmt w:val="decimal"/>
      <w:start w:val="1"/>
    </w:lvl>
  </w:abstractNum>
  <w:abstractNum w:abstractNumId="71">
    <w:nsid w:val="76272110"/>
    <w:multiLevelType w:val="hybridMultilevel"/>
    <w:lvl w:ilvl="0">
      <w:lvlJc w:val="left"/>
      <w:lvlText w:val="%1:"/>
      <w:numFmt w:val="upperLetter"/>
      <w:start w:val="1"/>
    </w:lvl>
  </w:abstractNum>
  <w:abstractNum w:abstractNumId="72">
    <w:nsid w:val="4C04A8AF"/>
    <w:multiLevelType w:val="hybridMultilevel"/>
    <w:lvl w:ilvl="0">
      <w:lvlJc w:val="left"/>
      <w:lvlText w:val="%1:"/>
      <w:numFmt w:val="upperLetter"/>
      <w:start w:val="1"/>
    </w:lvl>
  </w:abstractNum>
  <w:abstractNum w:abstractNumId="73">
    <w:nsid w:val="1716703B"/>
    <w:multiLevelType w:val="hybridMultilevel"/>
    <w:lvl w:ilvl="0">
      <w:lvlJc w:val="left"/>
      <w:lvlText w:val="%1:"/>
      <w:numFmt w:val="upperLetter"/>
      <w:start w:val="1"/>
    </w:lvl>
  </w:abstractNum>
  <w:abstractNum w:abstractNumId="74">
    <w:nsid w:val="14E17E33"/>
    <w:multiLevelType w:val="hybridMultilevel"/>
    <w:lvl w:ilvl="0">
      <w:lvlJc w:val="left"/>
      <w:lvlText w:val="%1."/>
      <w:numFmt w:val="decimal"/>
      <w:start w:val="1"/>
    </w:lvl>
  </w:abstractNum>
  <w:abstractNum w:abstractNumId="75">
    <w:nsid w:val="3222E7CD"/>
    <w:multiLevelType w:val="hybridMultilevel"/>
    <w:lvl w:ilvl="0">
      <w:lvlJc w:val="left"/>
      <w:lvlText w:val="%1."/>
      <w:numFmt w:val="decimal"/>
      <w:start w:val="2"/>
    </w:lvl>
  </w:abstractNum>
  <w:abstractNum w:abstractNumId="76">
    <w:nsid w:val="74DE0EE3"/>
    <w:multiLevelType w:val="hybridMultilevel"/>
    <w:lvl w:ilvl="0">
      <w:lvlJc w:val="left"/>
      <w:lvlText w:val="%1:"/>
      <w:numFmt w:val="upperLetter"/>
      <w:start w:val="1"/>
    </w:lvl>
  </w:abstractNum>
  <w:abstractNum w:abstractNumId="77">
    <w:nsid w:val="68EBC550"/>
    <w:multiLevelType w:val="hybridMultilevel"/>
    <w:lvl w:ilvl="0">
      <w:lvlJc w:val="left"/>
      <w:lvlText w:val="%1:"/>
      <w:numFmt w:val="upperLetter"/>
      <w:start w:val="1"/>
    </w:lvl>
  </w:abstractNum>
  <w:abstractNum w:abstractNumId="78">
    <w:nsid w:val="2DF6D648"/>
    <w:multiLevelType w:val="hybridMultilevel"/>
    <w:lvl w:ilvl="0">
      <w:lvlJc w:val="left"/>
      <w:lvlText w:val="%1:"/>
      <w:numFmt w:val="upperLetter"/>
      <w:start w:val="1"/>
    </w:lvl>
  </w:abstractNum>
  <w:abstractNum w:abstractNumId="79">
    <w:nsid w:val="46B7D447"/>
    <w:multiLevelType w:val="hybridMultilevel"/>
    <w:lvl w:ilvl="0">
      <w:lvlJc w:val="left"/>
      <w:lvlText w:val="%1:"/>
      <w:numFmt w:val="upperLetter"/>
      <w:start w:val="1"/>
    </w:lvl>
  </w:abstractNum>
  <w:abstractNum w:abstractNumId="80">
    <w:nsid w:val="4A2AC315"/>
    <w:multiLevelType w:val="hybridMultilevel"/>
    <w:lvl w:ilvl="0">
      <w:lvlJc w:val="left"/>
      <w:lvlText w:val="%1."/>
      <w:numFmt w:val="decimal"/>
      <w:start w:val="1"/>
    </w:lvl>
  </w:abstractNum>
  <w:abstractNum w:abstractNumId="81">
    <w:nsid w:val="39EE015C"/>
    <w:multiLevelType w:val="hybridMultilevel"/>
    <w:lvl w:ilvl="0">
      <w:lvlJc w:val="left"/>
      <w:lvlText w:val="%1."/>
      <w:numFmt w:val="decimal"/>
      <w:start w:val="3"/>
    </w:lvl>
  </w:abstractNum>
  <w:abstractNum w:abstractNumId="82">
    <w:nsid w:val="57FC4FBB"/>
    <w:multiLevelType w:val="hybridMultilevel"/>
    <w:lvl w:ilvl="0">
      <w:lvlJc w:val="left"/>
      <w:lvlText w:val="%1:"/>
      <w:numFmt w:val="upperLetter"/>
      <w:start w:val="1"/>
    </w:lvl>
  </w:abstractNum>
  <w:abstractNum w:abstractNumId="83">
    <w:nsid w:val="CC1016F"/>
    <w:multiLevelType w:val="hybridMultilevel"/>
    <w:lvl w:ilvl="0">
      <w:lvlJc w:val="left"/>
      <w:lvlText w:val="%1:"/>
      <w:numFmt w:val="upperLetter"/>
      <w:start w:val="1"/>
    </w:lvl>
    <w:lvl w:ilvl="1">
      <w:lvlJc w:val="left"/>
      <w:lvlText w:val="•"/>
      <w:numFmt w:val="bullet"/>
      <w:start w:val="1"/>
    </w:lvl>
  </w:abstractNum>
  <w:abstractNum w:abstractNumId="84">
    <w:nsid w:val="43F18422"/>
    <w:multiLevelType w:val="hybridMultilevel"/>
    <w:lvl w:ilvl="0">
      <w:lvlJc w:val="left"/>
      <w:lvlText w:val="%1:"/>
      <w:numFmt w:val="upperLetter"/>
      <w:start w:val="1"/>
    </w:lvl>
  </w:abstractNum>
  <w:abstractNum w:abstractNumId="85">
    <w:nsid w:val="60EF0119"/>
    <w:multiLevelType w:val="hybridMultilevel"/>
    <w:lvl w:ilvl="0">
      <w:lvlJc w:val="left"/>
      <w:lvlText w:val="%1:"/>
      <w:numFmt w:val="upperLetter"/>
      <w:start w:val="1"/>
    </w:lvl>
  </w:abstractNum>
  <w:abstractNum w:abstractNumId="86">
    <w:nsid w:val="26F324BA"/>
    <w:multiLevelType w:val="hybridMultilevel"/>
    <w:lvl w:ilvl="0">
      <w:lvlJc w:val="left"/>
      <w:lvlText w:val="%1:"/>
      <w:numFmt w:val="upperLetter"/>
      <w:start w:val="1"/>
    </w:lvl>
  </w:abstractNum>
  <w:abstractNum w:abstractNumId="87">
    <w:nsid w:val="7F01579B"/>
    <w:multiLevelType w:val="hybridMultilevel"/>
    <w:lvl w:ilvl="0">
      <w:lvlJc w:val="left"/>
      <w:lvlText w:val="%1:"/>
      <w:numFmt w:val="upperLetter"/>
      <w:start w:val="1"/>
    </w:lvl>
  </w:abstractNum>
  <w:abstractNum w:abstractNumId="88">
    <w:nsid w:val="49DA307D"/>
    <w:multiLevelType w:val="hybridMultilevel"/>
    <w:lvl w:ilvl="0">
      <w:lvlJc w:val="left"/>
      <w:lvlText w:val="%1:"/>
      <w:numFmt w:val="upperLetter"/>
      <w:start w:val="1"/>
    </w:lvl>
  </w:abstractNum>
  <w:abstractNum w:abstractNumId="89">
    <w:nsid w:val="7055A5F5"/>
    <w:multiLevelType w:val="hybridMultilevel"/>
    <w:lvl w:ilvl="0">
      <w:lvlJc w:val="left"/>
      <w:lvlText w:val="%1:"/>
      <w:numFmt w:val="upperLetter"/>
      <w:start w:val="1"/>
    </w:lvl>
  </w:abstractNum>
  <w:abstractNum w:abstractNumId="90">
    <w:nsid w:val="5FB8370B"/>
    <w:multiLevelType w:val="hybridMultilevel"/>
    <w:lvl w:ilvl="0">
      <w:lvlJc w:val="left"/>
      <w:lvlText w:val="%1:"/>
      <w:numFmt w:val="upperLetter"/>
      <w:start w:val="1"/>
    </w:lvl>
  </w:abstractNum>
  <w:abstractNum w:abstractNumId="91">
    <w:nsid w:val="50801EE1"/>
    <w:multiLevelType w:val="hybridMultilevel"/>
    <w:lvl w:ilvl="0">
      <w:lvlJc w:val="left"/>
      <w:lvlText w:val="%1:"/>
      <w:numFmt w:val="upperLetter"/>
      <w:start w:val="1"/>
    </w:lvl>
  </w:abstractNum>
  <w:abstractNum w:abstractNumId="92">
    <w:nsid w:val="488AC1A"/>
    <w:multiLevelType w:val="hybridMultilevel"/>
    <w:lvl w:ilvl="0">
      <w:lvlJc w:val="left"/>
      <w:lvlText w:val="%1:"/>
      <w:numFmt w:val="upperLetter"/>
      <w:start w:val="1"/>
    </w:lvl>
  </w:abstractNum>
  <w:abstractNum w:abstractNumId="93">
    <w:nsid w:val="5FB8011C"/>
    <w:multiLevelType w:val="hybridMultilevel"/>
    <w:lvl w:ilvl="0">
      <w:lvlJc w:val="left"/>
      <w:lvlText w:val="%1:"/>
      <w:numFmt w:val="upperLetter"/>
      <w:start w:val="1"/>
    </w:lvl>
  </w:abstractNum>
  <w:abstractNum w:abstractNumId="94">
    <w:nsid w:val="6AA78F7F"/>
    <w:multiLevelType w:val="hybridMultilevel"/>
    <w:lvl w:ilvl="0">
      <w:lvlJc w:val="left"/>
      <w:lvlText w:val="(%1)"/>
      <w:numFmt w:val="decimal"/>
      <w:start w:val="1"/>
    </w:lvl>
  </w:abstractNum>
  <w:abstractNum w:abstractNumId="95">
    <w:nsid w:val="7672BD23"/>
    <w:multiLevelType w:val="hybridMultilevel"/>
    <w:lvl w:ilvl="0">
      <w:lvlJc w:val="left"/>
      <w:lvlText w:val="%1:"/>
      <w:numFmt w:val="upperLetter"/>
      <w:start w:val="1"/>
    </w:lvl>
  </w:abstractNum>
  <w:abstractNum w:abstractNumId="96">
    <w:nsid w:val="6FC75AF8"/>
    <w:multiLevelType w:val="hybridMultilevel"/>
    <w:lvl w:ilvl="0">
      <w:lvlJc w:val="left"/>
      <w:lvlText w:val="%1:"/>
      <w:numFmt w:val="upperLetter"/>
      <w:start w:val="1"/>
    </w:lvl>
  </w:abstractNum>
  <w:abstractNum w:abstractNumId="97">
    <w:nsid w:val="6A5F7029"/>
    <w:multiLevelType w:val="hybridMultilevel"/>
    <w:lvl w:ilvl="0">
      <w:lvlJc w:val="left"/>
      <w:lvlText w:val="%1:"/>
      <w:numFmt w:val="upperLetter"/>
      <w:start w:val="1"/>
    </w:lvl>
  </w:abstractNum>
  <w:abstractNum w:abstractNumId="98">
    <w:nsid w:val="7D5E18F8"/>
    <w:multiLevelType w:val="hybridMultilevel"/>
    <w:lvl w:ilvl="0">
      <w:lvlJc w:val="left"/>
      <w:lvlText w:val="%1:"/>
      <w:numFmt w:val="upperLetter"/>
      <w:start w:val="1"/>
    </w:lvl>
  </w:abstractNum>
  <w:abstractNum w:abstractNumId="99">
    <w:nsid w:val="5F3534A4"/>
    <w:multiLevelType w:val="hybridMultilevel"/>
    <w:lvl w:ilvl="0">
      <w:lvlJc w:val="left"/>
      <w:lvlText w:val="(%1)"/>
      <w:numFmt w:val="decimal"/>
      <w:start w:val="1"/>
    </w:lvl>
  </w:abstractNum>
  <w:abstractNum w:abstractNumId="100">
    <w:nsid w:val="73A1821B"/>
    <w:multiLevelType w:val="hybridMultilevel"/>
    <w:lvl w:ilvl="0">
      <w:lvlJc w:val="left"/>
      <w:lvlText w:val="*"/>
      <w:numFmt w:val="bullet"/>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2021-01-22T07:04:56Z</dcterms:created>
  <dcterms:modified xsi:type="dcterms:W3CDTF">2021-01-22T07:04:56Z</dcterms:modified>
</cp:coreProperties>
</file>