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AS FILED WITH THE SECURITIES AND EXCHANGE COMMISSION ON JULY 19, 1996</w:t>
      </w:r>
    </w:p>
    <w:p>
      <w:pPr>
        <w:spacing w:after="0" w:line="198"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No. 333-</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440"/>
        <w:spacing w:after="0"/>
        <w:rPr>
          <w:sz w:val="20"/>
          <w:szCs w:val="20"/>
          <w:color w:val="auto"/>
        </w:rPr>
      </w:pPr>
      <w:r>
        <w:rPr>
          <w:rFonts w:ascii="Courier New" w:cs="Courier New" w:eastAsia="Courier New" w:hAnsi="Courier New"/>
          <w:sz w:val="16"/>
          <w:szCs w:val="16"/>
          <w:color w:val="auto"/>
        </w:rPr>
        <w:t>FORM S-3</w:t>
      </w:r>
    </w:p>
    <w:p>
      <w:pPr>
        <w:spacing w:after="0" w:line="19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9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ANALOG DEVICES, INC.</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8" w:lineRule="exact"/>
        <w:rPr>
          <w:sz w:val="24"/>
          <w:szCs w:val="24"/>
          <w:color w:val="auto"/>
        </w:rPr>
      </w:pPr>
    </w:p>
    <w:tbl>
      <w:tblPr>
        <w:tblLayout w:type="fixed"/>
        <w:tblInd w:w="100" w:type="dxa"/>
        <w:tblCellMar>
          <w:top w:w="0" w:type="dxa"/>
          <w:left w:w="0" w:type="dxa"/>
          <w:bottom w:w="0" w:type="dxa"/>
          <w:right w:w="0" w:type="dxa"/>
        </w:tblCellMar>
      </w:tblPr>
      <w:tr>
        <w:trPr>
          <w:trHeight w:val="185"/>
        </w:trPr>
        <w:tc>
          <w:tcPr>
            <w:tcW w:w="5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spacing w:after="0"/>
              <w:rPr>
                <w:sz w:val="16"/>
                <w:szCs w:val="16"/>
                <w:color w:val="auto"/>
              </w:rPr>
            </w:pPr>
          </w:p>
        </w:tc>
      </w:tr>
      <w:tr>
        <w:trPr>
          <w:trHeight w:val="379"/>
        </w:trPr>
        <w:tc>
          <w:tcPr>
            <w:tcW w:w="5320" w:type="dxa"/>
            <w:vAlign w:val="bottom"/>
          </w:tcPr>
          <w:p>
            <w:pPr>
              <w:jc w:val="right"/>
              <w:ind w:right="3078"/>
              <w:spacing w:after="0"/>
              <w:rPr>
                <w:sz w:val="20"/>
                <w:szCs w:val="20"/>
                <w:color w:val="auto"/>
              </w:rPr>
            </w:pPr>
            <w:r>
              <w:rPr>
                <w:rFonts w:ascii="Courier New" w:cs="Courier New" w:eastAsia="Courier New" w:hAnsi="Courier New"/>
                <w:sz w:val="16"/>
                <w:szCs w:val="16"/>
                <w:color w:val="auto"/>
              </w:rPr>
              <w:t>MASSACHUSETTS</w:t>
            </w:r>
          </w:p>
        </w:tc>
        <w:tc>
          <w:tcPr>
            <w:tcW w:w="21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04-2348234</w:t>
            </w:r>
          </w:p>
        </w:tc>
      </w:tr>
      <w:tr>
        <w:trPr>
          <w:trHeight w:val="190"/>
        </w:trPr>
        <w:tc>
          <w:tcPr>
            <w:tcW w:w="5320" w:type="dxa"/>
            <w:vAlign w:val="bottom"/>
          </w:tcPr>
          <w:p>
            <w:pPr>
              <w:jc w:val="right"/>
              <w:ind w:right="2178"/>
              <w:spacing w:after="0"/>
              <w:rPr>
                <w:sz w:val="20"/>
                <w:szCs w:val="20"/>
                <w:color w:val="auto"/>
              </w:rPr>
            </w:pPr>
            <w:r>
              <w:rPr>
                <w:rFonts w:ascii="Courier New" w:cs="Courier New" w:eastAsia="Courier New" w:hAnsi="Courier New"/>
                <w:sz w:val="16"/>
                <w:szCs w:val="16"/>
                <w:color w:val="auto"/>
              </w:rPr>
              <w:t>(State or other jurisdiction of</w:t>
            </w:r>
          </w:p>
        </w:tc>
        <w:tc>
          <w:tcPr>
            <w:tcW w:w="21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(I.R.S.Employer.</w:t>
            </w:r>
          </w:p>
        </w:tc>
      </w:tr>
      <w:tr>
        <w:trPr>
          <w:trHeight w:val="190"/>
        </w:trPr>
        <w:tc>
          <w:tcPr>
            <w:tcW w:w="5320" w:type="dxa"/>
            <w:vAlign w:val="bottom"/>
          </w:tcPr>
          <w:p>
            <w:pPr>
              <w:jc w:val="right"/>
              <w:ind w:right="2178"/>
              <w:spacing w:after="0"/>
              <w:rPr>
                <w:sz w:val="20"/>
                <w:szCs w:val="20"/>
                <w:color w:val="auto"/>
              </w:rPr>
            </w:pPr>
            <w:r>
              <w:rPr>
                <w:rFonts w:ascii="Courier New" w:cs="Courier New" w:eastAsia="Courier New" w:hAnsi="Courier New"/>
                <w:sz w:val="16"/>
                <w:szCs w:val="16"/>
                <w:color w:val="auto"/>
              </w:rPr>
              <w:t>incorporation or organization)</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Identification No.)</w:t>
            </w:r>
          </w:p>
        </w:tc>
      </w:tr>
    </w:tbl>
    <w:p>
      <w:pPr>
        <w:spacing w:after="0" w:line="194" w:lineRule="exact"/>
        <w:rPr>
          <w:sz w:val="24"/>
          <w:szCs w:val="24"/>
          <w:color w:val="auto"/>
        </w:rPr>
      </w:pPr>
    </w:p>
    <w:p>
      <w:pPr>
        <w:jc w:val="center"/>
        <w:ind w:right="2139"/>
        <w:spacing w:after="0"/>
        <w:tabs>
          <w:tab w:leader="none" w:pos="180" w:val="left"/>
        </w:tabs>
        <w:rPr>
          <w:sz w:val="20"/>
          <w:szCs w:val="20"/>
          <w:color w:val="auto"/>
        </w:rPr>
      </w:pPr>
      <w:r>
        <w:rPr>
          <w:rFonts w:ascii="Courier New" w:cs="Courier New" w:eastAsia="Courier New" w:hAnsi="Courier New"/>
          <w:sz w:val="16"/>
          <w:szCs w:val="16"/>
          <w:color w:val="auto"/>
        </w:rPr>
        <w:t>ONE TECHNOLOGY WAY, NORWOOD, MASSACHUSETTS 02062-9106</w:t>
        <w:tab/>
        <w:t>(617) 329-4700</w:t>
      </w:r>
    </w:p>
    <w:p>
      <w:pPr>
        <w:spacing w:after="0" w:line="8" w:lineRule="exact"/>
        <w:rPr>
          <w:sz w:val="24"/>
          <w:szCs w:val="24"/>
          <w:color w:val="auto"/>
        </w:rPr>
      </w:pPr>
    </w:p>
    <w:p>
      <w:pPr>
        <w:ind w:left="1680" w:right="2339" w:hanging="1478"/>
        <w:spacing w:after="0" w:line="255"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84"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PAUL P. BROUNTAS, ESQ.</w:t>
      </w:r>
    </w:p>
    <w:p>
      <w:pPr>
        <w:spacing w:after="0" w:line="8"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6"/>
          <w:szCs w:val="16"/>
          <w:color w:val="auto"/>
        </w:rPr>
        <w:t>HALE AND DORR</w:t>
      </w:r>
    </w:p>
    <w:p>
      <w:pPr>
        <w:spacing w:after="0" w:line="8"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6"/>
          <w:szCs w:val="16"/>
          <w:color w:val="auto"/>
        </w:rPr>
        <w:t>60 STATE STREET</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BOSTON, MASSACHUSETTS 02109</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(617) 526-6000</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(Name, address, including zip code, and telephone number, including area</w:t>
      </w:r>
    </w:p>
    <w:p>
      <w:pPr>
        <w:spacing w:after="0" w:line="8"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6"/>
          <w:szCs w:val="16"/>
          <w:color w:val="auto"/>
        </w:rPr>
        <w:t>code, of agent for service)</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Copy to:</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PAUL P. BROUNTAS, ESQ.</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MARK G. BORDEN, ESQ.</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Hale and Dorr</w:t>
      </w:r>
    </w:p>
    <w:p>
      <w:pPr>
        <w:spacing w:after="0" w:line="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60 State Street</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Boston, Massachusetts 02109</w:t>
      </w:r>
    </w:p>
    <w:p>
      <w:pPr>
        <w:spacing w:after="0" w:line="8" w:lineRule="exact"/>
        <w:rPr>
          <w:sz w:val="24"/>
          <w:szCs w:val="24"/>
          <w:color w:val="auto"/>
        </w:rPr>
      </w:pPr>
    </w:p>
    <w:p>
      <w:pPr>
        <w:ind w:left="3740" w:hanging="588"/>
        <w:spacing w:after="0"/>
        <w:tabs>
          <w:tab w:leader="none" w:pos="37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526-6000</w:t>
      </w:r>
    </w:p>
    <w:p>
      <w:pPr>
        <w:spacing w:after="0" w:line="197" w:lineRule="exact"/>
        <w:rPr>
          <w:rFonts w:ascii="Courier New" w:cs="Courier New" w:eastAsia="Courier New" w:hAnsi="Courier New"/>
          <w:sz w:val="16"/>
          <w:szCs w:val="16"/>
          <w:color w:val="auto"/>
        </w:rPr>
      </w:pPr>
    </w:p>
    <w:p>
      <w:pPr>
        <w:ind w:left="2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9919"/>
          </w:cols>
          <w:pgMar w:left="540" w:top="243"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ind w:right="1480" w:firstLine="887"/>
        <w:spacing w:after="0" w:line="255" w:lineRule="auto"/>
        <w:rPr>
          <w:sz w:val="20"/>
          <w:szCs w:val="20"/>
          <w:color w:val="auto"/>
        </w:rPr>
      </w:pPr>
      <w:r>
        <w:rPr>
          <w:rFonts w:ascii="Courier New" w:cs="Courier New" w:eastAsia="Courier New" w:hAnsi="Courier New"/>
          <w:sz w:val="16"/>
          <w:szCs w:val="16"/>
          <w:color w:val="auto"/>
        </w:rPr>
        <w:t>Approximate date of commencement of proposed sale to the public: At the discretion of the Selling Stockholders.</w:t>
      </w:r>
    </w:p>
    <w:p>
      <w:pPr>
        <w:spacing w:after="0" w:line="184" w:lineRule="exact"/>
        <w:rPr>
          <w:sz w:val="20"/>
          <w:szCs w:val="20"/>
          <w:color w:val="auto"/>
        </w:rPr>
      </w:pPr>
    </w:p>
    <w:p>
      <w:pPr>
        <w:jc w:val="both"/>
        <w:ind w:right="1580" w:firstLine="887"/>
        <w:spacing w:after="0" w:line="253"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5" w:lineRule="exact"/>
        <w:rPr>
          <w:sz w:val="20"/>
          <w:szCs w:val="20"/>
          <w:color w:val="auto"/>
        </w:rPr>
      </w:pPr>
    </w:p>
    <w:p>
      <w:pPr>
        <w:ind w:right="1760" w:firstLine="887"/>
        <w:spacing w:after="0" w:line="252"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7" w:lineRule="exact"/>
        <w:rPr>
          <w:sz w:val="20"/>
          <w:szCs w:val="20"/>
          <w:color w:val="auto"/>
        </w:rPr>
      </w:pPr>
    </w:p>
    <w:p>
      <w:pPr>
        <w:ind w:right="1860" w:firstLine="887"/>
        <w:spacing w:after="0" w:line="252" w:lineRule="auto"/>
        <w:rPr>
          <w:sz w:val="20"/>
          <w:szCs w:val="20"/>
          <w:color w:val="auto"/>
        </w:rPr>
      </w:pPr>
      <w:r>
        <w:rPr>
          <w:rFonts w:ascii="Courier New" w:cs="Courier New" w:eastAsia="Courier New" w:hAnsi="Courier New"/>
          <w:sz w:val="16"/>
          <w:szCs w:val="16"/>
          <w:color w:val="auto"/>
        </w:rPr>
        <w:t>If this form is registering additional securities pursuant to Rule 462(b) under the Securities Act, please check the following box and list the Securities Act registration statement number of the earlier effective registration statement for the same offering. 333- / /</w:t>
      </w:r>
    </w:p>
    <w:p>
      <w:pPr>
        <w:spacing w:after="0" w:line="187" w:lineRule="exact"/>
        <w:rPr>
          <w:sz w:val="20"/>
          <w:szCs w:val="20"/>
          <w:color w:val="auto"/>
        </w:rPr>
      </w:pPr>
    </w:p>
    <w:p>
      <w:pPr>
        <w:ind w:right="1480" w:firstLine="887"/>
        <w:spacing w:after="0" w:line="252"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333- / /</w:t>
      </w:r>
    </w:p>
    <w:p>
      <w:pPr>
        <w:spacing w:after="0" w:line="187" w:lineRule="exact"/>
        <w:rPr>
          <w:sz w:val="20"/>
          <w:szCs w:val="20"/>
          <w:color w:val="auto"/>
        </w:rPr>
      </w:pPr>
    </w:p>
    <w:p>
      <w:pPr>
        <w:ind w:right="1480" w:firstLine="887"/>
        <w:spacing w:after="0" w:line="255" w:lineRule="auto"/>
        <w:rPr>
          <w:sz w:val="20"/>
          <w:szCs w:val="20"/>
          <w:color w:val="auto"/>
        </w:rPr>
      </w:pPr>
      <w:r>
        <w:rPr>
          <w:rFonts w:ascii="Courier New" w:cs="Courier New" w:eastAsia="Courier New" w:hAnsi="Courier New"/>
          <w:sz w:val="16"/>
          <w:szCs w:val="16"/>
          <w:color w:val="auto"/>
        </w:rPr>
        <w:t>If delivery of the prospectus is expected to be made pursuant Rule 434, please check the following box. / /</w:t>
      </w:r>
    </w:p>
    <w:p>
      <w:pPr>
        <w:spacing w:after="0" w:line="184"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0"/>
          <w:szCs w:val="20"/>
          <w:color w:val="auto"/>
        </w:rPr>
      </w:pPr>
    </w:p>
    <w:p>
      <w:pPr>
        <w:spacing w:after="0" w:line="37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80" w:type="dxa"/>
            <w:vAlign w:val="bottom"/>
          </w:tcPr>
          <w:p>
            <w:pPr>
              <w:ind w:left="300"/>
              <w:spacing w:after="0"/>
              <w:rPr>
                <w:sz w:val="20"/>
                <w:szCs w:val="20"/>
                <w:color w:val="auto"/>
              </w:rPr>
            </w:pPr>
            <w:r>
              <w:rPr>
                <w:rFonts w:ascii="Courier New" w:cs="Courier New" w:eastAsia="Courier New" w:hAnsi="Courier New"/>
                <w:sz w:val="16"/>
                <w:szCs w:val="16"/>
                <w:color w:val="auto"/>
              </w:rPr>
              <w:t>Proposed Maximum</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Proposed</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Maximum</w:t>
            </w:r>
          </w:p>
        </w:tc>
      </w:tr>
      <w:tr>
        <w:trPr>
          <w:trHeight w:val="190"/>
        </w:trPr>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Title of Each</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Class</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920" w:type="dxa"/>
            <w:vAlign w:val="bottom"/>
          </w:tcPr>
          <w:p>
            <w:pPr>
              <w:ind w:left="280"/>
              <w:spacing w:after="0"/>
              <w:rPr>
                <w:sz w:val="20"/>
                <w:szCs w:val="20"/>
                <w:color w:val="auto"/>
              </w:rPr>
            </w:pPr>
            <w:r>
              <w:rPr>
                <w:rFonts w:ascii="Courier New" w:cs="Courier New" w:eastAsia="Courier New" w:hAnsi="Courier New"/>
                <w:sz w:val="16"/>
                <w:szCs w:val="16"/>
                <w:color w:val="auto"/>
              </w:rPr>
              <w:t>Amount</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to be</w:t>
            </w:r>
          </w:p>
        </w:tc>
        <w:tc>
          <w:tcPr>
            <w:tcW w:w="2180" w:type="dxa"/>
            <w:vAlign w:val="bottom"/>
          </w:tcPr>
          <w:p>
            <w:pPr>
              <w:ind w:left="300"/>
              <w:spacing w:after="0"/>
              <w:rPr>
                <w:sz w:val="20"/>
                <w:szCs w:val="20"/>
                <w:color w:val="auto"/>
              </w:rPr>
            </w:pPr>
            <w:r>
              <w:rPr>
                <w:rFonts w:ascii="Courier New" w:cs="Courier New" w:eastAsia="Courier New" w:hAnsi="Courier New"/>
                <w:sz w:val="16"/>
                <w:szCs w:val="16"/>
                <w:color w:val="auto"/>
              </w:rPr>
              <w:t>Offering Price</w:t>
            </w:r>
          </w:p>
        </w:tc>
        <w:tc>
          <w:tcPr>
            <w:tcW w:w="1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Aggregate</w:t>
            </w:r>
          </w:p>
        </w:tc>
      </w:tr>
      <w:tr>
        <w:trPr>
          <w:trHeight w:val="190"/>
        </w:trPr>
        <w:tc>
          <w:tcPr>
            <w:tcW w:w="1320" w:type="dxa"/>
            <w:vAlign w:val="bottom"/>
          </w:tcPr>
          <w:p>
            <w:pPr>
              <w:spacing w:after="0"/>
              <w:rPr>
                <w:sz w:val="20"/>
                <w:szCs w:val="20"/>
                <w:color w:val="auto"/>
              </w:rPr>
            </w:pPr>
            <w:r>
              <w:rPr>
                <w:rFonts w:ascii="Courier New" w:cs="Courier New" w:eastAsia="Courier New" w:hAnsi="Courier New"/>
                <w:sz w:val="16"/>
                <w:szCs w:val="16"/>
                <w:color w:val="auto"/>
              </w:rPr>
              <w:t>Securities to</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be</w:t>
            </w:r>
          </w:p>
        </w:tc>
        <w:tc>
          <w:tcPr>
            <w:tcW w:w="1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Registered</w:t>
            </w:r>
          </w:p>
        </w:tc>
        <w:tc>
          <w:tcPr>
            <w:tcW w:w="18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Registered(1)</w:t>
            </w:r>
          </w:p>
        </w:tc>
        <w:tc>
          <w:tcPr>
            <w:tcW w:w="2180" w:type="dxa"/>
            <w:vAlign w:val="bottom"/>
          </w:tcPr>
          <w:p>
            <w:pPr>
              <w:ind w:left="300"/>
              <w:spacing w:after="0"/>
              <w:rPr>
                <w:sz w:val="20"/>
                <w:szCs w:val="20"/>
                <w:color w:val="auto"/>
              </w:rPr>
            </w:pPr>
            <w:r>
              <w:rPr>
                <w:rFonts w:ascii="Courier New" w:cs="Courier New" w:eastAsia="Courier New" w:hAnsi="Courier New"/>
                <w:sz w:val="16"/>
                <w:szCs w:val="16"/>
                <w:color w:val="auto"/>
              </w:rPr>
              <w:t>Per Share(1)</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Offering</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Price(1)</w:t>
            </w:r>
          </w:p>
        </w:tc>
      </w:tr>
      <w:tr>
        <w:trPr>
          <w:trHeight w:val="569"/>
        </w:trPr>
        <w:tc>
          <w:tcPr>
            <w:tcW w:w="13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 2/3</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par</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value.........</w:t>
            </w: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6"/>
                <w:szCs w:val="16"/>
                <w:color w:val="auto"/>
              </w:rPr>
              <w:t>76,596</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2180" w:type="dxa"/>
            <w:vAlign w:val="bottom"/>
          </w:tcPr>
          <w:p>
            <w:pPr>
              <w:ind w:left="300"/>
              <w:spacing w:after="0"/>
              <w:rPr>
                <w:sz w:val="20"/>
                <w:szCs w:val="20"/>
                <w:color w:val="auto"/>
              </w:rPr>
            </w:pPr>
            <w:r>
              <w:rPr>
                <w:rFonts w:ascii="Courier New" w:cs="Courier New" w:eastAsia="Courier New" w:hAnsi="Courier New"/>
                <w:sz w:val="16"/>
                <w:szCs w:val="16"/>
                <w:color w:val="auto"/>
              </w:rPr>
              <w:t>$18.375</w:t>
            </w:r>
          </w:p>
        </w:tc>
        <w:tc>
          <w:tcPr>
            <w:tcW w:w="1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$1,407,451.50</w:t>
            </w:r>
          </w:p>
        </w:tc>
      </w:tr>
    </w:tbl>
    <w:p>
      <w:pPr>
        <w:spacing w:after="0" w:line="200" w:lineRule="exact"/>
        <w:rPr>
          <w:sz w:val="20"/>
          <w:szCs w:val="20"/>
          <w:color w:val="auto"/>
        </w:rPr>
      </w:pPr>
    </w:p>
    <w:p>
      <w:pPr>
        <w:spacing w:after="0" w:line="373" w:lineRule="exact"/>
        <w:rPr>
          <w:sz w:val="20"/>
          <w:szCs w:val="20"/>
          <w:color w:val="auto"/>
        </w:rPr>
      </w:pPr>
    </w:p>
    <w:p>
      <w:pPr>
        <w:ind w:left="400" w:right="1660" w:hanging="399"/>
        <w:spacing w:after="0" w:line="252"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purposes of calculating the registration fee pursuant to Rule 457(c) of the Securities Act of 1933, as amended, on the basis of the average of the high and low sales prices of the Registrant's Common Stock on the New York Stock Exchange on July 16, 1996.</w:t>
      </w:r>
    </w:p>
    <w:p>
      <w:pPr>
        <w:spacing w:after="0" w:line="18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1580" w:firstLine="887"/>
        <w:spacing w:after="0" w:line="251"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5" w:lineRule="auto"/>
        <w:rPr>
          <w:sz w:val="20"/>
          <w:szCs w:val="20"/>
          <w:color w:val="auto"/>
        </w:rPr>
      </w:pPr>
      <w:r>
        <w:rPr>
          <w:rFonts w:ascii="Courier New" w:cs="Courier New" w:eastAsia="Courier New" w:hAnsi="Courier New"/>
          <w:sz w:val="16"/>
          <w:szCs w:val="16"/>
          <w:color w:val="auto"/>
        </w:rPr>
        <w:t>Amount of Registration Fee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$485.33</w:t>
      </w:r>
    </w:p>
    <w:p>
      <w:pPr>
        <w:sectPr>
          <w:pgSz w:w="11900" w:h="16838" w:orient="portrait"/>
          <w:cols w:equalWidth="0" w:num="2">
            <w:col w:w="9360" w:space="600"/>
            <w:col w:w="1560"/>
          </w:cols>
          <w:pgMar w:left="240" w:top="306" w:right="13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UNDER THE SECURITIES LAWS OF ANY SUCH STATE.</w:t>
      </w:r>
    </w:p>
    <w:p>
      <w:pPr>
        <w:spacing w:after="0" w:line="190"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SUBJECT TO COMPLETION, DATED JULY 19, 1996</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76,596 Shares</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[ANALOG LOGO]</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COMMON STOCK</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shares of Common Stock, $.16 2/3 par value per share (the "Common Stock"), of Analog Devices, Inc. ("Analog" or the "Company") covered by this Prospectus are issued and outstanding shares which may be offered and sold, from time to time, for the account of certain stockholders of the Company (the "Selling Stockholders"). See "The Selling Stockholders." The shares of Common Stock covered by this Prospectus were issued to the Selling Stockholders in a private placement made in connection with the acquisition of Mosaic Microsystems Limited ("Mosaic") by the Company on July 1, 1996. All of the shares offered hereunder are to be sold for the account of the Selling Stockholders. The Company will not receive any of the proceeds from the sale of the shares by the Selling Stockholders. The Common Stock of the Company is traded on the New York Stock Exchange under the symbol "ADI." On July 16, 1996, the last reported sale price of the Common Stock on the New York Stock Exchange was $19.375 per share.</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1080" w:right="3019" w:hanging="379"/>
        <w:spacing w:after="0" w:line="255" w:lineRule="auto"/>
        <w:tabs>
          <w:tab w:leader="none" w:pos="1060" w:val="left"/>
        </w:tabs>
        <w:rPr>
          <w:sz w:val="20"/>
          <w:szCs w:val="20"/>
          <w:color w:val="auto"/>
        </w:rPr>
      </w:pPr>
      <w:r>
        <w:rPr>
          <w:rFonts w:ascii="Courier New" w:cs="Courier New" w:eastAsia="Courier New" w:hAnsi="Courier New"/>
          <w:sz w:val="16"/>
          <w:szCs w:val="16"/>
          <w:color w:val="auto"/>
        </w:rPr>
        <w:t>SEE</w:t>
        <w:tab/>
        <w:t>"RISK FACTORS" BEGINNING ON PAGE 4 FOR A DISCUSSION OF CERTAIN FACTORS THAT SHOULD BE CONSIDERED BY PROSPECTIVE INVESTORS.</w:t>
      </w:r>
    </w:p>
    <w:p>
      <w:pPr>
        <w:spacing w:after="0" w:line="18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w:t>
      </w:r>
    </w:p>
    <w:p>
      <w:pPr>
        <w:spacing w:after="0" w:line="8" w:lineRule="exact"/>
        <w:rPr>
          <w:sz w:val="20"/>
          <w:szCs w:val="20"/>
          <w:color w:val="auto"/>
        </w:rPr>
      </w:pPr>
    </w:p>
    <w:p>
      <w:pPr>
        <w:jc w:val="center"/>
        <w:ind w:left="260" w:right="680"/>
        <w:spacing w:after="0" w:line="252" w:lineRule="auto"/>
        <w:rPr>
          <w:sz w:val="20"/>
          <w:szCs w:val="20"/>
          <w:color w:val="auto"/>
        </w:rPr>
      </w:pPr>
      <w:r>
        <w:rPr>
          <w:rFonts w:ascii="Courier New" w:cs="Courier New" w:eastAsia="Courier New" w:hAnsi="Courier New"/>
          <w:sz w:val="16"/>
          <w:szCs w:val="16"/>
          <w:color w:val="auto"/>
        </w:rPr>
        <w:t>EXCHANGE COMMISSION OR ANY STATE SECURITIES COMMISSION NOR HAS THE COMMISSION OR ANY STATE SECURITIES COMMISSION PASSED UPON THE ACCURACY OR ADEQUACY OF THIS PROSPECTUS. ANY REPRESENTATION TO THE CONTRARY IS A CRIMINAL OFFENSE.</w:t>
      </w:r>
    </w:p>
    <w:p>
      <w:pPr>
        <w:spacing w:after="0" w:line="18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The date of this Prospectus is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1996.</w:t>
            </w:r>
          </w:p>
        </w:tc>
      </w:tr>
    </w:tbl>
    <w:p>
      <w:pPr>
        <w:sectPr>
          <w:pgSz w:w="11900" w:h="16838" w:orient="portrait"/>
          <w:cols w:equalWidth="0" w:num="1">
            <w:col w:w="10219"/>
          </w:cols>
          <w:pgMar w:left="240" w:top="306"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AVAILABLE INFORMATION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and other information with the Securities and Exchange Commission (the "Commission"). The reports, proxy materials and other information filed by the Company with the Commission may be inspected and copied at the public reference facilities maintained by the Commission at the Public Reference Section of the Commission at 450 Fifth Street, N.W., Washington, D.C. 20549, and at the Regional Offices of the Commission located at Seven World Trade Center, Suite 1300, New York, New York 10048, and at Citicorp Center, 500 West Madison Street, Suite 1400, Chicago, Illinois 60661. Copies of such materials also may be obtained from the Public Reference Section of the Commission at 450 Fifth Street, N.W., Washington, D.C. 20549 at prescribed rates. The Common Stock of the Company is listed on the New York Stock Exchange. Reports, proxy materials and other information concerning the Company may also be inspected at the offices of the New York Stock Exchange, 20 Broad Street, New York, New York 10005.</w:t>
      </w:r>
    </w:p>
    <w:p>
      <w:pPr>
        <w:spacing w:after="0" w:line="38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 Registration Statement, together with the exhibits and schedules thereto, may be inspected, without charge, at the Commission's principal office at 450 Fifth Street, N.W., Washington, D.C. 20549, and also at the regional offices of the Commission listed above. Copies of such material may also be obtained from the Commission upon the payment of prescribed rates.</w:t>
      </w:r>
    </w:p>
    <w:p>
      <w:pPr>
        <w:spacing w:after="0" w:line="19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375"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In accordance with the requirements of the Exchange Act, certain reports and other information are filed by the Company periodically with the Commission. The following documents filed by the Company with the Commission are incorporated herein by reference: (1) the Company's Annual Report on Form 10-K for the fiscal year ended October 28, 1995, (2) the</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6"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Quarterly Report on Form 10-Q for the quarter ended February 3, 1996,</w:t>
      </w:r>
    </w:p>
    <w:p>
      <w:pPr>
        <w:spacing w:after="0" w:line="8" w:lineRule="exact"/>
        <w:rPr>
          <w:sz w:val="20"/>
          <w:szCs w:val="20"/>
          <w:color w:val="auto"/>
        </w:rPr>
      </w:pPr>
    </w:p>
    <w:p>
      <w:pPr>
        <w:ind w:right="2619" w:firstLine="1"/>
        <w:spacing w:after="0" w:line="251" w:lineRule="auto"/>
        <w:tabs>
          <w:tab w:leader="none" w:pos="39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May 4, 1996, (4) the Company's Current Report on Form 8-K filed on July 16, 1996 and</w:t>
      </w:r>
    </w:p>
    <w:p>
      <w:pPr>
        <w:ind w:right="2519" w:firstLine="1"/>
        <w:spacing w:after="0" w:line="253" w:lineRule="auto"/>
        <w:tabs>
          <w:tab w:leader="none" w:pos="3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filed by the Company pursuant to Section 13(a), 13(c), 14 or 15(d) of the Exchange Act after July 19, 1996 and prior to the date of this Prospectus.</w:t>
      </w:r>
    </w:p>
    <w:p>
      <w:pPr>
        <w:spacing w:after="0" w:line="185"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on the request of any such person, a copy of any or all of the above documents incorporated herein by reference (other than exhibits to such documents, unless such exhibits are specifically incorporated by reference into the documents that this Prospectus incorporates). Requests should be directed to Joseph E. McDonough, Vice President-Finance of Analog Devices, Inc., One Technology Way, Norwood, MA 02062-9106; telephone number (617) 329-4700.</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6"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RISK FACTORS</w:t>
      </w:r>
    </w:p>
    <w:p>
      <w:pPr>
        <w:spacing w:after="0" w:line="198" w:lineRule="exact"/>
        <w:rPr>
          <w:sz w:val="20"/>
          <w:szCs w:val="20"/>
          <w:color w:val="auto"/>
        </w:rPr>
      </w:pPr>
    </w:p>
    <w:p>
      <w:pPr>
        <w:ind w:right="2819" w:firstLine="887"/>
        <w:spacing w:after="0" w:line="252" w:lineRule="auto"/>
        <w:rPr>
          <w:sz w:val="20"/>
          <w:szCs w:val="20"/>
          <w:color w:val="auto"/>
        </w:rPr>
      </w:pPr>
      <w:r>
        <w:rPr>
          <w:rFonts w:ascii="Courier New" w:cs="Courier New" w:eastAsia="Courier New" w:hAnsi="Courier New"/>
          <w:sz w:val="16"/>
          <w:szCs w:val="16"/>
          <w:color w:val="auto"/>
        </w:rPr>
        <w:t>The shares of Common Stock offered hereby involve a high degree of risk, including the risks described below. Prospective investors should carefully consider the following risk factors in addition to the other information contained in, or incorporated by reference in, this Prospectus before purchasing the shares of Common Stock offered hereby.</w:t>
      </w:r>
    </w:p>
    <w:p>
      <w:pPr>
        <w:spacing w:after="0" w:line="18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POTENTIAL FLUCTUATIONS IN OPERATING RESULTS. The Company's operating results are affected by a wide variety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As a result of these and other factors, there can be no assurance that the Company will not experience material fluctuations in future operating results on a quarterly or annual basis.</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DEPENDENCE ON NEW PRODUCTS AND NEW MARKETS. 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continue to grow,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In addition, some of the customers in these markets are less well established which could subject the Company to increased credit risk.</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COMPETITION. 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MANUFACTURING CAPACITY. While the Company is planning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1996 to increase substantially its manufacturing capacity through</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6"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both expansion of its production facilities and increased access to third-party foundries, there can be no assurance that the Company will complete the expansion of its production facilities or secure increased access to third party foundries in a timely manner or that the Company will not encounter unanticipated production problems at either its own facilities or at third-party foundries.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Company believes that other semiconductors manufacturers are also expanding or planning to expand their production capacity over the next several years, and there can be no assurance that the expansion by the Company and its competitors will not lead to over capacity in the Company's target markets, which could lead to price erosion that would adversely affect the Company's operating results.</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MANUFACTURING RISKS. The fabrication of integrated circuits involves highly complex and precise processes that are continuously being modified in an effort to improve yields and product performance. Minute impurities or other difficulties in the manufacturing process can lower yields. As the Company continues to increase its manufacturing output and its use of third-party foundries, there can be no assurance that the Company will not experience a decrease in manufacturing yields or other manufacturing problems. Decreased yields could adversely affect gross margin and operating results. If the Company were unable to use any manufacturing facility, as a result of a natural disaster or otherwise, the Company's operations would be materially adversely affected.</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PATENTS AND INTELLECTUAL PROPERTY. 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Part II, Item 1 - "Legal Proceedings," contained in the Form 10-Q for the fiscal quarter ended May 4, 1996 and Part I, Item 3 - "Legal Proceedings," contained in the Company's Annual Report on Form 10-K for the fiscal year ended October 28, 1995 for information concerning pending litigation involving the Company. An adverse resolution</w:t>
      </w:r>
    </w:p>
    <w:p>
      <w:pPr>
        <w:spacing w:after="0" w:line="3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8"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of such litigation, may, in certain cases, have a material adverse effect on the Company's consolidated financial position or on its consolidated results of operations or cash flows in the period in which the litigation is resolved.</w:t>
      </w:r>
    </w:p>
    <w:p>
      <w:pPr>
        <w:spacing w:after="0" w:line="185"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INTERNATIONAL OPERATIONS. A significant portion of the Company's revenues are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STOCK PRICE VOLATILITY. The trading price of the Company's Common Stock may be subject to wide fluctuations in response to quarter-to-quarter variations in operating results, announcements of new products by the Company or its competitors, general conditions in the semiconductor industry, changes in earnings estimates and recommendations by analysts or other events. In future quarters, if the Company's financial performance were to fall below the performance predicted by securities analysts, the Company's stock price could decline. In addition, the public stock markets have experienced extreme price and trading volume volatility that has significantly affected the market prices of securities of many high technology companies and that has often been unrelated or disproportionate to the operating performance of these companies. These factors may adversely affect the market price of the Common Stock.</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6"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THE COMPANY</w:t>
      </w:r>
    </w:p>
    <w:p>
      <w:pPr>
        <w:spacing w:after="0" w:line="198"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 signal ICs ("SPLICs") and digital signal processing ICs ("DSP ICs"). The Company also manufactures and markets devices using assembled product technology.</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SLICs are sold to a very large customer base for a wide variety of applications, including applications in the medical, engineering and scientific instruments market, factory automation market and military/ aerospace market.</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Over the past five years, Analog has sought to balance its traditionally stable SLIC business with the growth opportunities available for SPLICs and DSP ICs, particularly in the communications and computer markets. Analog's SPLIC and DSP IC products feature high levels of functional integration on a single chip and are designed to address customers' needs to incorporate increasingly greater levels of real-world signal processing capability in their products. The Company's SPLIC and DSP ICs include products used in wireless communication applications, such as digital mobile phones and base stations, and computer applications, such as audio enhancement in multimedia PCs.</w:t>
      </w:r>
    </w:p>
    <w:p>
      <w:pPr>
        <w:spacing w:after="0" w:line="190"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The Company is a Massachusetts corporation with its principal headquarters located at One Technology Way, Norwood, Massachusetts 02062- 9106; and its telephone number is (617) 329-4700.</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USE OF PROCEEDS</w:t>
      </w:r>
    </w:p>
    <w:p>
      <w:pPr>
        <w:spacing w:after="0" w:line="198" w:lineRule="exact"/>
        <w:rPr>
          <w:sz w:val="20"/>
          <w:szCs w:val="20"/>
          <w:color w:val="auto"/>
        </w:rPr>
      </w:pPr>
    </w:p>
    <w:p>
      <w:pPr>
        <w:ind w:right="2339" w:firstLine="887"/>
        <w:spacing w:after="0" w:line="255" w:lineRule="auto"/>
        <w:rPr>
          <w:sz w:val="20"/>
          <w:szCs w:val="20"/>
          <w:color w:val="auto"/>
        </w:rPr>
      </w:pPr>
      <w:r>
        <w:rPr>
          <w:rFonts w:ascii="Courier New" w:cs="Courier New" w:eastAsia="Courier New" w:hAnsi="Courier New"/>
          <w:sz w:val="16"/>
          <w:szCs w:val="16"/>
          <w:color w:val="auto"/>
        </w:rPr>
        <w:t>The Company will not receive any proceeds from the sale of Common Stock by the Selling Stockholders.</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6"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THE SELLING STOCKHOLDERS</w:t>
      </w:r>
    </w:p>
    <w:p>
      <w:pPr>
        <w:spacing w:after="0" w:line="198" w:lineRule="exact"/>
        <w:rPr>
          <w:sz w:val="20"/>
          <w:szCs w:val="20"/>
          <w:color w:val="auto"/>
        </w:rPr>
      </w:pPr>
    </w:p>
    <w:p>
      <w:pPr>
        <w:ind w:right="2619" w:firstLine="887"/>
        <w:spacing w:after="0" w:line="253" w:lineRule="auto"/>
        <w:rPr>
          <w:sz w:val="20"/>
          <w:szCs w:val="20"/>
          <w:color w:val="auto"/>
        </w:rPr>
      </w:pPr>
      <w:r>
        <w:rPr>
          <w:rFonts w:ascii="Courier New" w:cs="Courier New" w:eastAsia="Courier New" w:hAnsi="Courier New"/>
          <w:sz w:val="16"/>
          <w:szCs w:val="16"/>
          <w:color w:val="auto"/>
        </w:rPr>
        <w:t>The shares of Common Stock covered by this Prospectus were issued to the Selling Stockholders in a private placement made in connection with the acquisition of Mosaic by the Company on July 1, 1996.</w:t>
      </w:r>
    </w:p>
    <w:p>
      <w:pPr>
        <w:spacing w:after="0" w:line="185"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The following table sets forth the name and the number of shares of Common Stock beneficially owned by the Selling Stockholders as of July 14, 1996 and the number of the shares to be offered by the Selling Stockholders pursuant to this Prospectus.</w:t>
      </w:r>
    </w:p>
    <w:p>
      <w:pPr>
        <w:spacing w:after="0" w:line="200" w:lineRule="exact"/>
        <w:rPr>
          <w:sz w:val="20"/>
          <w:szCs w:val="20"/>
          <w:color w:val="auto"/>
        </w:rPr>
      </w:pPr>
    </w:p>
    <w:p>
      <w:pPr>
        <w:spacing w:after="0" w:line="366"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2800" w:type="dxa"/>
            <w:vAlign w:val="bottom"/>
          </w:tcPr>
          <w:p>
            <w:pPr>
              <w:ind w:left="280"/>
              <w:spacing w:after="0"/>
              <w:rPr>
                <w:sz w:val="20"/>
                <w:szCs w:val="20"/>
                <w:color w:val="auto"/>
              </w:rPr>
            </w:pPr>
            <w:r>
              <w:rPr>
                <w:rFonts w:ascii="Courier New" w:cs="Courier New" w:eastAsia="Courier New" w:hAnsi="Courier New"/>
                <w:sz w:val="16"/>
                <w:szCs w:val="16"/>
                <w:color w:val="auto"/>
              </w:rPr>
              <w:t>TOTAL NUMBER OF</w:t>
            </w:r>
          </w:p>
        </w:tc>
        <w:tc>
          <w:tcPr>
            <w:tcW w:w="1720" w:type="dxa"/>
            <w:vAlign w:val="bottom"/>
          </w:tcPr>
          <w:p>
            <w:pPr>
              <w:ind w:left="340"/>
              <w:spacing w:after="0"/>
              <w:rPr>
                <w:sz w:val="20"/>
                <w:szCs w:val="20"/>
                <w:color w:val="auto"/>
              </w:rPr>
            </w:pPr>
            <w:r>
              <w:rPr>
                <w:rFonts w:ascii="Courier New" w:cs="Courier New" w:eastAsia="Courier New" w:hAnsi="Courier New"/>
                <w:sz w:val="16"/>
                <w:szCs w:val="16"/>
                <w:color w:val="auto"/>
              </w:rPr>
              <w:t>SHARES OF</w:t>
            </w:r>
          </w:p>
        </w:tc>
      </w:tr>
      <w:tr>
        <w:trPr>
          <w:trHeight w:val="190"/>
        </w:trPr>
        <w:tc>
          <w:tcPr>
            <w:tcW w:w="2960" w:type="dxa"/>
            <w:vAlign w:val="bottom"/>
          </w:tcPr>
          <w:p>
            <w:pPr>
              <w:spacing w:after="0"/>
              <w:rPr>
                <w:sz w:val="16"/>
                <w:szCs w:val="16"/>
                <w:color w:val="auto"/>
              </w:rPr>
            </w:pPr>
          </w:p>
        </w:tc>
        <w:tc>
          <w:tcPr>
            <w:tcW w:w="2800" w:type="dxa"/>
            <w:vAlign w:val="bottom"/>
          </w:tcPr>
          <w:p>
            <w:pPr>
              <w:ind w:left="280"/>
              <w:spacing w:after="0"/>
              <w:rPr>
                <w:sz w:val="20"/>
                <w:szCs w:val="20"/>
                <w:color w:val="auto"/>
              </w:rPr>
            </w:pPr>
            <w:r>
              <w:rPr>
                <w:rFonts w:ascii="Courier New" w:cs="Courier New" w:eastAsia="Courier New" w:hAnsi="Courier New"/>
                <w:sz w:val="16"/>
                <w:szCs w:val="16"/>
                <w:color w:val="auto"/>
              </w:rPr>
              <w:t>SHARES OF COMMON STOCK</w:t>
            </w:r>
          </w:p>
        </w:tc>
        <w:tc>
          <w:tcPr>
            <w:tcW w:w="1720" w:type="dxa"/>
            <w:vAlign w:val="bottom"/>
          </w:tcPr>
          <w:p>
            <w:pPr>
              <w:ind w:left="340"/>
              <w:spacing w:after="0"/>
              <w:rPr>
                <w:sz w:val="20"/>
                <w:szCs w:val="20"/>
                <w:color w:val="auto"/>
              </w:rPr>
            </w:pPr>
            <w:r>
              <w:rPr>
                <w:rFonts w:ascii="Courier New" w:cs="Courier New" w:eastAsia="Courier New" w:hAnsi="Courier New"/>
                <w:sz w:val="16"/>
                <w:szCs w:val="16"/>
                <w:color w:val="auto"/>
              </w:rPr>
              <w:t>COMMON STOCK</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NAME OF SELLING STOCKHOLDER</w:t>
            </w:r>
          </w:p>
        </w:tc>
        <w:tc>
          <w:tcPr>
            <w:tcW w:w="2800" w:type="dxa"/>
            <w:vAlign w:val="bottom"/>
          </w:tcPr>
          <w:p>
            <w:pPr>
              <w:ind w:left="280"/>
              <w:spacing w:after="0"/>
              <w:rPr>
                <w:sz w:val="20"/>
                <w:szCs w:val="20"/>
                <w:color w:val="auto"/>
              </w:rPr>
            </w:pPr>
            <w:r>
              <w:rPr>
                <w:rFonts w:ascii="Courier New" w:cs="Courier New" w:eastAsia="Courier New" w:hAnsi="Courier New"/>
                <w:sz w:val="16"/>
                <w:szCs w:val="16"/>
                <w:color w:val="auto"/>
              </w:rPr>
              <w:t>BENEFICIALLY OWNED</w:t>
            </w:r>
          </w:p>
        </w:tc>
        <w:tc>
          <w:tcPr>
            <w:tcW w:w="1720" w:type="dxa"/>
            <w:vAlign w:val="bottom"/>
          </w:tcPr>
          <w:p>
            <w:pPr>
              <w:ind w:left="340"/>
              <w:spacing w:after="0"/>
              <w:rPr>
                <w:sz w:val="20"/>
                <w:szCs w:val="20"/>
                <w:color w:val="auto"/>
              </w:rPr>
            </w:pPr>
            <w:r>
              <w:rPr>
                <w:rFonts w:ascii="Courier New" w:cs="Courier New" w:eastAsia="Courier New" w:hAnsi="Courier New"/>
                <w:sz w:val="16"/>
                <w:szCs w:val="16"/>
                <w:color w:val="auto"/>
              </w:rPr>
              <w:t>OFFERED HEREBY</w:t>
            </w:r>
          </w:p>
        </w:tc>
      </w:tr>
      <w:tr>
        <w:trPr>
          <w:trHeight w:val="569"/>
        </w:trPr>
        <w:tc>
          <w:tcPr>
            <w:tcW w:w="2960" w:type="dxa"/>
            <w:vAlign w:val="bottom"/>
          </w:tcPr>
          <w:p>
            <w:pPr>
              <w:spacing w:after="0"/>
              <w:rPr>
                <w:sz w:val="20"/>
                <w:szCs w:val="20"/>
                <w:color w:val="auto"/>
              </w:rPr>
            </w:pPr>
            <w:r>
              <w:rPr>
                <w:rFonts w:ascii="Courier New" w:cs="Courier New" w:eastAsia="Courier New" w:hAnsi="Courier New"/>
                <w:sz w:val="16"/>
                <w:szCs w:val="16"/>
                <w:color w:val="auto"/>
              </w:rPr>
              <w:t>Simon Atkinson(1)</w:t>
            </w:r>
          </w:p>
        </w:tc>
        <w:tc>
          <w:tcPr>
            <w:tcW w:w="280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19,094</w:t>
            </w:r>
          </w:p>
        </w:tc>
        <w:tc>
          <w:tcPr>
            <w:tcW w:w="17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19,094</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Jonathan Richard Strange(2)</w:t>
            </w:r>
          </w:p>
        </w:tc>
        <w:tc>
          <w:tcPr>
            <w:tcW w:w="280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19,094</w:t>
            </w:r>
          </w:p>
        </w:tc>
        <w:tc>
          <w:tcPr>
            <w:tcW w:w="17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19,094</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Jane Atkinson(3)</w:t>
            </w:r>
          </w:p>
        </w:tc>
        <w:tc>
          <w:tcPr>
            <w:tcW w:w="280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13,953</w:t>
            </w:r>
          </w:p>
        </w:tc>
        <w:tc>
          <w:tcPr>
            <w:tcW w:w="17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13,953</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Kate Elizabeth Baldwin(4)</w:t>
            </w:r>
          </w:p>
        </w:tc>
        <w:tc>
          <w:tcPr>
            <w:tcW w:w="280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13,953</w:t>
            </w:r>
          </w:p>
        </w:tc>
        <w:tc>
          <w:tcPr>
            <w:tcW w:w="17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13,953</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Svein Olav Davidsen(5)</w:t>
            </w:r>
          </w:p>
        </w:tc>
        <w:tc>
          <w:tcPr>
            <w:tcW w:w="280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3,672</w:t>
            </w:r>
          </w:p>
        </w:tc>
        <w:tc>
          <w:tcPr>
            <w:tcW w:w="17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3,672</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Timothy Doyen(6)</w:t>
            </w:r>
          </w:p>
        </w:tc>
        <w:tc>
          <w:tcPr>
            <w:tcW w:w="280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4,994</w:t>
            </w:r>
          </w:p>
        </w:tc>
        <w:tc>
          <w:tcPr>
            <w:tcW w:w="17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4,994</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Christopher Schiller(7)</w:t>
            </w:r>
          </w:p>
        </w:tc>
        <w:tc>
          <w:tcPr>
            <w:tcW w:w="280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1,028</w:t>
            </w:r>
          </w:p>
        </w:tc>
        <w:tc>
          <w:tcPr>
            <w:tcW w:w="17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1,028</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Christopher Saint(8)</w:t>
            </w:r>
          </w:p>
        </w:tc>
        <w:tc>
          <w:tcPr>
            <w:tcW w:w="280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808</w:t>
            </w:r>
          </w:p>
        </w:tc>
        <w:tc>
          <w:tcPr>
            <w:tcW w:w="17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808</w:t>
            </w:r>
          </w:p>
        </w:tc>
      </w:tr>
    </w:tbl>
    <w:p>
      <w:pPr>
        <w:spacing w:after="0" w:line="3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880" w:right="2519" w:hanging="485"/>
        <w:spacing w:after="0" w:line="251"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Atkinson served as a managing director of Mosaic and is currently an employee of Mosaic, a wholly-owned subsidiary of the Company.</w:t>
      </w:r>
    </w:p>
    <w:p>
      <w:pPr>
        <w:jc w:val="both"/>
        <w:ind w:left="880" w:right="2439" w:hanging="485"/>
        <w:spacing w:after="0" w:line="251"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Strange served as a managing director of Mosaic and is currently a managing director of Mosaic, a wholly-owned subsidiary of the Company.</w:t>
      </w:r>
    </w:p>
    <w:p>
      <w:pPr>
        <w:ind w:left="880" w:right="3019" w:hanging="485"/>
        <w:spacing w:after="0" w:line="251"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Atkinson served as an employee of Mosaic and is currently an employee of Mosaic, a wholly-owned subsidiary of the Company.</w:t>
      </w:r>
    </w:p>
    <w:p>
      <w:pPr>
        <w:ind w:left="880" w:hanging="485"/>
        <w:spacing w:after="0"/>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Baldwin served as Mosaic Company Secretary.</w:t>
      </w:r>
    </w:p>
    <w:p>
      <w:pPr>
        <w:spacing w:after="0" w:line="8" w:lineRule="exact"/>
        <w:rPr>
          <w:rFonts w:ascii="Courier New" w:cs="Courier New" w:eastAsia="Courier New" w:hAnsi="Courier New"/>
          <w:sz w:val="16"/>
          <w:szCs w:val="16"/>
          <w:color w:val="auto"/>
        </w:rPr>
      </w:pPr>
    </w:p>
    <w:p>
      <w:pPr>
        <w:ind w:left="880" w:hanging="485"/>
        <w:spacing w:after="0"/>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Davidsen served as a managing director of Mosaic.</w:t>
      </w:r>
    </w:p>
    <w:p>
      <w:pPr>
        <w:spacing w:after="0" w:line="8" w:lineRule="exact"/>
        <w:rPr>
          <w:rFonts w:ascii="Courier New" w:cs="Courier New" w:eastAsia="Courier New" w:hAnsi="Courier New"/>
          <w:sz w:val="16"/>
          <w:szCs w:val="16"/>
          <w:color w:val="auto"/>
        </w:rPr>
      </w:pPr>
    </w:p>
    <w:p>
      <w:pPr>
        <w:ind w:left="880" w:right="2719" w:hanging="485"/>
        <w:spacing w:after="0" w:line="251"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Doyen served as an officer and director of Mosaic Microsystems, Inc. ("Mosaic, Inc."), a indirectly wholly-owned subsidiary of the Company.</w:t>
      </w:r>
    </w:p>
    <w:p>
      <w:pPr>
        <w:ind w:left="880" w:right="2439" w:hanging="485"/>
        <w:spacing w:after="0" w:line="251"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Schiller served as an employee of Mosaic, Inc. and is currently an employee of Mosaic, Inc., a indirectly wholly-owned subsidiary of the Company.</w:t>
      </w:r>
    </w:p>
    <w:p>
      <w:pPr>
        <w:ind w:left="880" w:right="2519" w:hanging="485"/>
        <w:spacing w:after="0" w:line="253"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Saint served as an employee of Mosaic, Inc. and is currently an employee of Mosaic, Inc., a indirectly wholly-owned subsidiary of the Company.</w:t>
      </w:r>
    </w:p>
    <w:p>
      <w:pPr>
        <w:spacing w:after="0" w:line="185"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Company cannot determine the number of shares of Common Stock which will be held by the Selling Stockholders upon the completion of the offering, as the length of time of the offering period and the determination of whether to buy or sell additional securities of the Company during the offering period are at the discretion of the Selling Stockholders.</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6"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PLAN OF DISTRIBUTION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Shares of Common Stock covered hereby may be offered and sold from time to time by the Selling Stockholders. The Selling Stockholders will act independently of the Company in making decisions with respect to the timing, manner and size of each sale. Such sales may be made on one or more exchanges or in the over-the-counter market or otherwise, at prices related to the then current market price or in negotiated transactions, including pursuant to an underwritten offering or one or more of the following methods: (a) purchases by a broker-dealer as principal and resale by such broker-dealer for its account pursuant to this Prospectus; (b) ordinary brokerage transactions and transactions in which a broker solicits purchasers; and (c) block trades in which a broker-dealer so engaged will attempt to sell the shares as agent but may position and resell a portion of the block as principal to facilitate the transaction. The Company has been advised by the Selling Stockholders that they have not made any arrangements relating to the distribution of the shares covered by this Prospectus. In effecting sales, broker-dealers engaged by the Selling Stockholders may arrange for other broker-dealers to participate. Broker-dealers will receive commissions or discounts from the Selling Stockholders in amounts to be negotiated immediately prior to the sale. The Registration Rights annexed to the Share Purchase Agreement between the Company and the Selling Stockholders dated July 1, 1996 provide that the Company will indemnify the Selling Stockholders against certain liabilities, including liabilities under the Securities Act.</w:t>
      </w:r>
    </w:p>
    <w:p>
      <w:pPr>
        <w:spacing w:after="0" w:line="38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In offering the shares of Common Stock covered hereby, the Selling Stockholders and any broker-dealers and any other participating broker-dealers who execute sales for the Selling Stockholders may be deemed to be "underwriters" within the meaning of the Securities Act in connection with such sales, and any profits realized by the Selling Stockholders and the compensation of such broker-dealer may be deemed to be underwriting discounts and commissions. In addition, any shares covered by this Prospectus which qualify for sale pursuant to Rule 144 may be sold under Rule 144 rather than pursuant to this Prospectus. None of the shares covered by this Prospectus presently qualify for sale pursuant to Rule 144.</w:t>
      </w:r>
    </w:p>
    <w:p>
      <w:pPr>
        <w:spacing w:after="0" w:line="379"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Company has advised the Selling Stockholders that during such time as they may be engaged in a distribution of the shares of Common Stock covered hereby they are required to comply with Rules 10b-6 and 10b-7 under the Exchange Act (as those Rules are described in more detail below) and, in connection therewith, that they may not engage in any stabilization activity in connection with the Company's securities, are required to furnish to each broker-dealer through which the shares of Common Stock covered hereby may be offered copies of this Prospectus, and may not bid for or purchase any securities of the Company or attempt to induce any person to purchase any Company securities except as permitted under the Exchange Act. The Selling Stockholders have agreed to inform the Company when the distribution of the shares of Common Stock covered hereby is completed.</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6"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Rule 10b-6 under the Exchange Act prohibits, with certain exceptions, participants in a distribution from bidding for or purchasing, for an account in which the participant has a beneficial interest, any of the securities that are the subject of the distribution. Rule 10b-7 governs bids and purchases made in order to stabilize the price of a security in connection with a distribution of the security.</w:t>
      </w:r>
    </w:p>
    <w:p>
      <w:pPr>
        <w:spacing w:after="0" w:line="190"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This offering will terminate on the earlier of (i) 24 months after the effective date of this Prospectus or (ii) the date on which the shares of Common Stock covered hereby have been sold by the Selling Stockholders.</w:t>
      </w:r>
    </w:p>
    <w:p>
      <w:pPr>
        <w:spacing w:after="0" w:line="185"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DESCRIPTION OF CAPITAL STOCK</w:t>
      </w:r>
    </w:p>
    <w:p>
      <w:pPr>
        <w:spacing w:after="0" w:line="198" w:lineRule="exact"/>
        <w:rPr>
          <w:sz w:val="20"/>
          <w:szCs w:val="20"/>
          <w:color w:val="auto"/>
        </w:rPr>
      </w:pPr>
    </w:p>
    <w:p>
      <w:pPr>
        <w:ind w:right="2719" w:firstLine="887"/>
        <w:spacing w:after="0" w:line="253" w:lineRule="auto"/>
        <w:rPr>
          <w:sz w:val="20"/>
          <w:szCs w:val="20"/>
          <w:color w:val="auto"/>
        </w:rPr>
      </w:pPr>
      <w:r>
        <w:rPr>
          <w:rFonts w:ascii="Courier New" w:cs="Courier New" w:eastAsia="Courier New" w:hAnsi="Courier New"/>
          <w:sz w:val="16"/>
          <w:szCs w:val="16"/>
          <w:color w:val="auto"/>
        </w:rPr>
        <w:t>The authorized capital stock of the Company consists of 450,000,000 shares of Common Stock, $.16 2/3 par value per share, and 500,000 shares of preferred stock, $1.00 par value per share (the "Preferred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8" w:lineRule="exact"/>
        <w:rPr>
          <w:sz w:val="20"/>
          <w:szCs w:val="20"/>
          <w:color w:val="auto"/>
        </w:rPr>
      </w:pPr>
    </w:p>
    <w:p>
      <w:pPr>
        <w:ind w:right="2819" w:firstLine="887"/>
        <w:spacing w:after="0" w:line="255" w:lineRule="auto"/>
        <w:rPr>
          <w:sz w:val="20"/>
          <w:szCs w:val="20"/>
          <w:color w:val="auto"/>
        </w:rPr>
      </w:pPr>
      <w:r>
        <w:rPr>
          <w:rFonts w:ascii="Courier New" w:cs="Courier New" w:eastAsia="Courier New" w:hAnsi="Courier New"/>
          <w:sz w:val="16"/>
          <w:szCs w:val="16"/>
          <w:color w:val="auto"/>
        </w:rPr>
        <w:t>As of July 15, 1996, there were 116,257,830 shares of Common Stock outstanding and held of record by approximately 5,499 stockholders.</w:t>
      </w:r>
    </w:p>
    <w:p>
      <w:pPr>
        <w:spacing w:after="0" w:line="184"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such dividends, if any, as may be declared by the Board of Directors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the Company may designate and issue in the future. There are no shares of Preferred Stock outstanding.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Board of Directors of the Company is authorized, subject to certain limitations prescribed by law, without further stockholder approval to issue from time to time up to an aggregate of 500,000 shares of Preferred Stock in one or more series and to fix or alter the designations, preferences, rights and any qualifications, limitations or restrictions of the shares of each such series thereof, including the dividend rights, dividend rates,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6"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conversion rights, voting rights, terms of redemption (including sinking fund provisions), redemption price or prices, liquidation preferences and the number of shares constituting any series or designation of such series. The issuance of Preferred Stock may have the effect of delaying, deferring or preventing a change of control of the Company. The Company has no present plans to issue any shares of Preferred Stock.</w:t>
      </w:r>
    </w:p>
    <w:p>
      <w:pPr>
        <w:spacing w:after="0" w:line="190"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MASSACHUSETTS LAW AND CERTAIN PROVISIONS OF THE COMPANY'S RESTATED ARTICLES OF ORGANIZATION AND BY-LAWS</w:t>
      </w:r>
    </w:p>
    <w:p>
      <w:pPr>
        <w:spacing w:after="0" w:line="184"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Because the Company has more than 200 stockholders of record, it is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 (i) the interested stockholder obtains the approval of the Board of Directors prior to becoming an interested stockholder, (ii) the interested stockholder acquires 90% of the outstanding voting stock of the corporation (excluding shares held by certain affiliates of the corporation) at the time it becomes an interested stockholder, or (iii) the business combination is approved by both the Board of Directors and the holders of two-thirds of the outstanding voting stock of the corporation (excluding shares held by the interested stockholder). An "interested stockholder" is a person who, together with affiliates and associates, owns (or at any time within the prior three years did own) 5% or more of the outstanding voting stock of the corporation. A "business combination" includes a merger, a stock or asset sale, and certain other transactions resulting in a financial benefit to the interested stockholders.</w:t>
      </w:r>
    </w:p>
    <w:p>
      <w:pPr>
        <w:spacing w:after="0" w:line="38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Massachusetts General Laws Chapter 156B, Section 50A generally requires that publicly-held Massachusetts corporation have a classified board of directors consisting of three classes as nearly equal in size as possible, unless the corporation elects to opt out of the statute's coverage. The Company's By-Laws contain provisions which give effect to Section 50A.</w:t>
      </w:r>
    </w:p>
    <w:p>
      <w:pPr>
        <w:spacing w:after="0" w:line="18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Company's By-Laws include a provision excluding the Company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such stock unless the stockholders of the corporation so authorize. The Board of Directors may amend the Company's By-Laws at any time to subject the Company to this statute prospectively.</w:t>
      </w:r>
    </w:p>
    <w:p>
      <w:pPr>
        <w:spacing w:after="0" w:line="19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6"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or on behalf of the Company. In addition, the Articles of Organization provide that the directors of the Company will not be personally liable for monetary damages to the Company for breaches of their fiduciary duty as directors.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RIGHTS PLAN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Company adopted a Stockholder Rights Plan on January 28, 1988, which was amended on June 14, 1989 (the "Rights Plan"). Pursuant to the Rights Plan, each share of Common Stock has an associated right (a "Right"). Each Right entitles the registered holder to purchase from the Company one share of Common Stock at a purchase price of $26.67 (as adjusted to account for the 50% Common Stock dividend distributed by the Company on January 3, 1996) per share, subject to adjustment (the "Purchase Price").</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Rights will be exercisable upon the earlier of (i) ten business days following a public announcement that a person or group has acquired, or obtained the right to acquire, beneficial ownership of 20% or more of the outstanding Common Stock of the Company (an "Acquiring Person"), or (ii) ten business days following the commencement of a tender offer or exchange offer, the consummation of which would result in a person or group owning 30% or more of the outstanding Common Stock (the earlier of such dates being called the "Distribution Date"). Until a Right is exercised, the holder thereof has no rights as a stockholder of the Company. Until the Distribution Date (or earlier redemption or expiration of the Rights), Rights are transferred with and only with the Common Stock.</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In certain circumstances specified in the Rights Plan, including certain circumstances occurring after any person or group becomes an Acquiring Person, each holder of a Right, other than Rights beneficially owned by the Acquiring Person, will thereafter have the right to receive upon exercise that number of shares of Common Stock having a market value of two times the Purchase Price, and in the event that the Company is acquired in a business combination transaction or 50% or more of its assets are sold, each holder of a Right will thereafter have the right to receive upon exercise that number of shares of Common Stock of the acquiring company which at the time of the transaction will have a market value of two times the Purchase Price.</w:t>
      </w:r>
    </w:p>
    <w:p>
      <w:pPr>
        <w:spacing w:after="0" w:line="19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Rights have certain anti-takeover effects, in that they would cause substantial dilution to a person or group that attempts to acquire a significant interest in the Company on terms not approved by the Board of Directors. The Board of Directors of the Company may in certain circumstances redeem the Rights in whole at a price of $.0089 per Right, as adjusted.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8" w:lineRule="exact"/>
        <w:rPr>
          <w:sz w:val="20"/>
          <w:szCs w:val="20"/>
          <w:color w:val="auto"/>
        </w:rPr>
      </w:pPr>
    </w:p>
    <w:p>
      <w:pPr>
        <w:ind w:right="2819" w:firstLine="887"/>
        <w:spacing w:after="0" w:line="255" w:lineRule="auto"/>
        <w:rPr>
          <w:sz w:val="20"/>
          <w:szCs w:val="20"/>
          <w:color w:val="auto"/>
        </w:rPr>
      </w:pPr>
      <w:r>
        <w:rPr>
          <w:rFonts w:ascii="Courier New" w:cs="Courier New" w:eastAsia="Courier New" w:hAnsi="Courier New"/>
          <w:sz w:val="16"/>
          <w:szCs w:val="16"/>
          <w:color w:val="auto"/>
        </w:rPr>
        <w:t>The transfer agent and registrar for the Company's Common Stock is Boston EquiServe L.P.</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6"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LEGAL MATTERS</w:t>
      </w:r>
    </w:p>
    <w:p>
      <w:pPr>
        <w:spacing w:after="0" w:line="198" w:lineRule="exact"/>
        <w:rPr>
          <w:sz w:val="20"/>
          <w:szCs w:val="20"/>
          <w:color w:val="auto"/>
        </w:rPr>
      </w:pPr>
    </w:p>
    <w:p>
      <w:pPr>
        <w:ind w:right="2519" w:firstLine="887"/>
        <w:spacing w:after="0" w:line="255" w:lineRule="auto"/>
        <w:rPr>
          <w:sz w:val="20"/>
          <w:szCs w:val="20"/>
          <w:color w:val="auto"/>
        </w:rPr>
      </w:pPr>
      <w:r>
        <w:rPr>
          <w:rFonts w:ascii="Courier New" w:cs="Courier New" w:eastAsia="Courier New" w:hAnsi="Courier New"/>
          <w:sz w:val="16"/>
          <w:szCs w:val="16"/>
          <w:color w:val="auto"/>
        </w:rPr>
        <w:t>The validity of the shares offered hereby will be passed upon for the Company by Hale and Dorr, Boston, Massachusetts.</w:t>
      </w:r>
    </w:p>
    <w:p>
      <w:pPr>
        <w:spacing w:after="0" w:line="18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EXPERTS</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consolidated financial statements of Analog Devices, Inc. appearing in Analog Devices, Inc.'s Annual Report (Form 10-K) for the year ended October 28, 1995 have been audited by Ernst &amp; Young LLP, independent auditors,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6"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dealer, salesman or any other person has been authorized to give any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gridSpan w:val="4"/>
          </w:tcPr>
          <w:p>
            <w:pPr>
              <w:spacing w:after="0"/>
              <w:rPr>
                <w:sz w:val="20"/>
                <w:szCs w:val="20"/>
                <w:color w:val="auto"/>
              </w:rPr>
            </w:pPr>
            <w:r>
              <w:rPr>
                <w:rFonts w:ascii="Courier New" w:cs="Courier New" w:eastAsia="Courier New" w:hAnsi="Courier New"/>
                <w:sz w:val="16"/>
                <w:szCs w:val="16"/>
                <w:color w:val="auto"/>
              </w:rPr>
              <w:t>information or to make any representation in</w:t>
            </w:r>
          </w:p>
        </w:tc>
        <w:tc>
          <w:tcPr>
            <w:tcW w:w="2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connection with this</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offering other</w:t>
            </w:r>
          </w:p>
        </w:tc>
      </w:tr>
      <w:tr>
        <w:trPr>
          <w:trHeight w:val="190"/>
        </w:trPr>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rPr>
              <w:t>than those contained</w:t>
            </w:r>
          </w:p>
        </w:tc>
        <w:tc>
          <w:tcPr>
            <w:tcW w:w="2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this Prospectus, and</w:t>
            </w:r>
          </w:p>
        </w:tc>
        <w:tc>
          <w:tcPr>
            <w:tcW w:w="3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any information or representation</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not contained</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herein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must not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be relied upon</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as</w:t>
            </w:r>
          </w:p>
        </w:tc>
        <w:tc>
          <w:tcPr>
            <w:tcW w:w="32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having been authorized by the</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Company. This</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Prospectus does</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not constitute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an</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offer to sell, or</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a solicitation</w:t>
            </w:r>
          </w:p>
        </w:tc>
      </w:tr>
    </w:tbl>
    <w:p>
      <w:pPr>
        <w:spacing w:after="0" w:line="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760" w:type="dxa"/>
            <w:vAlign w:val="bottom"/>
          </w:tcPr>
          <w:p>
            <w:pPr>
              <w:spacing w:after="0"/>
              <w:rPr>
                <w:sz w:val="24"/>
                <w:szCs w:val="24"/>
                <w:color w:val="auto"/>
              </w:rPr>
            </w:pPr>
          </w:p>
        </w:tc>
        <w:tc>
          <w:tcPr>
            <w:tcW w:w="1780" w:type="dxa"/>
            <w:vAlign w:val="bottom"/>
          </w:tcPr>
          <w:p>
            <w:pPr>
              <w:jc w:val="right"/>
              <w:ind w:right="24"/>
              <w:spacing w:after="0"/>
              <w:rPr>
                <w:sz w:val="20"/>
                <w:szCs w:val="20"/>
                <w:color w:val="auto"/>
              </w:rPr>
            </w:pPr>
            <w:r>
              <w:rPr>
                <w:rFonts w:ascii="Courier New" w:cs="Courier New" w:eastAsia="Courier New" w:hAnsi="Courier New"/>
                <w:sz w:val="16"/>
                <w:szCs w:val="16"/>
                <w:color w:val="auto"/>
              </w:rPr>
              <w:t>TABLE OF CONTENTS</w:t>
            </w:r>
          </w:p>
        </w:tc>
      </w:tr>
      <w:tr>
        <w:trPr>
          <w:trHeight w:val="379"/>
        </w:trPr>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760" w:type="dxa"/>
            <w:vAlign w:val="bottom"/>
          </w:tcPr>
          <w:p>
            <w:pPr>
              <w:spacing w:after="0"/>
              <w:rPr>
                <w:sz w:val="24"/>
                <w:szCs w:val="24"/>
                <w:color w:val="auto"/>
              </w:rPr>
            </w:pP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Page</w:t>
            </w:r>
          </w:p>
        </w:tc>
      </w:tr>
      <w:tr>
        <w:trPr>
          <w:trHeight w:val="379"/>
        </w:trPr>
        <w:tc>
          <w:tcPr>
            <w:tcW w:w="2760" w:type="dxa"/>
            <w:vAlign w:val="bottom"/>
          </w:tcPr>
          <w:p>
            <w:pPr>
              <w:spacing w:after="0"/>
              <w:rPr>
                <w:sz w:val="20"/>
                <w:szCs w:val="20"/>
                <w:color w:val="auto"/>
              </w:rPr>
            </w:pPr>
            <w:r>
              <w:rPr>
                <w:rFonts w:ascii="Courier New" w:cs="Courier New" w:eastAsia="Courier New" w:hAnsi="Courier New"/>
                <w:sz w:val="16"/>
                <w:szCs w:val="16"/>
                <w:color w:val="auto"/>
                <w:w w:val="86"/>
              </w:rPr>
              <w:t>Available Information............</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2</w:t>
            </w:r>
          </w:p>
        </w:tc>
      </w:tr>
      <w:tr>
        <w:trPr>
          <w:trHeight w:val="190"/>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of Certain Documents by</w:t>
            </w:r>
          </w:p>
        </w:tc>
      </w:tr>
      <w:tr>
        <w:trPr>
          <w:trHeight w:val="379"/>
        </w:trPr>
        <w:tc>
          <w:tcPr>
            <w:tcW w:w="2760" w:type="dxa"/>
            <w:vAlign w:val="bottom"/>
          </w:tcPr>
          <w:p>
            <w:pPr>
              <w:ind w:left="200"/>
              <w:spacing w:after="0"/>
              <w:rPr>
                <w:sz w:val="20"/>
                <w:szCs w:val="20"/>
                <w:color w:val="auto"/>
              </w:rPr>
            </w:pPr>
            <w:r>
              <w:rPr>
                <w:rFonts w:ascii="Courier New" w:cs="Courier New" w:eastAsia="Courier New" w:hAnsi="Courier New"/>
                <w:sz w:val="16"/>
                <w:szCs w:val="16"/>
                <w:color w:val="auto"/>
                <w:w w:val="85"/>
              </w:rPr>
              <w:t>Reference......................</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2</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w w:val="86"/>
              </w:rPr>
              <w:t>Risk Factors.....................</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4</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w w:val="86"/>
              </w:rPr>
              <w:t>The Company......................</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7</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w w:val="86"/>
              </w:rPr>
              <w:t>Use of Proceeds..................</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7</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w w:val="86"/>
              </w:rPr>
              <w:t>The Selling Stockholders.........</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8</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w w:val="86"/>
              </w:rPr>
              <w:t>Plan of Distribution.............</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9</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rPr>
              <w:t>Description of Capital Stock</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.....10</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w w:val="86"/>
              </w:rPr>
              <w:t>Legal Matters....................</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13</w:t>
            </w:r>
          </w:p>
        </w:tc>
      </w:tr>
      <w:tr>
        <w:trPr>
          <w:trHeight w:val="190"/>
        </w:trPr>
        <w:tc>
          <w:tcPr>
            <w:tcW w:w="2760" w:type="dxa"/>
            <w:vAlign w:val="bottom"/>
          </w:tcPr>
          <w:p>
            <w:pPr>
              <w:spacing w:after="0"/>
              <w:rPr>
                <w:sz w:val="20"/>
                <w:szCs w:val="20"/>
                <w:color w:val="auto"/>
              </w:rPr>
            </w:pPr>
            <w:r>
              <w:rPr>
                <w:rFonts w:ascii="Courier New" w:cs="Courier New" w:eastAsia="Courier New" w:hAnsi="Courier New"/>
                <w:sz w:val="16"/>
                <w:szCs w:val="16"/>
                <w:color w:val="auto"/>
                <w:w w:val="86"/>
              </w:rPr>
              <w:t>Experts..........................</w:t>
            </w:r>
          </w:p>
        </w:tc>
        <w:tc>
          <w:tcPr>
            <w:tcW w:w="1780" w:type="dxa"/>
            <w:vAlign w:val="bottom"/>
          </w:tcPr>
          <w:p>
            <w:pPr>
              <w:jc w:val="right"/>
              <w:ind w:right="524"/>
              <w:spacing w:after="0"/>
              <w:rPr>
                <w:sz w:val="20"/>
                <w:szCs w:val="20"/>
                <w:color w:val="auto"/>
              </w:rPr>
            </w:pPr>
            <w:r>
              <w:rPr>
                <w:rFonts w:ascii="Courier New" w:cs="Courier New" w:eastAsia="Courier New" w:hAnsi="Courier New"/>
                <w:sz w:val="16"/>
                <w:szCs w:val="16"/>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76,596 Shares</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[ANALOG LOGO]</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COMMON STOCK</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PROSPECTUS</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 1996</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6"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PART II</w:t>
      </w:r>
    </w:p>
    <w:p>
      <w:pPr>
        <w:spacing w:after="0" w:line="19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98"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The following table sets forth the various expenses in connection with the issuance and distribution of the securities being registered. All amounts shown are estimates except the Securities and Exchange Commission registration fee.</w:t>
      </w:r>
    </w:p>
    <w:p>
      <w:pPr>
        <w:spacing w:after="0" w:line="200" w:lineRule="exact"/>
        <w:rPr>
          <w:sz w:val="20"/>
          <w:szCs w:val="20"/>
          <w:color w:val="auto"/>
        </w:rPr>
      </w:pPr>
    </w:p>
    <w:p>
      <w:pPr>
        <w:spacing w:after="0" w:line="366"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SEC Registration Fee..................................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485.33</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NYSE Listing Fee......................................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Transfer Agent and Registrar..........................</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Accounting Fees and Expenses..........................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Legal Fees and Expenses...............................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Printing and Engraving................................</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3,000.00</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Miscellaneous.........................................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2,514.67</w:t>
            </w:r>
          </w:p>
        </w:tc>
      </w:tr>
      <w:tr>
        <w:trPr>
          <w:trHeight w:val="190"/>
        </w:trPr>
        <w:tc>
          <w:tcPr>
            <w:tcW w:w="5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$22,000.00</w:t>
            </w:r>
          </w:p>
        </w:tc>
      </w:tr>
      <w:tr>
        <w:trPr>
          <w:trHeight w:val="190"/>
        </w:trPr>
        <w:tc>
          <w:tcPr>
            <w:tcW w:w="5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38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0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18</w:t>
      </w:r>
    </w:p>
    <w:p>
      <w:pPr>
        <w:spacing w:after="0" w:line="8" w:lineRule="exact"/>
        <w:rPr>
          <w:sz w:val="20"/>
          <w:szCs w:val="20"/>
          <w:color w:val="auto"/>
        </w:rPr>
      </w:pPr>
    </w:p>
    <w:p>
      <w:pPr>
        <w:ind w:left="100" w:right="2339"/>
        <w:spacing w:after="0" w:line="251" w:lineRule="auto"/>
        <w:rPr>
          <w:sz w:val="20"/>
          <w:szCs w:val="20"/>
          <w:color w:val="auto"/>
        </w:rPr>
      </w:pPr>
      <w:r>
        <w:rPr>
          <w:rFonts w:ascii="Courier New" w:cs="Courier New" w:eastAsia="Courier New" w:hAnsi="Courier New"/>
          <w:sz w:val="16"/>
          <w:szCs w:val="16"/>
          <w:color w:val="auto"/>
        </w:rPr>
        <w:t>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190" w:lineRule="exact"/>
        <w:rPr>
          <w:sz w:val="20"/>
          <w:szCs w:val="20"/>
          <w:color w:val="auto"/>
        </w:rPr>
      </w:pPr>
    </w:p>
    <w:p>
      <w:pPr>
        <w:ind w:left="100" w:right="2339" w:firstLine="493"/>
        <w:spacing w:after="0" w:line="251" w:lineRule="auto"/>
        <w:rPr>
          <w:sz w:val="20"/>
          <w:szCs w:val="20"/>
          <w:color w:val="auto"/>
        </w:rPr>
      </w:pPr>
      <w:r>
        <w:rPr>
          <w:rFonts w:ascii="Courier New" w:cs="Courier New" w:eastAsia="Courier New" w:hAnsi="Courier New"/>
          <w:sz w:val="16"/>
          <w:szCs w:val="16"/>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190" w:lineRule="exact"/>
        <w:rPr>
          <w:sz w:val="20"/>
          <w:szCs w:val="20"/>
          <w:color w:val="auto"/>
        </w:rPr>
      </w:pPr>
    </w:p>
    <w:p>
      <w:pPr>
        <w:ind w:left="100" w:right="2339" w:firstLine="493"/>
        <w:spacing w:after="0" w:line="251" w:lineRule="auto"/>
        <w:rPr>
          <w:sz w:val="20"/>
          <w:szCs w:val="20"/>
          <w:color w:val="auto"/>
        </w:rPr>
      </w:pPr>
      <w:r>
        <w:rPr>
          <w:rFonts w:ascii="Courier New" w:cs="Courier New" w:eastAsia="Courier New" w:hAnsi="Courier New"/>
          <w:sz w:val="16"/>
          <w:szCs w:val="16"/>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190" w:lineRule="exact"/>
        <w:rPr>
          <w:sz w:val="20"/>
          <w:szCs w:val="20"/>
          <w:color w:val="auto"/>
        </w:rPr>
      </w:pPr>
    </w:p>
    <w:p>
      <w:pPr>
        <w:ind w:left="100" w:right="2519" w:firstLine="493"/>
        <w:spacing w:after="0" w:line="255" w:lineRule="auto"/>
        <w:rPr>
          <w:sz w:val="20"/>
          <w:szCs w:val="20"/>
          <w:color w:val="auto"/>
        </w:rPr>
      </w:pPr>
      <w:r>
        <w:rPr>
          <w:rFonts w:ascii="Courier New" w:cs="Courier New" w:eastAsia="Courier New" w:hAnsi="Courier New"/>
          <w:sz w:val="16"/>
          <w:szCs w:val="16"/>
          <w:color w:val="auto"/>
        </w:rPr>
        <w:t>The Registrant has directors and officers liability insurance for the benefit of its directors and officers.</w:t>
      </w:r>
    </w:p>
    <w:p>
      <w:pPr>
        <w:spacing w:after="0" w:line="184"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6"/>
          <w:szCs w:val="16"/>
          <w:color w:val="auto"/>
        </w:rPr>
        <w:t>ITEM 16.</w:t>
        <w:tab/>
        <w:t>EXHIBITS.</w:t>
      </w:r>
    </w:p>
    <w:p>
      <w:pPr>
        <w:spacing w:after="0" w:line="198" w:lineRule="exact"/>
        <w:rPr>
          <w:sz w:val="20"/>
          <w:szCs w:val="20"/>
          <w:color w:val="auto"/>
        </w:rPr>
      </w:pPr>
    </w:p>
    <w:p>
      <w:pPr>
        <w:ind w:left="100" w:right="2519" w:firstLine="493"/>
        <w:spacing w:after="0" w:line="255" w:lineRule="auto"/>
        <w:rPr>
          <w:sz w:val="20"/>
          <w:szCs w:val="20"/>
          <w:color w:val="auto"/>
        </w:rPr>
      </w:pPr>
      <w:r>
        <w:rPr>
          <w:rFonts w:ascii="Courier New" w:cs="Courier New" w:eastAsia="Courier New" w:hAnsi="Courier New"/>
          <w:sz w:val="16"/>
          <w:szCs w:val="16"/>
          <w:color w:val="auto"/>
        </w:rPr>
        <w:t>See Exhibit Index included immediately preceding the Exhibits to this Registration Statement, which is incorporated herein by reference.</w:t>
      </w:r>
    </w:p>
    <w:p>
      <w:pPr>
        <w:spacing w:after="0" w:line="184"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6"/>
          <w:szCs w:val="16"/>
          <w:color w:val="auto"/>
        </w:rPr>
        <w:t>ITEM 17.</w:t>
        <w:tab/>
        <w:t>UNDERTAKINGS.</w:t>
      </w:r>
    </w:p>
    <w:p>
      <w:pPr>
        <w:spacing w:after="0" w:line="198" w:lineRule="exact"/>
        <w:rPr>
          <w:sz w:val="20"/>
          <w:szCs w:val="20"/>
          <w:color w:val="auto"/>
        </w:rPr>
      </w:pPr>
    </w:p>
    <w:p>
      <w:pPr>
        <w:ind w:left="1080" w:hanging="492"/>
        <w:spacing w:after="0"/>
        <w:tabs>
          <w:tab w:leader="none" w:pos="10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7" w:lineRule="exact"/>
        <w:rPr>
          <w:rFonts w:ascii="Courier New" w:cs="Courier New" w:eastAsia="Courier New" w:hAnsi="Courier New"/>
          <w:sz w:val="16"/>
          <w:szCs w:val="16"/>
          <w:color w:val="auto"/>
        </w:rPr>
      </w:pPr>
    </w:p>
    <w:p>
      <w:pPr>
        <w:ind w:left="580" w:right="2439" w:firstLine="501"/>
        <w:spacing w:after="0" w:line="255" w:lineRule="auto"/>
        <w:tabs>
          <w:tab w:leader="none" w:pos="146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1080" w:right="2439" w:firstLine="494"/>
        <w:spacing w:after="0" w:line="255" w:lineRule="auto"/>
        <w:tabs>
          <w:tab w:leader="none" w:pos="2066"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as amended (the "Securities Act");</w:t>
      </w:r>
    </w:p>
    <w:p>
      <w:pPr>
        <w:spacing w:after="0" w:line="183" w:lineRule="exact"/>
        <w:rPr>
          <w:rFonts w:ascii="Courier New" w:cs="Courier New" w:eastAsia="Courier New" w:hAnsi="Courier New"/>
          <w:sz w:val="16"/>
          <w:szCs w:val="16"/>
          <w:color w:val="auto"/>
        </w:rPr>
      </w:pPr>
    </w:p>
    <w:p>
      <w:pPr>
        <w:ind w:left="1080" w:right="2339" w:firstLine="494"/>
        <w:spacing w:after="0" w:line="252" w:lineRule="auto"/>
        <w:tabs>
          <w:tab w:leader="none" w:pos="2066"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919"/>
          </w:cols>
          <w:pgMar w:left="540" w:top="30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19</w:t>
      </w:r>
    </w:p>
    <w:p>
      <w:pPr>
        <w:spacing w:after="0" w:line="8" w:lineRule="exact"/>
        <w:rPr>
          <w:sz w:val="20"/>
          <w:szCs w:val="20"/>
          <w:color w:val="auto"/>
        </w:rPr>
      </w:pPr>
    </w:p>
    <w:p>
      <w:pPr>
        <w:jc w:val="both"/>
        <w:ind w:left="1080" w:right="2339" w:firstLine="494"/>
        <w:spacing w:after="0" w:line="252" w:lineRule="auto"/>
        <w:tabs>
          <w:tab w:leader="none" w:pos="21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87" w:lineRule="exact"/>
        <w:rPr>
          <w:sz w:val="20"/>
          <w:szCs w:val="20"/>
          <w:color w:val="auto"/>
        </w:rPr>
      </w:pPr>
    </w:p>
    <w:p>
      <w:pPr>
        <w:ind w:left="580" w:right="2519"/>
        <w:spacing w:after="0" w:line="251"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by the Registrant pursuant to Section 13 or Section 15(d) of the Securities Exchange Act of 1934, as amended (the "Exchange Act") that are incorporated by reference in this Registration Statement.</w:t>
      </w:r>
    </w:p>
    <w:p>
      <w:pPr>
        <w:spacing w:after="0" w:line="190" w:lineRule="exact"/>
        <w:rPr>
          <w:sz w:val="20"/>
          <w:szCs w:val="20"/>
          <w:color w:val="auto"/>
        </w:rPr>
      </w:pPr>
    </w:p>
    <w:p>
      <w:pPr>
        <w:ind w:left="580" w:right="2439" w:firstLine="501"/>
        <w:spacing w:after="0" w:line="251" w:lineRule="auto"/>
        <w:tabs>
          <w:tab w:leader="none" w:pos="146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purposes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100" w:right="2339" w:firstLine="488"/>
        <w:spacing w:after="0" w:line="251" w:lineRule="auto"/>
        <w:tabs>
          <w:tab w:leader="none" w:pos="9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15 -- 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0" w:lineRule="exact"/>
        <w:rPr>
          <w:rFonts w:ascii="Courier New" w:cs="Courier New" w:eastAsia="Courier New" w:hAnsi="Courier New"/>
          <w:sz w:val="16"/>
          <w:szCs w:val="16"/>
          <w:color w:val="auto"/>
        </w:rPr>
      </w:pPr>
    </w:p>
    <w:p>
      <w:pPr>
        <w:ind w:left="100" w:right="2439" w:firstLine="488"/>
        <w:spacing w:after="0" w:line="251" w:lineRule="auto"/>
        <w:tabs>
          <w:tab w:leader="none" w:pos="9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bona fide offering thereof.</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919"/>
          </w:cols>
          <w:pgMar w:left="540" w:top="30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20</w:t>
      </w:r>
    </w:p>
    <w:p>
      <w:pPr>
        <w:spacing w:after="0" w:line="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left="100" w:right="2339" w:firstLine="493"/>
        <w:spacing w:after="0" w:line="25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this 19th day of July, 1996.</w:t>
      </w:r>
    </w:p>
    <w:p>
      <w:pPr>
        <w:spacing w:after="0" w:line="19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ANALOG DEVICES, INC.</w:t>
      </w:r>
    </w:p>
    <w:p>
      <w:pPr>
        <w:spacing w:after="0" w:line="19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 /S/ RAY STATA</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Ray Stata</w:t>
      </w:r>
    </w:p>
    <w:p>
      <w:pPr>
        <w:spacing w:after="0" w:line="8"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Chairman of the Board and</w:t>
      </w:r>
    </w:p>
    <w:p>
      <w:pPr>
        <w:spacing w:after="0" w:line="8"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Chief Executive Officer</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POWER OF ATTORNEY</w:t>
      </w:r>
    </w:p>
    <w:p>
      <w:pPr>
        <w:spacing w:after="0" w:line="198" w:lineRule="exact"/>
        <w:rPr>
          <w:sz w:val="20"/>
          <w:szCs w:val="20"/>
          <w:color w:val="auto"/>
        </w:rPr>
      </w:pPr>
    </w:p>
    <w:p>
      <w:pPr>
        <w:ind w:left="100" w:right="2339" w:firstLine="493"/>
        <w:spacing w:after="0" w:line="251"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38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Witness our hands and common seal on the date set forth below.</w:t>
      </w:r>
    </w:p>
    <w:p>
      <w:pPr>
        <w:spacing w:after="0" w:line="198" w:lineRule="exact"/>
        <w:rPr>
          <w:sz w:val="20"/>
          <w:szCs w:val="20"/>
          <w:color w:val="auto"/>
        </w:rPr>
      </w:pPr>
    </w:p>
    <w:p>
      <w:pPr>
        <w:ind w:left="100" w:right="2919" w:firstLine="493"/>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Courier New" w:cs="Courier New" w:eastAsia="Courier New" w:hAnsi="Courier New"/>
                <w:sz w:val="16"/>
                <w:szCs w:val="16"/>
                <w:color w:val="auto"/>
              </w:rPr>
              <w:t>SIGNATURE</w:t>
            </w:r>
          </w:p>
        </w:tc>
        <w:tc>
          <w:tcPr>
            <w:tcW w:w="3560" w:type="dxa"/>
            <w:vAlign w:val="bottom"/>
          </w:tcPr>
          <w:p>
            <w:pPr>
              <w:ind w:left="360"/>
              <w:spacing w:after="0"/>
              <w:rPr>
                <w:sz w:val="20"/>
                <w:szCs w:val="20"/>
                <w:color w:val="auto"/>
              </w:rPr>
            </w:pPr>
            <w:r>
              <w:rPr>
                <w:rFonts w:ascii="Courier New" w:cs="Courier New" w:eastAsia="Courier New" w:hAnsi="Courier New"/>
                <w:sz w:val="16"/>
                <w:szCs w:val="16"/>
                <w:color w:val="auto"/>
              </w:rPr>
              <w:t>TITLE</w:t>
            </w: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w w:val="98"/>
              </w:rPr>
              <w:t>DATE</w:t>
            </w:r>
          </w:p>
        </w:tc>
      </w:tr>
      <w:tr>
        <w:trPr>
          <w:trHeight w:val="379"/>
        </w:trPr>
        <w:tc>
          <w:tcPr>
            <w:tcW w:w="48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rPr>
              <w:t>Principal Executive Officers</w:t>
            </w: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RAY STATA</w:t>
            </w:r>
          </w:p>
        </w:tc>
        <w:tc>
          <w:tcPr>
            <w:tcW w:w="3560" w:type="dxa"/>
            <w:vAlign w:val="bottom"/>
          </w:tcPr>
          <w:p>
            <w:pPr>
              <w:ind w:left="360"/>
              <w:spacing w:after="0"/>
              <w:rPr>
                <w:sz w:val="20"/>
                <w:szCs w:val="20"/>
                <w:color w:val="auto"/>
              </w:rPr>
            </w:pPr>
            <w:r>
              <w:rPr>
                <w:rFonts w:ascii="Courier New" w:cs="Courier New" w:eastAsia="Courier New" w:hAnsi="Courier New"/>
                <w:sz w:val="16"/>
                <w:szCs w:val="16"/>
                <w:color w:val="auto"/>
              </w:rPr>
              <w:t>Chairman of the Board, Chief</w:t>
            </w: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3560" w:type="dxa"/>
            <w:vAlign w:val="bottom"/>
          </w:tcPr>
          <w:p>
            <w:pPr>
              <w:ind w:left="360"/>
              <w:spacing w:after="0"/>
              <w:rPr>
                <w:sz w:val="20"/>
                <w:szCs w:val="20"/>
                <w:color w:val="auto"/>
              </w:rPr>
            </w:pPr>
            <w:r>
              <w:rPr>
                <w:rFonts w:ascii="Courier New" w:cs="Courier New" w:eastAsia="Courier New" w:hAnsi="Courier New"/>
                <w:sz w:val="16"/>
                <w:szCs w:val="16"/>
                <w:color w:val="auto"/>
              </w:rPr>
              <w:t>Executive Officer and Director</w:t>
            </w:r>
          </w:p>
        </w:tc>
        <w:tc>
          <w:tcPr>
            <w:tcW w:w="640" w:type="dxa"/>
            <w:vAlign w:val="bottom"/>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RAY STATA</w:t>
            </w:r>
          </w:p>
        </w:tc>
        <w:tc>
          <w:tcPr>
            <w:tcW w:w="356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JERALD G. FISHMAN</w:t>
            </w:r>
          </w:p>
        </w:tc>
        <w:tc>
          <w:tcPr>
            <w:tcW w:w="3560" w:type="dxa"/>
            <w:vAlign w:val="bottom"/>
          </w:tcPr>
          <w:p>
            <w:pPr>
              <w:ind w:left="360"/>
              <w:spacing w:after="0"/>
              <w:rPr>
                <w:sz w:val="20"/>
                <w:szCs w:val="20"/>
                <w:color w:val="auto"/>
              </w:rPr>
            </w:pPr>
            <w:r>
              <w:rPr>
                <w:rFonts w:ascii="Courier New" w:cs="Courier New" w:eastAsia="Courier New" w:hAnsi="Courier New"/>
                <w:sz w:val="16"/>
                <w:szCs w:val="16"/>
                <w:color w:val="auto"/>
              </w:rPr>
              <w:t>President, Chief Operating</w:t>
            </w: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3560" w:type="dxa"/>
            <w:vAlign w:val="bottom"/>
          </w:tcPr>
          <w:p>
            <w:pPr>
              <w:ind w:left="360"/>
              <w:spacing w:after="0"/>
              <w:rPr>
                <w:sz w:val="20"/>
                <w:szCs w:val="20"/>
                <w:color w:val="auto"/>
              </w:rPr>
            </w:pPr>
            <w:r>
              <w:rPr>
                <w:rFonts w:ascii="Courier New" w:cs="Courier New" w:eastAsia="Courier New" w:hAnsi="Courier New"/>
                <w:sz w:val="16"/>
                <w:szCs w:val="16"/>
                <w:color w:val="auto"/>
              </w:rPr>
              <w:t>Officer and Director</w:t>
            </w:r>
          </w:p>
        </w:tc>
        <w:tc>
          <w:tcPr>
            <w:tcW w:w="640" w:type="dxa"/>
            <w:vAlign w:val="bottom"/>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JERALD G. FISHMAN</w:t>
            </w:r>
          </w:p>
        </w:tc>
        <w:tc>
          <w:tcPr>
            <w:tcW w:w="356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580" w:hanging="485"/>
        <w:spacing w:after="0"/>
        <w:tabs>
          <w:tab w:leader="none" w:pos="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Financial Officer and Principal Accounting Officer)</w:t>
      </w:r>
    </w:p>
    <w:p>
      <w:pPr>
        <w:spacing w:after="0" w:line="8" w:lineRule="exact"/>
        <w:rPr>
          <w:rFonts w:ascii="Courier New" w:cs="Courier New" w:eastAsia="Courier New" w:hAnsi="Courier New"/>
          <w:sz w:val="16"/>
          <w:szCs w:val="16"/>
          <w:color w:val="auto"/>
        </w:rPr>
      </w:pPr>
    </w:p>
    <w:p>
      <w:pPr>
        <w:ind w:left="6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0"/>
        <w:spacing w:after="0"/>
        <w:tabs>
          <w:tab w:leader="none" w:pos="660" w:val="left"/>
          <w:tab w:leader="none" w:pos="3040" w:val="left"/>
          <w:tab w:leader="none" w:pos="6480" w:val="left"/>
        </w:tabs>
        <w:rPr>
          <w:sz w:val="20"/>
          <w:szCs w:val="20"/>
          <w:color w:val="auto"/>
        </w:rPr>
      </w:pPr>
      <w:r>
        <w:rPr>
          <w:rFonts w:ascii="Courier New" w:cs="Courier New" w:eastAsia="Courier New" w:hAnsi="Courier New"/>
          <w:sz w:val="16"/>
          <w:szCs w:val="16"/>
          <w:color w:val="auto"/>
        </w:rPr>
        <w:t>/S/</w:t>
        <w:tab/>
        <w:t>JOSEPH E. MCDONOUGH</w:t>
      </w:r>
      <w:r>
        <w:rPr>
          <w:sz w:val="20"/>
          <w:szCs w:val="20"/>
          <w:color w:val="auto"/>
        </w:rPr>
        <w:tab/>
      </w:r>
      <w:r>
        <w:rPr>
          <w:rFonts w:ascii="Courier New" w:cs="Courier New" w:eastAsia="Courier New" w:hAnsi="Courier New"/>
          <w:sz w:val="16"/>
          <w:szCs w:val="16"/>
          <w:color w:val="auto"/>
        </w:rPr>
        <w:t>Vice President-Finance and</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ind w:left="200"/>
        <w:spacing w:after="0"/>
        <w:tabs>
          <w:tab w:leader="none" w:pos="3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Chief Financial Officer</w:t>
      </w:r>
    </w:p>
    <w:p>
      <w:pPr>
        <w:spacing w:after="0" w:line="8" w:lineRule="exact"/>
        <w:rPr>
          <w:sz w:val="20"/>
          <w:szCs w:val="20"/>
          <w:color w:val="auto"/>
        </w:rPr>
      </w:pPr>
    </w:p>
    <w:p>
      <w:pPr>
        <w:ind w:left="680"/>
        <w:spacing w:after="0"/>
        <w:tabs>
          <w:tab w:leader="none" w:pos="6480" w:val="left"/>
        </w:tabs>
        <w:rPr>
          <w:sz w:val="20"/>
          <w:szCs w:val="20"/>
          <w:color w:val="auto"/>
        </w:rPr>
      </w:pPr>
      <w:r>
        <w:rPr>
          <w:rFonts w:ascii="Courier New" w:cs="Courier New" w:eastAsia="Courier New" w:hAnsi="Courier New"/>
          <w:sz w:val="16"/>
          <w:szCs w:val="16"/>
          <w:color w:val="auto"/>
        </w:rPr>
        <w:t>JOSEPH E. MCDONOUGH</w:t>
      </w:r>
      <w:r>
        <w:rPr>
          <w:sz w:val="20"/>
          <w:szCs w:val="20"/>
          <w:color w:val="auto"/>
        </w:rPr>
        <w:tab/>
      </w:r>
      <w:r>
        <w:rPr>
          <w:rFonts w:ascii="Courier New" w:cs="Courier New" w:eastAsia="Courier New" w:hAnsi="Courier New"/>
          <w:sz w:val="16"/>
          <w:szCs w:val="16"/>
          <w:color w:val="auto"/>
        </w:rPr>
        <w:t>)</w:t>
      </w:r>
    </w:p>
    <w:p>
      <w:pPr>
        <w:spacing w:after="0" w:line="38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9919"/>
          </w:cols>
          <w:pgMar w:left="540" w:top="306"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758"/>
        </w:trPr>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(iii)</w:t>
            </w:r>
          </w:p>
        </w:tc>
        <w:tc>
          <w:tcPr>
            <w:tcW w:w="680" w:type="dxa"/>
            <w:vAlign w:val="bottom"/>
          </w:tcPr>
          <w:p>
            <w:pPr>
              <w:ind w:left="140"/>
              <w:spacing w:after="0"/>
              <w:rPr>
                <w:sz w:val="20"/>
                <w:szCs w:val="20"/>
                <w:color w:val="auto"/>
              </w:rPr>
            </w:pPr>
            <w:r>
              <w:rPr>
                <w:rFonts w:ascii="Courier New" w:cs="Courier New" w:eastAsia="Courier New" w:hAnsi="Courier New"/>
                <w:sz w:val="16"/>
                <w:szCs w:val="16"/>
                <w:color w:val="auto"/>
              </w:rPr>
              <w:t>Board</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of Directors</w:t>
            </w:r>
          </w:p>
        </w:tc>
        <w:tc>
          <w:tcPr>
            <w:tcW w:w="2320" w:type="dxa"/>
            <w:vAlign w:val="bottom"/>
          </w:tcPr>
          <w:p>
            <w:pPr>
              <w:spacing w:after="0"/>
              <w:rPr>
                <w:sz w:val="24"/>
                <w:szCs w:val="24"/>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)July 19, 1996</w:t>
            </w:r>
          </w:p>
        </w:tc>
      </w:tr>
      <w:tr>
        <w:trPr>
          <w:trHeight w:val="190"/>
        </w:trPr>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/S/</w:t>
            </w:r>
          </w:p>
        </w:tc>
        <w:tc>
          <w:tcPr>
            <w:tcW w:w="2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JOHN L. DOYLE</w:t>
            </w:r>
          </w:p>
        </w:tc>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90"/>
        </w:trPr>
        <w:tc>
          <w:tcPr>
            <w:tcW w:w="640" w:type="dxa"/>
            <w:vAlign w:val="bottom"/>
          </w:tcPr>
          <w:p>
            <w:pPr>
              <w:spacing w:after="0"/>
              <w:rPr>
                <w:sz w:val="16"/>
                <w:szCs w:val="16"/>
                <w:color w:val="auto"/>
              </w:rPr>
            </w:pPr>
          </w:p>
        </w:tc>
        <w:tc>
          <w:tcPr>
            <w:tcW w:w="2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JOHN L. DOYLE</w:t>
            </w: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/S/</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SAMUEL</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H. FULLER</w:t>
            </w:r>
          </w:p>
        </w:tc>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90"/>
        </w:trPr>
        <w:tc>
          <w:tcPr>
            <w:tcW w:w="6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SAMUEL</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H. FULLER</w:t>
            </w: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/S/</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PHILIP</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L. LOWE</w:t>
            </w:r>
          </w:p>
        </w:tc>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90"/>
        </w:trPr>
        <w:tc>
          <w:tcPr>
            <w:tcW w:w="6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PHILIP</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L. LOWE</w:t>
            </w: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/S/</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GORDON</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C. MCKEAGUE</w:t>
            </w:r>
          </w:p>
        </w:tc>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90"/>
        </w:trPr>
        <w:tc>
          <w:tcPr>
            <w:tcW w:w="6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GORDON</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C. MCKEAGUE</w:t>
            </w: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/S/</w:t>
            </w:r>
          </w:p>
        </w:tc>
        <w:tc>
          <w:tcPr>
            <w:tcW w:w="2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JOEL MOSES</w:t>
            </w:r>
          </w:p>
        </w:tc>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90"/>
        </w:trPr>
        <w:tc>
          <w:tcPr>
            <w:tcW w:w="640" w:type="dxa"/>
            <w:vAlign w:val="bottom"/>
          </w:tcPr>
          <w:p>
            <w:pPr>
              <w:spacing w:after="0"/>
              <w:rPr>
                <w:sz w:val="16"/>
                <w:szCs w:val="16"/>
                <w:color w:val="auto"/>
              </w:rPr>
            </w:pPr>
          </w:p>
        </w:tc>
        <w:tc>
          <w:tcPr>
            <w:tcW w:w="2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JOEL MOSES</w:t>
            </w: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/S/</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LESTER</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C. THUROW</w:t>
            </w:r>
          </w:p>
        </w:tc>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90"/>
        </w:trPr>
        <w:tc>
          <w:tcPr>
            <w:tcW w:w="6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LESTER</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C. THUROW</w:t>
            </w:r>
          </w:p>
        </w:tc>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r>
    </w:tbl>
    <w:p>
      <w:pPr>
        <w:spacing w:after="0" w:line="38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919"/>
          </w:cols>
          <w:pgMar w:left="540" w:top="30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22</w:t>
      </w:r>
    </w:p>
    <w:p>
      <w:pPr>
        <w:spacing w:after="0" w:line="388" w:lineRule="exact"/>
        <w:rPr>
          <w:sz w:val="20"/>
          <w:szCs w:val="20"/>
          <w:color w:val="auto"/>
        </w:rPr>
      </w:pPr>
    </w:p>
    <w:tbl>
      <w:tblPr>
        <w:tblLayout w:type="fixed"/>
        <w:tblInd w:w="68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6060" w:type="dxa"/>
            <w:vAlign w:val="bottom"/>
          </w:tcPr>
          <w:p>
            <w:pPr>
              <w:ind w:left="1840"/>
              <w:spacing w:after="0"/>
              <w:rPr>
                <w:sz w:val="20"/>
                <w:szCs w:val="20"/>
                <w:color w:val="auto"/>
              </w:rPr>
            </w:pPr>
            <w:r>
              <w:rPr>
                <w:rFonts w:ascii="Courier New" w:cs="Courier New" w:eastAsia="Courier New" w:hAnsi="Courier New"/>
                <w:sz w:val="16"/>
                <w:szCs w:val="16"/>
                <w:color w:val="auto"/>
              </w:rPr>
              <w:t>EXHIBIT INDEX</w:t>
            </w:r>
          </w:p>
        </w:tc>
      </w:tr>
      <w:tr>
        <w:trPr>
          <w:trHeight w:val="379"/>
        </w:trPr>
        <w:tc>
          <w:tcPr>
            <w:tcW w:w="7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060" w:type="dxa"/>
            <w:vAlign w:val="bottom"/>
          </w:tcPr>
          <w:p>
            <w:pPr>
              <w:spacing w:after="0"/>
              <w:rPr>
                <w:sz w:val="24"/>
                <w:szCs w:val="24"/>
                <w:color w:val="auto"/>
              </w:rPr>
            </w:pPr>
          </w:p>
        </w:tc>
      </w:tr>
      <w:tr>
        <w:trPr>
          <w:trHeight w:val="190"/>
        </w:trPr>
        <w:tc>
          <w:tcPr>
            <w:tcW w:w="7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060" w:type="dxa"/>
            <w:vAlign w:val="bottom"/>
          </w:tcPr>
          <w:p>
            <w:pPr>
              <w:ind w:left="1640"/>
              <w:spacing w:after="0"/>
              <w:rPr>
                <w:sz w:val="20"/>
                <w:szCs w:val="20"/>
                <w:color w:val="auto"/>
              </w:rPr>
            </w:pPr>
            <w:r>
              <w:rPr>
                <w:rFonts w:ascii="Courier New" w:cs="Courier New" w:eastAsia="Courier New" w:hAnsi="Courier New"/>
                <w:sz w:val="16"/>
                <w:szCs w:val="16"/>
                <w:color w:val="auto"/>
              </w:rPr>
              <w:t>DESCRIPTION</w:t>
            </w:r>
          </w:p>
        </w:tc>
      </w:tr>
      <w:tr>
        <w:trPr>
          <w:trHeight w:val="379"/>
        </w:trPr>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4.01</w:t>
            </w: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Restated Articles of Organization of the Registrant, as</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amended (incorporated herein by reference to the Registrant's</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Form S-8, dated as of May 30, 1996).</w:t>
            </w:r>
          </w:p>
        </w:tc>
      </w:tr>
      <w:tr>
        <w:trPr>
          <w:trHeight w:val="190"/>
        </w:trPr>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4.02</w:t>
            </w: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By-Laws of the Registrant, as amended (incorporated herein by</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reference to the Registrant's Form 10-K for the fiscal year</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ended October 31, 1992).</w:t>
            </w:r>
          </w:p>
        </w:tc>
      </w:tr>
      <w:tr>
        <w:trPr>
          <w:trHeight w:val="190"/>
        </w:trPr>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4.03</w:t>
            </w: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Rights Agreement, as amended, between the Registrant and The</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First National Bank of Boston, as Rights Agent (incorporated</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herein by reference to a Form 8 filed on June 27, 1989</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amending the Registration Statement on Form 8-A relating to</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Common Stock Purchase Rights).</w:t>
            </w:r>
          </w:p>
        </w:tc>
      </w:tr>
      <w:tr>
        <w:trPr>
          <w:trHeight w:val="190"/>
        </w:trPr>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4.04</w:t>
            </w: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The registration rights of the Selling Stockholders</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referenced in and annexed to the Share Purchase Agreement</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between the Registrant and the Selling Stockholders dated</w:t>
            </w:r>
          </w:p>
        </w:tc>
      </w:tr>
      <w:tr>
        <w:trPr>
          <w:trHeight w:val="190"/>
        </w:trPr>
        <w:tc>
          <w:tcPr>
            <w:tcW w:w="74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July 1, 1996.</w:t>
            </w:r>
          </w:p>
        </w:tc>
      </w:tr>
      <w:tr>
        <w:trPr>
          <w:trHeight w:val="190"/>
        </w:trPr>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5.01</w:t>
            </w: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Opinion of Hale and Dorr.</w:t>
            </w:r>
          </w:p>
        </w:tc>
      </w:tr>
      <w:tr>
        <w:trPr>
          <w:trHeight w:val="190"/>
        </w:trPr>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23.01</w:t>
            </w: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Consent of Hale and Dorr (included in Exhibit 5.01).</w:t>
            </w:r>
          </w:p>
        </w:tc>
      </w:tr>
      <w:tr>
        <w:trPr>
          <w:trHeight w:val="190"/>
        </w:trPr>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23.02</w:t>
            </w: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Consent of Ernst &amp; Young LLP.</w:t>
            </w:r>
          </w:p>
        </w:tc>
      </w:tr>
      <w:tr>
        <w:trPr>
          <w:trHeight w:val="190"/>
        </w:trPr>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24.01</w:t>
            </w:r>
          </w:p>
        </w:tc>
        <w:tc>
          <w:tcPr>
            <w:tcW w:w="6060" w:type="dxa"/>
            <w:vAlign w:val="bottom"/>
          </w:tcPr>
          <w:p>
            <w:pPr>
              <w:ind w:left="60"/>
              <w:spacing w:after="0"/>
              <w:rPr>
                <w:sz w:val="20"/>
                <w:szCs w:val="20"/>
                <w:color w:val="auto"/>
              </w:rPr>
            </w:pPr>
            <w:r>
              <w:rPr>
                <w:rFonts w:ascii="Courier New" w:cs="Courier New" w:eastAsia="Courier New" w:hAnsi="Courier New"/>
                <w:sz w:val="16"/>
                <w:szCs w:val="16"/>
                <w:color w:val="auto"/>
              </w:rPr>
              <w:t>Powers of Attorney (included on page II-4).</w:t>
            </w:r>
          </w:p>
        </w:tc>
      </w:tr>
    </w:tbl>
    <w:p>
      <w:pPr>
        <w:sectPr>
          <w:pgSz w:w="11900" w:h="16838" w:orient="portrait"/>
          <w:cols w:equalWidth="0" w:num="1">
            <w:col w:w="9919"/>
          </w:cols>
          <w:pgMar w:left="540" w:top="30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Exhibit 4.04</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REGISTRATION RIGHTS</w:t>
      </w:r>
    </w:p>
    <w:p>
      <w:pPr>
        <w:spacing w:after="0" w:line="198" w:lineRule="exact"/>
        <w:rPr>
          <w:sz w:val="20"/>
          <w:szCs w:val="20"/>
          <w:color w:val="auto"/>
        </w:rPr>
      </w:pPr>
    </w:p>
    <w:p>
      <w:pPr>
        <w:ind w:left="580" w:right="2519" w:firstLine="493"/>
        <w:spacing w:after="0" w:line="252" w:lineRule="auto"/>
        <w:rPr>
          <w:sz w:val="20"/>
          <w:szCs w:val="20"/>
          <w:color w:val="auto"/>
        </w:rPr>
      </w:pPr>
      <w:r>
        <w:rPr>
          <w:rFonts w:ascii="Courier New" w:cs="Courier New" w:eastAsia="Courier New" w:hAnsi="Courier New"/>
          <w:sz w:val="16"/>
          <w:szCs w:val="16"/>
          <w:color w:val="auto"/>
        </w:rPr>
        <w:t>This document constitutes the Registration Rights Agreement (the "Registration Rights Agreement") referred to in Article 7 of the Agreement by and among Analog Devices, Inc. and the Shareholders, as defined therein, dated July 1, 1996 (the "Share Purchase Agreement").</w:t>
      </w:r>
    </w:p>
    <w:p>
      <w:pPr>
        <w:spacing w:after="0" w:line="187" w:lineRule="exact"/>
        <w:rPr>
          <w:sz w:val="20"/>
          <w:szCs w:val="20"/>
          <w:color w:val="auto"/>
        </w:rPr>
      </w:pPr>
    </w:p>
    <w:p>
      <w:pPr>
        <w:ind w:left="1080" w:hanging="492"/>
        <w:spacing w:after="0"/>
        <w:tabs>
          <w:tab w:leader="none" w:pos="10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8" w:lineRule="exact"/>
        <w:rPr>
          <w:sz w:val="20"/>
          <w:szCs w:val="20"/>
          <w:color w:val="auto"/>
        </w:rPr>
      </w:pPr>
    </w:p>
    <w:p>
      <w:pPr>
        <w:ind w:left="580" w:right="2919" w:firstLine="493"/>
        <w:spacing w:after="0" w:line="255" w:lineRule="auto"/>
        <w:rPr>
          <w:sz w:val="20"/>
          <w:szCs w:val="20"/>
          <w:color w:val="auto"/>
        </w:rPr>
      </w:pPr>
      <w:r>
        <w:rPr>
          <w:rFonts w:ascii="Courier New" w:cs="Courier New" w:eastAsia="Courier New" w:hAnsi="Courier New"/>
          <w:sz w:val="16"/>
          <w:szCs w:val="16"/>
          <w:color w:val="auto"/>
        </w:rPr>
        <w:t>As used in this document, the following terms shall have the meanings ascribed to them below:</w:t>
      </w:r>
    </w:p>
    <w:p>
      <w:pPr>
        <w:spacing w:after="0" w:line="184" w:lineRule="exact"/>
        <w:rPr>
          <w:sz w:val="20"/>
          <w:szCs w:val="20"/>
          <w:color w:val="auto"/>
        </w:rPr>
      </w:pPr>
    </w:p>
    <w:p>
      <w:pPr>
        <w:ind w:left="580" w:right="2339" w:firstLine="493"/>
        <w:spacing w:after="0" w:line="254" w:lineRule="auto"/>
        <w:rPr>
          <w:sz w:val="20"/>
          <w:szCs w:val="20"/>
          <w:color w:val="auto"/>
        </w:rPr>
      </w:pPr>
      <w:r>
        <w:rPr>
          <w:rFonts w:ascii="Courier New" w:cs="Courier New" w:eastAsia="Courier New" w:hAnsi="Courier New"/>
          <w:sz w:val="16"/>
          <w:szCs w:val="16"/>
          <w:color w:val="auto"/>
        </w:rPr>
        <w:t>1.1. "BUSINESS DAY" means any Monday, Tuesday, Wednesday, Thursday or Friday that is not a day on which banking institutions in the City of New York are authorized by law, regulation or executive order to close.</w:t>
      </w:r>
    </w:p>
    <w:p>
      <w:pPr>
        <w:spacing w:after="0" w:line="372"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1.2. "REGISTRABLE SECURITIES" means (i) the Analog Shares received by the Shareholders and (ii) any securities issued or issuable in respect of or in exchange for any of the Analog Shares referred to in clause (i) by way of a stock dividend or stock split or in connection with a combination of shares of Analog Shares, recapitalization, reclassification, merger, consolidation, or exchange offer. For purposes of this Agreement, a Registrable Security ceases to constitute a Registrable Security (a) when such Registrable Security shall have been effectively registered under the Securities Act and disposed of pursuant to the Registration Statement, (b) when such Registrable Security shall have been sold pursuant to Rule 144 (or any successor provision) under the Securities Act, (c) when such Registrable Security shall have been otherwise transferred and a new certificate for such Registrable Security not bearing a legend restricting further transfer shall have been delivered by Analog following Analog's receipt of an opinion of counsel satisfactory to it that the issuance and delivery of such a certificate is legal and proper, or (d) when such Registrable Security shall have ceased to be outstanding.</w:t>
      </w:r>
    </w:p>
    <w:p>
      <w:pPr>
        <w:spacing w:after="0" w:line="190" w:lineRule="exact"/>
        <w:rPr>
          <w:sz w:val="20"/>
          <w:szCs w:val="20"/>
          <w:color w:val="auto"/>
        </w:rPr>
      </w:pPr>
    </w:p>
    <w:p>
      <w:pPr>
        <w:ind w:left="580" w:right="2439" w:firstLine="493"/>
        <w:spacing w:after="0" w:line="255" w:lineRule="auto"/>
        <w:rPr>
          <w:sz w:val="20"/>
          <w:szCs w:val="20"/>
          <w:color w:val="auto"/>
        </w:rPr>
      </w:pPr>
      <w:r>
        <w:rPr>
          <w:rFonts w:ascii="Courier New" w:cs="Courier New" w:eastAsia="Courier New" w:hAnsi="Courier New"/>
          <w:sz w:val="16"/>
          <w:szCs w:val="16"/>
          <w:color w:val="auto"/>
        </w:rPr>
        <w:t>1.3. "REGISTRATION STATEMENT" shall have the meaning set forth in Section 2.1.</w:t>
      </w:r>
    </w:p>
    <w:p>
      <w:pPr>
        <w:spacing w:after="0" w:line="184" w:lineRule="exact"/>
        <w:rPr>
          <w:sz w:val="20"/>
          <w:szCs w:val="20"/>
          <w:color w:val="auto"/>
        </w:rPr>
      </w:pPr>
    </w:p>
    <w:p>
      <w:pPr>
        <w:ind w:left="580" w:right="2619" w:firstLine="493"/>
        <w:spacing w:after="0" w:line="255" w:lineRule="auto"/>
        <w:rPr>
          <w:sz w:val="20"/>
          <w:szCs w:val="20"/>
          <w:color w:val="auto"/>
        </w:rPr>
      </w:pPr>
      <w:r>
        <w:rPr>
          <w:rFonts w:ascii="Courier New" w:cs="Courier New" w:eastAsia="Courier New" w:hAnsi="Courier New"/>
          <w:sz w:val="16"/>
          <w:szCs w:val="16"/>
          <w:color w:val="auto"/>
        </w:rPr>
        <w:t>1.4. "SEC" shall mean the United States Securities and Exchange Commission.</w:t>
      </w:r>
    </w:p>
    <w:p>
      <w:pPr>
        <w:spacing w:after="0" w:line="184" w:lineRule="exact"/>
        <w:rPr>
          <w:sz w:val="20"/>
          <w:szCs w:val="20"/>
          <w:color w:val="auto"/>
        </w:rPr>
      </w:pPr>
    </w:p>
    <w:p>
      <w:pPr>
        <w:ind w:left="580" w:right="2439" w:firstLine="493"/>
        <w:spacing w:after="0" w:line="255" w:lineRule="auto"/>
        <w:rPr>
          <w:sz w:val="20"/>
          <w:szCs w:val="20"/>
          <w:color w:val="auto"/>
        </w:rPr>
      </w:pPr>
      <w:r>
        <w:rPr>
          <w:rFonts w:ascii="Courier New" w:cs="Courier New" w:eastAsia="Courier New" w:hAnsi="Courier New"/>
          <w:sz w:val="16"/>
          <w:szCs w:val="16"/>
          <w:color w:val="auto"/>
        </w:rPr>
        <w:t>1.5. "SECURITIES ACT" shall mean the United States Securities Act of 1933, as amended.</w:t>
      </w:r>
    </w:p>
    <w:p>
      <w:pPr>
        <w:spacing w:after="0" w:line="184" w:lineRule="exact"/>
        <w:rPr>
          <w:sz w:val="20"/>
          <w:szCs w:val="20"/>
          <w:color w:val="auto"/>
        </w:rPr>
      </w:pPr>
    </w:p>
    <w:p>
      <w:pPr>
        <w:ind w:left="580" w:right="2819" w:firstLine="493"/>
        <w:spacing w:after="0" w:line="255" w:lineRule="auto"/>
        <w:rPr>
          <w:sz w:val="20"/>
          <w:szCs w:val="20"/>
          <w:color w:val="auto"/>
        </w:rPr>
      </w:pPr>
      <w:r>
        <w:rPr>
          <w:rFonts w:ascii="Courier New" w:cs="Courier New" w:eastAsia="Courier New" w:hAnsi="Courier New"/>
          <w:sz w:val="16"/>
          <w:szCs w:val="16"/>
          <w:color w:val="auto"/>
        </w:rPr>
        <w:t>Capitalized terms not otherwise defined herein shall have the meaning ascribed to them in the Share Purchase Agreement.</w:t>
      </w:r>
    </w:p>
    <w:p>
      <w:pPr>
        <w:sectPr>
          <w:pgSz w:w="11900" w:h="16838" w:orient="portrait"/>
          <w:cols w:equalWidth="0" w:num="1">
            <w:col w:w="9919"/>
          </w:cols>
          <w:pgMar w:left="540" w:top="14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ind w:left="580" w:right="2339" w:firstLine="8"/>
        <w:spacing w:after="0" w:line="251" w:lineRule="auto"/>
        <w:tabs>
          <w:tab w:leader="none" w:pos="8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Shelf Registration. As soon as practicable following, and in any event, within thirty days of, the Completion Date, Analog shall file with the SEC under the Securities Act a Registration Statement (the "REGISTRATION STATEMENT") on Form S-3 covering the sale on a continuous or delayed basis of all of the Analog Shares. Analog shall use its reasonable efforts to cause the Registration Statement to be declared effective by the SEC as soon as practicable. Analog shall cause the Registration Statement to remain effective until the date two years after the Completion Date or such earlier time as all of the Analog Shares covered by the Registration Statement have been sold pursuant thereto.</w:t>
      </w:r>
    </w:p>
    <w:p>
      <w:pPr>
        <w:spacing w:after="0" w:line="189" w:lineRule="exact"/>
        <w:rPr>
          <w:rFonts w:ascii="Courier New" w:cs="Courier New" w:eastAsia="Courier New" w:hAnsi="Courier New"/>
          <w:sz w:val="16"/>
          <w:szCs w:val="16"/>
          <w:color w:val="auto"/>
        </w:rPr>
      </w:pPr>
    </w:p>
    <w:p>
      <w:pPr>
        <w:ind w:left="1080" w:hanging="492"/>
        <w:spacing w:after="0"/>
        <w:tabs>
          <w:tab w:leader="none" w:pos="10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Procedures.</w:t>
      </w:r>
    </w:p>
    <w:p>
      <w:pPr>
        <w:spacing w:after="0" w:line="198"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3.1. Analog Procedures. In connection with Analog's registration obligations pursuant to Section 2 Analog shall keep the Registration Statement continuously effective for the period of time provided in Section 2, to permit the sale of Registrable Securities pursuant to the Registration Statement in accordance with the intended method or methods of distribution thereof specified in the Registration Statement or in the related prospectus(es) (the "PROSPECTUS"), and shall:</w:t>
      </w:r>
    </w:p>
    <w:p>
      <w:pPr>
        <w:spacing w:after="0" w:line="190" w:lineRule="exact"/>
        <w:rPr>
          <w:sz w:val="20"/>
          <w:szCs w:val="20"/>
          <w:color w:val="auto"/>
        </w:rPr>
      </w:pPr>
    </w:p>
    <w:p>
      <w:pPr>
        <w:ind w:left="1080" w:right="2439" w:firstLine="493"/>
        <w:spacing w:after="0" w:line="251" w:lineRule="auto"/>
        <w:rPr>
          <w:sz w:val="20"/>
          <w:szCs w:val="20"/>
          <w:color w:val="auto"/>
        </w:rPr>
      </w:pPr>
      <w:r>
        <w:rPr>
          <w:rFonts w:ascii="Courier New" w:cs="Courier New" w:eastAsia="Courier New" w:hAnsi="Courier New"/>
          <w:sz w:val="16"/>
          <w:szCs w:val="16"/>
          <w:color w:val="auto"/>
        </w:rPr>
        <w:t>3.1.1 comply with such provisions of the Securities Act as may be necessary to facilitate the disposition of all Registrable Securities covered by the Registration Statement during the applicable period in accordance with the intended method or methods of disposition thereof set forth in the Registration Statement or such Prospectus or supplement thereto;</w:t>
      </w:r>
    </w:p>
    <w:p>
      <w:pPr>
        <w:spacing w:after="0" w:line="190" w:lineRule="exact"/>
        <w:rPr>
          <w:sz w:val="20"/>
          <w:szCs w:val="20"/>
          <w:color w:val="auto"/>
        </w:rPr>
      </w:pPr>
    </w:p>
    <w:p>
      <w:pPr>
        <w:ind w:left="1080" w:right="2339" w:firstLine="493"/>
        <w:spacing w:after="0" w:line="251" w:lineRule="auto"/>
        <w:rPr>
          <w:sz w:val="20"/>
          <w:szCs w:val="20"/>
          <w:color w:val="auto"/>
        </w:rPr>
      </w:pPr>
      <w:r>
        <w:rPr>
          <w:rFonts w:ascii="Courier New" w:cs="Courier New" w:eastAsia="Courier New" w:hAnsi="Courier New"/>
          <w:sz w:val="16"/>
          <w:szCs w:val="16"/>
          <w:color w:val="auto"/>
        </w:rPr>
        <w:t>3.1.2 notify the Shareholders, promptly (A) when the Registration Statement, Prospectus or supplement thereto or post-effective amendment has been filed, and, with respect to the Registration Statement or post-effective amendment when it has become effective, (B) of any request by the SEC for amendments or supplements to the Registration Statement or Prospectus or for additional information, (C) of the issuance by the SEC of any comments with respect to any filing and of any stop order suspending the effectiveness of the Registration Statement or the initiation of any proceedings for that purpose, (D) of the receipt by Analog of any notification with respect to the suspension of the qualification of the Registrable Securities for sale in any jurisdiction or the initiation or threatening of any proceeding for such purpose, (E) of the happening of any event that makes any statement made in the Registration Statement, Prospectus or any other document incorporated therein by reference untrue or that requires the making of any changes in the Registration Statement, Prospectus or any document incorporated therein by reference in order that such documents not contain any untrue statement of a material fact or omit to state any material fact required to be stated therein or necessary to make the statements therein not misleading, and (F) of Analog's determination</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919"/>
          </w:cols>
          <w:pgMar w:left="540" w:top="30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3</w:t>
      </w:r>
    </w:p>
    <w:p>
      <w:pPr>
        <w:spacing w:after="0" w:line="8" w:lineRule="exact"/>
        <w:rPr>
          <w:sz w:val="20"/>
          <w:szCs w:val="20"/>
          <w:color w:val="auto"/>
        </w:rPr>
      </w:pPr>
    </w:p>
    <w:p>
      <w:pPr>
        <w:ind w:left="1080" w:right="2819"/>
        <w:spacing w:after="0" w:line="255" w:lineRule="auto"/>
        <w:rPr>
          <w:sz w:val="20"/>
          <w:szCs w:val="20"/>
          <w:color w:val="auto"/>
        </w:rPr>
      </w:pPr>
      <w:r>
        <w:rPr>
          <w:rFonts w:ascii="Courier New" w:cs="Courier New" w:eastAsia="Courier New" w:hAnsi="Courier New"/>
          <w:sz w:val="16"/>
          <w:szCs w:val="16"/>
          <w:color w:val="auto"/>
        </w:rPr>
        <w:t>that a post-effective amendment to the Registration Statement would be appropriate;</w:t>
      </w:r>
    </w:p>
    <w:p>
      <w:pPr>
        <w:spacing w:after="0" w:line="184" w:lineRule="exact"/>
        <w:rPr>
          <w:sz w:val="20"/>
          <w:szCs w:val="20"/>
          <w:color w:val="auto"/>
        </w:rPr>
      </w:pPr>
    </w:p>
    <w:p>
      <w:pPr>
        <w:ind w:left="1080" w:right="2519" w:firstLine="493"/>
        <w:spacing w:after="0" w:line="251" w:lineRule="auto"/>
        <w:rPr>
          <w:sz w:val="20"/>
          <w:szCs w:val="20"/>
          <w:color w:val="auto"/>
        </w:rPr>
      </w:pPr>
      <w:r>
        <w:rPr>
          <w:rFonts w:ascii="Courier New" w:cs="Courier New" w:eastAsia="Courier New" w:hAnsi="Courier New"/>
          <w:sz w:val="16"/>
          <w:szCs w:val="16"/>
          <w:color w:val="auto"/>
        </w:rPr>
        <w:t>3.1.3 furnish to each Shareholder, at such Shareholder's request and without charge, as many conformed copies as may reasonably be requested by such Shareholder, of the Registration Statement and any post-effective amendments thereto, including financial statements and schedules, all documents incorporated therein by reference and all exhibits (including those incorporated by reference);</w:t>
      </w:r>
    </w:p>
    <w:p>
      <w:pPr>
        <w:spacing w:after="0" w:line="190" w:lineRule="exact"/>
        <w:rPr>
          <w:sz w:val="20"/>
          <w:szCs w:val="20"/>
          <w:color w:val="auto"/>
        </w:rPr>
      </w:pPr>
    </w:p>
    <w:p>
      <w:pPr>
        <w:ind w:left="1080" w:right="2519" w:firstLine="493"/>
        <w:spacing w:after="0" w:line="252" w:lineRule="auto"/>
        <w:rPr>
          <w:sz w:val="20"/>
          <w:szCs w:val="20"/>
          <w:color w:val="auto"/>
        </w:rPr>
      </w:pPr>
      <w:r>
        <w:rPr>
          <w:rFonts w:ascii="Courier New" w:cs="Courier New" w:eastAsia="Courier New" w:hAnsi="Courier New"/>
          <w:sz w:val="16"/>
          <w:szCs w:val="16"/>
          <w:color w:val="auto"/>
        </w:rPr>
        <w:t>3.1.4 deliver to each Shareholder, without charge, as many copies of the then effective Prospectus covering the Registrable Securities and any amendments or supplements thereto as such Shareholder may reasonably request;</w:t>
      </w:r>
    </w:p>
    <w:p>
      <w:pPr>
        <w:spacing w:after="0" w:line="187" w:lineRule="exact"/>
        <w:rPr>
          <w:sz w:val="20"/>
          <w:szCs w:val="20"/>
          <w:color w:val="auto"/>
        </w:rPr>
      </w:pPr>
    </w:p>
    <w:p>
      <w:pPr>
        <w:ind w:left="1080" w:right="2339" w:firstLine="493"/>
        <w:spacing w:after="0" w:line="251" w:lineRule="auto"/>
        <w:rPr>
          <w:sz w:val="20"/>
          <w:szCs w:val="20"/>
          <w:color w:val="auto"/>
        </w:rPr>
      </w:pPr>
      <w:r>
        <w:rPr>
          <w:rFonts w:ascii="Courier New" w:cs="Courier New" w:eastAsia="Courier New" w:hAnsi="Courier New"/>
          <w:sz w:val="16"/>
          <w:szCs w:val="16"/>
          <w:color w:val="auto"/>
        </w:rPr>
        <w:t>3.1.5 register, qualify, obtain an exemption therefrom, or cooperate with the Shareholders and their respective counsel in connection with the registration or qualification or exemption therefrom of the Registrable Securities for offer and sale under the securities or blue sky laws of such jurisdictions as may be reasonably requested in writing by the Shareholders and do any and all other acts or things necessary or advisable to enable the disposition in such jurisdictions of the Registrable Securities covered by the then-effective Registration Statement; provided, however, that Analog shall not be required to (w) qualify as a foreign corporation or generally to transact business in any jurisdiction where it is not then so qualified, (x) qualify as a dealer (or other similar entity) in securities, (y) otherwise subject itself to taxation in connection with such activities, or</w:t>
      </w:r>
    </w:p>
    <w:p>
      <w:pPr>
        <w:ind w:left="1080" w:right="2519" w:firstLine="1"/>
        <w:spacing w:after="0" w:line="255" w:lineRule="auto"/>
        <w:tabs>
          <w:tab w:leader="none" w:pos="147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which would subject it to general service of process in any jurisdiction where it is not then so subject;</w:t>
      </w:r>
    </w:p>
    <w:p>
      <w:pPr>
        <w:spacing w:after="0" w:line="184" w:lineRule="exact"/>
        <w:rPr>
          <w:sz w:val="20"/>
          <w:szCs w:val="20"/>
          <w:color w:val="auto"/>
        </w:rPr>
      </w:pPr>
    </w:p>
    <w:p>
      <w:pPr>
        <w:jc w:val="both"/>
        <w:ind w:left="1080" w:right="2919" w:firstLine="493"/>
        <w:spacing w:after="0" w:line="253" w:lineRule="auto"/>
        <w:rPr>
          <w:sz w:val="20"/>
          <w:szCs w:val="20"/>
          <w:color w:val="auto"/>
        </w:rPr>
      </w:pPr>
      <w:r>
        <w:rPr>
          <w:rFonts w:ascii="Courier New" w:cs="Courier New" w:eastAsia="Courier New" w:hAnsi="Courier New"/>
          <w:sz w:val="16"/>
          <w:szCs w:val="16"/>
          <w:color w:val="auto"/>
        </w:rPr>
        <w:t>3.1.6 cooperate with the Shareholders to facilitate the timely preparation and delivery of certificates representing Registrable Securities to be sold;</w:t>
      </w:r>
    </w:p>
    <w:p>
      <w:pPr>
        <w:spacing w:after="0" w:line="185" w:lineRule="exact"/>
        <w:rPr>
          <w:sz w:val="20"/>
          <w:szCs w:val="20"/>
          <w:color w:val="auto"/>
        </w:rPr>
      </w:pPr>
    </w:p>
    <w:p>
      <w:pPr>
        <w:ind w:left="1080" w:right="2339" w:firstLine="493"/>
        <w:spacing w:after="0" w:line="251" w:lineRule="auto"/>
        <w:rPr>
          <w:sz w:val="20"/>
          <w:szCs w:val="20"/>
          <w:color w:val="auto"/>
        </w:rPr>
      </w:pPr>
      <w:r>
        <w:rPr>
          <w:rFonts w:ascii="Courier New" w:cs="Courier New" w:eastAsia="Courier New" w:hAnsi="Courier New"/>
          <w:sz w:val="16"/>
          <w:szCs w:val="16"/>
          <w:color w:val="auto"/>
        </w:rPr>
        <w:t>3.1.7 upon the occurrence of any event contemplated by clauses (E) or (F) of paragraph 3.1.2 above, promptly prepare and file, if necessary, a post-effective amendment to the Registration Statement or a supplement to the related Prospectus or any document incorporated therein by reference or file any other required document so that the Registration Statement and the Prospectus will not thereafter contain an untrue statement of a material fact or omit to state any material fact necessary to make the statements therein not misleading;</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19"/>
          </w:cols>
          <w:pgMar w:left="540" w:top="30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ind w:left="1080" w:right="2919" w:firstLine="493"/>
        <w:spacing w:after="0" w:line="253" w:lineRule="auto"/>
        <w:rPr>
          <w:sz w:val="20"/>
          <w:szCs w:val="20"/>
          <w:color w:val="auto"/>
        </w:rPr>
      </w:pPr>
      <w:r>
        <w:rPr>
          <w:rFonts w:ascii="Courier New" w:cs="Courier New" w:eastAsia="Courier New" w:hAnsi="Courier New"/>
          <w:sz w:val="16"/>
          <w:szCs w:val="16"/>
          <w:color w:val="auto"/>
        </w:rPr>
        <w:t>3.1.8 otherwise comply with all applicable rules and regulations of the SEC relating to such registration and the distribution of the securities being offered;</w:t>
      </w:r>
    </w:p>
    <w:p>
      <w:pPr>
        <w:spacing w:after="0" w:line="185" w:lineRule="exact"/>
        <w:rPr>
          <w:sz w:val="20"/>
          <w:szCs w:val="20"/>
          <w:color w:val="auto"/>
        </w:rPr>
      </w:pPr>
    </w:p>
    <w:p>
      <w:pPr>
        <w:ind w:left="1080" w:right="2339" w:firstLine="493"/>
        <w:spacing w:after="0" w:line="251" w:lineRule="auto"/>
        <w:rPr>
          <w:sz w:val="20"/>
          <w:szCs w:val="20"/>
          <w:color w:val="auto"/>
        </w:rPr>
      </w:pPr>
      <w:r>
        <w:rPr>
          <w:rFonts w:ascii="Courier New" w:cs="Courier New" w:eastAsia="Courier New" w:hAnsi="Courier New"/>
          <w:sz w:val="16"/>
          <w:szCs w:val="16"/>
          <w:color w:val="auto"/>
        </w:rPr>
        <w:t>3.1.9 in no event later than five (5) Business Days before filing the Registration Statement, any post-effective amendment thereto, any Prospectus or any amendment or supplement thereto (other than any amendment or supplement made solely as a result of incorporation by reference of documents), furnish to the Shareholders copies of all such documents proposed to be filed;</w:t>
      </w:r>
    </w:p>
    <w:p>
      <w:pPr>
        <w:spacing w:after="0" w:line="190" w:lineRule="exact"/>
        <w:rPr>
          <w:sz w:val="20"/>
          <w:szCs w:val="20"/>
          <w:color w:val="auto"/>
        </w:rPr>
      </w:pPr>
    </w:p>
    <w:p>
      <w:pPr>
        <w:ind w:left="1080" w:right="2339" w:firstLine="493"/>
        <w:spacing w:after="0" w:line="251" w:lineRule="auto"/>
        <w:rPr>
          <w:sz w:val="20"/>
          <w:szCs w:val="20"/>
          <w:color w:val="auto"/>
        </w:rPr>
      </w:pPr>
      <w:r>
        <w:rPr>
          <w:rFonts w:ascii="Courier New" w:cs="Courier New" w:eastAsia="Courier New" w:hAnsi="Courier New"/>
          <w:sz w:val="16"/>
          <w:szCs w:val="16"/>
          <w:color w:val="auto"/>
        </w:rPr>
        <w:t>3.1.10 not file the Registration Statement or any amendment thereto or any Prospectus or any supplement thereto (other than any amendment or supplement made solely as a result of incorporation by reference of documents) to which the Shareholders holding a majority of the Registrable Securities shall have reasonably objected in writing, within two (2) Business Days after delivery of such documents to the address of such Shareholder as set forth in the Share Purchase Agreement or such other address which shall have been provided to Analog in writing (the "Shareholder Address"), to the effect that the Registration Statement or amendment thereto or Prospectus or supplement thereto does not comply in all material respects with the requirements of the Securities Act (including, without limitation, in respect of any information describing the manner in which the Shareholders acquired such Registrable Securities and the intended method or methods of distribution of such Registrable Securities), (provided that the foregoing shall not limit the right of any Shareholder reasonably to object, within two (2) Business Days after delivery of such documents to the Shareholder Address, to any particular information relating specifically to such Shareholder that is to be contained in the Registration Statement, Prospectus or Supplement, including, without limitation, any information describing the manner in which such Shareholder acquired such Registrable Securities and the intended method or methods of distribution of such Registrable Securities), and if Analog is unable to file any such document due to the objections of the Shareholders, Analog shall use its reasonable efforts to cooperate with the Shareholders to prepare, as soon as practicable, a document that is responsive in all material respects to the reasonable objections of the Shareholders;</w:t>
      </w:r>
    </w:p>
    <w:p>
      <w:pPr>
        <w:spacing w:after="0" w:line="380" w:lineRule="exact"/>
        <w:rPr>
          <w:sz w:val="20"/>
          <w:szCs w:val="20"/>
          <w:color w:val="auto"/>
        </w:rPr>
      </w:pPr>
    </w:p>
    <w:p>
      <w:pPr>
        <w:ind w:left="1080" w:right="2519" w:firstLine="493"/>
        <w:spacing w:after="0" w:line="253" w:lineRule="auto"/>
        <w:rPr>
          <w:sz w:val="20"/>
          <w:szCs w:val="20"/>
          <w:color w:val="auto"/>
        </w:rPr>
      </w:pPr>
      <w:r>
        <w:rPr>
          <w:rFonts w:ascii="Courier New" w:cs="Courier New" w:eastAsia="Courier New" w:hAnsi="Courier New"/>
          <w:sz w:val="16"/>
          <w:szCs w:val="16"/>
          <w:color w:val="auto"/>
        </w:rPr>
        <w:t>3.1.11 promptly after the filing of any document that is to be incorporated by reference into the Registration Statement or Prospectus, provide copies of such document to the Shareholders;</w:t>
      </w:r>
    </w:p>
    <w:p>
      <w:pPr>
        <w:spacing w:after="0" w:line="185" w:lineRule="exact"/>
        <w:rPr>
          <w:sz w:val="20"/>
          <w:szCs w:val="20"/>
          <w:color w:val="auto"/>
        </w:rPr>
      </w:pPr>
    </w:p>
    <w:p>
      <w:pPr>
        <w:ind w:left="1080" w:right="2339" w:firstLine="493"/>
        <w:spacing w:after="0" w:line="252" w:lineRule="auto"/>
        <w:rPr>
          <w:sz w:val="20"/>
          <w:szCs w:val="20"/>
          <w:color w:val="auto"/>
        </w:rPr>
      </w:pPr>
      <w:r>
        <w:rPr>
          <w:rFonts w:ascii="Courier New" w:cs="Courier New" w:eastAsia="Courier New" w:hAnsi="Courier New"/>
          <w:sz w:val="16"/>
          <w:szCs w:val="16"/>
          <w:color w:val="auto"/>
        </w:rPr>
        <w:t>3.1.12 subject to the proviso in paragraph 3.1.5 above, cause the Registrable Securities to be registered with or approved by such other governmental agencies or authorities within the United States of America as</w:t>
      </w:r>
    </w:p>
    <w:p>
      <w:pPr>
        <w:spacing w:after="0" w:line="18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919"/>
          </w:cols>
          <w:pgMar w:left="540" w:top="30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ind w:left="1080" w:right="3019"/>
        <w:spacing w:after="0" w:line="253" w:lineRule="auto"/>
        <w:rPr>
          <w:sz w:val="20"/>
          <w:szCs w:val="20"/>
          <w:color w:val="auto"/>
        </w:rPr>
      </w:pPr>
      <w:r>
        <w:rPr>
          <w:rFonts w:ascii="Courier New" w:cs="Courier New" w:eastAsia="Courier New" w:hAnsi="Courier New"/>
          <w:sz w:val="16"/>
          <w:szCs w:val="16"/>
          <w:color w:val="auto"/>
        </w:rPr>
        <w:t>may be reasonably necessary to enable the seller or sellers thereof to consummate the disposition of such Registrable Securities;</w:t>
      </w:r>
    </w:p>
    <w:p>
      <w:pPr>
        <w:spacing w:after="0" w:line="185" w:lineRule="exact"/>
        <w:rPr>
          <w:sz w:val="20"/>
          <w:szCs w:val="20"/>
          <w:color w:val="auto"/>
        </w:rPr>
      </w:pPr>
    </w:p>
    <w:p>
      <w:pPr>
        <w:ind w:left="1080" w:right="2519" w:firstLine="493"/>
        <w:spacing w:after="0" w:line="252" w:lineRule="auto"/>
        <w:rPr>
          <w:sz w:val="20"/>
          <w:szCs w:val="20"/>
          <w:color w:val="auto"/>
        </w:rPr>
      </w:pPr>
      <w:r>
        <w:rPr>
          <w:rFonts w:ascii="Courier New" w:cs="Courier New" w:eastAsia="Courier New" w:hAnsi="Courier New"/>
          <w:sz w:val="16"/>
          <w:szCs w:val="16"/>
          <w:color w:val="auto"/>
        </w:rPr>
        <w:t>3.1.13 use its reasonable efforts to cause all Registrable Securities covered by the Registration Statement to be listed on each securities exchange or market, if any, on which similar securities issued by Analog are then listed, provided that the applicable listing requirements are satisfied; and</w:t>
      </w:r>
    </w:p>
    <w:p>
      <w:pPr>
        <w:spacing w:after="0" w:line="186" w:lineRule="exact"/>
        <w:rPr>
          <w:sz w:val="20"/>
          <w:szCs w:val="20"/>
          <w:color w:val="auto"/>
        </w:rPr>
      </w:pPr>
    </w:p>
    <w:p>
      <w:pPr>
        <w:ind w:left="1080" w:right="2619" w:firstLine="493"/>
        <w:spacing w:after="0" w:line="253" w:lineRule="auto"/>
        <w:rPr>
          <w:sz w:val="20"/>
          <w:szCs w:val="20"/>
          <w:color w:val="auto"/>
        </w:rPr>
      </w:pPr>
      <w:r>
        <w:rPr>
          <w:rFonts w:ascii="Courier New" w:cs="Courier New" w:eastAsia="Courier New" w:hAnsi="Courier New"/>
          <w:sz w:val="16"/>
          <w:szCs w:val="16"/>
          <w:color w:val="auto"/>
        </w:rPr>
        <w:t>3.1.14 take all actions reasonably required to prevent the entry of any stop order by the SEC or by any state securities regulators or to remove any such order if entered.</w:t>
      </w:r>
    </w:p>
    <w:p>
      <w:pPr>
        <w:spacing w:after="0" w:line="18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3.2. Limitations on Registration Rights.</w:t>
      </w:r>
    </w:p>
    <w:p>
      <w:pPr>
        <w:spacing w:after="0" w:line="198" w:lineRule="exact"/>
        <w:rPr>
          <w:sz w:val="20"/>
          <w:szCs w:val="20"/>
          <w:color w:val="auto"/>
        </w:rPr>
      </w:pPr>
    </w:p>
    <w:p>
      <w:pPr>
        <w:ind w:left="580" w:right="2339" w:firstLine="994"/>
        <w:spacing w:after="0" w:line="251" w:lineRule="auto"/>
        <w:tabs>
          <w:tab w:leader="none" w:pos="1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Analog may, by written notice to the Shareholders, (i) delay the filing or effectiveness of the Registration Statement or (ii) suspend the Registration Statement after effectiveness and require that the Shareholders immediately cease sales of Registrable Securities pursuant to the Registration Statement in the event that Analog (A) files a registration statement (other than a registration statement on Form S-8 or its successor form) with the SEC for a public offering of its securities, (B) is ineligible for use of a Form S-3 or (C) Analog shall have delivered a notice in writing to the Shareholders stating that a delay in the disposition of Registrable Securities is necessary because Analog, in its reasonable judgment, has determined that sales of Registrable Securities would require public disclosure by Analog of material non-public information that Analog deems it advisable not to disclose; provided, however, that no such delay shall be imposed unless Analog shall equally prohibit during the period of such delay any sale of Analog's securities by any executive officer or director of Analog.</w:t>
      </w:r>
    </w:p>
    <w:p>
      <w:pPr>
        <w:spacing w:after="0" w:line="190" w:lineRule="exact"/>
        <w:rPr>
          <w:rFonts w:ascii="Courier New" w:cs="Courier New" w:eastAsia="Courier New" w:hAnsi="Courier New"/>
          <w:sz w:val="16"/>
          <w:szCs w:val="16"/>
          <w:color w:val="auto"/>
        </w:rPr>
      </w:pPr>
    </w:p>
    <w:p>
      <w:pPr>
        <w:ind w:left="580" w:right="2339" w:firstLine="994"/>
        <w:spacing w:after="0" w:line="251" w:lineRule="auto"/>
        <w:tabs>
          <w:tab w:leader="none" w:pos="1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delivery of the notice described in clause 3.2(a)(ii) above by Analog, Analog shall use its reasonable efforts to amend the Registration Statement or amend or supplement the Prospectus, if necessary and to take all other actions necessary to allow the proposed disposition to take place as promptly as practicable after the conditions referred to therein have ceased to exist;</w:t>
      </w:r>
    </w:p>
    <w:p>
      <w:pPr>
        <w:spacing w:after="0" w:line="189" w:lineRule="exact"/>
        <w:rPr>
          <w:rFonts w:ascii="Courier New" w:cs="Courier New" w:eastAsia="Courier New" w:hAnsi="Courier New"/>
          <w:sz w:val="16"/>
          <w:szCs w:val="16"/>
          <w:color w:val="auto"/>
        </w:rPr>
      </w:pPr>
    </w:p>
    <w:p>
      <w:pPr>
        <w:ind w:left="1960" w:hanging="386"/>
        <w:spacing w:after="0"/>
        <w:tabs>
          <w:tab w:leader="none" w:pos="1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Analog shall not restrict dispositions under clause</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3.2(a)(ii) above for a period exceeding forty five (45) days; and</w:t>
      </w:r>
    </w:p>
    <w:p>
      <w:pPr>
        <w:spacing w:after="0" w:line="198" w:lineRule="exact"/>
        <w:rPr>
          <w:sz w:val="20"/>
          <w:szCs w:val="20"/>
          <w:color w:val="auto"/>
        </w:rPr>
      </w:pPr>
    </w:p>
    <w:p>
      <w:pPr>
        <w:ind w:left="580" w:right="2339" w:firstLine="994"/>
        <w:spacing w:after="0" w:line="251" w:lineRule="auto"/>
        <w:tabs>
          <w:tab w:leader="none" w:pos="19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Analog be permitted to extend the restriction period under clause 3.2(a)(ii) above beyond such forty five</w:t>
      </w:r>
    </w:p>
    <w:p>
      <w:pPr>
        <w:ind w:left="580" w:right="2339" w:firstLine="8"/>
        <w:spacing w:after="0" w:line="253" w:lineRule="auto"/>
        <w:tabs>
          <w:tab w:leader="none" w:pos="107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 period, and Analog shall not restrict sales of the Registrable Securities under clause 3.2(a)(ii) above more than a total of twice in any twelve (12) month period.</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19"/>
          </w:cols>
          <w:pgMar w:left="540" w:top="30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6</w:t>
      </w:r>
    </w:p>
    <w:p>
      <w:pPr>
        <w:spacing w:after="0" w:line="8" w:lineRule="exact"/>
        <w:rPr>
          <w:sz w:val="20"/>
          <w:szCs w:val="20"/>
          <w:color w:val="auto"/>
        </w:rPr>
      </w:pPr>
    </w:p>
    <w:p>
      <w:pPr>
        <w:ind w:left="580" w:right="2339" w:firstLine="994"/>
        <w:spacing w:after="0" w:line="251" w:lineRule="auto"/>
        <w:tabs>
          <w:tab w:leader="none" w:pos="1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Analog delays or suspends the Registration Statement or requires the Shareholders to cease sales of shares pursuant to paragraph 3.2(a) above, Analog shall, as promptly as practicable following the termination of the circumstance which entitled Analog to do so, take such actions as may be necessary to file or reinstate the effectiveness of the Registration Statement and/or give written notice to all Shareholders authorizing them to resume sales pursuant to the Registration Statement. If as a result thereof the Prospectus included in the Registration Statement has been amended to comply with the requirements of the Securities Act, Analog shall enclose such revised Prospectus with the notice to Shareholders given pursuant to this paragraph 3.2(b), and the Shareholders shall make no offers or sales of shares pursuant to the Registration Statement other than by means of such revised Prospectus.</w:t>
      </w:r>
    </w:p>
    <w:p>
      <w:pPr>
        <w:spacing w:after="0" w:line="190"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3.3. Requirements of Shareholders. Analog shall not be required to include any Analog Shares in the Registration Statement unless the Shareholder owning such Shares furnishes to Analog in writing such information regarding such Shareholder and the proposed sale of Analog Shares by such Shareholder as Analog may reasonably request in writing in connection with the Registration Statement or as shall be required in connection therewith by the SEC or any state securities law authorities.</w:t>
      </w:r>
    </w:p>
    <w:p>
      <w:pPr>
        <w:spacing w:after="0" w:line="379" w:lineRule="exact"/>
        <w:rPr>
          <w:sz w:val="20"/>
          <w:szCs w:val="20"/>
          <w:color w:val="auto"/>
        </w:rPr>
      </w:pPr>
    </w:p>
    <w:p>
      <w:pPr>
        <w:ind w:left="1080" w:hanging="492"/>
        <w:spacing w:after="0"/>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Expenses.</w:t>
      </w:r>
    </w:p>
    <w:p>
      <w:pPr>
        <w:spacing w:after="0" w:line="198"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All expenses incident to Analog's performance of or compliance with this Agreement, including without limitation all registration and filing fees, fees and expenses of compliance with state securities or blue sky laws (including fees and disbursements of counsel in connection with blue sky qualifications or registrations (or the obtaining of exemptions therefrom) of the Registrable Securities), printing expenses (including expenses of printing Prospectuses), messenger and delivery expenses, internal expenses (including, without limitation, all salaries and expenses of its officers and employees performing legal or accounting duties), fees and disbursements of its counsel and its independent certified public accountants, securities acts liability insurance (if Analog elects to obtain such insurance), and reasonable fees and expenses of any special experts retained by Analog in connection with any registration hereunder (all of such expenses herein referred to as "REGISTRATION EXPENSES"), and the fees of one counsel for the Shareholders shall be borne by Analog; provided, however, that the Registration Expenses shall not include any sales or underwriting discounts, commissions or fees attributable to the sale of the Registrable Securities and provided further that the fees and expenses of counsel to the Shareholders borne by Analog shall not exceed $2,500.</w:t>
      </w:r>
    </w:p>
    <w:p>
      <w:pPr>
        <w:spacing w:after="0" w:line="38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19"/>
          </w:cols>
          <w:pgMar w:left="540" w:top="306"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7</w:t>
      </w:r>
    </w:p>
    <w:p>
      <w:pPr>
        <w:spacing w:after="0" w:line="8" w:lineRule="exact"/>
        <w:rPr>
          <w:sz w:val="20"/>
          <w:szCs w:val="20"/>
          <w:color w:val="auto"/>
        </w:rPr>
      </w:pPr>
    </w:p>
    <w:p>
      <w:pPr>
        <w:ind w:left="1080" w:hanging="492"/>
        <w:spacing w:after="0"/>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Contribution.</w:t>
      </w:r>
    </w:p>
    <w:p>
      <w:pPr>
        <w:spacing w:after="0" w:line="198"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5.1. Indemnification by Analog. Analog shall indemnify and hold harmless, to the full extent permitted by law, each Shareholder, and his respective representatives and agents, and each person who controls (within the meaning of the Securities Act) such Shareholder, against all losses, claims, damages, liabilities and expenses (including reasonable costs of investigation and legal expenses) resulting from any untrue or alleged untrue statement of a material fact contained in the Registration Statement, any Prospectus, or any amendment or supplement thereto, or any omission or alleged omission of a material fact required to be stated therein or necessary to make the statements therein, in light of the circumstances under which they were made, not misleading, except in each case insofar as the same arises out of or is based upon an untrue statement or alleged untrue statement of a material fact or an omission or alleged omission to state a material fact in such Registration Statement, Prospectus, amendment or supplement, as the case may be, made or omitted, as the case may be, in reliance upon and in conformity with written information furnished to Analog by such Shareholder for use therein. This indemnity is in addition to any liability that Analog may otherwise have.</w:t>
      </w:r>
    </w:p>
    <w:p>
      <w:pPr>
        <w:spacing w:after="0" w:line="190"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5.2. Indemnification by Shareholders. Each seller of Registrable Securities, severally and not jointly, shall indemnify and hold harmless, to the full extent permitted by law, Analog, each of its directors and officers and each person, if any, who controls (within the meaning of the Securities Act) Analog, against all losses, claims, damages, liabilities and expenses (including reasonable costs of investigation and legal expenses) resulting from any untrue or alleged untrue statement of a material fact contained in the Registration Statement, any Prospectus, or any amendment or supplement thereto, or any omission or alleged omission of a material fact required to be stated therein or necessary to make the statements therein, in light of the circumstances under which they were made, not misleading, if the statement or omission was made in reliance upon and in conformity with written information furnished to Analog by such Shareholder for use in the Prospectus. This indemnity is in addition to any liability that any such selling Shareholder may otherwise have.</w:t>
      </w:r>
    </w:p>
    <w:p>
      <w:pPr>
        <w:spacing w:after="0" w:line="190"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5.3. Conduct of Indemnification Proceedings. Each party entitled to indemnification under this Section 5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the failure of any Indemnified Party to give notice as provided herein shall not relieve the Indemnifying Party of its obligations except to the extent that its defense of the claim or litigation involved is prejudiced by such failure. The Indemnified Party may participate in such defense at such Party's expense; provided, however, that the Indemnifying Party shall pay such expense if representation of such Indemnified</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19"/>
          </w:cols>
          <w:pgMar w:left="540" w:top="30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8</w:t>
      </w:r>
    </w:p>
    <w:p>
      <w:pPr>
        <w:spacing w:after="0" w:line="8" w:lineRule="exact"/>
        <w:rPr>
          <w:sz w:val="20"/>
          <w:szCs w:val="20"/>
          <w:color w:val="auto"/>
        </w:rPr>
      </w:pPr>
    </w:p>
    <w:p>
      <w:pPr>
        <w:ind w:left="580" w:right="2339"/>
        <w:spacing w:after="0" w:line="251" w:lineRule="auto"/>
        <w:rPr>
          <w:sz w:val="20"/>
          <w:szCs w:val="20"/>
          <w:color w:val="auto"/>
        </w:rPr>
      </w:pPr>
      <w:r>
        <w:rPr>
          <w:rFonts w:ascii="Courier New" w:cs="Courier New" w:eastAsia="Courier New" w:hAnsi="Courier New"/>
          <w:sz w:val="16"/>
          <w:szCs w:val="16"/>
          <w:color w:val="auto"/>
        </w:rPr>
        <w:t>Party by the counsel retained by the Indemnifying Party would be inappropriate due to actual or potential conflicts of interest between the Indemnified Party and any other party represented by such counsel in such proceeding. No Indemnifying Party, in the defense of any such claim or litigation, except with the consent of each Indemnified Party, shall consent to entry of any judgment or enter into any settlement that does not include as an unconditional term thereof the giving by the claimant or plaintiff to such Indemnified Party of a release from all liability in respect of any claim or litigation, and no Indemnified Party will consent to entry of any judgment or settle any claim or litigation without the prior written consent of the Indemnifying Party. Each Indemnified Party shall furnish such information regarding himself or itself and the claim in question as the Indemnifying Party may reasonably request and as shall be reasonably required in connection with the defense of such claim and litigation resulting therefrom.</w:t>
      </w:r>
    </w:p>
    <w:p>
      <w:pPr>
        <w:spacing w:after="0" w:line="190"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5.4. Contribution.</w:t>
      </w:r>
    </w:p>
    <w:p>
      <w:pPr>
        <w:spacing w:after="0" w:line="198" w:lineRule="exact"/>
        <w:rPr>
          <w:sz w:val="20"/>
          <w:szCs w:val="20"/>
          <w:color w:val="auto"/>
        </w:rPr>
      </w:pPr>
    </w:p>
    <w:p>
      <w:pPr>
        <w:ind w:left="580" w:right="2339" w:firstLine="986"/>
        <w:spacing w:after="0" w:line="251" w:lineRule="auto"/>
        <w:rPr>
          <w:sz w:val="20"/>
          <w:szCs w:val="20"/>
          <w:color w:val="auto"/>
        </w:rPr>
      </w:pPr>
      <w:r>
        <w:rPr>
          <w:rFonts w:ascii="Courier New" w:cs="Courier New" w:eastAsia="Courier New" w:hAnsi="Courier New"/>
          <w:sz w:val="16"/>
          <w:szCs w:val="16"/>
          <w:color w:val="auto"/>
        </w:rPr>
        <w:t>5.4.1 If for any reason the indemnification provided for in this Section 5 from an Indemnifying Party, although otherwise applicable by its terms, is determined by a court of competent jurisdiction to be unavailable to an Indemnified Party hereunder,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the Indemnified Party in connection with the actions that resulted in such losses, claims, damages, liabilities or expenses, as well as any other relevant equitable considerations. The relative fault of the Indemnifying Party and Indemnified Party shall be determined by reference to, among other things, whether any action in question, including any untrue or alleged untrue statement of a material fact, has been made by, or relates to information supplied by, the Indemnifying Party or the Indemnified Party, and the parties' relative intent, knowledge, access to information and opportunity to correct or prevent such action. The amount paid or payable by a Party as a result of the losses, claims, damages, liabilities and expenses referred to above shall be deemed to include, subject to the limitations set forth in Section 5.3, any legal or other fees or expenses reasonably incurred by such Party in connection with any investigation or proceeding. Notwithstanding the foregoing, no Shareholder will be required to contribute any amount in excess of the proceeds to such Shareholder of all Registrable Securities sold by such Shareholder pursuant to the Registration Statement.</w:t>
      </w:r>
    </w:p>
    <w:p>
      <w:pPr>
        <w:spacing w:after="0" w:line="380" w:lineRule="exact"/>
        <w:rPr>
          <w:sz w:val="20"/>
          <w:szCs w:val="20"/>
          <w:color w:val="auto"/>
        </w:rPr>
      </w:pPr>
    </w:p>
    <w:p>
      <w:pPr>
        <w:ind w:left="580" w:right="2439" w:firstLine="493"/>
        <w:spacing w:after="0" w:line="251" w:lineRule="auto"/>
        <w:rPr>
          <w:sz w:val="20"/>
          <w:szCs w:val="20"/>
          <w:color w:val="auto"/>
        </w:rPr>
      </w:pPr>
      <w:r>
        <w:rPr>
          <w:rFonts w:ascii="Courier New" w:cs="Courier New" w:eastAsia="Courier New" w:hAnsi="Courier New"/>
          <w:sz w:val="16"/>
          <w:szCs w:val="16"/>
          <w:color w:val="auto"/>
        </w:rPr>
        <w:t>5.4.2 The parties hereto agree that it would not be just and equitable if contribution pursuant to this Section 5.4 were determined by pro rata allocation or by any other method of allocation that does not take account of the equitable considerations referred to in the immediately preceding paragraph. No person guilty of fraudulent misrepresentation (within the meaning of Section 11(f) of the Securities</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19"/>
          </w:cols>
          <w:pgMar w:left="540" w:top="30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9</w:t>
      </w:r>
    </w:p>
    <w:p>
      <w:pPr>
        <w:spacing w:after="0" w:line="8" w:lineRule="exact"/>
        <w:rPr>
          <w:sz w:val="20"/>
          <w:szCs w:val="20"/>
          <w:color w:val="auto"/>
        </w:rPr>
      </w:pPr>
    </w:p>
    <w:p>
      <w:pPr>
        <w:ind w:left="580" w:right="2819"/>
        <w:spacing w:after="0" w:line="255" w:lineRule="auto"/>
        <w:rPr>
          <w:sz w:val="20"/>
          <w:szCs w:val="20"/>
          <w:color w:val="auto"/>
        </w:rPr>
      </w:pPr>
      <w:r>
        <w:rPr>
          <w:rFonts w:ascii="Courier New" w:cs="Courier New" w:eastAsia="Courier New" w:hAnsi="Courier New"/>
          <w:sz w:val="16"/>
          <w:szCs w:val="16"/>
          <w:color w:val="auto"/>
        </w:rPr>
        <w:t>Act) shall be entitled to contribution from any person who was not guilty of such fraudulent misrepresentation.</w:t>
      </w:r>
    </w:p>
    <w:p>
      <w:pPr>
        <w:spacing w:after="0" w:line="184" w:lineRule="exact"/>
        <w:rPr>
          <w:sz w:val="20"/>
          <w:szCs w:val="20"/>
          <w:color w:val="auto"/>
        </w:rPr>
      </w:pPr>
    </w:p>
    <w:p>
      <w:pPr>
        <w:ind w:left="1080" w:hanging="492"/>
        <w:spacing w:after="0"/>
        <w:tabs>
          <w:tab w:leader="none" w:pos="10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144.</w:t>
      </w:r>
    </w:p>
    <w:p>
      <w:pPr>
        <w:spacing w:after="0" w:line="198" w:lineRule="exact"/>
        <w:rPr>
          <w:sz w:val="20"/>
          <w:szCs w:val="20"/>
          <w:color w:val="auto"/>
        </w:rPr>
      </w:pPr>
    </w:p>
    <w:p>
      <w:pPr>
        <w:ind w:left="580" w:right="2519" w:firstLine="493"/>
        <w:spacing w:after="0" w:line="252" w:lineRule="auto"/>
        <w:rPr>
          <w:sz w:val="20"/>
          <w:szCs w:val="20"/>
          <w:color w:val="auto"/>
        </w:rPr>
      </w:pPr>
      <w:r>
        <w:rPr>
          <w:rFonts w:ascii="Courier New" w:cs="Courier New" w:eastAsia="Courier New" w:hAnsi="Courier New"/>
          <w:sz w:val="16"/>
          <w:szCs w:val="16"/>
          <w:color w:val="auto"/>
        </w:rPr>
        <w:t>Analog shall take such further action as any Shareholder may reasonably request to the extent required from time to time to enable such Shareholder to sell Registrable Securities without registration under the Securities Act, subject to the limitations of the exemption provided by Rule 144, if applicable.</w:t>
      </w:r>
    </w:p>
    <w:p>
      <w:pPr>
        <w:spacing w:after="0" w:line="186" w:lineRule="exact"/>
        <w:rPr>
          <w:sz w:val="20"/>
          <w:szCs w:val="20"/>
          <w:color w:val="auto"/>
        </w:rPr>
      </w:pPr>
    </w:p>
    <w:p>
      <w:pPr>
        <w:ind w:left="1080" w:hanging="492"/>
        <w:spacing w:after="0"/>
        <w:tabs>
          <w:tab w:leader="none" w:pos="10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Future Mergers.</w:t>
      </w:r>
    </w:p>
    <w:p>
      <w:pPr>
        <w:spacing w:after="0" w:line="198"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Analog covenants and agrees that it will not, directly or indirectly, enter into any merger, consolidation or reorganization in which Analog shall not be the surviving corporation (a "Merger") unless prior to such Merger, the proposed surviving corporation shall agree in writing to assume the obligations of Analog under this Registration Agreement and for that purpose, references hereunder to "Registrable Securities" shall be deemed to refer to the securities that the Shareholders would be entitled to receive in exchange for Registrable Securities under any such Merger, provided, however, that the provisions of this Section 7 shall not apply in the event of any Merger if the holders of Registrable Securities are entitled to receive in exchange therefor (a) cash or (b) securities of the acquiring corporation that may be immediately sold to the public without limitations as to amount or procedure.</w:t>
      </w:r>
    </w:p>
    <w:p>
      <w:pPr>
        <w:spacing w:after="0" w:line="190" w:lineRule="exact"/>
        <w:rPr>
          <w:sz w:val="20"/>
          <w:szCs w:val="20"/>
          <w:color w:val="auto"/>
        </w:rPr>
      </w:pPr>
    </w:p>
    <w:p>
      <w:pPr>
        <w:ind w:left="1080" w:hanging="492"/>
        <w:spacing w:after="0"/>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of Rights.</w:t>
      </w:r>
    </w:p>
    <w:p>
      <w:pPr>
        <w:spacing w:after="0" w:line="198" w:lineRule="exact"/>
        <w:rPr>
          <w:sz w:val="20"/>
          <w:szCs w:val="20"/>
          <w:color w:val="auto"/>
        </w:rPr>
      </w:pPr>
    </w:p>
    <w:p>
      <w:pPr>
        <w:ind w:left="580" w:right="2519" w:firstLine="493"/>
        <w:spacing w:after="0" w:line="251" w:lineRule="auto"/>
        <w:rPr>
          <w:sz w:val="20"/>
          <w:szCs w:val="20"/>
          <w:color w:val="auto"/>
        </w:rPr>
      </w:pPr>
      <w:r>
        <w:rPr>
          <w:rFonts w:ascii="Courier New" w:cs="Courier New" w:eastAsia="Courier New" w:hAnsi="Courier New"/>
          <w:sz w:val="16"/>
          <w:szCs w:val="16"/>
          <w:color w:val="auto"/>
        </w:rPr>
        <w:t>A Shareholder may not assign any of its rights under this Registration Agreement except in connection with the transfer of some or all of his or her Analog Shares to a child or spouse, or trust for their benefit, provided each such transferee agrees in a written instrument delivered to Analog to be bound by the provisions of this Registration Agreement.</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19"/>
          </w:cols>
          <w:pgMar w:left="540" w:top="30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EXHIBIT 5.01</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HALE AND DORR</w:t>
      </w:r>
    </w:p>
    <w:p>
      <w:pPr>
        <w:spacing w:after="0" w:line="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60 State Street</w:t>
      </w:r>
    </w:p>
    <w:p>
      <w:pPr>
        <w:spacing w:after="0" w:line="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Boston, Massachusetts 02109</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July 19, 1996</w:t>
      </w:r>
    </w:p>
    <w:p>
      <w:pPr>
        <w:spacing w:after="0" w:line="19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One Technology Way</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Norwood, MA 02062-9106</w:t>
      </w:r>
    </w:p>
    <w:p>
      <w:pPr>
        <w:spacing w:after="0" w:line="19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Dear Sirs:</w:t>
      </w:r>
    </w:p>
    <w:p>
      <w:pPr>
        <w:spacing w:after="0" w:line="198"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This opinion is furnished to you in connection with a Registration Statement on Form S-3 (the "Registration Statement"), filed with the Securities and Exchange Commission (the "Commission") under the Securities Act of 1933, as amended, for the registration of 76,596 shares of Common Stock, $.16 2/3 par value per share (the "Shares"), of Analog Devices, Inc., a Massachusetts corporation (the "Company"), held by the Selling Stockholders, as defined in the Registration Statement.</w:t>
      </w:r>
    </w:p>
    <w:p>
      <w:pPr>
        <w:spacing w:after="0" w:line="190" w:lineRule="exact"/>
        <w:rPr>
          <w:sz w:val="20"/>
          <w:szCs w:val="20"/>
          <w:color w:val="auto"/>
        </w:rPr>
      </w:pPr>
    </w:p>
    <w:p>
      <w:pPr>
        <w:ind w:left="580" w:right="2439" w:firstLine="493"/>
        <w:spacing w:after="0" w:line="251" w:lineRule="auto"/>
        <w:rPr>
          <w:sz w:val="20"/>
          <w:szCs w:val="20"/>
          <w:color w:val="auto"/>
        </w:rPr>
      </w:pPr>
      <w:r>
        <w:rPr>
          <w:rFonts w:ascii="Courier New" w:cs="Courier New" w:eastAsia="Courier New" w:hAnsi="Courier New"/>
          <w:sz w:val="16"/>
          <w:szCs w:val="16"/>
          <w:color w:val="auto"/>
        </w:rPr>
        <w:t>We have examined the Registration Statement and all exhibits thereto, all as filed with the Commission. We have also examined and relied upon the originals, or copies of minutes of meetings or actions taken by unanimous written consent of the Board of Directors of the Company, the By-laws of the Company and the Restated Articles of Organization of the Company, as amended, and such other documents and instruments as in our judgment are necessary or appropriate to enable us to render the opinions expressed below.</w:t>
      </w:r>
    </w:p>
    <w:p>
      <w:pPr>
        <w:spacing w:after="0" w:line="190" w:lineRule="exact"/>
        <w:rPr>
          <w:sz w:val="20"/>
          <w:szCs w:val="20"/>
          <w:color w:val="auto"/>
        </w:rPr>
      </w:pPr>
    </w:p>
    <w:p>
      <w:pPr>
        <w:ind w:left="580" w:right="2339" w:firstLine="493"/>
        <w:spacing w:after="0" w:line="252" w:lineRule="auto"/>
        <w:rPr>
          <w:sz w:val="20"/>
          <w:szCs w:val="20"/>
          <w:color w:val="auto"/>
        </w:rPr>
      </w:pPr>
      <w:r>
        <w:rPr>
          <w:rFonts w:ascii="Courier New" w:cs="Courier New" w:eastAsia="Courier New" w:hAnsi="Courier New"/>
          <w:sz w:val="16"/>
          <w:szCs w:val="16"/>
          <w:color w:val="auto"/>
        </w:rPr>
        <w:t>In our examination of the foregoing documents, we have assumed (i) the genuineness of all signatures and the authenticity of any documents submitted to us as originals, (ii) the conformity to the originals of any documents submitted to us as conformed or photostatic copies and (iii) the authenticity of the originals of the latter documents.</w:t>
      </w:r>
    </w:p>
    <w:p>
      <w:pPr>
        <w:spacing w:after="0" w:line="186" w:lineRule="exact"/>
        <w:rPr>
          <w:sz w:val="20"/>
          <w:szCs w:val="20"/>
          <w:color w:val="auto"/>
        </w:rPr>
      </w:pPr>
    </w:p>
    <w:p>
      <w:pPr>
        <w:ind w:left="580" w:right="2339" w:firstLine="493"/>
        <w:spacing w:after="0" w:line="252" w:lineRule="auto"/>
        <w:rPr>
          <w:sz w:val="20"/>
          <w:szCs w:val="20"/>
          <w:color w:val="auto"/>
        </w:rPr>
      </w:pPr>
      <w:r>
        <w:rPr>
          <w:rFonts w:ascii="Courier New" w:cs="Courier New" w:eastAsia="Courier New" w:hAnsi="Courier New"/>
          <w:sz w:val="16"/>
          <w:szCs w:val="16"/>
          <w:color w:val="auto"/>
        </w:rPr>
        <w:t>We have not made an independent review of the laws of any state or jurisdiction other than the Commonwealth of Massachusetts and the United States. Accordingly, we express no opinion herein with respect to the laws of any state or jurisdiction other than the Commonwealth of Massachusetts and the United States.</w:t>
      </w:r>
    </w:p>
    <w:p>
      <w:pPr>
        <w:sectPr>
          <w:pgSz w:w="11900" w:h="16838" w:orient="portrait"/>
          <w:cols w:equalWidth="0" w:num="1">
            <w:col w:w="9919"/>
          </w:cols>
          <w:pgMar w:left="540" w:top="14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jc w:val="both"/>
        <w:ind w:left="580" w:right="2619" w:firstLine="493"/>
        <w:spacing w:after="0" w:line="253" w:lineRule="auto"/>
        <w:rPr>
          <w:sz w:val="20"/>
          <w:szCs w:val="20"/>
          <w:color w:val="auto"/>
        </w:rPr>
      </w:pPr>
      <w:r>
        <w:rPr>
          <w:rFonts w:ascii="Courier New" w:cs="Courier New" w:eastAsia="Courier New" w:hAnsi="Courier New"/>
          <w:sz w:val="16"/>
          <w:szCs w:val="16"/>
          <w:color w:val="auto"/>
        </w:rPr>
        <w:t>Based upon the foregoing, we are of the opinion that the Shares have been duly authorized and will be validly issued, fully paid and nonassessable.</w:t>
      </w:r>
    </w:p>
    <w:p>
      <w:pPr>
        <w:spacing w:after="0" w:line="185" w:lineRule="exact"/>
        <w:rPr>
          <w:sz w:val="20"/>
          <w:szCs w:val="20"/>
          <w:color w:val="auto"/>
        </w:rPr>
      </w:pPr>
    </w:p>
    <w:p>
      <w:pPr>
        <w:ind w:left="580" w:right="2619" w:firstLine="493"/>
        <w:spacing w:after="0" w:line="253" w:lineRule="auto"/>
        <w:rPr>
          <w:sz w:val="20"/>
          <w:szCs w:val="20"/>
          <w:color w:val="auto"/>
        </w:rPr>
      </w:pPr>
      <w:r>
        <w:rPr>
          <w:rFonts w:ascii="Courier New" w:cs="Courier New" w:eastAsia="Courier New" w:hAnsi="Courier New"/>
          <w:sz w:val="16"/>
          <w:szCs w:val="16"/>
          <w:color w:val="auto"/>
        </w:rPr>
        <w:t>We hereby consent to the filing of this opinion as part of the Registration Statement and to the use of our name therein and in the related Prospectus under the caption "Legal Matters."</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Very truly yours,</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HALE AND DORR</w:t>
      </w:r>
    </w:p>
    <w:p>
      <w:pPr>
        <w:sectPr>
          <w:pgSz w:w="11900" w:h="16838" w:orient="portrait"/>
          <w:cols w:equalWidth="0" w:num="1">
            <w:col w:w="9919"/>
          </w:cols>
          <w:pgMar w:left="540" w:top="306"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EXHIBIT 23.02</w:t>
      </w:r>
    </w:p>
    <w:p>
      <w:pPr>
        <w:spacing w:after="0" w:line="19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198" w:lineRule="exact"/>
        <w:rPr>
          <w:sz w:val="20"/>
          <w:szCs w:val="20"/>
          <w:color w:val="auto"/>
        </w:rPr>
      </w:pPr>
    </w:p>
    <w:p>
      <w:pPr>
        <w:ind w:left="580" w:right="2339" w:firstLine="493"/>
        <w:spacing w:after="0" w:line="251"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S-3) and related Prospectus of Analog Devices, Inc. for the registration of 76,596 shares of its common stock and to the incorporation by reference therein of our report dated November 28, 1995, except for the fifth paragraph of Note 4 as to which the date is December 18, 1995, with respect to the consolidated financial statements and schedule of Analog Devices, Inc. included in its Annual Report (Form 10-K) for the year ended October 28, 1995, filed with the Securities and Exchange Commission.</w:t>
      </w:r>
    </w:p>
    <w:p>
      <w:pPr>
        <w:spacing w:after="0" w:line="37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ERNST &amp; YOUNG LLP</w:t>
      </w:r>
    </w:p>
    <w:p>
      <w:pPr>
        <w:spacing w:after="0" w:line="19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Boston, Massachusetts</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July 15, 1996</w:t>
      </w:r>
    </w:p>
    <w:sectPr>
      <w:pgSz w:w="11900" w:h="16838" w:orient="portrait"/>
      <w:cols w:equalWidth="0" w:num="1">
        <w:col w:w="9919"/>
      </w:cols>
      <w:pgMar w:left="5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617"/>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5"/>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FDCC233"/>
    <w:multiLevelType w:val="hybridMultilevel"/>
    <w:lvl w:ilvl="0">
      <w:lvlJc w:val="left"/>
      <w:lvlText w:val="(%1)"/>
      <w:numFmt w:val="lowerRoman"/>
      <w:start w:val="3"/>
    </w:lvl>
  </w:abstractNum>
  <w:abstractNum w:abstractNumId="7">
    <w:nsid w:val="1BEFD79F"/>
    <w:multiLevelType w:val="hybridMultilevel"/>
    <w:lvl w:ilvl="0">
      <w:lvlJc w:val="left"/>
      <w:lvlText w:val="%1"/>
      <w:numFmt w:val="lowerLetter"/>
      <w:start w:val="1"/>
    </w:lvl>
    <w:lvl w:ilvl="1">
      <w:lvlJc w:val="left"/>
      <w:lvlText w:val="(%2)"/>
      <w:numFmt w:val="decimal"/>
      <w:start w:val="2"/>
    </w:lvl>
  </w:abstractNum>
  <w:abstractNum w:abstractNumId="8">
    <w:nsid w:val="41A7C4C9"/>
    <w:multiLevelType w:val="hybridMultilevel"/>
    <w:lvl w:ilvl="0">
      <w:lvlJc w:val="left"/>
      <w:lvlText w:val="(%1)"/>
      <w:numFmt w:val="lowerLetter"/>
      <w:start w:val="2"/>
    </w:lvl>
    <w:lvl w:ilvl="1">
      <w:lvlJc w:val="left"/>
      <w:lvlText w:val="%2"/>
      <w:numFmt w:val="decimal"/>
      <w:start w:val="1"/>
    </w:lvl>
  </w:abstractNum>
  <w:abstractNum w:abstractNumId="9">
    <w:nsid w:val="6B68079A"/>
    <w:multiLevelType w:val="hybridMultilevel"/>
    <w:lvl w:ilvl="0">
      <w:lvlJc w:val="left"/>
      <w:lvlText w:val="(%1)"/>
      <w:numFmt w:val="lowerRoman"/>
      <w:start w:val="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2"/>
    </w:lvl>
  </w:abstractNum>
  <w:abstractNum w:abstractNumId="12">
    <w:nsid w:val="519B500D"/>
    <w:multiLevelType w:val="hybridMultilevel"/>
    <w:lvl w:ilvl="0">
      <w:lvlJc w:val="left"/>
      <w:lvlText w:val="(%1)"/>
      <w:numFmt w:val="lowerLetter"/>
      <w:start w:val="26"/>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
    </w:lvl>
    <w:lvl w:ilvl="1">
      <w:lvlJc w:val="left"/>
      <w:lvlText w:val="(%2)"/>
      <w:numFmt w:val="lowerLetter"/>
      <w:start w:val="4"/>
    </w:lvl>
  </w:abstractNum>
  <w:abstractNum w:abstractNumId="15">
    <w:nsid w:val="7C83E458"/>
    <w:multiLevelType w:val="hybridMultilevel"/>
    <w:lvl w:ilvl="0">
      <w:lvlJc w:val="left"/>
      <w:lvlText w:val="(%1)"/>
      <w:numFmt w:val="decimal"/>
      <w:start w:val="45"/>
    </w:lvl>
    <w:lvl w:ilvl="1">
      <w:lvlJc w:val="left"/>
      <w:lvlText w:val="%2"/>
      <w:numFmt w:val="lowerLetter"/>
      <w:start w:val="1"/>
    </w:lvl>
  </w:abstractNum>
  <w:abstractNum w:abstractNumId="16">
    <w:nsid w:val="257130A3"/>
    <w:multiLevelType w:val="hybridMultilevel"/>
    <w:lvl w:ilvl="0">
      <w:lvlJc w:val="left"/>
      <w:lvlText w:val="(%1)"/>
      <w:numFmt w:val="lowerLetter"/>
      <w:start w:val="5"/>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decimal"/>
      <w:start w:val="6"/>
    </w:lvl>
  </w:abstractNum>
  <w:abstractNum w:abstractNumId="20">
    <w:nsid w:val="333AB105"/>
    <w:multiLevelType w:val="hybridMultilevel"/>
    <w:lvl w:ilvl="0">
      <w:lvlJc w:val="left"/>
      <w:lvlText w:val="%1."/>
      <w:numFmt w:val="decimal"/>
      <w:start w:val="7"/>
    </w:lvl>
  </w:abstractNum>
  <w:abstractNum w:abstractNumId="21">
    <w:nsid w:val="721DA31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2019-12-20T04:44:15Z</dcterms:created>
  <dcterms:modified xsi:type="dcterms:W3CDTF">2019-12-20T04:44:15Z</dcterms:modified>
</cp:coreProperties>
</file>