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156210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54" w:lineRule="exact"/>
        <w:rPr>
          <w:sz w:val="24"/>
          <w:szCs w:val="24"/>
          <w:color w:val="auto"/>
        </w:rPr>
      </w:pPr>
    </w:p>
    <w:p>
      <w:pPr>
        <w:ind w:left="720" w:right="16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 2019</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40" w:right="140" w:hanging="691"/>
        <w:spacing w:after="0" w:line="260" w:lineRule="auto"/>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860" w:type="dxa"/>
        <w:tblCellMar>
          <w:top w:w="0" w:type="dxa"/>
          <w:left w:w="0" w:type="dxa"/>
          <w:bottom w:w="0" w:type="dxa"/>
          <w:right w:w="0" w:type="dxa"/>
        </w:tblCellMar>
      </w:tblPr>
      <w:tr>
        <w:trPr>
          <w:trHeight w:val="199"/>
        </w:trPr>
        <w:tc>
          <w:tcPr>
            <w:tcW w:w="5360" w:type="dxa"/>
            <w:vAlign w:val="bottom"/>
            <w:gridSpan w:val="2"/>
          </w:tcPr>
          <w:p>
            <w:pPr>
              <w:ind w:left="3040"/>
              <w:spacing w:after="0" w:line="199" w:lineRule="exact"/>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gridSpan w:val="2"/>
          </w:tcPr>
          <w:p>
            <w:pPr>
              <w:spacing w:after="0"/>
              <w:rPr>
                <w:sz w:val="17"/>
                <w:szCs w:val="17"/>
                <w:color w:val="auto"/>
              </w:rPr>
            </w:pPr>
          </w:p>
        </w:tc>
        <w:tc>
          <w:tcPr>
            <w:tcW w:w="2640" w:type="dxa"/>
            <w:vAlign w:val="bottom"/>
          </w:tcPr>
          <w:p>
            <w:pPr>
              <w:spacing w:after="0"/>
              <w:rPr>
                <w:sz w:val="17"/>
                <w:szCs w:val="17"/>
                <w:color w:val="auto"/>
              </w:rPr>
            </w:pPr>
          </w:p>
        </w:tc>
      </w:tr>
      <w:tr>
        <w:trPr>
          <w:trHeight w:val="412"/>
        </w:trPr>
        <w:tc>
          <w:tcPr>
            <w:tcW w:w="3460" w:type="dxa"/>
            <w:vAlign w:val="bottom"/>
          </w:tcPr>
          <w:p>
            <w:pPr>
              <w:spacing w:after="0"/>
              <w:rPr>
                <w:sz w:val="24"/>
                <w:szCs w:val="24"/>
                <w:color w:val="auto"/>
              </w:rPr>
            </w:pPr>
          </w:p>
        </w:tc>
        <w:tc>
          <w:tcPr>
            <w:tcW w:w="2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7"/>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486"/>
        </w:trPr>
        <w:tc>
          <w:tcPr>
            <w:tcW w:w="9320" w:type="dxa"/>
            <w:vAlign w:val="bottom"/>
            <w:gridSpan w:val="8"/>
          </w:tcPr>
          <w:p>
            <w:pPr>
              <w:jc w:val="center"/>
              <w:ind w:left="285"/>
              <w:spacing w:after="0" w:line="487" w:lineRule="exact"/>
              <w:rPr>
                <w:sz w:val="20"/>
                <w:szCs w:val="20"/>
                <w:color w:val="auto"/>
              </w:rPr>
            </w:pPr>
            <w:r>
              <w:rPr>
                <w:rFonts w:ascii="Times New Roman" w:cs="Times New Roman" w:eastAsia="Times New Roman" w:hAnsi="Times New Roman"/>
                <w:sz w:val="43"/>
                <w:szCs w:val="43"/>
                <w:b w:val="1"/>
                <w:bCs w:val="1"/>
                <w:color w:val="auto"/>
              </w:rPr>
              <w:t>Analog Devices, Inc.</w:t>
            </w:r>
          </w:p>
        </w:tc>
      </w:tr>
      <w:tr>
        <w:trPr>
          <w:trHeight w:val="236"/>
        </w:trPr>
        <w:tc>
          <w:tcPr>
            <w:tcW w:w="9320" w:type="dxa"/>
            <w:vAlign w:val="bottom"/>
            <w:gridSpan w:val="8"/>
          </w:tcPr>
          <w:p>
            <w:pPr>
              <w:jc w:val="center"/>
              <w:ind w:left="265"/>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r>
      <w:tr>
        <w:trPr>
          <w:trHeight w:val="203"/>
        </w:trPr>
        <w:tc>
          <w:tcPr>
            <w:tcW w:w="34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93"/>
        </w:trPr>
        <w:tc>
          <w:tcPr>
            <w:tcW w:w="5940" w:type="dxa"/>
            <w:vAlign w:val="bottom"/>
            <w:gridSpan w:val="4"/>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380" w:type="dxa"/>
            <w:vAlign w:val="bottom"/>
            <w:gridSpan w:val="4"/>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04-2348234</w:t>
            </w:r>
          </w:p>
        </w:tc>
      </w:tr>
      <w:tr>
        <w:trPr>
          <w:trHeight w:val="220"/>
        </w:trPr>
        <w:tc>
          <w:tcPr>
            <w:tcW w:w="5940" w:type="dxa"/>
            <w:vAlign w:val="bottom"/>
            <w:gridSpan w:val="4"/>
          </w:tcPr>
          <w:p>
            <w:pPr>
              <w:jc w:val="center"/>
              <w:ind w:right="244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tcPr>
          <w:p>
            <w:pPr>
              <w:jc w:val="center"/>
              <w:ind w:left="508"/>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88"/>
        </w:trPr>
        <w:tc>
          <w:tcPr>
            <w:tcW w:w="5940" w:type="dxa"/>
            <w:vAlign w:val="bottom"/>
            <w:gridSpan w:val="4"/>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One Technology Way, Norwood, MA</w:t>
            </w:r>
          </w:p>
        </w:tc>
        <w:tc>
          <w:tcPr>
            <w:tcW w:w="3380" w:type="dxa"/>
            <w:vAlign w:val="bottom"/>
            <w:gridSpan w:val="4"/>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02062-9106</w:t>
            </w:r>
          </w:p>
        </w:tc>
      </w:tr>
      <w:tr>
        <w:trPr>
          <w:trHeight w:val="220"/>
        </w:trPr>
        <w:tc>
          <w:tcPr>
            <w:tcW w:w="5940" w:type="dxa"/>
            <w:vAlign w:val="bottom"/>
            <w:gridSpan w:val="4"/>
          </w:tcPr>
          <w:p>
            <w:pPr>
              <w:jc w:val="center"/>
              <w:ind w:right="24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tcPr>
          <w:p>
            <w:pPr>
              <w:jc w:val="center"/>
              <w:ind w:left="508"/>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63"/>
        </w:trPr>
        <w:tc>
          <w:tcPr>
            <w:tcW w:w="5900" w:type="dxa"/>
            <w:vAlign w:val="bottom"/>
            <w:gridSpan w:val="3"/>
          </w:tcPr>
          <w:p>
            <w:pPr>
              <w:jc w:val="center"/>
              <w:ind w:left="3725"/>
              <w:spacing w:after="0"/>
              <w:rPr>
                <w:sz w:val="20"/>
                <w:szCs w:val="20"/>
                <w:color w:val="auto"/>
              </w:rPr>
            </w:pPr>
            <w:r>
              <w:rPr>
                <w:rFonts w:ascii="Times New Roman" w:cs="Times New Roman" w:eastAsia="Times New Roman" w:hAnsi="Times New Roman"/>
                <w:sz w:val="18"/>
                <w:szCs w:val="18"/>
                <w:b w:val="1"/>
                <w:bCs w:val="1"/>
                <w:color w:val="auto"/>
                <w:w w:val="99"/>
              </w:rPr>
              <w:t>(781) 329-4700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62"/>
        </w:trPr>
        <w:tc>
          <w:tcPr>
            <w:tcW w:w="9320" w:type="dxa"/>
            <w:vAlign w:val="bottom"/>
            <w:gridSpan w:val="8"/>
          </w:tcPr>
          <w:p>
            <w:pPr>
              <w:jc w:val="center"/>
              <w:ind w:left="28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190"/>
        </w:trPr>
        <w:tc>
          <w:tcPr>
            <w:tcW w:w="9320" w:type="dxa"/>
            <w:vAlign w:val="bottom"/>
            <w:gridSpan w:val="8"/>
          </w:tcPr>
          <w:p>
            <w:pPr>
              <w:jc w:val="center"/>
              <w:ind w:left="285"/>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tc>
      </w:tr>
      <w:tr>
        <w:trPr>
          <w:trHeight w:val="253"/>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bl>
    <w:p>
      <w:pPr>
        <w:spacing w:after="0" w:line="360" w:lineRule="exact"/>
        <w:rPr>
          <w:sz w:val="24"/>
          <w:szCs w:val="24"/>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right="1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Rule 12b-2 of the Exchange Act.</w:t>
            </w:r>
          </w:p>
        </w:tc>
        <w:tc>
          <w:tcPr>
            <w:tcW w:w="5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80"/>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spacing w:after="0"/>
              <w:rPr>
                <w:sz w:val="24"/>
                <w:szCs w:val="24"/>
                <w:color w:val="auto"/>
              </w:rPr>
            </w:pPr>
          </w:p>
        </w:tc>
        <w:tc>
          <w:tcPr>
            <w:tcW w:w="51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ind w:right="220"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February 2, 2019 there were 368,314,314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80"/>
          </w:cols>
          <w:pgMar w:left="240" w:top="1011"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96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69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ANALOG DEVICES, INC.</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7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00" w:type="dxa"/>
            <w:vAlign w:val="bottom"/>
          </w:tcPr>
          <w:p>
            <w:pPr>
              <w:spacing w:after="0"/>
              <w:rPr>
                <w:sz w:val="22"/>
                <w:szCs w:val="22"/>
                <w:color w:val="auto"/>
              </w:rPr>
            </w:pPr>
          </w:p>
        </w:tc>
        <w:tc>
          <w:tcPr>
            <w:tcW w:w="16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February 3, 2018 (2)</w:t>
            </w:r>
          </w:p>
        </w:tc>
        <w:tc>
          <w:tcPr>
            <w:tcW w:w="0" w:type="dxa"/>
            <w:vAlign w:val="bottom"/>
          </w:tcPr>
          <w:p>
            <w:pPr>
              <w:spacing w:after="0"/>
              <w:rPr>
                <w:sz w:val="1"/>
                <w:szCs w:val="1"/>
                <w:color w:val="auto"/>
              </w:rPr>
            </w:pPr>
          </w:p>
        </w:tc>
      </w:tr>
      <w:tr>
        <w:trPr>
          <w:trHeight w:val="249"/>
        </w:trPr>
        <w:tc>
          <w:tcPr>
            <w:tcW w:w="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69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1,541,101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1,566,870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 (1)</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501,445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495,187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1,039,656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1,071,683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288,597</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 (1)</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167,342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176,908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107,019</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57,318</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629,842</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455,826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441,841</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58,728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68,030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55,880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66,494</w:t>
            </w:r>
          </w:p>
        </w:tc>
        <w:tc>
          <w:tcPr>
            <w:tcW w:w="0" w:type="dxa"/>
            <w:vAlign w:val="bottom"/>
          </w:tcPr>
          <w:p>
            <w:pPr>
              <w:spacing w:after="0"/>
              <w:rPr>
                <w:sz w:val="1"/>
                <w:szCs w:val="1"/>
                <w:color w:val="auto"/>
              </w:rPr>
            </w:pPr>
          </w:p>
        </w:tc>
      </w:tr>
      <w:tr>
        <w:trPr>
          <w:trHeight w:val="237"/>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399,946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375,347</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44,940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82,107</w:t>
            </w:r>
          </w:p>
        </w:tc>
        <w:tc>
          <w:tcPr>
            <w:tcW w:w="0" w:type="dxa"/>
            <w:vAlign w:val="bottom"/>
          </w:tcPr>
          <w:p>
            <w:pPr>
              <w:spacing w:after="0"/>
              <w:rPr>
                <w:sz w:val="1"/>
                <w:szCs w:val="1"/>
                <w:color w:val="auto"/>
              </w:rPr>
            </w:pPr>
          </w:p>
        </w:tc>
      </w:tr>
      <w:tr>
        <w:trPr>
          <w:trHeight w:val="237"/>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355,006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293,240</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369,093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372,506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374,189</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gridSpan w:val="2"/>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6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19,728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6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13,953</w:t>
            </w: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420" w:firstLine="8"/>
        <w:spacing w:after="0" w:line="283" w:lineRule="auto"/>
        <w:tabs>
          <w:tab w:leader="none" w:pos="23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full retrospective adoption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See Note 1, </w:t>
      </w:r>
      <w:r>
        <w:rPr>
          <w:rFonts w:ascii="Times New Roman" w:cs="Times New Roman" w:eastAsia="Times New Roman" w:hAnsi="Times New Roman"/>
          <w:sz w:val="16"/>
          <w:szCs w:val="16"/>
          <w:i w:val="1"/>
          <w:iCs w:val="1"/>
          <w:color w:val="auto"/>
        </w:rPr>
        <w:t>Basis of Presentation</w:t>
      </w:r>
      <w:r>
        <w:rPr>
          <w:rFonts w:ascii="Times New Roman" w:cs="Times New Roman" w:eastAsia="Times New Roman" w:hAnsi="Times New Roman"/>
          <w:sz w:val="16"/>
          <w:szCs w:val="16"/>
          <w:color w:val="auto"/>
        </w:rPr>
        <w:t>, in the Notes to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00" w:type="dxa"/>
            <w:vAlign w:val="bottom"/>
          </w:tcPr>
          <w:p>
            <w:pPr>
              <w:spacing w:after="0"/>
              <w:rPr>
                <w:sz w:val="22"/>
                <w:szCs w:val="22"/>
                <w:color w:val="auto"/>
              </w:rPr>
            </w:pP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February 3, 2018 (1)</w:t>
            </w:r>
          </w:p>
        </w:tc>
      </w:tr>
      <w:tr>
        <w:trPr>
          <w:trHeight w:val="242"/>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355,006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293,240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10,171</w:t>
            </w: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5"/>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instruments designated as cash flow hedges (net of taxes of $6,381</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41"/>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$2,094,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8,350</w:t>
            </w:r>
          </w:p>
        </w:tc>
      </w:tr>
      <w:tr>
        <w:trPr>
          <w:trHeight w:val="225"/>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pension plans including transition obligation, net actuarial loss and foreign currency</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adjustments (net of taxes of $63 and $103, respectively)</w:t>
            </w:r>
          </w:p>
        </w:tc>
        <w:tc>
          <w:tcPr>
            <w:tcW w:w="260" w:type="dxa"/>
            <w:vAlign w:val="bottom"/>
          </w:tcPr>
          <w:p>
            <w:pPr>
              <w:spacing w:after="0"/>
              <w:rPr>
                <w:sz w:val="20"/>
                <w:szCs w:val="20"/>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17,002</w:t>
            </w: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335,425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310,242</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right="420" w:firstLine="8"/>
        <w:spacing w:after="0" w:line="283" w:lineRule="auto"/>
        <w:tabs>
          <w:tab w:leader="none" w:pos="23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full retrospective adoption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See Note 1, </w:t>
      </w:r>
      <w:r>
        <w:rPr>
          <w:rFonts w:ascii="Times New Roman" w:cs="Times New Roman" w:eastAsia="Times New Roman" w:hAnsi="Times New Roman"/>
          <w:sz w:val="16"/>
          <w:szCs w:val="16"/>
          <w:i w:val="1"/>
          <w:iCs w:val="1"/>
          <w:color w:val="auto"/>
        </w:rPr>
        <w:t>Basis of Presentation</w:t>
      </w:r>
      <w:r>
        <w:rPr>
          <w:rFonts w:ascii="Times New Roman" w:cs="Times New Roman" w:eastAsia="Times New Roman" w:hAnsi="Times New Roman"/>
          <w:sz w:val="16"/>
          <w:szCs w:val="16"/>
          <w:color w:val="auto"/>
        </w:rPr>
        <w:t>, in the 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83" w:right="239" w:bottom="1440" w:gutter="0" w:footer="0" w:header="0"/>
        </w:sectPr>
      </w:pPr>
    </w:p>
    <w:bookmarkStart w:id="3" w:name="page4"/>
    <w:bookmarkEnd w:id="3"/>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6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November 3, 2018 (1)</w:t>
            </w:r>
          </w:p>
        </w:tc>
        <w:tc>
          <w:tcPr>
            <w:tcW w:w="0" w:type="dxa"/>
            <w:vAlign w:val="bottom"/>
          </w:tcPr>
          <w:p>
            <w:pPr>
              <w:spacing w:after="0"/>
              <w:rPr>
                <w:sz w:val="1"/>
                <w:szCs w:val="1"/>
                <w:color w:val="auto"/>
              </w:rPr>
            </w:pPr>
          </w:p>
        </w:tc>
      </w:tr>
      <w:tr>
        <w:trPr>
          <w:trHeight w:val="235"/>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816,591</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713,730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639,717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(2)</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586,760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income tax</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68,544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65,862</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1,985,180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2,112,126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at Cost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 and buildings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887,765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873,186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2,530,281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2,478,032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Office equipment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78,048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76,233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117,829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100,374</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3,613,923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3,527,825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2,432,188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2,373,497</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1,181,735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1,154,328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investments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39,853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28,730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12,253,891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12,252,604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4,631,697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4,778,192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1,634,719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62,929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62,868</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assets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18,661,363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17,163,972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21,828,278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20,430,426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222,552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260,919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93,722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current</w:t>
            </w:r>
          </w:p>
        </w:tc>
        <w:tc>
          <w:tcPr>
            <w:tcW w:w="2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67,000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588,271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630,107</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849,955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1,051,748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6,234,517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6,265,674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2,288,615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982,469</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43,334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39,846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710,179</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119,764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112,337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9,392,886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8,110,505</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$0.16 2/3 par value, 1,200,000,000 shares authorized, 368,314,314 shares outstanding</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(370,159,553 on November 3, 2018)</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61,387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61,694</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5,111,058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5,282,222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6,491,013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5,982,697</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11,585,437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11,268,173</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21,828,278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20,430,426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660" w:right="40" w:hanging="328"/>
        <w:spacing w:after="0" w:line="283"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Balances have been restated to reflect the full retrospective adoption of Accounting Standards Update (ASU) 2014-09,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(ASU 2014-09). See Note 1, </w:t>
      </w: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in the Notes to Condensed Consolidated Financial Statements.</w:t>
      </w: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$6,694 and $7,128 related to stock-based compensation at February 2, 2019 and November 3, 2018,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83" w:orient="portrait"/>
          <w:cols w:equalWidth="0" w:num="1">
            <w:col w:w="11420"/>
          </w:cols>
          <w:pgMar w:left="240" w:top="769"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83" w:orient="portrait"/>
          <w:cols w:equalWidth="0" w:num="1">
            <w:col w:w="11420"/>
          </w:cols>
          <w:pgMar w:left="240" w:top="769" w:right="2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228600</wp:posOffset>
            </wp:positionV>
            <wp:extent cx="4124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Three Months Ended February 2, 2019</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75"/>
        </w:trPr>
        <w:tc>
          <w:tcPr>
            <w:tcW w:w="4920" w:type="dxa"/>
            <w:vAlign w:val="bottom"/>
          </w:tcPr>
          <w:p>
            <w:pPr>
              <w:spacing w:after="0"/>
              <w:rPr>
                <w:sz w:val="23"/>
                <w:szCs w:val="23"/>
                <w:color w:val="auto"/>
              </w:rPr>
            </w:pPr>
          </w:p>
        </w:tc>
        <w:tc>
          <w:tcPr>
            <w:tcW w:w="232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4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23"/>
                <w:szCs w:val="23"/>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69"/>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NOVEMBER 3, 2018 (1)</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370,160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61,694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5,282,222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5,982,697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Activity in Three-Month Period</w:t>
            </w: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Accounting Standards Update 2016-16 (see Note 1)</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331,026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 2019</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355,006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36,393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FEBRUARY 2, 2019</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368,314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61,387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5,111,058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6,491,013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205740</wp:posOffset>
            </wp:positionV>
            <wp:extent cx="4124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Three Months Ended February 3, 2018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75"/>
        </w:trPr>
        <w:tc>
          <w:tcPr>
            <w:tcW w:w="4920" w:type="dxa"/>
            <w:vAlign w:val="bottom"/>
          </w:tcPr>
          <w:p>
            <w:pPr>
              <w:spacing w:after="0"/>
              <w:rPr>
                <w:sz w:val="23"/>
                <w:szCs w:val="23"/>
                <w:color w:val="auto"/>
              </w:rPr>
            </w:pPr>
          </w:p>
        </w:tc>
        <w:tc>
          <w:tcPr>
            <w:tcW w:w="232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4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23"/>
                <w:szCs w:val="23"/>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62"/>
        </w:trPr>
        <w:tc>
          <w:tcPr>
            <w:tcW w:w="49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OCTOBER 28, 2017 (1)</w:t>
            </w:r>
          </w:p>
        </w:tc>
        <w:tc>
          <w:tcPr>
            <w:tcW w:w="10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368,636</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61,441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5,250,519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5,179,024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Activity in Three-Month Period</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 2018</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293,240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17,002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FEBRUARY 3, 2018</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369,804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61,635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5,318,109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5,305,545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660" w:right="1140" w:hanging="328"/>
        <w:spacing w:after="0" w:line="283"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full retrospective adoption of Accounting Standards Update (ASU) 2014-09,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(ASU 2014-09). See Note 1,</w:t>
      </w:r>
      <w:r>
        <w:rPr>
          <w:rFonts w:ascii="Times New Roman" w:cs="Times New Roman" w:eastAsia="Times New Roman" w:hAnsi="Times New Roman"/>
          <w:sz w:val="16"/>
          <w:szCs w:val="16"/>
          <w:i w:val="1"/>
          <w:iCs w:val="1"/>
          <w:color w:val="auto"/>
        </w:rPr>
        <w:t xml:space="preserve"> Basis of Presentation</w:t>
      </w:r>
      <w:r>
        <w:rPr>
          <w:rFonts w:ascii="Times New Roman" w:cs="Times New Roman" w:eastAsia="Times New Roman" w:hAnsi="Times New Roman"/>
          <w:sz w:val="16"/>
          <w:szCs w:val="16"/>
          <w:color w:val="auto"/>
        </w:rPr>
        <w:t>, in the 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8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February 3, 2018 (1)</w:t>
            </w:r>
          </w:p>
        </w:tc>
      </w:tr>
      <w:tr>
        <w:trPr>
          <w:trHeight w:val="209"/>
        </w:trPr>
        <w:tc>
          <w:tcPr>
            <w:tcW w:w="7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355,006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293,240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58,293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56,415</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142,050</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36,393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37,902</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Non-cash portion of special charge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15,652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(677,603)</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non-cash activity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6,762</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529,922</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95,448</w:t>
            </w:r>
          </w:p>
        </w:tc>
      </w:tr>
      <w:tr>
        <w:trPr>
          <w:trHeight w:val="21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371,767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388,688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(63,222)</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21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(64,500)</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revolver</w:t>
            </w:r>
          </w:p>
        </w:tc>
        <w:tc>
          <w:tcPr>
            <w:tcW w:w="26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on revolver</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(420,000)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(166,719)</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37,812</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other financing activities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8,811</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(548,026)</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3,550</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(220,288)</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816,591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1,047,838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605,864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827,550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right="420" w:firstLine="8"/>
        <w:spacing w:after="0" w:line="283" w:lineRule="auto"/>
        <w:tabs>
          <w:tab w:leader="none" w:pos="2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Balances have been restated to reflect the full retrospective adoption of Accounting Standards Update (ASU)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See Note 1, </w:t>
      </w:r>
      <w:r>
        <w:rPr>
          <w:rFonts w:ascii="Times New Roman" w:cs="Times New Roman" w:eastAsia="Times New Roman" w:hAnsi="Times New Roman"/>
          <w:sz w:val="16"/>
          <w:szCs w:val="16"/>
          <w:i w:val="1"/>
          <w:iCs w:val="1"/>
          <w:color w:val="auto"/>
        </w:rPr>
        <w:t>Basis of Presentation</w:t>
      </w:r>
      <w:r>
        <w:rPr>
          <w:rFonts w:ascii="Times New Roman" w:cs="Times New Roman" w:eastAsia="Times New Roman" w:hAnsi="Times New Roman"/>
          <w:sz w:val="16"/>
          <w:szCs w:val="16"/>
          <w:color w:val="auto"/>
        </w:rPr>
        <w:t>, in the Notes to Condensed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FEBRUARY 2,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3, 2018 (fiscal 2018) and related notes. The results of operations for the interim periods shown in this report are not necessarily indicative of the results that may be expected for the fiscal year ending November 2, 2019 (fiscal 2019) or any future period.</w:t>
      </w:r>
    </w:p>
    <w:p>
      <w:pPr>
        <w:spacing w:after="0" w:line="13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2019 is a 52-week fiscal year and fiscal 2018 was a 53-week fiscal year. The additional week in fiscal 2018 was included in the first quarter ended February 3, 2018. Therefore, the first three months of fiscal 2019 included one less week of operations as compared to the first three months of fiscal 2018. Certain amounts reported in previous periods have been reclassified to conform to the fiscal 2019 presentation.</w:t>
      </w:r>
    </w:p>
    <w:p>
      <w:pPr>
        <w:spacing w:after="0" w:line="12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further discussed in Note 2,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the Company adopted the Financial Accounting Standards Board (FASB)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in the first quarter of fiscal 2019. The two permitted transition methods under the new standard are the full retrospective method, in which case the standard would be applied to each prior reporting period presented and the cumulative effect of applying the standard would be recognized at the earliest period showing, or the modified retrospective method, in which case the cumulative effect of applying the standard would be recognized as of the date of initial application. The Company adopted ASU 2014-09 using the full retrospective method and applied the practical expedient, in which the Company is not required to disclose the amount of consideration allocated to any remaining performance obligations or an explanation of when the Company expects to recognize that amount as revenue for all reporting periods presented before the date of the initial application.</w:t>
      </w:r>
    </w:p>
    <w:p>
      <w:pPr>
        <w:spacing w:after="0" w:line="133"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As a result of the adoption of ASU 2014-09, the Company changed its accounting policy for revenue recognition and recognizes revenue from product sales to its customers and distributors when title passes, which is generally upon shipment. Prior to the adoption of ASU 2014-09, revenue and the related cost of sales on shipments to certain distributors were deferred until the distributor resold the products to their end customers. See Note 2,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in these Notes to Condensed Consolidated Financial Statements for the details of the Company’s revenue recognition policies. The adoption of ASU 2014-09 impacted the Company’s condensed consolidated statements of income and balance sheets but did not impact its condensed consolidated statements of cash flows, with the exceptions of net income and reclassifications within adjustments to reconcile net income to cash provided by operations and did not impact the condensed consolidated statement of shareholders' equity, with the exceptions of retained earnings and net income. As shown in the tables below, pursuant to the guidance in ASU 2014-09, the Company restated its historical financial results to be consistent with the standard. Accordingly, the amounts for all periods presented in this Form 10-Q reflect the impact of ASU 2014-09.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9"/>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w:t>
            </w:r>
          </w:p>
        </w:tc>
        <w:tc>
          <w:tcPr>
            <w:tcW w:w="32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6"/>
          </w:tcPr>
          <w:p>
            <w:pPr>
              <w:jc w:val="center"/>
              <w:ind w:left="1072"/>
              <w:spacing w:after="0"/>
              <w:rPr>
                <w:sz w:val="20"/>
                <w:szCs w:val="20"/>
                <w:color w:val="auto"/>
              </w:rPr>
            </w:pPr>
            <w:r>
              <w:rPr>
                <w:rFonts w:ascii="Times New Roman" w:cs="Times New Roman" w:eastAsia="Times New Roman" w:hAnsi="Times New Roman"/>
                <w:sz w:val="14"/>
                <w:szCs w:val="14"/>
                <w:b w:val="1"/>
                <w:bCs w:val="1"/>
                <w:color w:val="auto"/>
              </w:rPr>
              <w:t>Three Months Ended February 3, 2018</w:t>
            </w:r>
          </w:p>
        </w:tc>
        <w:tc>
          <w:tcPr>
            <w:tcW w:w="1460" w:type="dxa"/>
            <w:vAlign w:val="bottom"/>
            <w:tcBorders>
              <w:bottom w:val="single" w:sz="8" w:color="auto"/>
            </w:tcBorders>
          </w:tcPr>
          <w:p>
            <w:pPr>
              <w:spacing w:after="0"/>
              <w:rPr>
                <w:sz w:val="22"/>
                <w:szCs w:val="22"/>
                <w:color w:val="auto"/>
              </w:rPr>
            </w:pPr>
          </w:p>
        </w:tc>
      </w:tr>
      <w:tr>
        <w:trPr>
          <w:trHeight w:val="265"/>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(thousands, except per share amounts)</w:t>
            </w:r>
          </w:p>
        </w:tc>
        <w:tc>
          <w:tcPr>
            <w:tcW w:w="320" w:type="dxa"/>
            <w:vAlign w:val="bottom"/>
          </w:tcPr>
          <w:p>
            <w:pPr>
              <w:spacing w:after="0"/>
              <w:rPr>
                <w:sz w:val="23"/>
                <w:szCs w:val="23"/>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23"/>
                <w:szCs w:val="23"/>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Impact of Adoption</w:t>
            </w:r>
          </w:p>
        </w:tc>
        <w:tc>
          <w:tcPr>
            <w:tcW w:w="360" w:type="dxa"/>
            <w:vAlign w:val="bottom"/>
          </w:tcPr>
          <w:p>
            <w:pPr>
              <w:spacing w:after="0"/>
              <w:rPr>
                <w:sz w:val="23"/>
                <w:szCs w:val="23"/>
                <w:color w:val="auto"/>
              </w:rPr>
            </w:pPr>
          </w:p>
        </w:tc>
        <w:tc>
          <w:tcPr>
            <w:tcW w:w="14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4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1,518,624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1,566,870</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495,187</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1,035,190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1,071,683</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288,597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288,597</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176,908</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107,019</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charges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57,318</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629,842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629,842</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405,348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441,841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68,030</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556</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66,494</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375,347</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70,682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82,107</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268,172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25,068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293,240</w:t>
            </w: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369,093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369,093</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3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374,189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0.79</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0.78</w:t>
            </w: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impact on the Company's previously reported condensed consolidated balance sheet line items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65"/>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(thousands)</w:t>
            </w:r>
          </w:p>
        </w:tc>
        <w:tc>
          <w:tcPr>
            <w:tcW w:w="360" w:type="dxa"/>
            <w:vAlign w:val="bottom"/>
          </w:tcPr>
          <w:p>
            <w:pPr>
              <w:spacing w:after="0"/>
              <w:rPr>
                <w:sz w:val="23"/>
                <w:szCs w:val="23"/>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23"/>
                <w:szCs w:val="23"/>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Impact of Adoption</w:t>
            </w:r>
          </w:p>
        </w:tc>
        <w:tc>
          <w:tcPr>
            <w:tcW w:w="360" w:type="dxa"/>
            <w:vAlign w:val="bottom"/>
          </w:tcPr>
          <w:p>
            <w:pPr>
              <w:spacing w:after="0"/>
              <w:rPr>
                <w:sz w:val="23"/>
                <w:szCs w:val="23"/>
                <w:color w:val="auto"/>
              </w:rPr>
            </w:pPr>
          </w:p>
        </w:tc>
        <w:tc>
          <w:tcPr>
            <w:tcW w:w="15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1,725</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on shipments to distributors,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487,417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630,107</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927,065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55,404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982,469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5,703,064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279,633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5,982,697</w:t>
            </w:r>
          </w:p>
        </w:tc>
      </w:tr>
      <w:tr>
        <w:trPr>
          <w:trHeight w:val="27"/>
        </w:trPr>
        <w:tc>
          <w:tcPr>
            <w:tcW w:w="5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addition, in the first quarter of fiscal 2019, the Company adopted ASU 2016-16,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2016-16) using the modified retrospective method with a cumulative-effect adjustment directly to retained earnings. ASU 2016-16 requires an entity to recognize the income tax consequences of an intra-entity transfer of an asset, other than inventory, when the transfer occurs. The adoption of ASU 2016-16 resulted in the following cumulative-effect increase in the Company's deferred tax assets, deferred tax liabilities and retained earnings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4, 2018</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(thousands)</w:t>
            </w:r>
          </w:p>
        </w:tc>
        <w:tc>
          <w:tcPr>
            <w:tcW w:w="2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Balance November</w:t>
            </w:r>
          </w:p>
        </w:tc>
        <w:tc>
          <w:tcPr>
            <w:tcW w:w="120" w:type="dxa"/>
            <w:vAlign w:val="bottom"/>
          </w:tcPr>
          <w:p>
            <w:pPr>
              <w:spacing w:after="0"/>
              <w:rPr>
                <w:sz w:val="12"/>
                <w:szCs w:val="12"/>
                <w:color w:val="auto"/>
              </w:rPr>
            </w:pPr>
          </w:p>
        </w:tc>
        <w:tc>
          <w:tcPr>
            <w:tcW w:w="1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Impact of Adoption of ASU</w:t>
            </w:r>
          </w:p>
        </w:tc>
        <w:tc>
          <w:tcPr>
            <w:tcW w:w="140" w:type="dxa"/>
            <w:vAlign w:val="bottom"/>
          </w:tcPr>
          <w:p>
            <w:pPr>
              <w:spacing w:after="0"/>
              <w:rPr>
                <w:sz w:val="12"/>
                <w:szCs w:val="12"/>
                <w:color w:val="auto"/>
              </w:rPr>
            </w:pPr>
          </w:p>
        </w:tc>
        <w:tc>
          <w:tcPr>
            <w:tcW w:w="18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Balance November 4, 2018</w:t>
            </w: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3, 2018 as Adjusted</w:t>
            </w:r>
          </w:p>
        </w:tc>
        <w:tc>
          <w:tcPr>
            <w:tcW w:w="120" w:type="dxa"/>
            <w:vAlign w:val="bottom"/>
          </w:tcPr>
          <w:p>
            <w:pPr>
              <w:spacing w:after="0"/>
              <w:rPr>
                <w:sz w:val="16"/>
                <w:szCs w:val="16"/>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2016-16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1,655,129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1,656,854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982,469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1,324,103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2,306,572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5,982,697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331,026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6,313,723</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these Notes to Condensed Consolidated Financial Statements for more information on the adoption of ASU 2016-16.</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900" w:right="2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 Revenue Recognition</w:t>
      </w:r>
    </w:p>
    <w:p>
      <w:pPr>
        <w:spacing w:after="0" w:line="173"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Policy: </w:t>
      </w:r>
      <w:r>
        <w:rPr>
          <w:rFonts w:ascii="Times New Roman" w:cs="Times New Roman" w:eastAsia="Times New Roman" w:hAnsi="Times New Roman"/>
          <w:sz w:val="18"/>
          <w:szCs w:val="18"/>
          <w:color w:val="auto"/>
        </w:rPr>
        <w:t>In May 2014, the FASB issued ASU 2014-09,</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to achieve a consistent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revenue recognition, resulting in a single revenue model to be applied by reporting companies under U.S. generally accepted accounting principles. Under the new model, recognition of revenue occurs when a customer obtains control of promised goods or services in an amount that reflects the consideration to which the providing entity expects to be entitled in exchange for those goods or services. As a result of the adoption of ASU 2014-09, at the beginning of the first quarter of fiscal year 2019, the Company revised its revenue recognition policy. The Company now recognizes revenue upon transfer of control of promised products or services to customers in an amount that reflects the consideration the Company expects to receive in exchange for those products or services. Under ASU 2014-09, the Company recognizes revenue when all of the following criteria are met: (1) the Company has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the Company's shipping terms permit the Company to recognize revenue at point of shipment or delivery. Certain shipping terms require the goods to be through customs or be received by the customer before title passes. In those instances, the Company defers the revenue recognized until title has passed. Shipping costs are charged to cost of sales as incurred. Sales taxes are excluded from revenue.</w:t>
      </w:r>
    </w:p>
    <w:p>
      <w:pPr>
        <w:spacing w:after="0" w:line="13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Substantially all of the Company’s contracts with customers contain a single performance obligation, the sale of mixed-signal integrated circuit (IC)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As allowed under ASU 2014-09, the Company has opted to not disclose the amount of unsatisfied performance obligations as these contracts have original expected durations of less than one year. The Company generally offers a twelve-month warranty for its products. The Company’s warranty policy provides for replacement of defective products. Specific accruals are recorded for known product warranty issues.</w:t>
      </w:r>
    </w:p>
    <w:p>
      <w:pPr>
        <w:spacing w:after="0" w:line="131"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Transaction Price: </w:t>
      </w:r>
      <w:r>
        <w:rPr>
          <w:rFonts w:ascii="Times New Roman" w:cs="Times New Roman" w:eastAsia="Times New Roman" w:hAnsi="Times New Roman"/>
          <w:sz w:val="18"/>
          <w:szCs w:val="18"/>
          <w:color w:val="auto"/>
        </w:rPr>
        <w:t>The transaction price reflects the Company’s expectations about the consideration it will be entitled to receive from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the Company will receive is unknown as of the end of a reporting period. Such consideration primarily includes sales made to distributors under agreements that allow certain rights of return, referred to as stock rotation, and credits issued to the distributor due to price protection. Stock rotation allows distributors limited levels of returns in order to reduce the amounts of slow-moving, discontinued or obsolete product from their inventory.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A refund liability for distributor credits covering variable consideration are made based on the Company's estimate of historical experience rates as well as considering economic conditions and contractual terms. To date, actual distributor claims activity has been materially consistent with the provisions we have made based on our historical estimates.</w:t>
      </w:r>
    </w:p>
    <w:p>
      <w:pPr>
        <w:spacing w:after="0" w:line="13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Contract Balances</w:t>
      </w:r>
      <w:r>
        <w:rPr>
          <w:rFonts w:ascii="Times New Roman" w:cs="Times New Roman" w:eastAsia="Times New Roman" w:hAnsi="Times New Roman"/>
          <w:sz w:val="18"/>
          <w:szCs w:val="18"/>
          <w:color w:val="auto"/>
        </w:rPr>
        <w:t>: Accounts receivable represents the Company’s unconditional right to receive consideration from its customers. Payments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due within 30 to 45 days of invoicing and do not include a significant financing component. To date, there have been no material impairment losses on accounts receivable. There were no material contract assets or contract liabilities recorded on the condensed consolidated balance sheet in any of the periods presented.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 Stock-Based Compensation and Shareholders' Equity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Company’s stock option activity as of February 2, 2019 and changes during the three-month period then ended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Activity during the Three Months Ended February 2, 2019</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5500" w:type="dxa"/>
            <w:vAlign w:val="bottom"/>
            <w:gridSpan w:val="3"/>
            <w:vMerge w:val="continue"/>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13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November 3, 2018</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7,297</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$58.42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1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$91.44</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$37.93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Options 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$70.07</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February 2, 2019</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6,741</w:t>
            </w:r>
          </w:p>
        </w:tc>
        <w:tc>
          <w:tcPr>
            <w:tcW w:w="1620" w:type="dxa"/>
            <w:vAlign w:val="bottom"/>
            <w:tcBorders>
              <w:bottom w:val="single" w:sz="8" w:color="CCEEFF"/>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$60.03</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$273,128</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Options exercisable at February 2, 2019</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3,582</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$50.62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$178,817</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Options vested or expected to vest at February 2, 2019 (1)</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3"/>
            <w:vMerge w:val="continue"/>
          </w:tcPr>
          <w:p>
            <w:pPr>
              <w:spacing w:after="0"/>
              <w:rPr>
                <w:sz w:val="21"/>
                <w:szCs w:val="21"/>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6,562</w:t>
            </w:r>
          </w:p>
        </w:tc>
        <w:tc>
          <w:tcPr>
            <w:tcW w:w="1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$59.56</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$268,918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2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08" w:lineRule="exact"/>
        <w:rPr>
          <w:sz w:val="20"/>
          <w:szCs w:val="20"/>
          <w:color w:val="auto"/>
        </w:rPr>
      </w:pPr>
    </w:p>
    <w:p>
      <w:pPr>
        <w:ind w:left="60" w:right="160" w:firstLine="405"/>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February 2, 2019, the total intrinsic value of options exercised (i.e., the difference between the market price at exercise and the price paid by the employee to exercise the options) was $27.1 million, and the total amount of proceeds received by the Company from the exercise of these options was $19.2 million.</w:t>
      </w:r>
    </w:p>
    <w:p>
      <w:pPr>
        <w:spacing w:after="0" w:line="122" w:lineRule="exact"/>
        <w:rPr>
          <w:sz w:val="20"/>
          <w:szCs w:val="20"/>
          <w:color w:val="auto"/>
        </w:rPr>
      </w:pPr>
    </w:p>
    <w:p>
      <w:pPr>
        <w:ind w:left="60" w:right="160" w:firstLine="405"/>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February 3, 2018, the total intrinsic value of options exercised (i.e., the difference between the market price at exercise and the price paid by the employee to exercise the options) was $53.9 million, and the total amount of proceeds received by the Company from the exercise of these options was $37.8 million.</w:t>
      </w:r>
    </w:p>
    <w:p>
      <w:pPr>
        <w:spacing w:after="0" w:line="122" w:lineRule="exact"/>
        <w:rPr>
          <w:sz w:val="20"/>
          <w:szCs w:val="20"/>
          <w:color w:val="auto"/>
        </w:rPr>
      </w:pPr>
    </w:p>
    <w:p>
      <w:pPr>
        <w:ind w:left="60" w:right="440" w:firstLine="405"/>
        <w:spacing w:after="0" w:line="282" w:lineRule="auto"/>
        <w:rPr>
          <w:sz w:val="20"/>
          <w:szCs w:val="20"/>
          <w:color w:val="auto"/>
        </w:rPr>
      </w:pPr>
      <w:r>
        <w:rPr>
          <w:rFonts w:ascii="Times New Roman" w:cs="Times New Roman" w:eastAsia="Times New Roman" w:hAnsi="Times New Roman"/>
          <w:sz w:val="18"/>
          <w:szCs w:val="18"/>
          <w:color w:val="auto"/>
        </w:rPr>
        <w:t>A summary of the Company’s restricted stock unit/award activity as of February 2, 2019 and changes during the three-month period then ended is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Units/Awards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8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Activity during the Three Months Ended February 2, 2019</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60"/>
        </w:trPr>
        <w:tc>
          <w:tcPr>
            <w:tcW w:w="8340" w:type="dxa"/>
            <w:vAlign w:val="bottom"/>
            <w:gridSpan w:val="3"/>
            <w:vMerge w:val="continue"/>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units/awards outstanding at November 3, 2018</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5,289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$77.54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Units/Awards granted</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56</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$80.94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$78.41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units/awards outstanding at February 2, 2019</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4,985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$77.76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As of February 2, 2019, there was $312.9 million of total unrecognized compensation cost related to unvested stock-based awards comprised of stock options and restricted stock units/awards. That cost is expected to be recognized over a weighted-average period of 1.5 years. The total grant-date fair value of shares that vested during the three-month period ended February 2, 2019 was approximately $19.6 million. The total grant-date fair value of shares that vested during the three-month period ended February 3, 2018 was approximately $20.4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173"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As of February 2, 2019, the Company had repurchased a total of approximately 151.5 million shares of its common stock for approximately $5.8 billion under the Company's share repurchase program. As of February 2, 2019, an additional $2.4 billion remains available for repurchase of shares under the current authorized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Accumulated Other Comprehensive Income (Loss)</w:t>
      </w:r>
    </w:p>
    <w:p>
      <w:pPr>
        <w:spacing w:after="0" w:line="17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income (loss) (OCI) by component and the related tax effects during the first three months of fiscal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holding gains on</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holding (losses) on</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 gains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3, 2018</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vMerge w:val="continue"/>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out of other</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6,318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OCI into the Condensed Consolidated Statement of Income with presentation location during each period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Component</w:t>
            </w:r>
          </w:p>
        </w:tc>
        <w:tc>
          <w:tcPr>
            <w:tcW w:w="220" w:type="dxa"/>
            <w:vAlign w:val="bottom"/>
          </w:tcPr>
          <w:p>
            <w:pPr>
              <w:spacing w:after="0"/>
              <w:rPr>
                <w:sz w:val="23"/>
                <w:szCs w:val="23"/>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20" w:type="dxa"/>
            <w:vAlign w:val="bottom"/>
          </w:tcPr>
          <w:p>
            <w:pPr>
              <w:spacing w:after="0"/>
              <w:rPr>
                <w:sz w:val="23"/>
                <w:szCs w:val="23"/>
                <w:color w:val="auto"/>
              </w:rPr>
            </w:pP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10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9"/>
        </w:trPr>
        <w:tc>
          <w:tcPr>
            <w:tcW w:w="52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holding losses (gains) on derivatives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Currency forwards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5"/>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pension components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Transition obligation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4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Actuarial losses</w:t>
            </w: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amounts reclassified out of accumulated other comprehensive</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net of tax</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0"/>
          <w:szCs w:val="20"/>
          <w:color w:val="auto"/>
        </w:rPr>
      </w:pPr>
    </w:p>
    <w:p>
      <w:pPr>
        <w:ind w:left="660" w:right="600" w:hanging="4"/>
        <w:spacing w:after="0" w:line="255" w:lineRule="auto"/>
        <w:tabs>
          <w:tab w:leader="none" w:pos="9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amortization of pension components is included in the computation of net periodic pension cost. For further information see Note 11, </w:t>
      </w: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in the Notes to Consolidated Financial Statements in Item 8 of the Annual Report on Form 10-K for the fiscal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 2018.</w:t>
      </w:r>
    </w:p>
    <w:p>
      <w:pPr>
        <w:spacing w:after="0" w:line="13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Company estimates $0.8 million, net of tax, of losses of forward foreign currency derivative instruments included in OCI will be reclassified into earnings within the next 12 months. There was no material ineffectiveness recorded within OCI related to designated forward foreign currency derivative instruments in the three-month periods ended February 2, 2019 and February 3, 2018.</w:t>
      </w:r>
    </w:p>
    <w:p>
      <w:pPr>
        <w:sectPr>
          <w:pgSz w:w="11900" w:h="16838" w:orient="portrait"/>
          <w:cols w:equalWidth="0" w:num="1">
            <w:col w:w="11420"/>
          </w:cols>
          <w:pgMar w:left="240" w:top="1009"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009" w:right="239" w:bottom="1440" w:gutter="0" w:footer="0" w:header="0"/>
          <w:type w:val="continuous"/>
        </w:sectPr>
      </w:pPr>
    </w:p>
    <w:bookmarkStart w:id="11" w:name="page12"/>
    <w:bookmarkEnd w:id="11"/>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As of February 2, 2019, the Company held 10 investment securities, 4 of which were in an unrealized loss position with immaterial gross unrealized losses and an aggregate fair value of $74.9 million. As of November 3, 2018, the Company held 15 investment securities, 15 of which were in an unrealized loss position with immaterial gross unrealized losses and an aggregate fair value of $205.0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February 2, 2019 and November 3, 2018.</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Realized gains or losses on investments are determined based on the specific identification basis and are recognized in nonoperating expense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net realized gains or losses from the sales of available-for-sale investments during any of the fiscal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7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Unvested restricted stock awards that entitle recipients to voting and nonforfeitable dividend rights from the date of grant are considered participating securities and the two-class method is used for purposes of calculating earnings per share. Under the two-class method, a portion of net income is allocated to these participating securities and therefore is excluded from the calculation of earnings per share allocated to common stock, as shown in the table below. The difference between the income allocated to participating securities under the basic and diluted two-class methods is not material.</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60" w:type="dxa"/>
            <w:vAlign w:val="bottom"/>
          </w:tcPr>
          <w:p>
            <w:pPr>
              <w:spacing w:after="0"/>
              <w:rPr>
                <w:sz w:val="22"/>
                <w:szCs w:val="22"/>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February 3, 2018 (1)</w:t>
            </w:r>
          </w:p>
        </w:tc>
        <w:tc>
          <w:tcPr>
            <w:tcW w:w="0" w:type="dxa"/>
            <w:vAlign w:val="bottom"/>
          </w:tcPr>
          <w:p>
            <w:pPr>
              <w:spacing w:after="0"/>
              <w:rPr>
                <w:sz w:val="1"/>
                <w:szCs w:val="1"/>
                <w:color w:val="auto"/>
              </w:rPr>
            </w:pP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355,006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293,240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allocated to common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353,969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291,997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shares: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368,703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369,093</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Earnings per common share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368,703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369,093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372,506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374,189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Anti-dilutive shares related to:</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share-based awards</w:t>
            </w: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bl>
    <w:p>
      <w:pPr>
        <w:spacing w:after="0" w:line="7" w:lineRule="exact"/>
        <w:rPr>
          <w:sz w:val="20"/>
          <w:szCs w:val="20"/>
          <w:color w:val="auto"/>
        </w:rPr>
      </w:pPr>
    </w:p>
    <w:p>
      <w:pPr>
        <w:ind w:right="340" w:firstLine="8"/>
        <w:spacing w:after="0" w:line="284"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these Notes to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Special Charges</w:t>
      </w:r>
    </w:p>
    <w:p>
      <w:pPr>
        <w:spacing w:after="0" w:line="175"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is a roll-forward from November 3, 2018 to February 2, 2019 of the employee separation and exit cost accruals established related to these actions.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4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Accrued Restructuring</w:t>
            </w:r>
          </w:p>
        </w:tc>
        <w:tc>
          <w:tcPr>
            <w:tcW w:w="120" w:type="dxa"/>
            <w:vAlign w:val="bottom"/>
          </w:tcPr>
          <w:p>
            <w:pPr>
              <w:spacing w:after="0"/>
              <w:rPr>
                <w:sz w:val="13"/>
                <w:szCs w:val="13"/>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Closure of Manufacturing</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Reduction of Operating</w:t>
            </w:r>
          </w:p>
        </w:tc>
        <w:tc>
          <w:tcPr>
            <w:tcW w:w="14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Early Retirement Action</w:t>
            </w:r>
          </w:p>
        </w:tc>
        <w:tc>
          <w:tcPr>
            <w:tcW w:w="240" w:type="dxa"/>
            <w:vAlign w:val="bottom"/>
          </w:tcPr>
          <w:p>
            <w:pPr>
              <w:spacing w:after="0"/>
              <w:rPr>
                <w:sz w:val="13"/>
                <w:szCs w:val="13"/>
                <w:color w:val="auto"/>
              </w:rPr>
            </w:pPr>
          </w:p>
        </w:tc>
        <w:tc>
          <w:tcPr>
            <w:tcW w:w="15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Reposition Action</w:t>
            </w:r>
          </w:p>
        </w:tc>
        <w:tc>
          <w:tcPr>
            <w:tcW w:w="0" w:type="dxa"/>
            <w:vAlign w:val="bottom"/>
          </w:tcPr>
          <w:p>
            <w:pPr>
              <w:spacing w:after="0"/>
              <w:rPr>
                <w:sz w:val="1"/>
                <w:szCs w:val="1"/>
                <w:color w:val="auto"/>
              </w:rPr>
            </w:pPr>
          </w:p>
        </w:tc>
      </w:tr>
      <w:tr>
        <w:trPr>
          <w:trHeight w:val="160"/>
        </w:trPr>
        <w:tc>
          <w:tcPr>
            <w:tcW w:w="37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Costs Action</w:t>
            </w:r>
          </w:p>
        </w:tc>
        <w:tc>
          <w:tcPr>
            <w:tcW w:w="14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November 3,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42,974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Fiscal 2019 special charges</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20,655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payments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Non-cash impairment charge</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2, 2019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44,087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7,131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15,235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 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15,235</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44,087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Repositioning Action</w:t>
      </w:r>
    </w:p>
    <w:p>
      <w:pPr>
        <w:spacing w:after="0" w:line="9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2019, the Company recorded a special charge of $20.7 million as a result of organizational initiatives to reposition the Company's global workforce skill set to align with the Company's long-term strategic plan. Approximately $16.3 million of the charge was for severance and fringe benefit costs in accordance with either the Company's ongoing benefit plan or statutory requirements for 114 engineering and selling, marketing, general and administrative (SMG&amp;A) employees. As of February 2, 2019, the Company still employed 100 of the 114 employees included in this action. These employees must continue to be employed by the Company until their employment is involuntarily terminated in order to receive the severance benefits. The remaining $4.4 million of the charge related to the write off of acquired intellectual property due to the Company's decision to discontinue certain product development strategies.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Closure of Manufacturing Facilities</w:t>
      </w:r>
    </w:p>
    <w:p>
      <w:pPr>
        <w:spacing w:after="0" w:line="9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recorded special charges of $44.1 million on a cumulative basis through February 2, 2019 as a result of its decision to consolidate certain wafer and test facility operations acquired as part of the acquisition of Linear Technology Corporation (Linear). Over the next two to four years, the Company plans to close its Hillview wafer fabrication facility located in Milpitas, California and its Singapore test facility.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in addition to its outsourced assembly and test partners. The special charges include severance and fringe benefit costs, in accordance with the Company's ongoing benefit plan or statutory requirements at foreign locations, and one-time termination benefits for 1,249 manufacturing, engineering and SMG&amp;A employees.</w:t>
      </w:r>
    </w:p>
    <w:p>
      <w:pPr>
        <w:spacing w:after="0" w:line="54"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Employees included in this action must continue to be employed by the Company until their employment is terminated in order to receive the severance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75"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Company designs, develops, manufactures and markets a broad range of integrated circuits (ICs). The Company operates and tracks its results in one reportable segment based on the aggregation of eight operating segments. The Chief Executive Officer has been identified as the Company's Chief Operating Decision Maker.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9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end market for the three-month periods ended February 2, 2019 and February 3, 2018.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2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2"/>
                <w:szCs w:val="12"/>
                <w:color w:val="auto"/>
              </w:rPr>
            </w:pPr>
          </w:p>
        </w:tc>
        <w:tc>
          <w:tcPr>
            <w:tcW w:w="14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48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100" w:type="dxa"/>
            <w:vAlign w:val="bottom"/>
          </w:tcPr>
          <w:p>
            <w:pPr>
              <w:spacing w:after="0"/>
              <w:rPr>
                <w:sz w:val="12"/>
                <w:szCs w:val="12"/>
                <w:color w:val="auto"/>
              </w:rPr>
            </w:pPr>
          </w:p>
        </w:tc>
        <w:tc>
          <w:tcPr>
            <w:tcW w:w="144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728,122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781,317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259,484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263,575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208,334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264,510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345,161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257,468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1,541,101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1,566,870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340" w:firstLine="8"/>
        <w:spacing w:after="0" w:line="261"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these Notes to Condensed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 The following table summarizes revenue by channel, for the three-month periods ended February 2, 2019 and February 3,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5"/>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r>
      <w:tr>
        <w:trPr>
          <w:trHeight w:val="264"/>
        </w:trPr>
        <w:tc>
          <w:tcPr>
            <w:tcW w:w="37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3"/>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February 3, 2018</w:t>
            </w:r>
          </w:p>
        </w:tc>
      </w:tr>
      <w:tr>
        <w:trPr>
          <w:trHeight w:val="264"/>
        </w:trPr>
        <w:tc>
          <w:tcPr>
            <w:tcW w:w="37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10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49"/>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Channel</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Distributors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829,243</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865,012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3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Customers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695,489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673,403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16,369</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28,455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1,541,101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1,566,870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ind w:right="340" w:firstLine="8"/>
        <w:spacing w:after="0" w:line="261"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these Notes to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7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28" w:lineRule="exact"/>
        <w:rPr>
          <w:sz w:val="20"/>
          <w:szCs w:val="20"/>
          <w:color w:val="auto"/>
        </w:rPr>
      </w:pPr>
    </w:p>
    <w:p>
      <w:pPr>
        <w:ind w:right="38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Level 1 inputs are quoted prices (unadjusted) in active markets for identical assets or liabilities that the reporting entity has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104" w:lineRule="exact"/>
        <w:rPr>
          <w:sz w:val="20"/>
          <w:szCs w:val="20"/>
          <w:color w:val="auto"/>
        </w:rPr>
      </w:pPr>
    </w:p>
    <w:p>
      <w:pPr>
        <w:ind w:right="180" w:firstLine="432"/>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Level 2 inputs are inputs other than quoted prices included within Level 1 that are observable for the asset or liability,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If the asset or liability has a specified (contractual) term, a Level 2 input must be observable for substantially the full term of the asset or liability.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804" w:right="239" w:bottom="1440" w:gutter="0" w:footer="0" w:header="0"/>
        </w:sectPr>
      </w:pPr>
    </w:p>
    <w:bookmarkStart w:id="14" w:name="page15"/>
    <w:bookmarkEnd w:id="14"/>
    <w:p>
      <w:pPr>
        <w:ind w:right="24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0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tables below, set forth by level, presents the Company’s financial assets and liabilities, excluding accrued interest components that were accounted for at fair value on a recurring basis as of February 2, 2019 and November 3, 2018. The tables exclude cash on hand and assets and liabilities that are measured at historical cost or any basis other than fair value. As of February 2, 2019 and November 3, 2018, the Company held $242.9 million and $217.6 million, respectively, of cash and held-to-maturity investments that were excluded from the tables below.</w:t>
      </w:r>
    </w:p>
    <w:p>
      <w:pPr>
        <w:sectPr>
          <w:pgSz w:w="11900" w:h="16838" w:orient="portrait"/>
          <w:cols w:equalWidth="0" w:num="1">
            <w:col w:w="11420"/>
          </w:cols>
          <w:pgMar w:left="240" w:top="7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Available-for-sale:</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Corporate obligations (1)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67" w:lineRule="exact"/>
        <w:rPr>
          <w:sz w:val="20"/>
          <w:szCs w:val="20"/>
          <w:color w:val="auto"/>
        </w:rPr>
      </w:pPr>
    </w:p>
    <w:p>
      <w:pPr>
        <w:ind w:left="40" w:right="2020" w:firstLine="351"/>
        <w:spacing w:after="0" w:line="345" w:lineRule="auto"/>
        <w:rPr>
          <w:sz w:val="20"/>
          <w:szCs w:val="20"/>
          <w:color w:val="auto"/>
        </w:rPr>
      </w:pPr>
      <w:r>
        <w:rPr>
          <w:rFonts w:ascii="Times New Roman" w:cs="Times New Roman" w:eastAsia="Times New Roman" w:hAnsi="Times New Roman"/>
          <w:sz w:val="17"/>
          <w:szCs w:val="17"/>
          <w:color w:val="auto"/>
        </w:rPr>
        <w:t xml:space="preserve">Deferred compensation investments </w:t>
      </w:r>
      <w:r>
        <w:rPr>
          <w:rFonts w:ascii="Times New Roman" w:cs="Times New Roman" w:eastAsia="Times New Roman" w:hAnsi="Times New Roman"/>
          <w:sz w:val="17"/>
          <w:szCs w:val="17"/>
          <w:b w:val="1"/>
          <w:bCs w:val="1"/>
          <w:color w:val="auto"/>
        </w:rPr>
        <w:t>Total assets measured at fair value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 derivatives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February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8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342900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258,105</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258,105</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104,816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104,816</w:t>
            </w:r>
          </w:p>
        </w:tc>
      </w:tr>
      <w:tr>
        <w:trPr>
          <w:trHeight w:val="540"/>
        </w:trPr>
        <w:tc>
          <w:tcPr>
            <w:tcW w:w="6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44,527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44,527</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302,632</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104,816</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407,448</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94"/>
        </w:trPr>
        <w:tc>
          <w:tcPr>
            <w:tcW w:w="6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1,457</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34,162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34,162</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35,619</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35,619</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-1440180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-1097280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-736600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00" w:space="720"/>
            <w:col w:w="5700"/>
          </w:cols>
          <w:pgMar w:left="240" w:top="740" w:right="239" w:bottom="1440" w:gutter="0" w:footer="0" w:header="0"/>
          <w:type w:val="continuous"/>
        </w:sect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February 2, 2019 was $104.9 million.</w:t>
      </w:r>
    </w:p>
    <w:p>
      <w:pPr>
        <w:spacing w:after="0" w:line="27" w:lineRule="exact"/>
        <w:rPr>
          <w:rFonts w:ascii="Times New Roman" w:cs="Times New Roman" w:eastAsia="Times New Roman" w:hAnsi="Times New Roman"/>
          <w:sz w:val="18"/>
          <w:szCs w:val="18"/>
          <w:color w:val="auto"/>
        </w:rPr>
      </w:pPr>
    </w:p>
    <w:p>
      <w:pPr>
        <w:ind w:left="660" w:right="54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sectPr>
          <w:pgSz w:w="11900" w:h="16838" w:orient="portrait"/>
          <w:cols w:equalWidth="0" w:num="1">
            <w:col w:w="11420"/>
          </w:cols>
          <w:pgMar w:left="240" w:top="7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Available-for-sale:</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Corporate obligations (1)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Deferred compensation investments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 derivatives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November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392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 Assets</w:t>
            </w: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8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342900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394,076</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204,886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204,886</w:t>
            </w:r>
          </w:p>
        </w:tc>
      </w:tr>
      <w:tr>
        <w:trPr>
          <w:trHeight w:val="540"/>
        </w:trPr>
        <w:tc>
          <w:tcPr>
            <w:tcW w:w="6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41,001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41,001</w:t>
            </w:r>
          </w:p>
        </w:tc>
      </w:tr>
      <w:tr>
        <w:trPr>
          <w:trHeight w:val="270"/>
        </w:trPr>
        <w:tc>
          <w:tcPr>
            <w:tcW w:w="6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435,077</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206,322</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641,399</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94"/>
        </w:trPr>
        <w:tc>
          <w:tcPr>
            <w:tcW w:w="6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r>
      <w:tr>
        <w:trPr>
          <w:trHeight w:val="27"/>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-1440180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-1097280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-753745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740"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40" w:right="239" w:bottom="1440" w:gutter="0" w:footer="0" w:header="0"/>
          <w:type w:val="continuous"/>
        </w:sectPr>
      </w:pPr>
    </w:p>
    <w:bookmarkStart w:id="15" w:name="page16"/>
    <w:bookmarkEnd w:id="15"/>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3, 2018 was $205.0 million.</w:t>
      </w:r>
    </w:p>
    <w:p>
      <w:pPr>
        <w:spacing w:after="0" w:line="27" w:lineRule="exact"/>
        <w:rPr>
          <w:rFonts w:ascii="Times New Roman" w:cs="Times New Roman" w:eastAsia="Times New Roman" w:hAnsi="Times New Roman"/>
          <w:sz w:val="18"/>
          <w:szCs w:val="18"/>
          <w:color w:val="auto"/>
        </w:rPr>
      </w:pPr>
    </w:p>
    <w:p>
      <w:pPr>
        <w:ind w:left="660" w:right="54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 in</w:t>
      </w:r>
      <w:r>
        <w:rPr>
          <w:rFonts w:ascii="Times New Roman" w:cs="Times New Roman" w:eastAsia="Times New Roman" w:hAnsi="Times New Roman"/>
          <w:sz w:val="18"/>
          <w:szCs w:val="18"/>
          <w:color w:val="auto"/>
        </w:rPr>
        <w:t xml:space="preserve"> these Notes to Condensed Consolidated Financial Statements for more information related to the Company's master netting arrangements.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w:t>
      </w:r>
    </w:p>
    <w:p>
      <w:pPr>
        <w:spacing w:after="0" w:line="167" w:lineRule="exact"/>
        <w:rPr>
          <w:sz w:val="20"/>
          <w:szCs w:val="20"/>
          <w:color w:val="auto"/>
        </w:rPr>
      </w:pPr>
    </w:p>
    <w:p>
      <w:pPr>
        <w:ind w:right="1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These investments are adjusted to fair value based on quoted market prices or are determined using a yield curve model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market rates.</w:t>
      </w:r>
    </w:p>
    <w:p>
      <w:pPr>
        <w:spacing w:after="0" w:line="101" w:lineRule="exact"/>
        <w:rPr>
          <w:sz w:val="20"/>
          <w:szCs w:val="20"/>
          <w:color w:val="auto"/>
        </w:rPr>
      </w:pPr>
    </w:p>
    <w:p>
      <w:pPr>
        <w:ind w:right="4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investments </w:t>
      </w:r>
      <w:r>
        <w:rPr>
          <w:rFonts w:ascii="Times New Roman" w:cs="Times New Roman" w:eastAsia="Times New Roman" w:hAnsi="Times New Roman"/>
          <w:sz w:val="18"/>
          <w:szCs w:val="18"/>
          <w:color w:val="auto"/>
        </w:rPr>
        <w:t>— The fair value of these mutual fund, money market fund and equity investments are based on quoted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prices.</w:t>
      </w:r>
    </w:p>
    <w:p>
      <w:pPr>
        <w:spacing w:after="0" w:line="101" w:lineRule="exact"/>
        <w:rPr>
          <w:sz w:val="20"/>
          <w:szCs w:val="20"/>
          <w:color w:val="auto"/>
        </w:rPr>
      </w:pPr>
    </w:p>
    <w:p>
      <w:pPr>
        <w:ind w:right="3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derivatives </w:t>
      </w:r>
      <w:r>
        <w:rPr>
          <w:rFonts w:ascii="Times New Roman" w:cs="Times New Roman" w:eastAsia="Times New Roman" w:hAnsi="Times New Roman"/>
          <w:sz w:val="18"/>
          <w:szCs w:val="18"/>
          <w:color w:val="auto"/>
        </w:rPr>
        <w:t>— The fair value of the interest rate derivatives is estimated using a discounted cash flow analysis based on the contractual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the derivative.</w:t>
      </w:r>
    </w:p>
    <w:p>
      <w:pPr>
        <w:spacing w:after="0" w:line="101"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foreign currency exchange contracts </w:t>
      </w:r>
      <w:r>
        <w:rPr>
          <w:rFonts w:ascii="Times New Roman" w:cs="Times New Roman" w:eastAsia="Times New Roman" w:hAnsi="Times New Roman"/>
          <w:sz w:val="18"/>
          <w:szCs w:val="18"/>
          <w:color w:val="auto"/>
        </w:rPr>
        <w:t>— The estimated fair value of forward foreign currency exchange contracts, which includes derivatives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3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table below presents the estimated fair value of certain financial instruments not recorded at fair value on a recurring basis. The carrying amounts of the term loans approximate fair value. The term loans are classified as Level 2 measurements according to the fair value hierarchy. The fair values of the senior unsecured notes are obtained from broker prices and are classified as Level 1 measurements according to the fair value hierarchy.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these Notes to Condensed Consolidated Financial Statements for further discussion related to outstanding debt.</w:t>
      </w:r>
    </w:p>
    <w:p>
      <w:pPr>
        <w:spacing w:after="0" w:line="309" w:lineRule="exact"/>
        <w:rPr>
          <w:sz w:val="20"/>
          <w:szCs w:val="20"/>
          <w:color w:val="auto"/>
        </w:rPr>
      </w:pPr>
    </w:p>
    <w:p>
      <w:pPr>
        <w:ind w:left="5220"/>
        <w:spacing w:after="0"/>
        <w:tabs>
          <w:tab w:leader="none" w:pos="8980" w:val="left"/>
        </w:tabs>
        <w:rPr>
          <w:sz w:val="20"/>
          <w:szCs w:val="20"/>
          <w:color w:val="auto"/>
        </w:rPr>
      </w:pPr>
      <w:r>
        <w:rPr>
          <w:rFonts w:ascii="Times New Roman" w:cs="Times New Roman" w:eastAsia="Times New Roman" w:hAnsi="Times New Roman"/>
          <w:sz w:val="14"/>
          <w:szCs w:val="14"/>
          <w:b w:val="1"/>
          <w:bCs w:val="1"/>
          <w:color w:val="auto"/>
        </w:rPr>
        <w:t>February 2, 2019</w:t>
      </w:r>
      <w:r>
        <w:rPr>
          <w:sz w:val="20"/>
          <w:szCs w:val="20"/>
          <w:color w:val="auto"/>
        </w:rPr>
        <w:tab/>
      </w:r>
      <w:r>
        <w:rPr>
          <w:rFonts w:ascii="Times New Roman" w:cs="Times New Roman" w:eastAsia="Times New Roman" w:hAnsi="Times New Roman"/>
          <w:sz w:val="14"/>
          <w:szCs w:val="14"/>
          <w:b w:val="1"/>
          <w:bCs w:val="1"/>
          <w:color w:val="auto"/>
        </w:rPr>
        <w:t>November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4776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43" w:lineRule="exact"/>
        <w:rPr>
          <w:sz w:val="20"/>
          <w:szCs w:val="20"/>
          <w:color w:val="auto"/>
        </w:rPr>
      </w:pPr>
    </w:p>
    <w:tbl>
      <w:tblPr>
        <w:tblLayout w:type="fixed"/>
        <w:tblInd w:w="4200" w:type="dxa"/>
        <w:tblCellMar>
          <w:top w:w="0" w:type="dxa"/>
          <w:left w:w="0" w:type="dxa"/>
          <w:bottom w:w="0" w:type="dxa"/>
          <w:right w:w="0" w:type="dxa"/>
        </w:tblCellMar>
      </w:tblPr>
      <w:tr>
        <w:trPr>
          <w:trHeight w:val="161"/>
        </w:trPr>
        <w:tc>
          <w:tcPr>
            <w:tcW w:w="16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90"/>
        </w:trPr>
        <w:tc>
          <w:tcPr>
            <w:tcW w:w="16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1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0"/>
        </w:trPr>
        <w:tc>
          <w:tcPr>
            <w:tcW w:w="164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00" w:space="720"/>
            <w:col w:w="340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3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3-Year term loan</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325,000</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425,000</w:t>
            </w: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5-Year term loan</w:t>
            </w:r>
          </w:p>
        </w:tc>
        <w:tc>
          <w:tcPr>
            <w:tcW w:w="5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1,350,000</w:t>
            </w:r>
          </w:p>
        </w:tc>
      </w:tr>
      <w:tr>
        <w:trPr>
          <w:trHeight w:val="27"/>
        </w:trPr>
        <w:tc>
          <w:tcPr>
            <w:tcW w:w="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2020</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March 2020</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299,303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298,147</w:t>
            </w: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2021</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January 2021</w:t>
            </w:r>
          </w:p>
        </w:tc>
        <w:tc>
          <w:tcPr>
            <w:tcW w:w="5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447,199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444,568</w:t>
            </w:r>
          </w:p>
        </w:tc>
      </w:tr>
      <w:tr>
        <w:trPr>
          <w:trHeight w:val="27"/>
        </w:trPr>
        <w:tc>
          <w:tcPr>
            <w:tcW w:w="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2021</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2021</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390,394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386,375</w:t>
            </w: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2023</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June 2023</w:t>
            </w:r>
          </w:p>
        </w:tc>
        <w:tc>
          <w:tcPr>
            <w:tcW w:w="5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485,170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479,189</w:t>
            </w:r>
          </w:p>
        </w:tc>
      </w:tr>
      <w:tr>
        <w:trPr>
          <w:trHeight w:val="27"/>
        </w:trPr>
        <w:tc>
          <w:tcPr>
            <w:tcW w:w="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2023</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2023</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535,598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529,120</w:t>
            </w: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2025</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December 2025</w:t>
            </w:r>
          </w:p>
        </w:tc>
        <w:tc>
          <w:tcPr>
            <w:tcW w:w="5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838,224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829,611</w:t>
            </w:r>
          </w:p>
        </w:tc>
      </w:tr>
      <w:tr>
        <w:trPr>
          <w:trHeight w:val="27"/>
        </w:trPr>
        <w:tc>
          <w:tcPr>
            <w:tcW w:w="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2026</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2026</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866,748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848,027</w:t>
            </w: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2036</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December 2036</w:t>
            </w:r>
          </w:p>
        </w:tc>
        <w:tc>
          <w:tcPr>
            <w:tcW w:w="5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236,160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232,627</w:t>
            </w:r>
          </w:p>
        </w:tc>
      </w:tr>
      <w:tr>
        <w:trPr>
          <w:trHeight w:val="27"/>
        </w:trPr>
        <w:tc>
          <w:tcPr>
            <w:tcW w:w="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2045</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2045</w:t>
            </w: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425,539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407,984</w:t>
            </w:r>
          </w:p>
        </w:tc>
      </w:tr>
      <w:tr>
        <w:trPr>
          <w:trHeight w:val="25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6,275,000</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6,199,335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6,375,000</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6,230,648</w:t>
            </w:r>
          </w:p>
        </w:tc>
      </w:tr>
      <w:tr>
        <w:trPr>
          <w:trHeight w:val="20"/>
        </w:trPr>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w:t>
      </w:r>
    </w:p>
    <w:p>
      <w:pPr>
        <w:spacing w:after="0" w:line="173"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Company enters into forward foreign currency exchange contracts to offset certain operational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type w:val="continuous"/>
        </w:sectPr>
      </w:pPr>
    </w:p>
    <w:bookmarkStart w:id="16" w:name="page17"/>
    <w:bookmarkEnd w:id="16"/>
    <w:p>
      <w:pPr>
        <w:ind w:right="20"/>
        <w:spacing w:after="0" w:line="256" w:lineRule="auto"/>
        <w:rPr>
          <w:sz w:val="20"/>
          <w:szCs w:val="20"/>
          <w:color w:val="auto"/>
        </w:rPr>
      </w:pPr>
      <w:r>
        <w:rPr>
          <w:rFonts w:ascii="Times New Roman" w:cs="Times New Roman" w:eastAsia="Times New Roman" w:hAnsi="Times New Roman"/>
          <w:sz w:val="18"/>
          <w:szCs w:val="18"/>
          <w:color w:val="auto"/>
        </w:rPr>
        <w:t>underlying transactions, generally one year or less. Hedges related to anticipated transactions are designated and documented at the inception of the respective hedges as cash flow hedges and are qualitatively evaluated for effectiveness quarterly.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gain or loss on the derivative reported as a component of accumulated OCI in shareholders’ equity and reclassified into earnings in the same period during which the hedged transaction affects earnings.</w:t>
      </w:r>
    </w:p>
    <w:p>
      <w:pPr>
        <w:spacing w:after="0" w:line="13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total notional amounts of forward foreign currency derivative instruments designated as hedging instruments of cash flow hedges denominated in Euros, British Pounds, Philippine Pesos and Japanese Yen as of February 2, 2019 and November 3, 2018 was $197.4 million and $194.4 million, respectively. The fair values of forward foreign currency derivative instruments designated as hedging instruments in the Company’s condensed consolidated balance sheets as of February 2, 2019 and November 3, 2018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264"/>
        </w:trPr>
        <w:tc>
          <w:tcPr>
            <w:tcW w:w="4100" w:type="dxa"/>
            <w:vAlign w:val="bottom"/>
            <w:tcBorders>
              <w:bottom w:val="single" w:sz="8" w:color="CCEEFF"/>
            </w:tcBorders>
          </w:tcPr>
          <w:p>
            <w:pPr>
              <w:spacing w:after="0"/>
              <w:rPr>
                <w:sz w:val="22"/>
                <w:szCs w:val="22"/>
                <w:color w:val="auto"/>
              </w:rPr>
            </w:pPr>
          </w:p>
        </w:tc>
        <w:tc>
          <w:tcPr>
            <w:tcW w:w="38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November 3, 2018</w:t>
            </w:r>
          </w:p>
        </w:tc>
      </w:tr>
      <w:tr>
        <w:trPr>
          <w:trHeight w:val="242"/>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6,934</w:t>
            </w:r>
          </w:p>
        </w:tc>
      </w:tr>
      <w:tr>
        <w:trPr>
          <w:trHeight w:val="27"/>
        </w:trPr>
        <w:tc>
          <w:tcPr>
            <w:tcW w:w="4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February 2, 2019 and November 3, 2018, the total notional amount of these undesignated hedges was $59.1 million and $40.6 million, respectively. The fair value of these hedging instruments in the Company’s condensed consolidated balance sheets was immaterial as of February 2, 2019 and November 3, 2018.</w:t>
      </w:r>
    </w:p>
    <w:p>
      <w:pPr>
        <w:spacing w:after="0" w:line="130"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All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 on a net basis. As of February 2, 2019 and November 3, 2018, none of the netting arrangements involved collateral. The following table presents the gross amounts of the Company's derivative assets and liabilities and the net amounts recorded in the Company's condensed consolidated balance sheet: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November 3, 2018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amount of recognized liabilities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amounts of recognized assets offset in the condensed consolidated balance sheet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904</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liabilities presented in the condensed consolidated balance sheet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w:t>
            </w:r>
          </w:p>
        </w:tc>
      </w:tr>
      <w:tr>
        <w:trPr>
          <w:trHeight w:val="27"/>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Company's current and future debt may be subject to interest rate risk. The Company utilizes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to alter interest rate exposure in an attempt to reduce the effects of these changes. In the first quarter of fiscal 2019, the Company entered into an interest rate swap agreement which locked in the interest rate for up to $1.0 billion in future debt issuances. The interest rate swap agreement was designated and qualified as a cash flow hedge. The fair value of this hedge was $34.2 million as of February 2, 2019 and is included within accrued liabilities in the Company's condensed consolidated balance sheets.</w:t>
      </w:r>
    </w:p>
    <w:p>
      <w:pPr>
        <w:spacing w:after="0" w:line="128"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February 2, 2019 and November 3, 2018,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3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 Company records the fair value of its derivative financial instruments in its condensed consolidated financial statements in other current assets, other assets, accrued liabilities and other non-current liabilities, depending on their net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42" w:right="239" w:bottom="1440" w:gutter="0" w:footer="0" w:header="0"/>
        </w:sectPr>
      </w:pPr>
    </w:p>
    <w:bookmarkStart w:id="17" w:name="page18"/>
    <w:bookmarkEnd w:id="17"/>
    <w:p>
      <w:pPr>
        <w:ind w:right="120"/>
        <w:spacing w:after="0" w:line="258" w:lineRule="auto"/>
        <w:rPr>
          <w:sz w:val="20"/>
          <w:szCs w:val="20"/>
          <w:color w:val="auto"/>
        </w:rPr>
      </w:pPr>
      <w:r>
        <w:rPr>
          <w:rFonts w:ascii="Times New Roman" w:cs="Times New Roman" w:eastAsia="Times New Roman" w:hAnsi="Times New Roman"/>
          <w:sz w:val="18"/>
          <w:szCs w:val="18"/>
          <w:color w:val="auto"/>
        </w:rPr>
        <w:t>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in the same line item on the condensed consolidated statement of income as the impact of the hedged transaction when the underlying contract matures and, for interest rate exposure derivatives, over the term of the corresponding debt instrument. Changes in the fair values of derivatives not qualifying for hedge accounting are reported in earnings as they occur.</w:t>
      </w:r>
    </w:p>
    <w:p>
      <w:pPr>
        <w:spacing w:after="0" w:line="13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accumulated other comprehensive income into the condensed consolidated statement of income related to forward foreign currency exchange contracts, see Note 4, </w:t>
      </w:r>
      <w:r>
        <w:rPr>
          <w:rFonts w:ascii="Times New Roman" w:cs="Times New Roman" w:eastAsia="Times New Roman" w:hAnsi="Times New Roman"/>
          <w:sz w:val="18"/>
          <w:szCs w:val="18"/>
          <w:i w:val="1"/>
          <w:iCs w:val="1"/>
          <w:color w:val="auto"/>
        </w:rPr>
        <w:t>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(Loss), </w:t>
      </w:r>
      <w:r>
        <w:rPr>
          <w:rFonts w:ascii="Times New Roman" w:cs="Times New Roman" w:eastAsia="Times New Roman" w:hAnsi="Times New Roman"/>
          <w:sz w:val="18"/>
          <w:szCs w:val="18"/>
          <w:color w:val="auto"/>
        </w:rPr>
        <w:t>in these Notes to Condensed Consolidated Financial Statements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3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Company has a senior unsecured revolving credit facility with certain institutional lenders that expires on July 10, 2020. The agreement for such revolving credit facility (the Credit Agreement) provides that the Company may borrow up to $1.0 billion. In December 2018, the Company borrowed $75.0 million under this revolving credit facility and utilized the proceeds for the repayment of existing indebtedness and working capital requirements. The Company repaid the $75 million plus interest of $0.2 million in January 2019. The Company may borrow under this revolving credit facility in the future and use the proceeds for repayment of existing indebtedness, stock repurchases, acquisitions, capital expenditures, working capital and other lawful corporate purposes.</w:t>
      </w:r>
    </w:p>
    <w:p>
      <w:pPr>
        <w:spacing w:after="0" w:line="13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February 2, 2019, the Company made an additional principal payment of $100.0 million on its 3-year unsecured term loan. These amounts were not contractually due under the terms of the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Inventories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at February 2, 2019 and November 3,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80" w:type="dxa"/>
            <w:vAlign w:val="bottom"/>
          </w:tcPr>
          <w:p>
            <w:pPr>
              <w:spacing w:after="0"/>
              <w:rPr>
                <w:sz w:val="16"/>
                <w:szCs w:val="16"/>
                <w:color w:val="auto"/>
              </w:rPr>
            </w:pPr>
          </w:p>
        </w:tc>
        <w:tc>
          <w:tcPr>
            <w:tcW w:w="16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November 3, 2018</w:t>
            </w:r>
          </w:p>
        </w:tc>
      </w:tr>
      <w:tr>
        <w:trPr>
          <w:trHeight w:val="249"/>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30,511</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384,273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375,908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173,271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180,341</w:t>
            </w:r>
          </w:p>
        </w:tc>
      </w:tr>
      <w:tr>
        <w:trPr>
          <w:trHeight w:val="25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593,211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586,760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7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Tax Cuts and Jobs Act of 2017 (Tax Legislation), enacted in December 2017, contains significant changes to U.S. tax law, including lowering the U.S. corporate income tax rate to 21.0%, implementing a territorial tax system, and imposing a one-time tax on deemed repatriated earnings of foreign subsidiaries.</w:t>
      </w:r>
    </w:p>
    <w:p>
      <w:pPr>
        <w:spacing w:after="0" w:line="12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Tax Legislation reduced the U.S. statutory tax rate from 35.0% to 21.0%, effective January 1, 2018, which resulted in a blended statutory income tax rate for the Company of 23.4% for fiscal 2018. For fiscal 2019, the Company’s U.S. statutory income tax rate was reduced to the statutory income tax rate of 21.0%.</w:t>
      </w:r>
    </w:p>
    <w:p>
      <w:pPr>
        <w:spacing w:after="0" w:line="12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 fiscal 2018, the Company recorded a provisional tax benefit of $637.0 million for the re-measurement of deferred tax assets and liabilities based on the rates to which they are expected to reverse in the future, which is generally 21.0%.</w:t>
      </w:r>
    </w:p>
    <w:p>
      <w:pPr>
        <w:spacing w:after="0" w:line="10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Tax Legislation also implemented a territorial tax system. As part of transitioning to the territorial tax system, the Tax Legislation included a one-time transition tax based on the Company's total post-1986 undistributed foreign earnings and profits that were previously deferred from U.S. income tax. In fiscal year 2018, the Company recorded a provisional tax expense amount for the one-time transition tax of $691.0 million, which is comprised of the $755.0 million transition tax liability less a deferred tax liability of $64.0 million that was recorded in prior years. In the first quarter of fiscal 2019, the Company adjusted its provisional net charge by recording an additional tax benefit of $7.5 million for a change to its estimate for the transition tax due to the finalization of the aggregate foreign cash positions.</w:t>
      </w:r>
    </w:p>
    <w:p>
      <w:pPr>
        <w:spacing w:after="0" w:line="134" w:lineRule="exact"/>
        <w:rPr>
          <w:sz w:val="20"/>
          <w:szCs w:val="20"/>
          <w:color w:val="auto"/>
        </w:rPr>
      </w:pPr>
    </w:p>
    <w:p>
      <w:pPr>
        <w:ind w:right="520" w:firstLine="392"/>
        <w:spacing w:after="0" w:line="282" w:lineRule="auto"/>
        <w:rPr>
          <w:sz w:val="20"/>
          <w:szCs w:val="20"/>
          <w:color w:val="auto"/>
        </w:rPr>
      </w:pPr>
      <w:r>
        <w:rPr>
          <w:rFonts w:ascii="Times New Roman" w:cs="Times New Roman" w:eastAsia="Times New Roman" w:hAnsi="Times New Roman"/>
          <w:sz w:val="18"/>
          <w:szCs w:val="18"/>
          <w:color w:val="auto"/>
        </w:rPr>
        <w:t>The Tax Legislation subjects U.S. corporations to tax on its global intangible low-taxed income (GILTI). Under U.S. GAAP, an accounting policy election can be made to either treat taxes due on the GILTI inclusion as a current period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42" w:right="239" w:bottom="1440" w:gutter="0" w:footer="0" w:header="0"/>
        </w:sectPr>
      </w:pPr>
    </w:p>
    <w:bookmarkStart w:id="18" w:name="page19"/>
    <w:bookmarkEnd w:id="18"/>
    <w:p>
      <w:pPr>
        <w:ind w:right="340"/>
        <w:spacing w:after="0" w:line="282" w:lineRule="auto"/>
        <w:rPr>
          <w:sz w:val="20"/>
          <w:szCs w:val="20"/>
          <w:color w:val="auto"/>
        </w:rPr>
      </w:pPr>
      <w:r>
        <w:rPr>
          <w:rFonts w:ascii="Times New Roman" w:cs="Times New Roman" w:eastAsia="Times New Roman" w:hAnsi="Times New Roman"/>
          <w:sz w:val="18"/>
          <w:szCs w:val="18"/>
          <w:color w:val="auto"/>
        </w:rPr>
        <w:t>or to recognize deferred taxes for temporary basis differences expected to reverse as GILTI in future years. The Company elected the deferral method and recorded the corresponding GILTI deferred tax assets and liabilities on our consolidated balance sheet.</w:t>
      </w:r>
    </w:p>
    <w:p>
      <w:pPr>
        <w:spacing w:after="0" w:line="121" w:lineRule="exact"/>
        <w:rPr>
          <w:sz w:val="20"/>
          <w:szCs w:val="20"/>
          <w:color w:val="auto"/>
        </w:rPr>
      </w:pPr>
    </w:p>
    <w:p>
      <w:pPr>
        <w:ind w:firstLine="392"/>
        <w:spacing w:after="0" w:line="274" w:lineRule="auto"/>
        <w:rPr>
          <w:sz w:val="20"/>
          <w:szCs w:val="20"/>
          <w:color w:val="auto"/>
        </w:rPr>
      </w:pPr>
      <w:r>
        <w:rPr>
          <w:rFonts w:ascii="Times New Roman" w:cs="Times New Roman" w:eastAsia="Times New Roman" w:hAnsi="Times New Roman"/>
          <w:sz w:val="18"/>
          <w:szCs w:val="18"/>
          <w:color w:val="auto"/>
        </w:rPr>
        <w:t>The Company completed its accounting for the income tax effects of the Tax Legislation during the first quarter of 2019, in accordance with the U.S. Securities and Exchange Commission Staff Accounting Bulletin No. 118. As of February 2, 2019, the U.S. Treasury Department and the Internal Revenue Service (IRS) are still in the process of issuing various regulations relating to the Tax Legislation. Furthermore, there is a possibility that Congress could enact technical corrections to the Tax Legislation in the future. Accordingly, future adjustments to the financial statements may be necessary as the regulations are issued and when the Company files its fiscal year 2018 tax returns with the IRS and foreign tax authorities.</w:t>
      </w:r>
    </w:p>
    <w:p>
      <w:pPr>
        <w:spacing w:after="0" w:line="167"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2016-16). ASU 2016-16 requires an entity to recognize the income tax consequences of an intra-entity transfer of an asset, other than inventory, when the transfer occurs. ASU 2016-16 is effective for fiscal years beginning after December 15, 2017, and interim periods within those fiscal years. The Company adopted ASU 2016-16 in the first quarter of fiscal 2019 using the modified retrospective method with a cumulative-effect adjustment directly to retained earnings. The Company adopted the guidance as effective November 4, 2018.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pacing w:after="0" w:line="187"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8"/>
          <w:szCs w:val="18"/>
          <w:color w:val="auto"/>
        </w:rPr>
        <w:t>The Company has numerous income tax audits ongoing at any time throughout the world, including an Internal Revenue Service audit for Linear’s pre-acquisition fiscal years 2015, 2016 and 2017, various U.S. state and local tax audits, and international audits including the transfer pricing audit in Ireland discussed below.</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Except for the Linear pre-acquisition audit, the Company’s U.S. federal tax returns prior to fiscal year 2015 are no longer subject to examination.</w:t>
      </w:r>
    </w:p>
    <w:p>
      <w:pPr>
        <w:spacing w:after="0" w:line="171" w:lineRule="exact"/>
        <w:rPr>
          <w:sz w:val="20"/>
          <w:szCs w:val="20"/>
          <w:color w:val="auto"/>
        </w:rPr>
      </w:pPr>
    </w:p>
    <w:p>
      <w:pPr>
        <w:ind w:right="100" w:firstLine="392"/>
        <w:spacing w:after="0" w:line="254" w:lineRule="auto"/>
        <w:rPr>
          <w:sz w:val="20"/>
          <w:szCs w:val="20"/>
          <w:color w:val="auto"/>
        </w:rPr>
      </w:pPr>
      <w:r>
        <w:rPr>
          <w:rFonts w:ascii="Times New Roman" w:cs="Times New Roman" w:eastAsia="Times New Roman" w:hAnsi="Times New Roman"/>
          <w:sz w:val="18"/>
          <w:szCs w:val="18"/>
          <w:color w:val="auto"/>
        </w:rPr>
        <w:t>All of the Company’s Ireland tax returns prior to fiscal year 2013 are no longer subject to examination. During the fourth quarter of fiscal 2018, the Company’s Irish tax resident subsidiary received an assessment for fiscal 2013 of approximately €43.0 million, or $49.0 million (as of February 2, 2019), from the Irish Revenue Commissioners.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the 2013 tax year or any other periods. The Company intends to vigorously defend its originally filed tax return position and has filed an appeal with the Irish Tax Appeals Commission, which is the normal process for the resolution of differences between Irish Revenue and taxpayers. If Irish Revenue were ultimately to prevail with respect to its assessment for the tax year 2013, such assessment and any potential impact related to years subsequent to 2013 could have a material unfavorable impact on the Company's income tax expense and net earnings in future periods. On February 19, 2019, Irish Revenue notified the Company that it is initiating a transfer pricing audit of fiscal years 2014 through 2017.</w:t>
      </w:r>
    </w:p>
    <w:p>
      <w:pPr>
        <w:spacing w:after="0" w:line="132" w:lineRule="exact"/>
        <w:rPr>
          <w:sz w:val="20"/>
          <w:szCs w:val="20"/>
          <w:color w:val="auto"/>
        </w:rPr>
      </w:pPr>
    </w:p>
    <w:p>
      <w:pPr>
        <w:jc w:val="both"/>
        <w:ind w:right="280" w:firstLine="392"/>
        <w:spacing w:after="0" w:line="266" w:lineRule="auto"/>
        <w:rPr>
          <w:sz w:val="20"/>
          <w:szCs w:val="20"/>
          <w:color w:val="auto"/>
        </w:rPr>
      </w:pPr>
      <w:r>
        <w:rPr>
          <w:rFonts w:ascii="Times New Roman" w:cs="Times New Roman" w:eastAsia="Times New Roman" w:hAnsi="Times New Roman"/>
          <w:sz w:val="18"/>
          <w:szCs w:val="18"/>
          <w:color w:val="auto"/>
        </w:rPr>
        <w:t>Although the Company believes its estimates of income taxes payable are reasonable, no assurance can be given that the Company will prevail in the matters raised or that the outcome of one or all of these matters will not be different than that which is reflected in the historical income tax provisions and accruals. The Company believes such differences would not have a material impact on the Company’s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2"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issued several amendments and updates to the new revenue standard, including guidance related to when an entity should recognize revenue gross as a principal or net as an agent and how an entity should identify performance obligations. The Company adopted ASU 2014-09 in the first quarter of fiscal 2019 using the full retrospective method and restated prior periods. As a result of the adoption of ASU 2014-09 the Company changed its accounting policy for revenue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42" w:right="239" w:bottom="1440" w:gutter="0" w:footer="0" w:header="0"/>
        </w:sectPr>
      </w:pPr>
    </w:p>
    <w:bookmarkStart w:id="19" w:name="page20"/>
    <w:bookmarkEnd w:id="19"/>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recognition.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and Note 2,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these Notes to Condensed Consolidated Financial Statements for details of the impact of ASU 2014-09 on the Company's financial statements.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0"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2016-16)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2016-16 requires an entity to recognize the income tax consequences of an intra-entity transfer of an asset, other than inventory, when the transfer occurs. ASU 2016-16 is effective for fiscal years beginning after December 15, 2017, and interim periods within those fiscal years. The Company adopted ASU 2016-16 in the first quarter of fiscal 2019 using the modified retrospective method with a cumulative-effect adjustment directly to retained earnings.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million and an increase in long-term deferred tax liabilities of $1.3 billion.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standards were adopted during the first quarter of fiscal 2019 and did not have a material impact on the Company's financial position and results of operations:</w:t>
      </w:r>
    </w:p>
    <w:p>
      <w:pPr>
        <w:spacing w:after="0" w:line="10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 Financial Liabilities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2017-09, </w:t>
      </w:r>
      <w:r>
        <w:rPr>
          <w:rFonts w:ascii="Times New Roman" w:cs="Times New Roman" w:eastAsia="Times New Roman" w:hAnsi="Times New Roman"/>
          <w:sz w:val="18"/>
          <w:szCs w:val="18"/>
          <w:i w:val="1"/>
          <w:iCs w:val="1"/>
          <w:color w:val="auto"/>
        </w:rPr>
        <w:t>Compensation-Stock Compensation (Topic 718): Scope of Modification Accounting.</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2017-07, </w:t>
      </w:r>
      <w:r>
        <w:rPr>
          <w:rFonts w:ascii="Times New Roman" w:cs="Times New Roman" w:eastAsia="Times New Roman" w:hAnsi="Times New Roman"/>
          <w:sz w:val="18"/>
          <w:szCs w:val="18"/>
          <w:i w:val="1"/>
          <w:iCs w:val="1"/>
          <w:color w:val="auto"/>
        </w:rPr>
        <w:t>Improving the Presentation of Net Period Pension Cost and Net Period Postretirement Benefit Cost.</w:t>
      </w:r>
    </w:p>
    <w:p>
      <w:pPr>
        <w:spacing w:after="0" w:line="171" w:lineRule="exact"/>
        <w:rPr>
          <w:sz w:val="20"/>
          <w:szCs w:val="20"/>
          <w:color w:val="auto"/>
        </w:rPr>
      </w:pPr>
    </w:p>
    <w:p>
      <w:pPr>
        <w:jc w:val="right"/>
        <w:ind w:right="9300"/>
        <w:spacing w:after="0"/>
        <w:rPr>
          <w:sz w:val="20"/>
          <w:szCs w:val="20"/>
          <w:color w:val="auto"/>
        </w:rPr>
      </w:pPr>
      <w:r>
        <w:rPr>
          <w:rFonts w:ascii="Times New Roman" w:cs="Times New Roman" w:eastAsia="Times New Roman" w:hAnsi="Times New Roman"/>
          <w:sz w:val="17"/>
          <w:szCs w:val="17"/>
          <w:i w:val="1"/>
          <w:iCs w:val="1"/>
          <w:color w:val="auto"/>
        </w:rPr>
        <w:t>Standards to Be Implemented</w:t>
      </w:r>
    </w:p>
    <w:p>
      <w:pPr>
        <w:spacing w:after="0" w:line="183" w:lineRule="exact"/>
        <w:rPr>
          <w:sz w:val="20"/>
          <w:szCs w:val="20"/>
          <w:color w:val="auto"/>
        </w:rPr>
      </w:pPr>
    </w:p>
    <w:p>
      <w:pPr>
        <w:jc w:val="right"/>
        <w:ind w:right="9300"/>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90" w:lineRule="exact"/>
        <w:rPr>
          <w:sz w:val="20"/>
          <w:szCs w:val="20"/>
          <w:color w:val="auto"/>
        </w:rPr>
      </w:pPr>
    </w:p>
    <w:p>
      <w:pPr>
        <w:ind w:right="1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February 2018, the FASB issued ASU No. 2018-02, </w:t>
      </w:r>
      <w:r>
        <w:rPr>
          <w:rFonts w:ascii="Times New Roman" w:cs="Times New Roman" w:eastAsia="Times New Roman" w:hAnsi="Times New Roman"/>
          <w:sz w:val="18"/>
          <w:szCs w:val="18"/>
          <w:i w:val="1"/>
          <w:iCs w:val="1"/>
          <w:color w:val="auto"/>
        </w:rPr>
        <w:t>Income Statement - Reporting Comprehensive Income (Topic 220): Reclassification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Effects from Accumulated Other Comprehensive Income </w:t>
      </w:r>
      <w:r>
        <w:rPr>
          <w:rFonts w:ascii="Times New Roman" w:cs="Times New Roman" w:eastAsia="Times New Roman" w:hAnsi="Times New Roman"/>
          <w:sz w:val="18"/>
          <w:szCs w:val="18"/>
          <w:color w:val="auto"/>
        </w:rPr>
        <w:t>(ASU 2018-01). ASU 2018-01 allows for reclassification of stranded tax effects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Legislation from accumulated other comprehensive income to retained earnings. ASU 2018-02 is effective for fiscal years beginning after December 15, 2018, with early adoption permitted. ASU 2018-02 is effective for the Company in the first quarter of fiscal 2020. The Company is currently evaluating the adoption date and the impact, if any, adoption will have on its financial position and results of operations.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9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w:t>
      </w:r>
      <w:r>
        <w:rPr>
          <w:rFonts w:ascii="Times New Roman" w:cs="Times New Roman" w:eastAsia="Times New Roman" w:hAnsi="Times New Roman"/>
          <w:sz w:val="18"/>
          <w:szCs w:val="18"/>
          <w:i w:val="1"/>
          <w:iCs w:val="1"/>
          <w:color w:val="auto"/>
        </w:rPr>
        <w:t>Leases (Topic 842): Land Easement Practical Expedient for Transition to Topic 842</w:t>
      </w:r>
      <w:r>
        <w:rPr>
          <w:rFonts w:ascii="Times New Roman" w:cs="Times New Roman" w:eastAsia="Times New Roman" w:hAnsi="Times New Roman"/>
          <w:sz w:val="18"/>
          <w:szCs w:val="18"/>
          <w:color w:val="auto"/>
        </w:rPr>
        <w:t xml:space="preserve"> (ASU 2018-01). ASU 2018-01 permits an entity to elect an optional transition practical expedient to not evaluate land easements that exist or expired before the entity’s adoption of Topic 842 and that were not previously accounted for as leases under Topic 840. In July 2018, the FASB issued ASU 2018-11, </w:t>
      </w:r>
      <w:r>
        <w:rPr>
          <w:rFonts w:ascii="Times New Roman" w:cs="Times New Roman" w:eastAsia="Times New Roman" w:hAnsi="Times New Roman"/>
          <w:sz w:val="18"/>
          <w:szCs w:val="18"/>
          <w:i w:val="1"/>
          <w:iCs w:val="1"/>
          <w:color w:val="auto"/>
        </w:rPr>
        <w:t>Leases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Targeted Improvements (Topic 842) </w:t>
      </w:r>
      <w:r>
        <w:rPr>
          <w:rFonts w:ascii="Times New Roman" w:cs="Times New Roman" w:eastAsia="Times New Roman" w:hAnsi="Times New Roman"/>
          <w:sz w:val="18"/>
          <w:szCs w:val="18"/>
          <w:color w:val="auto"/>
        </w:rPr>
        <w:t>(ASU 2018-11), which provides for an additional transition method that allows companies to apply the new lease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adoption date, eliminating the requirement to apply the standard to the earliest period presented in the financial statements.</w:t>
      </w:r>
    </w:p>
    <w:p>
      <w:pPr>
        <w:spacing w:after="0" w:line="56"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ASU 2016-02, ASU 2018-01 and ASU 2018-11 are effective for financial statements issued for fiscal years beginning after December 15, 2018, and interim periods within those fiscal years. ASU 2016-02 and ASU 2018-01 are effective for the Company in the first quarter of fiscal 2020. The Company is currently evaluating the impact adoption will have on its financial position and results of operations.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90" w:lineRule="exact"/>
        <w:rPr>
          <w:sz w:val="20"/>
          <w:szCs w:val="20"/>
          <w:color w:val="auto"/>
        </w:rPr>
      </w:pPr>
    </w:p>
    <w:p>
      <w:pPr>
        <w:ind w:right="460" w:firstLine="432"/>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Compensation-Retirement Benefits-Defined Benefit Plans-General (Topic 715-20):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Framework-Changes to the Disclosure Requirements for Defined Benefit Plans </w:t>
      </w:r>
      <w:r>
        <w:rPr>
          <w:rFonts w:ascii="Times New Roman" w:cs="Times New Roman" w:eastAsia="Times New Roman" w:hAnsi="Times New Roman"/>
          <w:sz w:val="18"/>
          <w:szCs w:val="18"/>
          <w:color w:val="auto"/>
        </w:rPr>
        <w:t>(ASU 2018-14), which modifies the disclosure requirements for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pension plans and other post-retirement plans. ASU</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59" w:right="239" w:bottom="1440" w:gutter="0" w:footer="0" w:header="0"/>
        </w:sectPr>
      </w:pPr>
    </w:p>
    <w:bookmarkStart w:id="20" w:name="page21"/>
    <w:bookmarkEnd w:id="20"/>
    <w:p>
      <w:pPr>
        <w:ind w:right="180"/>
        <w:spacing w:after="0" w:line="266" w:lineRule="auto"/>
        <w:rPr>
          <w:sz w:val="20"/>
          <w:szCs w:val="20"/>
          <w:color w:val="auto"/>
        </w:rPr>
      </w:pPr>
      <w:r>
        <w:rPr>
          <w:rFonts w:ascii="Times New Roman" w:cs="Times New Roman" w:eastAsia="Times New Roman" w:hAnsi="Times New Roman"/>
          <w:sz w:val="18"/>
          <w:szCs w:val="18"/>
          <w:color w:val="auto"/>
        </w:rPr>
        <w:t>2018-14 is effective for fiscal years ending after December 15, 2020, with early adoption permitted. ASU 2018-14 is effective for the Company in the first quarter of fiscal 2021. The Company is currently evaluating the adoption date. The adoption of ASU 2018-14 will modify the Company's disclosures for defined benefit plans and other post-retirement plans but is not expected to impact its financial position or results of operations.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90"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ASU 2016-13 requires a financial asset (or group of financial assets) measured at amortized cost basis to be presented at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and for interim periods within those fiscal years. ASU 2016-13 is effective for the Company in the first quarter of fiscal 2021. The Company is currently evaluating the adoption date and the impact, if any, adoption will have on its financial position and results of operations.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On February 19, 2019, the Board of Directors of the Company declared a cash dividend of $0.54 per outstanding share of common stock. The dividend will be paid on March 12, 2019 to all shareholders of record at the close of business on March 1, 2019.</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20"/>
          </w:cols>
          <w:pgMar w:left="240" w:top="661" w:right="339" w:bottom="1440" w:gutter="0" w:footer="0" w:header="0"/>
        </w:sectPr>
      </w:pPr>
    </w:p>
    <w:bookmarkStart w:id="21" w:name="page22"/>
    <w:bookmarkEnd w:id="21"/>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3, 2018 (fiscal 2018).</w:t>
      </w:r>
    </w:p>
    <w:p>
      <w:pPr>
        <w:spacing w:after="0" w:line="122"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the effect of new accounting pronouncements; our ability to successfully integrate acquired businesses and technologies, including the integration of the acquired business, operations and employees of Linear Technology Corporation (Linear);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8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3, 2018 (1)</w:t>
            </w:r>
          </w:p>
        </w:tc>
        <w:tc>
          <w:tcPr>
            <w:tcW w:w="2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1,541,101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1,566,870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355,006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293,240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61,766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
        </w:trPr>
        <w:tc>
          <w:tcPr>
            <w:tcW w:w="4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ind w:right="20" w:firstLine="8"/>
        <w:spacing w:after="0" w:line="255"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2014-09). See Note 1,</w:t>
      </w:r>
      <w:r>
        <w:rPr>
          <w:rFonts w:ascii="Times New Roman" w:cs="Times New Roman" w:eastAsia="Times New Roman" w:hAnsi="Times New Roman"/>
          <w:sz w:val="18"/>
          <w:szCs w:val="18"/>
          <w:i w:val="1"/>
          <w:iCs w:val="1"/>
          <w:color w:val="auto"/>
        </w:rPr>
        <w:t xml:space="preserve"> Basis of Presentation</w:t>
      </w:r>
      <w:r>
        <w:rPr>
          <w:rFonts w:ascii="Times New Roman" w:cs="Times New Roman" w:eastAsia="Times New Roman" w:hAnsi="Times New Roman"/>
          <w:sz w:val="18"/>
          <w:szCs w:val="18"/>
          <w:color w:val="auto"/>
        </w:rPr>
        <w:t>, in the Notes to Condensed Consolidated Financial Statements in Part I, Item 1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10-Q.</w:t>
      </w:r>
    </w:p>
    <w:p>
      <w:pPr>
        <w:spacing w:after="0" w:line="132"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fiscal year ending November 2, 2019 (fiscal 2019) is a 52-week year and the fiscal year ended November 3, 2018 (fiscal 2018) was a 53-week year. The additional week in fiscal 2018 was included in the first quarter ended February 3, 2018. Therefore, the first three months of fiscal 2019 included one less week of operations as compared to the first three months of fiscal 2018.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9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tables summarize revenue by end market for the three-month periods ended February 2, 2019 and February 3, 2018.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3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1320" w:type="dxa"/>
            <w:vAlign w:val="bottom"/>
          </w:tcPr>
          <w:p>
            <w:pPr>
              <w:jc w:val="right"/>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3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120" w:type="dxa"/>
            <w:vAlign w:val="bottom"/>
          </w:tcPr>
          <w:p>
            <w:pPr>
              <w:spacing w:after="0"/>
              <w:rPr>
                <w:sz w:val="12"/>
                <w:szCs w:val="12"/>
                <w:color w:val="auto"/>
              </w:rPr>
            </w:pPr>
          </w:p>
        </w:tc>
        <w:tc>
          <w:tcPr>
            <w:tcW w:w="132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728,122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781,317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259,484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263,575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208,334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264,510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345,161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257,468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1,541,101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1,566,870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700" w:firstLine="8"/>
        <w:spacing w:after="0" w:line="26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180"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Industrial, Automotive and Consumer end market revenues decreased in the three-month period ended February 2, 2019, as compared to the same period of the prior fiscal year, primarily as a result of one less week of operations in the first quarter of fiscal 2019 as compared to the first quarter of fiscal 2018. In addition, Consumer end market revenues decreased in the three-month period ended February 2, 2019, as compared to the same period of the prior fiscal year as a result of decreased demand for products used in portable consumer applications. Communications end market revenue increased in the three-month period ended February 2, 2019, as compared to the same period of the prior fiscal year, as a result of a broad-based increase in demand for our products sold into this end market, partially offset by one less week of operations in the first quarter of fiscal 2019 as compared to the first quarter of fiscal 2018.</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 The following table summarizes revenue by channel for the three-month periods ended February 2, 2019 and February 3,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r>
      <w:tr>
        <w:trPr>
          <w:trHeight w:val="264"/>
        </w:trPr>
        <w:tc>
          <w:tcPr>
            <w:tcW w:w="3720" w:type="dxa"/>
            <w:vAlign w:val="bottom"/>
          </w:tcPr>
          <w:p>
            <w:pPr>
              <w:spacing w:after="0"/>
              <w:rPr>
                <w:sz w:val="22"/>
                <w:szCs w:val="22"/>
                <w:color w:val="auto"/>
              </w:rPr>
            </w:pPr>
          </w:p>
        </w:tc>
        <w:tc>
          <w:tcPr>
            <w:tcW w:w="33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0" w:type="dxa"/>
            <w:vAlign w:val="bottom"/>
            <w:tcBorders>
              <w:bottom w:val="single" w:sz="8" w:color="auto"/>
            </w:tcBorders>
            <w:gridSpan w:val="3"/>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February 3, 2018</w:t>
            </w:r>
          </w:p>
        </w:tc>
      </w:tr>
      <w:tr>
        <w:trPr>
          <w:trHeight w:val="264"/>
        </w:trPr>
        <w:tc>
          <w:tcPr>
            <w:tcW w:w="37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49"/>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Channel</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Distributors</w:t>
            </w: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829,243</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865,012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Customers</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695,489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673,403</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16,369</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28,455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7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1,541,101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1,566,870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42" w:lineRule="exact"/>
        <w:rPr>
          <w:sz w:val="20"/>
          <w:szCs w:val="20"/>
          <w:color w:val="auto"/>
        </w:rPr>
      </w:pPr>
    </w:p>
    <w:p>
      <w:pPr>
        <w:ind w:right="500" w:firstLine="8"/>
        <w:spacing w:after="0" w:line="284"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4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2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 2018 (1)</w:t>
            </w:r>
          </w:p>
        </w:tc>
        <w:tc>
          <w:tcPr>
            <w:tcW w:w="22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1,039,656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1,071,683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69" w:lineRule="exact"/>
        <w:rPr>
          <w:sz w:val="20"/>
          <w:szCs w:val="20"/>
          <w:color w:val="auto"/>
        </w:rPr>
      </w:pPr>
    </w:p>
    <w:p>
      <w:pPr>
        <w:ind w:right="500" w:firstLine="8"/>
        <w:spacing w:after="0" w:line="284"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106"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Gross margin percentage decreased by 90 basis points in the three-month period ended February 2, 2019, as compared to the same period of the prior fiscal year, primarily as a result of a higher concentration of our revenue from lower margin products.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80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4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6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 expenses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287,382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288,597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R&amp;D expenses as a % of revenue</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7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R&amp;D expenses remained flat in the three-month period ended February 2, 2019, as compared to the same period of the prior fiscal year as increases in operational spending and R&amp;D employee and related benefit expenses were offset by a decrease in variable compensation expense and one less week of operations.</w:t>
      </w:r>
    </w:p>
    <w:p>
      <w:pPr>
        <w:spacing w:after="0" w:line="122"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4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60" w:type="dxa"/>
            <w:vAlign w:val="bottom"/>
          </w:tcPr>
          <w:p>
            <w:pPr>
              <w:spacing w:after="0"/>
              <w:rPr>
                <w:sz w:val="22"/>
                <w:szCs w:val="22"/>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22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SMG&amp;A expenses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167,342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176,908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SMG&amp;A expenses as a % of revenue</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7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SMG&amp;A expenses decreased in the three-month period ended February 2, 2019, as compared to the same period of the prior fiscal year, primarily as a result of a decrease of $8.7 million in acquisition-related costs. Additionally, increases in operational spending and SMG&amp;A employee and related benefit expenses were offset by a decrease in variable compensation expense and one less week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w:t>
      </w:r>
    </w:p>
    <w:p>
      <w:pPr>
        <w:spacing w:after="0" w:line="173"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12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2019, we recorded a special charge of $20.7 million as a result of organizational initiatives to reposition our global workforce skill set to align with our long-term strategic plan. Approximately $16.3 million of the charge was for severance and fringe benefit costs in accordance with either our ongoing benefit plan or statutory requirements for 114 engineering and SMG&amp;A employees. As of February 2, 2019, we still employed 100 of the 114 employees included in this action. These employees must continue to be employed by the us until their employment is involuntarily terminated in order to receive the severance benefits. The remaining $4.4 million of the charge related to the write off of acquired intellectual property due to our discontinuance of certain product development strategies. We do not expect this action to result in any annual savings.</w:t>
      </w:r>
    </w:p>
    <w:p>
      <w:pPr>
        <w:spacing w:after="0" w:line="132"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Special Charges</w:t>
      </w:r>
      <w:r>
        <w:rPr>
          <w:rFonts w:ascii="Times New Roman" w:cs="Times New Roman" w:eastAsia="Times New Roman" w:hAnsi="Times New Roman"/>
          <w:sz w:val="18"/>
          <w:szCs w:val="18"/>
          <w:color w:val="auto"/>
        </w:rPr>
        <w:t>, of the Notes to Condensed Consolidated Financial Statements in Part I, Item 1 in this Quarterly Report on Form 10-Q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60" w:type="dxa"/>
            <w:vAlign w:val="bottom"/>
          </w:tcPr>
          <w:p>
            <w:pPr>
              <w:spacing w:after="0"/>
              <w:rPr>
                <w:sz w:val="22"/>
                <w:szCs w:val="22"/>
                <w:color w:val="auto"/>
              </w:rPr>
            </w:pP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20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455,826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441,841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71"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year-over-year increase in operating income in the three-month period ended February 2, 2019 was primarily the result of a $35.5 million decrease in special charges and a $9.6 million decrease in SMG&amp;A expenses, partially offset by a $32.2 million decrease in gross margin as more fully described above under the headings </w:t>
      </w:r>
      <w:r>
        <w:rPr>
          <w:rFonts w:ascii="Times New Roman" w:cs="Times New Roman" w:eastAsia="Times New Roman" w:hAnsi="Times New Roman"/>
          <w:sz w:val="18"/>
          <w:szCs w:val="18"/>
          <w:i w:val="1"/>
          <w:iCs w:val="1"/>
          <w:color w:val="auto"/>
        </w:rPr>
        <w:t>Special Charges, Selling, Marketing, General and Administrative (SMG&amp;A), and Gross Margin.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4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00" w:type="dxa"/>
            <w:vAlign w:val="bottom"/>
          </w:tcPr>
          <w:p>
            <w:pPr>
              <w:spacing w:after="0"/>
              <w:rPr>
                <w:sz w:val="22"/>
                <w:szCs w:val="22"/>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360" w:type="dxa"/>
            <w:vAlign w:val="bottom"/>
          </w:tcPr>
          <w:p>
            <w:pPr>
              <w:spacing w:after="0"/>
              <w:rPr>
                <w:sz w:val="22"/>
                <w:szCs w:val="22"/>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55,880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66,494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(10,614)</w:t>
            </w:r>
          </w:p>
        </w:tc>
      </w:tr>
    </w:tbl>
    <w:p>
      <w:pPr>
        <w:spacing w:after="0" w:line="225"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8"/>
          <w:szCs w:val="18"/>
          <w:color w:val="auto"/>
        </w:rPr>
        <w:t>The year-over-year decrease in nonoperating expense in the three-month period ended February 2, 2019 was primarily the result of a decrease in interest expense and lower amortized finance fees, which were accelerated as a result of principal repayments related to our 3-year term loan. These decreases were partially offset by an increase in interest expense related to debt issuances in the second quarter of fiscal 2018.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80" w:type="dxa"/>
            <w:vAlign w:val="bottom"/>
          </w:tcPr>
          <w:p>
            <w:pPr>
              <w:spacing w:after="0"/>
              <w:rPr>
                <w:sz w:val="22"/>
                <w:szCs w:val="22"/>
                <w:color w:val="auto"/>
              </w:rPr>
            </w:pP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February 3, 2018 (1)</w:t>
            </w:r>
          </w:p>
        </w:tc>
        <w:tc>
          <w:tcPr>
            <w:tcW w:w="360" w:type="dxa"/>
            <w:vAlign w:val="bottom"/>
          </w:tcPr>
          <w:p>
            <w:pPr>
              <w:spacing w:after="0"/>
              <w:rPr>
                <w:sz w:val="22"/>
                <w:szCs w:val="22"/>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44,940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82,107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169" w:lineRule="exact"/>
        <w:rPr>
          <w:sz w:val="20"/>
          <w:szCs w:val="20"/>
          <w:color w:val="auto"/>
        </w:rPr>
      </w:pPr>
    </w:p>
    <w:p>
      <w:pPr>
        <w:ind w:right="500" w:firstLine="8"/>
        <w:spacing w:after="0" w:line="284"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10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Our effective tax rate reflects the applicable tax rate in effect in the various tax jurisdictions around the world where our income is earned. Our effective income tax rate can also be impacted each year by discrete factors or events.</w:t>
      </w:r>
    </w:p>
    <w:p>
      <w:pPr>
        <w:spacing w:after="0" w:line="10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Tax Cuts and Jobs Act of 2017 (Tax Legislation), enacted in December 2017, contains significant changes to U.S. tax law, including lowering the U.S. corporate income tax rate to 21.0%, implementing a territorial tax system, and imposing a one-time tax on deemed repatriated earnings of foreign subsidiaries. Effective the first quarter of fiscal year 2019, we have completed our accounting for the tax effects of the enactment of the Tax Legislation as described in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Condensed Consolidated Financial Statements in Part I, Item 1 in this Quarterly Report on Form 10-Q for further information.</w:t>
      </w:r>
    </w:p>
    <w:p>
      <w:pPr>
        <w:spacing w:after="0" w:line="130"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Our tax rate for the three-month period ended February 2, 2019 was below the U.S. statutory tax rate of 21% due to lower statutory tax rates applicable to our operations in the foreign jurisdictions in which we earn income, and as a result of the foreign derived intangible income deduction (FDII) partially offset by the global intangible low-tax income (GILTI) tax. The tax rate also includes the effects of recording deferred tax benefits relating to a one-time set up of our GILTI deferred method election of $5.1 million along with the completion of our accounting for the transition tax which yielded a $7.5 million tax benefit. Our tax rate for the three-month period ended February 3, 2018 was below our then blended U.S. federal statutory tax rate of 23.4%, resulting from the passage of the Tax Cuts and Jobs Act of 2017, primarily due to lower statutory tax rates applicable to our operations in the foreign jurisdictions in which we earn income. Additionally, our effective tax rate for the three-month period ended February 3, 2018 also included a provisional estimate for a discrete tax benefit of $639.7 million from remeasuring our U.S. deferred tax liabilities at the lower 21% statutory tax rate. It also included a provisional estimate of the discrete tax charge of $687.1 million from the Tax Legislation’s one-time transition tax associated with our undistributed foreign earnings, comprised of a $751.1 million transitional tax less a deferred tax liability of $64.0 million recorded in prior years.</w:t>
      </w:r>
    </w:p>
    <w:p>
      <w:pPr>
        <w:spacing w:after="0" w:line="13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the first quarter of fiscal year 2019, we completed our accounting for the income tax effects of the Tax Legislation, in accordance with the U.S. Securities and Exchange Commission Staff Accounting Bulletin No. 118, resulting in no material change to our estimate of the remeasurement of our deferred tax assets and liabilities and the recording of an additional tax benefit of $7.5 million for a change to our estimate for the transition tax due to the finalization of the aggregate foreign cash positions.</w:t>
      </w:r>
    </w:p>
    <w:p>
      <w:pPr>
        <w:spacing w:after="0" w:line="126" w:lineRule="exact"/>
        <w:rPr>
          <w:sz w:val="20"/>
          <w:szCs w:val="20"/>
          <w:color w:val="auto"/>
        </w:rPr>
      </w:pPr>
    </w:p>
    <w:p>
      <w:pPr>
        <w:ind w:right="700" w:firstLine="405"/>
        <w:spacing w:after="0" w:line="313" w:lineRule="auto"/>
        <w:rPr>
          <w:sz w:val="20"/>
          <w:szCs w:val="20"/>
          <w:color w:val="auto"/>
        </w:rPr>
      </w:pPr>
      <w:r>
        <w:rPr>
          <w:rFonts w:ascii="Times New Roman" w:cs="Times New Roman" w:eastAsia="Times New Roman" w:hAnsi="Times New Roman"/>
          <w:sz w:val="17"/>
          <w:szCs w:val="17"/>
          <w:color w:val="auto"/>
        </w:rPr>
        <w:t>Additionally, we recorded discrete benefits for excess tax benefits from share-based payments of $4.3 million in the first quarter of fiscal 2019, compared to $10.0 million in the first quarter of fiscal 2018. The full year tax benefit from share-based payments was $26.2 million in fiscal 2018.</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Non-U.S. jurisdictions accounted for a significant portion of our total revenues for the three-month period ended February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40" w:right="239" w:bottom="1440" w:gutter="0" w:footer="0" w:header="0"/>
        </w:sectPr>
      </w:pPr>
    </w:p>
    <w:bookmarkStart w:id="25" w:name="page26"/>
    <w:bookmarkEnd w:id="25"/>
    <w:p>
      <w:pPr>
        <w:ind w:right="260"/>
        <w:spacing w:after="0" w:line="282" w:lineRule="auto"/>
        <w:rPr>
          <w:sz w:val="20"/>
          <w:szCs w:val="20"/>
          <w:color w:val="auto"/>
        </w:rPr>
      </w:pPr>
      <w:r>
        <w:rPr>
          <w:rFonts w:ascii="Times New Roman" w:cs="Times New Roman" w:eastAsia="Times New Roman" w:hAnsi="Times New Roman"/>
          <w:sz w:val="18"/>
          <w:szCs w:val="18"/>
          <w:color w:val="auto"/>
        </w:rPr>
        <w:t>2, 2019. This revenue generated outside of the U.S. results in a material portion of our pretax income being taxed outside the U.S., primarily in Ireland and Singapore, at tax rates ranging from 12.5% to 17%.</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Non-U.S. jurisdictions accounted for a significant portion of our total revenues for the three-month period ended February 3, 2018. This revenue generated outside of the U.S. resulted in a material portion of our pretax income being taxed outside the U.S., primarily in Bermuda, Ireland and Singapore, at tax rates ranging from 0% to 12.5%.</w:t>
      </w:r>
    </w:p>
    <w:p>
      <w:pPr>
        <w:spacing w:after="0" w:line="120" w:lineRule="exact"/>
        <w:rPr>
          <w:sz w:val="20"/>
          <w:szCs w:val="20"/>
          <w:color w:val="auto"/>
        </w:rPr>
      </w:pPr>
    </w:p>
    <w:p>
      <w:pPr>
        <w:ind w:right="240" w:firstLine="405"/>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00" w:type="dxa"/>
            <w:vAlign w:val="bottom"/>
          </w:tcPr>
          <w:p>
            <w:pPr>
              <w:spacing w:after="0"/>
              <w:rPr>
                <w:sz w:val="22"/>
                <w:szCs w:val="22"/>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 2018 (1)</w:t>
            </w:r>
          </w:p>
        </w:tc>
        <w:tc>
          <w:tcPr>
            <w:tcW w:w="20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355,006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293,240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61,766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4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ind w:right="500" w:firstLine="8"/>
        <w:spacing w:after="0" w:line="284"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106"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Net income increased in the three-month period ended February 2, 2019, as compared to the same period of the prior fiscal year,as a result of a $14.0 million increase in operating income, partially offset by a $10.6 million decrease in nonoperating expense and a $37.2 million decrease in provision for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At February 2, 2019, our principal source of liquidity was $605.9 million of cash and cash equivalents, of which approximately $231.7 million was held in the United States. The balance of our cash and cash equivalents was held outside the United States in various foreign subsidiaries. We continue to assert our intent to reinvest substantially all of our foreign earnings indefinitely. As we intend to reinvest substantially all of our foreign earnings indefinitely, certain cash held outside the United States may not be available for repatriation as dividends to the United States in the future. If such funds are needed for U.S. operations, we would be required to accrue and pay foreign withholding taxes and U.S. state income taxes to the extent not already subject to taxation.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13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80" w:type="dxa"/>
            <w:vAlign w:val="bottom"/>
          </w:tcPr>
          <w:p>
            <w:pPr>
              <w:spacing w:after="0"/>
              <w:rPr>
                <w:sz w:val="22"/>
                <w:szCs w:val="22"/>
                <w:color w:val="auto"/>
              </w:rPr>
            </w:pPr>
          </w:p>
        </w:tc>
        <w:tc>
          <w:tcPr>
            <w:tcW w:w="16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February 3, 2018 (1)</w:t>
            </w:r>
          </w:p>
        </w:tc>
      </w:tr>
      <w:tr>
        <w:trPr>
          <w:trHeight w:val="249"/>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371,767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388,688</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(96,215)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(64,500)</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for by financing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(486,149)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(548,026)</w:t>
            </w:r>
          </w:p>
        </w:tc>
      </w:tr>
    </w:tbl>
    <w:p>
      <w:pPr>
        <w:spacing w:after="0" w:line="169" w:lineRule="exact"/>
        <w:rPr>
          <w:sz w:val="20"/>
          <w:szCs w:val="20"/>
          <w:color w:val="auto"/>
        </w:rPr>
      </w:pPr>
    </w:p>
    <w:p>
      <w:pPr>
        <w:ind w:right="500" w:firstLine="8"/>
        <w:spacing w:after="0" w:line="284"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Balances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106" w:lineRule="exact"/>
        <w:rPr>
          <w:sz w:val="20"/>
          <w:szCs w:val="20"/>
          <w:color w:val="auto"/>
        </w:rPr>
      </w:pPr>
    </w:p>
    <w:p>
      <w:pPr>
        <w:ind w:right="840" w:firstLine="432"/>
        <w:spacing w:after="0" w:line="282" w:lineRule="auto"/>
        <w:rPr>
          <w:sz w:val="20"/>
          <w:szCs w:val="20"/>
          <w:color w:val="auto"/>
        </w:rPr>
      </w:pPr>
      <w:r>
        <w:rPr>
          <w:rFonts w:ascii="Times New Roman" w:cs="Times New Roman" w:eastAsia="Times New Roman" w:hAnsi="Times New Roman"/>
          <w:sz w:val="18"/>
          <w:szCs w:val="18"/>
          <w:color w:val="auto"/>
        </w:rPr>
        <w:t>At February 2, 2019, cash and cash equivalents totaled $605.9 million. The following changes contributed to the net change in cash and cash equivalents in the three-month period ended February 2, 2019 as compared to the same period in fiscal 2018.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assets and liabilities.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42" w:right="239" w:bottom="1440" w:gutter="0" w:footer="0" w:header="0"/>
        </w:sectPr>
      </w:pPr>
    </w:p>
    <w:bookmarkStart w:id="26" w:name="page27"/>
    <w:bookmarkEnd w:id="26"/>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cash provided by operating activities during the three-month period ended February 2, 2019, as compared to the same period of the prior fiscal year, was primarily a result of changes in working capital, partially offset by higher net income adjusted for non-cash items, as the first quarter of fiscal 2018 included changes to income tax related to the Tax Legislation.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Investing cash flows consist primarily of capital expenditures, investment purchases, maturities and sales of available-for-sale securities, as well as cash used for acquisitions.</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increase in cash used for investing activities during the three-month period ended February 2, 2019, as compared to the same period of the prior fiscal year, was primarily the result of an increase in capital spending.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Financing cash flows consist primarily of payments of dividends to stockholders, repurchases of common stock, issuance and repayment of long-term debt, and proceeds from the sale of shares of common stock pursuant to employee equity incentive plans.</w:t>
      </w:r>
    </w:p>
    <w:p>
      <w:pPr>
        <w:spacing w:after="0" w:line="10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change in cash related to financing activities during the three-month period ended February 2, 2019, as compared to the same period of the prior fiscal year, was primarily due to a decrease in repayments on our 3-year unsecured term loan, partially offset by increases in stock repurchases and dividend 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713,730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639,717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Days sales outstanding*</w:t>
            </w:r>
          </w:p>
        </w:tc>
        <w:tc>
          <w:tcPr>
            <w:tcW w:w="2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593,211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586,760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6,451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71" w:lineRule="exact"/>
        <w:rPr>
          <w:sz w:val="20"/>
          <w:szCs w:val="20"/>
          <w:color w:val="auto"/>
        </w:rPr>
      </w:pPr>
    </w:p>
    <w:p>
      <w:pPr>
        <w:ind w:right="120" w:firstLine="8"/>
        <w:spacing w:after="0" w:line="266" w:lineRule="auto"/>
        <w:tabs>
          <w:tab w:leader="none" w:pos="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the average of the current quarter and prior quarter ending net accounts receivable and ending inventory balance in our calculation of days sales outstanding and days cost of sales in inventory, respectively. Fiscal 2018 amounts have been restated to reflect the full retrospective adoption of ASU 2014-09.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accounts receivable in dollars was primarily the result of normal variations in the timing of collections and billings.</w:t>
      </w:r>
    </w:p>
    <w:p>
      <w:pPr>
        <w:spacing w:after="0" w:line="17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Inventory in dollars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10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Current liabilities decreased to $850.0 million at February 2, 2019 from $1.1 billion at the end of fiscal 2018. The decrease was a result of a decrease in the current portion of our debt, income taxes payable, accounts payable and accrued liabilities. The decrease in accrued liabilities was primarily a result of a decrease in accrued employee compensation and benefits, partially offset by an increase in accrued special charges.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92"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As of February 2, 2019, we had $6.2 billion of carrying value outstanding on our long-term debt. The difference in the carrying value of the debt and the principal is due to the unamortized discount and issuance fees on these instruments that will accrete to the face value over the term of the debt. Our debt obligations consist of the following:</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$500.0 Million Aggregate Principal Amount of 2.875% Senior Unsecured Notes (2023 Notes)</w:t>
      </w:r>
    </w:p>
    <w:p>
      <w:pPr>
        <w:spacing w:after="0" w:line="173"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On June 3, 2013, we issued the 2023 Notes with semi-annual fixed interest payments due on June 1 and December 1 of each year, commencing December 1, 2013.</w:t>
      </w:r>
    </w:p>
    <w:p>
      <w:pPr>
        <w:spacing w:after="0" w:line="106" w:lineRule="exact"/>
        <w:rPr>
          <w:sz w:val="20"/>
          <w:szCs w:val="20"/>
          <w:color w:val="auto"/>
        </w:rPr>
      </w:pPr>
    </w:p>
    <w:p>
      <w:pPr>
        <w:ind w:right="68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$850.0 Million Aggregate Principal Amount of 3.9% Senior Unsecured Notes (2025 Notes) and $400.0 Million Aggregate Principal Amount of 5.3% Senior Unsecured Notes (2045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42" w:right="239" w:bottom="1440" w:gutter="0" w:footer="0" w:header="0"/>
        </w:sectPr>
      </w:pPr>
    </w:p>
    <w:bookmarkStart w:id="27" w:name="page28"/>
    <w:bookmarkEnd w:id="27"/>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On December 14, 2015, we issued the 2025 Notes and the 2045 Notes with semi-annual fixed interest payments due on June 15 and December 15 of each year, commencing June 15, 2016.</w:t>
      </w:r>
    </w:p>
    <w:p>
      <w:pPr>
        <w:spacing w:after="0" w:line="106" w:lineRule="exact"/>
        <w:rPr>
          <w:sz w:val="20"/>
          <w:szCs w:val="20"/>
          <w:color w:val="auto"/>
        </w:rPr>
      </w:pPr>
    </w:p>
    <w:p>
      <w:pPr>
        <w:jc w:val="both"/>
        <w:ind w:right="3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$400.0 Million Aggregate Principal Amount of 2.5% Senior Unsecured Notes (2021 Notes), $550.0 Million Aggregate Principal Amount of 3.125% Senior Unsecured Notes (December 2023 Notes), $900.0 Million Aggregate Principal Amount of 3.5% Senior Unsecured Notes (2026 Notes) and $250.0 Million Aggregate Principal Amount of 4.5% Senior Unsecured Notes (2036 Notes)</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December 5, 2016, we issued the 2021 Notes, the December 2023 Notes, the 2026 Notes and the 2036 Notes with semi-annual fixed interest payments due on June 5 and December 5 of each year, commencing June 5, 2017.</w:t>
      </w:r>
    </w:p>
    <w:p>
      <w:pPr>
        <w:spacing w:after="0" w:line="106" w:lineRule="exact"/>
        <w:rPr>
          <w:sz w:val="20"/>
          <w:szCs w:val="20"/>
          <w:color w:val="auto"/>
        </w:rPr>
      </w:pPr>
    </w:p>
    <w:p>
      <w:pPr>
        <w:jc w:val="both"/>
        <w:ind w:right="8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$300.0 Million Aggregate Principal Amount of 2.85% Senior Unsecured Notes (2020 Notes) and $450.0 Million Aggregate Principal Amount of 2.95% Senior Unsecured Notes (January 2021 Notes)</w:t>
      </w:r>
    </w:p>
    <w:p>
      <w:pPr>
        <w:spacing w:after="0" w:line="10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On March 12, 2018, we issued the 2020 Notes with semi-annual fixed interest payments due on March 12 and September 12 of each year, commencing September 12, 2018, and the January 2021 Notes with semi-annual fixed interest payments due on January 12 and July 12 of each year, commencing July 12, 2018.</w:t>
      </w:r>
    </w:p>
    <w:p>
      <w:pPr>
        <w:spacing w:after="0" w:line="122"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indentures governing the 2020 Notes, 2021 Notes, January 2021 Notes, 2023 Notes, December 2023 Notes, 2025 Notes, 2026 Notes, 2036 Notes and 2045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February 2, 2019, we were in compliance with these covenants.</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$5.0 Billion Aggregate Principal Term Loans</w:t>
      </w:r>
    </w:p>
    <w:p>
      <w:pPr>
        <w:spacing w:after="0" w:line="173"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On March 10, 2017 in connection with the acquisition of Linear, we drew down on a 3-year unsecured term loan in the principal amount of $2.5 billion, due March 10, 2020 and a 5-year unsecured term loan in the principal amount of $2.5 billion, due March 10, 2022. The term loans bear interest at a rate per annum equal to the Eurodollar Rate plus a margin based on our debt ratings from time to time of between 0.75% and 1.63% in the case of the 3-year unsecured term loan, and a margin of between 0.88% and 1.75% in the case of the 5-year unsecured term loan. As of February 2, 2019, we have paid $2.2 billion of principal on the 3-year unsecured term loan and $1.2 billion of principal on the 5-year unsecured term loan.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9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have a senior unsecured revolving credit facility with certain institutional lenders that expires on July 10, 2020. The agreement for such revolving credit facility (Credit Agreement) provides that we may borrow up to $1.0 billion. In December 2018 we borrowed $75.0 million under this revolving credit facility and utilized the proceeds for the repayment of existing indebtedness and working capital requirements. We repaid the $75 million plus interest of $0.2 million in January 2019. We may borrow under this revolving credit facility in the future and use the proceeds for repayment of existing indebtedness, stock repurchases, acquisitions, capital expenditures, working capital and other lawful corporate purposes. The terms of the Credit Agreement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4.5 to 1.0. The debt covenant will be reduced over time to 3.0 to 1.0, which began in May 2018. As of February 2, 2019, we were compliant with these covenants.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9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common stock repurchase program has been in place since August 2004. In the aggregate, our Board of Directors has authorized us to repurchase $8.2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February 2, 2019, we had repurchased a total of approximately 151.5 million shares of our common stock for approximately $5.8 billion under this program. As of February 2, 2019, an additional $2.4 billion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units/awards or the exercise of stock options.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9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Net additions to property, plant and equipment were $91.0 million in the first three months of fiscal 2019 and were funded with a combination of cash on hand and cash generated from operations. We expect capital expenditures for fiscal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42" w:right="239" w:bottom="1440" w:gutter="0" w:footer="0" w:header="0"/>
        </w:sectPr>
      </w:pPr>
    </w:p>
    <w:bookmarkStart w:id="28" w:name="page29"/>
    <w:bookmarkEnd w:id="28"/>
    <w:p>
      <w:pPr>
        <w:ind w:right="500"/>
        <w:spacing w:after="0" w:line="282" w:lineRule="auto"/>
        <w:rPr>
          <w:sz w:val="20"/>
          <w:szCs w:val="20"/>
          <w:color w:val="auto"/>
        </w:rPr>
      </w:pPr>
      <w:r>
        <w:rPr>
          <w:rFonts w:ascii="Times New Roman" w:cs="Times New Roman" w:eastAsia="Times New Roman" w:hAnsi="Times New Roman"/>
          <w:sz w:val="18"/>
          <w:szCs w:val="18"/>
          <w:color w:val="auto"/>
        </w:rPr>
        <w:t>to be approximately 4% of fiscal 2019 revenue. These capital expenditures will be funded with a combination of cash on hand and cash generated from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2019, our Board of Directors declared a cash dividend of $0.54 per outstanding share of common stock. The dividend will be paid on March 12, 2019 to all shareholders of record at the close of business on March 1, 2019 and is expected to total approximately $198.9 million. We currently expect quarterly dividends to continue at $0.54 per share, although they remain subject to determination and declaration by our Board of Directors. The payment of future dividends, if any, will be based on several factors, including our financial performance, outlook and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There have not been any material changes during the three-month period ended February 2, 2019 to the amounts presented in the table summarizing our contractual obligations included in our Annual Report on Form 10-K for the fiscal year ended November 3,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9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our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We adopted ASU 2014-09 in the first quarter of fiscal 2019, using the full retrospective method and restated prior periods. As a result of the adoption of ASU 2014-09, we changed our accounting policy for revenue recognition.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and Note 2,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the Notes to our Condensed Consolidated Financial Statements in Part I, Item 1 of this Quarterly Report on Form 10-Q for details of the impact of ASU 2014-09 on our financial statements.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0"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2016-16)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2016-16 requires an entity to recognize the income tax consequences of an intra-entity transfer of an asset, other than inventory, when the transfer occurs. ASU 2016-16 is effective for fiscal years beginning after December 15, 2017, and interim periods within those fiscal years. We adopted ASU 2016-16 in the first quarter of fiscal 2019 using the modified retrospective method with a cumulative-effect adjustment directly to retained earnings. The adoption of ASU 2016-16 resulted in a cumulative-effect increase in our deferred tax assets of approximately $1.7 billion and an increase to our deferred tax liabilities of $1.3 billion.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Except for the accounting policy for revenue recognition that was updated as a result of adopting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2014-09), there were no other material changes in the three-month period ended February 2, 2019 to the information provided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 “Critical Accounting Policies and Estimates” in the section entitled "Management's Discussion and Analysis of Financial Condition and Results of Operations" of our Annual Report on Form 10-K for the fiscal year ended November 3, 2018.</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661" w:right="259" w:bottom="1440" w:gutter="0" w:footer="0" w:header="0"/>
        </w:sectPr>
      </w:pPr>
    </w:p>
    <w:bookmarkStart w:id="29" w:name="page30"/>
    <w:bookmarkEnd w:id="29"/>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Exposure</w:t>
      </w:r>
    </w:p>
    <w:p>
      <w:pPr>
        <w:spacing w:after="0" w:line="173"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Based on the $1.7 billion of floating rate debt outstanding as of February 2, 2019, our annual interest expense would change by approximately $16.8 million for each 100 basis point increase in interest rates.</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There were no other material changes in the three-month period ended February 2, 2019 to the information provided under Item 7A. “Quantitative and Qualitative Disclosures about Market Risk,” set forth in our Annual Report on Form 10-K for the fiscal year ended November 3, 2018.</w:t>
      </w:r>
    </w:p>
    <w:p>
      <w:pPr>
        <w:spacing w:after="0" w:line="32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40" w:firstLine="8"/>
        <w:spacing w:after="0" w:line="253"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February 2, 2019.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2, 2019, our Chief Executive Officer and Chief Financial Officer concluded that, as of such date, our disclosure controls and procedures were effective at the reasonable assurance level.</w:t>
      </w:r>
    </w:p>
    <w:p>
      <w:pPr>
        <w:spacing w:after="0" w:line="55" w:lineRule="exact"/>
        <w:rPr>
          <w:rFonts w:ascii="Times New Roman" w:cs="Times New Roman" w:eastAsia="Times New Roman" w:hAnsi="Times New Roman"/>
          <w:sz w:val="18"/>
          <w:szCs w:val="18"/>
          <w:color w:val="auto"/>
        </w:rPr>
      </w:pPr>
    </w:p>
    <w:p>
      <w:pPr>
        <w:ind w:firstLine="8"/>
        <w:spacing w:after="0" w:line="267"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February 2, 2019 that has materially affected, or is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738"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6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November 3, 2018.</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global credit and financial markets could materially and adversely affect our business and results of operations.</w:t>
      </w:r>
    </w:p>
    <w:p>
      <w:pPr>
        <w:spacing w:after="0" w:line="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Continuing uncertainty regarding the stability of global credit and financial markets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revenue, gross margins, operating results, net income and earnings per share are difficult to predict and may materially fluctuate.</w:t>
      </w:r>
    </w:p>
    <w:p>
      <w:pPr>
        <w:spacing w:after="0" w:line="92" w:lineRule="exact"/>
        <w:rPr>
          <w:sz w:val="20"/>
          <w:szCs w:val="20"/>
          <w:color w:val="auto"/>
        </w:rPr>
      </w:pPr>
    </w:p>
    <w:p>
      <w:pPr>
        <w:ind w:right="460" w:firstLine="405"/>
        <w:spacing w:after="0" w:line="281" w:lineRule="auto"/>
        <w:rPr>
          <w:sz w:val="20"/>
          <w:szCs w:val="20"/>
          <w:color w:val="auto"/>
        </w:rPr>
      </w:pPr>
      <w:r>
        <w:rPr>
          <w:rFonts w:ascii="Times New Roman" w:cs="Times New Roman" w:eastAsia="Times New Roman" w:hAnsi="Times New Roman"/>
          <w:sz w:val="18"/>
          <w:szCs w:val="18"/>
          <w:color w:val="auto"/>
        </w:rPr>
        <w:t>Our future revenue, gross margins, operating results, net income and earnings per share are difficult to predict and may be materially affected by a number of factors, including:</w:t>
      </w:r>
    </w:p>
    <w:p>
      <w:pPr>
        <w:spacing w:after="0" w:line="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economic conditions in the markets in which we sell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for our products and/or for end products that incorporate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delay, reduction or cancellation of significant customer orders and our ability to manage inventory;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order patterns and seasonality;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distributor demand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future distributor pricing credits and/or stock rotation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 structure in both the short term and over a longer duration;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geographic, product or customer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or new or revised tax legislation in the United States, Ireland or worldwide;</w:t>
      </w:r>
    </w:p>
    <w:p>
      <w:pPr>
        <w:spacing w:after="0" w:line="103" w:lineRule="exact"/>
        <w:rPr>
          <w:rFonts w:ascii="Times New Roman" w:cs="Times New Roman" w:eastAsia="Times New Roman" w:hAnsi="Times New Roman"/>
          <w:sz w:val="18"/>
          <w:szCs w:val="18"/>
          <w:color w:val="auto"/>
        </w:rPr>
      </w:pPr>
    </w:p>
    <w:p>
      <w:pPr>
        <w:ind w:left="660" w:right="100" w:hanging="328"/>
        <w:spacing w:after="0" w:line="381"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issued, threatened or retaliatory government sanctions, trade barriers or economic restrictions, changes in law, regulations or other restrictions, including executive orders, changes in import and export regulations or changes in duties and tariffs, particularly with respect to China;</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announcements or introductions by us, our customers or our competitors and the market acceptance of such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decisions and competitive pricing pressures;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manufacturing yields, adequate availability of wafers and other raw materials, and manufacturing, assembly and test capacity;</w:t>
      </w:r>
    </w:p>
    <w:p>
      <w:pPr>
        <w:spacing w:after="0" w:line="103" w:lineRule="exact"/>
        <w:rPr>
          <w:rFonts w:ascii="Times New Roman" w:cs="Times New Roman" w:eastAsia="Times New Roman" w:hAnsi="Times New Roman"/>
          <w:sz w:val="18"/>
          <w:szCs w:val="18"/>
          <w:color w:val="auto"/>
        </w:rPr>
      </w:pPr>
    </w:p>
    <w:p>
      <w:pPr>
        <w:ind w:left="660" w:right="340" w:hanging="328"/>
        <w:spacing w:after="0" w:line="3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infrastructure spending by foreign governments, including China;</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576" w:right="259" w:bottom="1440" w:gutter="0" w:footer="0" w:header="0"/>
        </w:sectPr>
      </w:pPr>
    </w:p>
    <w:bookmarkStart w:id="31" w:name="page32"/>
    <w:bookmarkEnd w:id="31"/>
    <w:p>
      <w:pPr>
        <w:ind w:left="660" w:right="200" w:hanging="328"/>
        <w:spacing w:after="0" w:line="3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U.S. government defense budget, changes in spending or budgetary priorities, a prolonged U.S. government shutdown or delays in contract awards;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decline in our backlog;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hire, retain and motivate adequate numbers of engineers and other qualified employees to meet the demands of our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new design opportunities and win competitive bid selection processes;</w:t>
      </w:r>
    </w:p>
    <w:p>
      <w:pPr>
        <w:spacing w:after="0" w:line="103" w:lineRule="exact"/>
        <w:rPr>
          <w:rFonts w:ascii="Times New Roman" w:cs="Times New Roman" w:eastAsia="Times New Roman" w:hAnsi="Times New Roman"/>
          <w:sz w:val="18"/>
          <w:szCs w:val="18"/>
          <w:color w:val="auto"/>
        </w:rPr>
      </w:pPr>
    </w:p>
    <w:p>
      <w:pPr>
        <w:ind w:left="660" w:right="480" w:hanging="328"/>
        <w:spacing w:after="0" w:line="3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of providing employee benefits worldwide, including health insurance, retirement plan and pension plan contributions and retirement benefits;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manufacturing facilities at efficient levels;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litigation-related costs or product warranty and/or indemnity claims, including those not covered by our suppliers or insurers;</w:t>
      </w:r>
    </w:p>
    <w:p>
      <w:pPr>
        <w:spacing w:after="0" w:line="103" w:lineRule="exact"/>
        <w:rPr>
          <w:rFonts w:ascii="Times New Roman" w:cs="Times New Roman" w:eastAsia="Times New Roman" w:hAnsi="Times New Roman"/>
          <w:sz w:val="18"/>
          <w:szCs w:val="18"/>
          <w:color w:val="auto"/>
        </w:rPr>
      </w:pPr>
    </w:p>
    <w:p>
      <w:pPr>
        <w:ind w:left="660" w:right="200" w:hanging="328"/>
        <w:spacing w:after="0" w:line="3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compliance with increasing worldwide government, environmental and social responsibility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 practices; and</w:t>
      </w:r>
    </w:p>
    <w:p>
      <w:pPr>
        <w:spacing w:after="0" w:line="103" w:lineRule="exact"/>
        <w:rPr>
          <w:rFonts w:ascii="Times New Roman" w:cs="Times New Roman" w:eastAsia="Times New Roman" w:hAnsi="Times New Roman"/>
          <w:sz w:val="18"/>
          <w:szCs w:val="18"/>
          <w:color w:val="auto"/>
        </w:rPr>
      </w:pPr>
    </w:p>
    <w:p>
      <w:pPr>
        <w:ind w:left="660" w:right="60" w:hanging="328"/>
        <w:spacing w:after="0" w:line="37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emergencies, natural disasters, widespread travel disruptions, security risks, terrorist activities, international conflicts and other events beyond our control.</w:t>
      </w:r>
    </w:p>
    <w:p>
      <w:pPr>
        <w:spacing w:after="0" w:line="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8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Our acquisition of Linear Technology Corporation (Linear) and the integration of its business, operations and employees with our own may be more difficult, costly or time consuming than expected, and the anticipated benefits and cost savings of the acquisition may not be fully realized, which could adversely impact our business operations, financial condition and results of operations.</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completed the acquisition of Linear, which we refer to as the Acquisition, on March 10, 2017. The success of the Acquisition, including the achievement of anticipated benefits and cost savings of the Acquisition, is subject to a number of uncertainties and will depend, in part, on our ability to successfully combine and integrate Linear's business into our business in an efficient and effective manner. Potential difficulties the combined company may encounter in the integration process include the following:</w:t>
      </w:r>
    </w:p>
    <w:p>
      <w:pPr>
        <w:spacing w:after="0" w:line="99" w:lineRule="exact"/>
        <w:rPr>
          <w:sz w:val="20"/>
          <w:szCs w:val="20"/>
          <w:color w:val="auto"/>
        </w:rPr>
      </w:pPr>
    </w:p>
    <w:p>
      <w:pPr>
        <w:ind w:left="660" w:right="60" w:hanging="328"/>
        <w:spacing w:after="0" w:line="25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Linear's business into our own in a manner that permits the combined company to achieve the cost savings and operating synergies anticipated to result from the Acquisition, which could result in the anticipated benefits of the Acquisition not being realized partly or wholly in the time frame currently anticipated or at all;</w:t>
      </w:r>
    </w:p>
    <w:p>
      <w:pPr>
        <w:spacing w:after="0" w:line="1"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IT systems and corporate, finance and administrative infrastructures of the two companies while maintaining focus on providing consistent, high quality products and services;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our internal operations, compensation and benefits programs, policies and procedures, and corporate structures;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the substantial debt that we have incurred in connection with the Acquisition.</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of these factors could result in the combined company failing to realize the anticipated benefits of the Acquisition, on the expected timeline or at all, and could adversely impact our business operations, financial condition and results of operations.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634"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Increases in our effective tax rate and exposure to additional tax liabilities may adversely impact our results of operations.</w:t>
      </w:r>
    </w:p>
    <w:p>
      <w:pPr>
        <w:spacing w:after="0" w:line="92" w:lineRule="exact"/>
        <w:rPr>
          <w:sz w:val="20"/>
          <w:szCs w:val="20"/>
          <w:color w:val="auto"/>
        </w:rPr>
      </w:pPr>
    </w:p>
    <w:p>
      <w:pPr>
        <w:ind w:right="40" w:firstLine="432"/>
        <w:spacing w:after="0" w:line="269" w:lineRule="auto"/>
        <w:rPr>
          <w:sz w:val="20"/>
          <w:szCs w:val="20"/>
          <w:color w:val="auto"/>
        </w:rPr>
      </w:pPr>
      <w:r>
        <w:rPr>
          <w:rFonts w:ascii="Times New Roman" w:cs="Times New Roman" w:eastAsia="Times New Roman" w:hAnsi="Times New Roman"/>
          <w:sz w:val="17"/>
          <w:szCs w:val="17"/>
          <w:color w:val="auto"/>
        </w:rPr>
        <w:t>Our effective tax rate reflects the applicable tax rate in effect in the various tax jurisdictions around the world where our income is earned. Our effective tax rate for the first three months of the fiscal year ending November 2, 2019 was below our U.S. federal statutory rate of 21%. It was also below our blended U.S. federal statutory tax rate of 23.4% for the fiscal year ended November 3, 2018.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4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we are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proprietary intellectual property rights, which may limit our ability to compete effectively.</w:t>
      </w:r>
    </w:p>
    <w:p>
      <w:pPr>
        <w:spacing w:after="0" w:line="9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reverse engineer,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4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patents are granted, enforcement may not be available or achieved under the circumstances. If our patents and mask works do not adequately protect our technology, our competitors may be able to offer products similar to ours. Our competitors may also be able to develop similar technology independently or design around our patents.</w:t>
      </w:r>
    </w:p>
    <w:p>
      <w:pPr>
        <w:spacing w:after="0" w:line="53"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2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2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59" w:right="239" w:bottom="1440" w:gutter="0" w:footer="0" w:header="0"/>
        </w:sectPr>
      </w:pPr>
    </w:p>
    <w:bookmarkStart w:id="33" w:name="page34"/>
    <w:bookmarkEnd w:id="33"/>
    <w:p>
      <w:pPr>
        <w:spacing w:after="0" w:line="255" w:lineRule="auto"/>
        <w:rPr>
          <w:sz w:val="20"/>
          <w:szCs w:val="20"/>
          <w:color w:val="auto"/>
        </w:rPr>
      </w:pPr>
      <w:r>
        <w:rPr>
          <w:rFonts w:ascii="Times New Roman" w:cs="Times New Roman" w:eastAsia="Times New Roman" w:hAnsi="Times New Roman"/>
          <w:sz w:val="18"/>
          <w:szCs w:val="18"/>
          <w:color w:val="auto"/>
        </w:rPr>
        <w:t>and certain of our products caused by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Long-term contracts are not typical for us, and incorrect forecasts or reductions, cancellations or delays in orders for our products could adversely affect our operating results.</w:t>
      </w:r>
    </w:p>
    <w:p>
      <w:pPr>
        <w:spacing w:after="0" w:line="25"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which may fluctuate significantly on a quarterly or annual basis.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5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25"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Our future success significantly depends on our continued ability to execute our business strategy, continue to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 In addition, our growth is dependent on our ability to generate new design opportunities and win competitive bid selection processes. Failure to obtain or maintain a particular design win may prevent us from obtaining or maintaining design wins in subsequent generations of a particular product and could also weaken our position in future competitive selection processes. Our growth is also dependent on our ability to identify and penetrate new markets where we have limited experience and competition is intense. Some of our customers in new markets are less established, which could subject us to increased credit risk. There can be no assurance that the markets we serve and/or target based on our business strategy will grow in the future, that our existing and new products will meet the requirements of these markets, that our products, or the products in which our products are used, will achieve customer acceptance in these markets, that competitors will not force price reductions or take market share from us, or that we can achieve or maintain adequate gross margins or profits in these markets. Additionally, developing markets, such as the Industry 4.0, autonomous driving, artificial intelligence and 5G, require significant investments, resources and technological advancements in order to compete effectively and there can be no assurance that we will achieve success in these markets. Furthermore, a decline in demand in one or several of our end-user markets could have a material adverse effect on the demand for our products and our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markets within the semiconductor industry in the future.</w:t>
      </w:r>
    </w:p>
    <w:p>
      <w:pPr>
        <w:spacing w:after="0" w:line="92"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661" w:right="259" w:bottom="1440" w:gutter="0" w:footer="0" w:header="0"/>
        </w:sectPr>
      </w:pPr>
    </w:p>
    <w:bookmarkStart w:id="34" w:name="page35"/>
    <w:bookmarkEnd w:id="34"/>
    <w:p>
      <w:pPr>
        <w:ind w:right="120"/>
        <w:spacing w:after="0" w:line="254" w:lineRule="auto"/>
        <w:rPr>
          <w:sz w:val="20"/>
          <w:szCs w:val="20"/>
          <w:color w:val="auto"/>
        </w:rPr>
      </w:pPr>
      <w:r>
        <w:rPr>
          <w:rFonts w:ascii="Times New Roman" w:cs="Times New Roman" w:eastAsia="Times New Roman" w:hAnsi="Times New Roman"/>
          <w:sz w:val="18"/>
          <w:szCs w:val="18"/>
          <w:color w:val="auto"/>
        </w:rPr>
        <w:t>competitors also include emerging companies selling specialized products in markets we serve and entities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4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rely, and plan to continue to rely, on third-party suppliers, assembly and test subcontractors, freight carriers and wafer fabricators (collectively, suppliers) to supply most of our products that can be manufactured using industry-standard processes. This reliance involves several risks, including reduced control over availability, capacity utilization, delivery schedules, manufacturing yields, and costs. We currently source approximately half of our wafer requirements annually from third-party wafer fabrication foundries, such as Taiwan Semiconductor Manufacturing Company (TSMC), Global Foundries, Vanguard, and others.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4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 prolonged disruption of our internal manufacturing operations could have a material adverse effect on our business, financial condition and results of operations.</w:t>
      </w:r>
    </w:p>
    <w:p>
      <w:pPr>
        <w:spacing w:after="0" w:line="2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13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generate sufficient cash flow, we may not be able to service our debt obligations, including making payments on our outstanding term loans and senior unsecured notes.</w:t>
      </w:r>
    </w:p>
    <w:p>
      <w:pPr>
        <w:spacing w:after="0" w:line="2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when due, including the significant indebtedness that we have incurred in connection with the Acquisition,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18" w:lineRule="exact"/>
        <w:rPr>
          <w:sz w:val="20"/>
          <w:szCs w:val="20"/>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financing in the debt or equity markets;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or restructure all or a portion of our indebtedness;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under our revolving credit facility;</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funds that would otherwise be invested in our operations;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repatriate earnings as dividends from foreign locations, attracting foreign withholding and state and local income taxes;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selected assets; or</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661" w:right="259" w:bottom="1440" w:gutter="0" w:footer="0" w:header="0"/>
        </w:sectPr>
      </w:pPr>
    </w:p>
    <w:bookmarkStart w:id="35" w:name="page36"/>
    <w:bookmarkEnd w:id="35"/>
    <w:p>
      <w:pPr>
        <w:ind w:left="42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reduce or delay planned capital expenditures or operating expenditures.</w:t>
      </w:r>
    </w:p>
    <w:p>
      <w:pPr>
        <w:spacing w:after="0" w:line="131"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41"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Our significant existing indebtedness could also have the effect, among other things, of reducing our flexibility to respond to changing business and economic conditions, reducing funds available for working capital, capital expenditures, acquisitions and other general corporate purposes or creating competitive disadvantages relative to other companies with lower debt levels.</w:t>
      </w:r>
    </w:p>
    <w:p>
      <w:pPr>
        <w:spacing w:after="0" w:line="3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4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Our semiconductor products are complex and we may be subject to product warranty and indemnity claims, which could result in significant costs and damage to our reputation and adversely affect customer relationships, the market acceptance of our products and our operating results.</w:t>
      </w:r>
    </w:p>
    <w:p>
      <w:pPr>
        <w:spacing w:after="0" w:line="2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Semiconductor products are highly complex and may contain defects when they are first introduced or as new versions are developed. Failures in our products and services or in the products of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 breaches and theft of intellectual property.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recalls, which may adversely impact our operating results. We may also be subject to customer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 defects, or have reliability, quality or compatibility problems, our reputation may be damaged, which could make it more difficult for us to sell our products to customers and could also adversely affect our operating results.</w:t>
      </w:r>
    </w:p>
    <w:p>
      <w:pPr>
        <w:spacing w:after="0" w:line="54" w:lineRule="exact"/>
        <w:rPr>
          <w:sz w:val="20"/>
          <w:szCs w:val="20"/>
          <w:color w:val="auto"/>
        </w:rPr>
      </w:pPr>
    </w:p>
    <w:p>
      <w:pPr>
        <w:ind w:right="20" w:firstLine="432"/>
        <w:spacing w:after="0" w:line="277" w:lineRule="auto"/>
        <w:rPr>
          <w:sz w:val="20"/>
          <w:szCs w:val="20"/>
          <w:color w:val="auto"/>
        </w:rPr>
      </w:pPr>
      <w:r>
        <w:rPr>
          <w:rFonts w:ascii="Times New Roman" w:cs="Times New Roman" w:eastAsia="Times New Roman" w:hAnsi="Times New Roman"/>
          <w:sz w:val="17"/>
          <w:szCs w:val="17"/>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31"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2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34" w:right="239" w:bottom="1440" w:gutter="0" w:footer="0" w:header="0"/>
        </w:sectPr>
      </w:pPr>
    </w:p>
    <w:bookmarkStart w:id="36" w:name="page37"/>
    <w:bookmarkEnd w:id="36"/>
    <w:p>
      <w:pPr>
        <w:ind w:right="60"/>
        <w:spacing w:after="0" w:line="255" w:lineRule="auto"/>
        <w:rPr>
          <w:sz w:val="20"/>
          <w:szCs w:val="20"/>
          <w:color w:val="auto"/>
        </w:rPr>
      </w:pPr>
      <w:r>
        <w:rPr>
          <w:rFonts w:ascii="Times New Roman" w:cs="Times New Roman" w:eastAsia="Times New Roman" w:hAnsi="Times New Roman"/>
          <w:sz w:val="18"/>
          <w:szCs w:val="18"/>
          <w:color w:val="auto"/>
        </w:rPr>
        <w:t>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recruit or retain our key personnel, our ability to execute our business strategy will be adversely affected.</w:t>
      </w:r>
    </w:p>
    <w:p>
      <w:pPr>
        <w:spacing w:after="0" w:line="92"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The inability to attract, hire and retain key employees with critical technical skills to achieve our strategy, including as a result of changes to immigration policies, could also have a material adverse effect on our business. In addition, there could be a material adverse effect on our business should the turnover rates for engineers and other key personnel increase significantly or if we are unable to continue to attract, hire and retain qualified personnel. We do not maintain any key person life insurance policy on any of our officers or other employees.</w:t>
      </w:r>
    </w:p>
    <w:p>
      <w:pPr>
        <w:spacing w:after="0" w:line="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2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Acquisitions also involve a number of challenges and risks, including:</w:t>
      </w:r>
    </w:p>
    <w:p>
      <w:pPr>
        <w:spacing w:after="0" w:line="6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delay integrating acquired technologies, operations and personnel with our existing businesses;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in connection with both negotiating the transaction and integrating the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managerial and operational resources as management tries to oversee larger or more complex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funding requirements for acquired companies, which may be significant;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unforeseen liabilities or regulatory compliance issues of acquired companies;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or unexpected costs relating to or associated with an acquisition and integration of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realizing synergies and growth prospects of an acquisition in a timely manner or at all;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costly and time-consuming legal proceedings.</w:t>
      </w:r>
    </w:p>
    <w:p>
      <w:pPr>
        <w:spacing w:after="0" w:line="212"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these risks, we may not realize some or all of the expected benefits of the acquisition, which may have an adverse effect on our business strategy, plans and operating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supplies, services and manufacturing capacity located in geologically unstable areas, which could affect our ability to produce products.</w:t>
      </w:r>
    </w:p>
    <w:p>
      <w:pPr>
        <w:spacing w:after="0" w:line="92"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We, like many companies in the semiconductor industry, rely on supplies, services, internal manufacturing capacity, wafer fabrication foundries and other subcontractors in geologically unstable locations around the world. Earthquakes,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661" w:right="259" w:bottom="1440" w:gutter="0" w:footer="0" w:header="0"/>
        </w:sectPr>
      </w:pPr>
    </w:p>
    <w:bookmarkStart w:id="37" w:name="page38"/>
    <w:bookmarkEnd w:id="37"/>
    <w:p>
      <w:pPr>
        <w:ind w:right="60"/>
        <w:spacing w:after="0" w:line="258" w:lineRule="auto"/>
        <w:rPr>
          <w:sz w:val="20"/>
          <w:szCs w:val="20"/>
          <w:color w:val="auto"/>
        </w:rPr>
      </w:pPr>
      <w:r>
        <w:rPr>
          <w:rFonts w:ascii="Times New Roman" w:cs="Times New Roman" w:eastAsia="Times New Roman" w:hAnsi="Times New Roman"/>
          <w:sz w:val="18"/>
          <w:szCs w:val="18"/>
          <w:color w:val="auto"/>
        </w:rPr>
        <w:t>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4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25"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4" w:lineRule="exact"/>
        <w:rPr>
          <w:sz w:val="20"/>
          <w:szCs w:val="20"/>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foreign markets;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and interest rate fluctuations;</w:t>
      </w:r>
    </w:p>
    <w:p>
      <w:pPr>
        <w:spacing w:after="0" w:line="103" w:lineRule="exact"/>
        <w:rPr>
          <w:rFonts w:ascii="Times New Roman" w:cs="Times New Roman" w:eastAsia="Times New Roman" w:hAnsi="Times New Roman"/>
          <w:sz w:val="18"/>
          <w:szCs w:val="18"/>
          <w:color w:val="auto"/>
        </w:rPr>
      </w:pPr>
    </w:p>
    <w:p>
      <w:pPr>
        <w:ind w:left="560" w:hanging="160"/>
        <w:spacing w:after="0" w:line="360" w:lineRule="auto"/>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policy, trade, travel, export or taxation disputes or restrictions, government sanctions, import or export tariffs or other restrictions imposed by the U.S. government or by the governments of the countries in which we do business, particularly in China;</w:t>
      </w:r>
    </w:p>
    <w:p>
      <w:pPr>
        <w:ind w:left="560" w:right="160" w:hanging="160"/>
        <w:spacing w:after="0" w:line="360" w:lineRule="auto"/>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varying and changing government regulations and legal standards and requirements, particularly with respect to price protection, competition practices, export control regulations and restrictions, customs and tax requirements, immigration, anti-boycott regulations, data privacy, intellectual property, anti-corruption and environmental compliance, including U.S. customs and export regulations and restrictions, International Traffic in Arms Regulations and the Foreign Corrupt Practices Act;</w:t>
      </w: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from terrorism and threats of terrorism and the response to them by the U.S. and its allies;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managerial complexities, including different employment practices and labor issues;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regulations and procedures and enforcement practices of various government agencies;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weaker laws protecting such rights;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pandemics;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disruptions and delays and increases in labor and transportation costs;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foreign taxes, tariffs and freight rates;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raw material costs and energy costs;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collections and longer collection periods; and</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foreign defined benefit pension plans.</w:t>
      </w:r>
    </w:p>
    <w:p>
      <w:pPr>
        <w:spacing w:after="0" w:line="13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Any of these risks, or any other risks related to international business operations, could materially adversely affect our business, financial condition and results of operations.</w:t>
      </w:r>
    </w:p>
    <w:p>
      <w:pPr>
        <w:spacing w:after="0" w:line="2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Many of these risks are present in China. While we expect to continue to expand our business and operations in China, our success in the Chinese markets may be adversely affected by China’s continuously evolving policies, laws and regulations, including those relating to trade, taxation, import and export tariffs or restrictions, currency controls, antitrust, cybersecurity and data protection, the environment, indigenous innovation and the promotion of a domestic semiconductor industry, and intellectual property rights and enforcement and protection of those rights. Enforcement of existing laws or agreements may be inconsistent. In addition, changes in the political environment, governmental policies, international trade policies and relations, or U.S.-China relations could result in revisions to laws or regulations or their interpretation and enforcement, exposure of our proprietary intellectual property, increased taxation, trade sanctions, the imposition of import duties or tariffs, restrictions on imports or exports, currency revaluations, or retaliatory actions by China in response to U.S. actions, which could have an adverse effect on our business plans and operating results.</w:t>
      </w:r>
    </w:p>
    <w:p>
      <w:pPr>
        <w:spacing w:after="0" w:line="5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At February 2, 2019, our principal source of liquidity was $605.9 million of cash and cash equivalents, of which approximately $231.7 million was held in the United States and the remaining balance was held outside the United States in various foreign subsidiaries. We continue to assert our intent to reinvest substantially all of our foreign earnings indefinitely,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661" w:right="259" w:bottom="1440" w:gutter="0" w:footer="0" w:header="0"/>
        </w:sectPr>
      </w:pPr>
    </w:p>
    <w:bookmarkStart w:id="38" w:name="page39"/>
    <w:bookmarkEnd w:id="38"/>
    <w:p>
      <w:pPr>
        <w:ind w:right="120"/>
        <w:spacing w:after="0" w:line="256" w:lineRule="auto"/>
        <w:rPr>
          <w:sz w:val="20"/>
          <w:szCs w:val="20"/>
          <w:color w:val="auto"/>
        </w:rPr>
      </w:pPr>
      <w:r>
        <w:rPr>
          <w:rFonts w:ascii="Times New Roman" w:cs="Times New Roman" w:eastAsia="Times New Roman" w:hAnsi="Times New Roman"/>
          <w:sz w:val="18"/>
          <w:szCs w:val="18"/>
          <w:color w:val="auto"/>
        </w:rPr>
        <w:t>As we intend to reinvest substantially all of our foreign earnings indefinitely, certain cash held outside the United States may not be available for repatriation as dividends to the United States in the future.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operating results are dependent on the performance of independent distributors.</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 significant portion of our sales are through independent global and regional distributors that are not under our control. Arrow Electronics is currently our sole global distributor.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5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Effective November 4, 2018, all distributor sales are recognized upon shipment to the distributor under Accounting Standards Update 2014-09,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2014-09). We are now required to estimate the effects of returns and allowances provided to distributors and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at the time of sale to the distributor. If our estimates of such credits and rights are materially understated it could cause subsequent adjustments that negatively impact our revenues and gross profits in a future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environmental, health and safety (EHS) regulations, which could increase our expenses and affect our operating results.</w:t>
      </w:r>
    </w:p>
    <w:p>
      <w:pPr>
        <w:spacing w:after="0" w:line="92"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Our industry is subject to EHS requirements, particularly those environmental requirements that control and restrict the sourcing, use, transportation, emission, discharge, storage and disposal of certain chemicals,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23" w:lineRule="exact"/>
        <w:rPr>
          <w:sz w:val="20"/>
          <w:szCs w:val="20"/>
          <w:color w:val="auto"/>
        </w:rPr>
      </w:pPr>
    </w:p>
    <w:p>
      <w:pPr>
        <w:ind w:left="560" w:hanging="160"/>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damages and remediation;</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penalties and civil and criminal fines;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the development, manufacture, sale or use of certain of our products;</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processes or a need to substitute materials that may cost more or be less available;</w:t>
      </w:r>
    </w:p>
    <w:p>
      <w:pPr>
        <w:spacing w:after="0" w:line="103" w:lineRule="exact"/>
        <w:rPr>
          <w:rFonts w:ascii="Times New Roman" w:cs="Times New Roman" w:eastAsia="Times New Roman" w:hAnsi="Times New Roman"/>
          <w:sz w:val="18"/>
          <w:szCs w:val="18"/>
          <w:color w:val="auto"/>
        </w:rPr>
      </w:pPr>
    </w:p>
    <w:p>
      <w:pPr>
        <w:ind w:left="560" w:hanging="160"/>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and/or</w:t>
      </w:r>
    </w:p>
    <w:p>
      <w:pPr>
        <w:spacing w:after="0" w:line="10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compliance.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fail to comply with government contracting regulations, we could suffer a loss of revenue or incur price adjustments or other penalties.</w:t>
      </w:r>
    </w:p>
    <w:p>
      <w:pPr>
        <w:spacing w:after="0" w:line="9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53"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61" w:right="239" w:bottom="1440" w:gutter="0" w:footer="0" w:header="0"/>
        </w:sectPr>
      </w:pPr>
    </w:p>
    <w:bookmarkStart w:id="39" w:name="page40"/>
    <w:bookmarkEnd w:id="39"/>
    <w:p>
      <w:pPr>
        <w:spacing w:after="0" w:line="266" w:lineRule="auto"/>
        <w:rPr>
          <w:sz w:val="20"/>
          <w:szCs w:val="20"/>
          <w:color w:val="auto"/>
        </w:rPr>
      </w:pPr>
      <w:r>
        <w:rPr>
          <w:rFonts w:ascii="Times New Roman" w:cs="Times New Roman" w:eastAsia="Times New Roman" w:hAnsi="Times New Roman"/>
          <w:sz w:val="18"/>
          <w:szCs w:val="18"/>
          <w:color w:val="auto"/>
        </w:rPr>
        <w:t>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4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in our revolving credit facility, term loans and outstanding debt instruments may limit our activities.</w:t>
      </w:r>
    </w:p>
    <w:p>
      <w:pPr>
        <w:spacing w:after="0" w:line="9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current revolving credit facility, term loans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and changes in technology, government regulations and the level of competition. In addition, our revolving credit facility requires us to maintain compliance with specified financial ratios. If we breach any of the covenants under our revolving credit facility, the indentures governing our outstanding senior unsecured notes, the term loans or any future debt instruments to which we may become subject and do not obtain appropriate waivers, then, subject to applicable cure periods, our outstanding indebtedness thereunder could be declared immediately due and payable or we may be restricted from further borrowing under our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may be volatile.</w:t>
      </w:r>
    </w:p>
    <w:p>
      <w:pPr>
        <w:spacing w:after="0" w:line="92" w:lineRule="exact"/>
        <w:rPr>
          <w:sz w:val="20"/>
          <w:szCs w:val="20"/>
          <w:color w:val="auto"/>
        </w:rPr>
      </w:pPr>
    </w:p>
    <w:p>
      <w:pPr>
        <w:ind w:right="400" w:firstLine="432"/>
        <w:spacing w:after="0" w:line="281"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as it may be significantly affected by factors including:</w:t>
      </w:r>
    </w:p>
    <w:p>
      <w:pPr>
        <w:spacing w:after="0" w:line="2" w:lineRule="exact"/>
        <w:rPr>
          <w:sz w:val="20"/>
          <w:szCs w:val="20"/>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generally;</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crises in global credit, debt and financial markets;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operating results;</w:t>
      </w:r>
    </w:p>
    <w:p>
      <w:pPr>
        <w:spacing w:after="0" w:line="103" w:lineRule="exact"/>
        <w:rPr>
          <w:rFonts w:ascii="Times New Roman" w:cs="Times New Roman" w:eastAsia="Times New Roman" w:hAnsi="Times New Roman"/>
          <w:sz w:val="18"/>
          <w:szCs w:val="18"/>
          <w:color w:val="auto"/>
        </w:rPr>
      </w:pPr>
    </w:p>
    <w:p>
      <w:pPr>
        <w:ind w:left="660" w:right="440" w:hanging="247"/>
        <w:spacing w:after="0" w:line="3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and prospects of our customers;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government actions, including with respect to trade, travel, export and taxation;</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semiconductor companies;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speculation in the press, investment community or on social media about us, our customers or other companies in our industry;</w:t>
      </w:r>
    </w:p>
    <w:p>
      <w:pPr>
        <w:spacing w:after="0" w:line="103" w:lineRule="exact"/>
        <w:rPr>
          <w:rFonts w:ascii="Times New Roman" w:cs="Times New Roman" w:eastAsia="Times New Roman" w:hAnsi="Times New Roman"/>
          <w:sz w:val="18"/>
          <w:szCs w:val="18"/>
          <w:color w:val="auto"/>
        </w:rPr>
      </w:pPr>
    </w:p>
    <w:p>
      <w:pPr>
        <w:ind w:left="660" w:right="320" w:hanging="247"/>
        <w:spacing w:after="0" w:line="3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customers or our competitors of significant new products, technical innovations, material transactions, acquisitions or dispositions, litigation, capital commitments or revised earnings estimates;</w:t>
      </w: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noncompliance with laws, regulations or ethics standards by us or any of our employees, officers or directors; and</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publicity targeting us or our suppliers, customers or competitors.</w:t>
      </w:r>
    </w:p>
    <w:p>
      <w:pPr>
        <w:spacing w:after="0" w:line="212"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08"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661" w:right="2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100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Paid Per Share (b)</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4, 2018 through December 1, 2018</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1,358,434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87.77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1,334,710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2,500,412,596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2, 2018 through December 29, 2018</w:t>
            </w:r>
          </w:p>
        </w:tc>
        <w:tc>
          <w:tcPr>
            <w:tcW w:w="1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776,365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773,566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2,433,942,781</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30, 2018 through February 2, 2019</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482,417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424,062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2,397,973,607</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2,617,216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86.77</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2,532,338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2,397,973,607</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4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84,878 shares withheld by us from employees to satisfy minimum employee tax obligations upon vesting of restricted stock units/awards granted to our employees under our equity compensation plans.</w:t>
      </w:r>
    </w:p>
    <w:p>
      <w:pPr>
        <w:ind w:left="660" w:right="34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240" w:hanging="328"/>
        <w:spacing w:after="0" w:line="25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38" w:right="239" w:bottom="1440" w:gutter="0" w:footer="0" w:header="0"/>
        </w:sectPr>
      </w:pPr>
    </w:p>
    <w:bookmarkStart w:id="41" w:name="page42"/>
    <w:bookmarkEnd w:id="41"/>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6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700" w:type="dxa"/>
            <w:vAlign w:val="bottom"/>
            <w:tcBorders>
              <w:top w:val="single" w:sz="8" w:color="auto"/>
            </w:tcBorders>
          </w:tcPr>
          <w:p>
            <w:pPr>
              <w:jc w:val="center"/>
              <w:ind w:left="291"/>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tcPr>
          <w:p>
            <w:pPr>
              <w:spacing w:after="0"/>
              <w:rPr>
                <w:sz w:val="19"/>
                <w:szCs w:val="19"/>
                <w:color w:val="auto"/>
              </w:rPr>
            </w:pPr>
          </w:p>
        </w:tc>
        <w:tc>
          <w:tcPr>
            <w:tcW w:w="96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Amended and Restated By-Laws of Analog Devices, Inc., filed as exhibit 3.1 to the Company's Current Report on Form 8-K (File No.</w:t>
              </w:r>
            </w:hyperlink>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1-7819) as filed with the Commission on December 17, 2018 and incorporated herein by reference.</w:t>
              </w:r>
            </w:hyperlink>
          </w:p>
        </w:tc>
        <w:tc>
          <w:tcPr>
            <w:tcW w:w="2520" w:type="dxa"/>
            <w:vAlign w:val="bottom"/>
            <w:gridSpan w:val="4"/>
          </w:tcPr>
          <w:p>
            <w:pPr>
              <w:spacing w:after="0"/>
              <w:rPr>
                <w:sz w:val="17"/>
                <w:szCs w:val="17"/>
                <w:color w:val="auto"/>
              </w:rPr>
            </w:pPr>
          </w:p>
        </w:tc>
      </w:tr>
      <w:tr>
        <w:trPr>
          <w:trHeight w:val="25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10.1†</w:t>
            </w:r>
          </w:p>
        </w:tc>
        <w:tc>
          <w:tcPr>
            <w:tcW w:w="9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44">
              <w:r>
                <w:rPr>
                  <w:rFonts w:ascii="Times New Roman" w:cs="Times New Roman" w:eastAsia="Times New Roman" w:hAnsi="Times New Roman"/>
                  <w:sz w:val="18"/>
                  <w:szCs w:val="18"/>
                  <w:color w:val="0000FF"/>
                  <w:w w:val="99"/>
                </w:rPr>
                <w:t>Form of Global Non-Qualified Stock Option Agreement for Employees for usage under the Company's Amended and Restated 2006</w:t>
              </w:r>
            </w:hyperlink>
          </w:p>
        </w:tc>
        <w:tc>
          <w:tcPr>
            <w:tcW w:w="120" w:type="dxa"/>
            <w:vAlign w:val="bottom"/>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w:anchor="page44">
              <w:r>
                <w:rPr>
                  <w:rFonts w:ascii="Times New Roman" w:cs="Times New Roman" w:eastAsia="Times New Roman" w:hAnsi="Times New Roman"/>
                  <w:sz w:val="18"/>
                  <w:szCs w:val="18"/>
                  <w:color w:val="0000FF"/>
                  <w:w w:val="98"/>
                </w:rPr>
                <w:t>Stock Incentive Plan.</w:t>
              </w:r>
            </w:hyperlink>
          </w:p>
        </w:tc>
        <w:tc>
          <w:tcPr>
            <w:tcW w:w="8140" w:type="dxa"/>
            <w:vAlign w:val="bottom"/>
            <w:gridSpan w:val="10"/>
          </w:tcPr>
          <w:p>
            <w:pPr>
              <w:spacing w:after="0"/>
              <w:rPr>
                <w:sz w:val="17"/>
                <w:szCs w:val="17"/>
                <w:color w:val="auto"/>
              </w:rPr>
            </w:pPr>
          </w:p>
        </w:tc>
      </w:tr>
      <w:tr>
        <w:trPr>
          <w:trHeight w:val="25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10.2†</w:t>
            </w:r>
          </w:p>
        </w:tc>
        <w:tc>
          <w:tcPr>
            <w:tcW w:w="95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74">
              <w:r>
                <w:rPr>
                  <w:rFonts w:ascii="Times New Roman" w:cs="Times New Roman" w:eastAsia="Times New Roman" w:hAnsi="Times New Roman"/>
                  <w:sz w:val="18"/>
                  <w:szCs w:val="18"/>
                  <w:color w:val="0000FF"/>
                  <w:w w:val="99"/>
                </w:rPr>
                <w:t>Form of Global Restricted Stock Unit Agreement for Employees for usage under the Company's Amended and Restated 2006 Stock</w:t>
              </w:r>
            </w:hyperlink>
          </w:p>
        </w:tc>
        <w:tc>
          <w:tcPr>
            <w:tcW w:w="160" w:type="dxa"/>
            <w:vAlign w:val="bottom"/>
            <w:gridSpan w:val="2"/>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80" w:type="dxa"/>
            <w:vAlign w:val="bottom"/>
            <w:gridSpan w:val="13"/>
          </w:tcPr>
          <w:p>
            <w:pPr>
              <w:spacing w:after="0" w:line="196" w:lineRule="exact"/>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Incentive Plan.</w:t>
              </w:r>
            </w:hyperlink>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80" w:type="dxa"/>
            <w:vAlign w:val="bottom"/>
            <w:gridSpan w:val="13"/>
          </w:tcPr>
          <w:p>
            <w:pPr>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Form of Restricted Stock Unit Agreement for Directors for usage under the Company's Amended and Restated 2006 Stock Incentive</w:t>
              </w:r>
            </w:hyperlink>
          </w:p>
        </w:tc>
      </w:tr>
      <w:tr>
        <w:trPr>
          <w:trHeight w:val="196"/>
        </w:trPr>
        <w:tc>
          <w:tcPr>
            <w:tcW w:w="1600" w:type="dxa"/>
            <w:vAlign w:val="bottom"/>
            <w:gridSpan w:val="2"/>
          </w:tcPr>
          <w:p>
            <w:pPr>
              <w:jc w:val="center"/>
              <w:ind w:right="520"/>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956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Plan.</w:t>
              </w:r>
            </w:hyperlink>
          </w:p>
        </w:tc>
        <w:tc>
          <w:tcPr>
            <w:tcW w:w="120" w:type="dxa"/>
            <w:vAlign w:val="bottom"/>
          </w:tcPr>
          <w:p>
            <w:pPr>
              <w:spacing w:after="0"/>
              <w:rPr>
                <w:sz w:val="17"/>
                <w:szCs w:val="17"/>
                <w:color w:val="auto"/>
              </w:rPr>
            </w:pPr>
          </w:p>
        </w:tc>
      </w:tr>
      <w:tr>
        <w:trPr>
          <w:trHeight w:val="20"/>
        </w:trPr>
        <w:tc>
          <w:tcPr>
            <w:tcW w:w="160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25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10.4†</w:t>
            </w:r>
          </w:p>
        </w:tc>
        <w:tc>
          <w:tcPr>
            <w:tcW w:w="49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117">
              <w:r>
                <w:rPr>
                  <w:rFonts w:ascii="Times New Roman" w:cs="Times New Roman" w:eastAsia="Times New Roman" w:hAnsi="Times New Roman"/>
                  <w:sz w:val="18"/>
                  <w:szCs w:val="18"/>
                  <w:color w:val="0000FF"/>
                  <w:w w:val="99"/>
                </w:rPr>
                <w:t>Amended and Restated 2019 Executive Performance Incentive Plan.</w:t>
              </w:r>
            </w:hyperlink>
          </w:p>
        </w:tc>
        <w:tc>
          <w:tcPr>
            <w:tcW w:w="4740" w:type="dxa"/>
            <w:vAlign w:val="bottom"/>
            <w:gridSpan w:val="7"/>
          </w:tcPr>
          <w:p>
            <w:pPr>
              <w:spacing w:after="0"/>
              <w:rPr>
                <w:sz w:val="21"/>
                <w:szCs w:val="21"/>
                <w:color w:val="auto"/>
              </w:rPr>
            </w:pPr>
          </w:p>
        </w:tc>
      </w:tr>
      <w:tr>
        <w:trPr>
          <w:trHeight w:val="25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31.1†</w:t>
            </w:r>
          </w:p>
        </w:tc>
        <w:tc>
          <w:tcPr>
            <w:tcW w:w="93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119">
              <w:r>
                <w:rPr>
                  <w:rFonts w:ascii="Times New Roman" w:cs="Times New Roman" w:eastAsia="Times New Roman" w:hAnsi="Times New Roman"/>
                  <w:sz w:val="18"/>
                  <w:szCs w:val="18"/>
                  <w:color w:val="0000FF"/>
                  <w:w w:val="99"/>
                </w:rPr>
                <w:t>Certification Pursuant to Rule 13a-14(a) and 15d-14(a) of the Securities Exchange Act, as Adopted Pursuant to Section 302 of the</w:t>
              </w:r>
            </w:hyperlink>
          </w:p>
        </w:tc>
        <w:tc>
          <w:tcPr>
            <w:tcW w:w="320" w:type="dxa"/>
            <w:vAlign w:val="bottom"/>
            <w:gridSpan w:val="3"/>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w:anchor="page119">
              <w:r>
                <w:rPr>
                  <w:rFonts w:ascii="Times New Roman" w:cs="Times New Roman" w:eastAsia="Times New Roman" w:hAnsi="Times New Roman"/>
                  <w:sz w:val="18"/>
                  <w:szCs w:val="18"/>
                  <w:color w:val="0000FF"/>
                  <w:w w:val="99"/>
                </w:rPr>
                <w:t>Sarbanes-Oxley Act of 2002 (Chief Executive Officer).</w:t>
              </w:r>
            </w:hyperlink>
          </w:p>
        </w:tc>
        <w:tc>
          <w:tcPr>
            <w:tcW w:w="5680" w:type="dxa"/>
            <w:vAlign w:val="bottom"/>
            <w:gridSpan w:val="8"/>
          </w:tcPr>
          <w:p>
            <w:pPr>
              <w:spacing w:after="0"/>
              <w:rPr>
                <w:sz w:val="17"/>
                <w:szCs w:val="17"/>
                <w:color w:val="auto"/>
              </w:rPr>
            </w:pPr>
          </w:p>
        </w:tc>
      </w:tr>
      <w:tr>
        <w:trPr>
          <w:trHeight w:val="25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31.2†</w:t>
            </w:r>
          </w:p>
        </w:tc>
        <w:tc>
          <w:tcPr>
            <w:tcW w:w="93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120">
              <w:r>
                <w:rPr>
                  <w:rFonts w:ascii="Times New Roman" w:cs="Times New Roman" w:eastAsia="Times New Roman" w:hAnsi="Times New Roman"/>
                  <w:sz w:val="18"/>
                  <w:szCs w:val="18"/>
                  <w:color w:val="0000FF"/>
                  <w:w w:val="99"/>
                </w:rPr>
                <w:t>Certification Pursuant to Rule 13a-14(a) and 15d-14(a) of the Securities Exchange Act, as Adopted Pursuant to Section 302 of the</w:t>
              </w:r>
            </w:hyperlink>
          </w:p>
        </w:tc>
        <w:tc>
          <w:tcPr>
            <w:tcW w:w="320" w:type="dxa"/>
            <w:vAlign w:val="bottom"/>
            <w:gridSpan w:val="3"/>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80" w:type="dxa"/>
            <w:vAlign w:val="bottom"/>
            <w:gridSpan w:val="13"/>
          </w:tcPr>
          <w:p>
            <w:pPr>
              <w:spacing w:after="0" w:line="196" w:lineRule="exact"/>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Sarbanes-Oxley Act of 2002 (Chief Financial Officer).</w:t>
              </w:r>
            </w:hyperlink>
          </w:p>
        </w:tc>
      </w:tr>
      <w:tr>
        <w:trPr>
          <w:trHeight w:val="20"/>
        </w:trPr>
        <w:tc>
          <w:tcPr>
            <w:tcW w:w="1600" w:type="dxa"/>
            <w:vAlign w:val="bottom"/>
            <w:gridSpan w:val="2"/>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r>
      <w:tr>
        <w:trPr>
          <w:trHeight w:val="25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32.1†</w:t>
            </w:r>
          </w:p>
        </w:tc>
        <w:tc>
          <w:tcPr>
            <w:tcW w:w="54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121">
              <w:r>
                <w:rPr>
                  <w:rFonts w:ascii="Times New Roman" w:cs="Times New Roman" w:eastAsia="Times New Roman" w:hAnsi="Times New Roman"/>
                  <w:sz w:val="18"/>
                  <w:szCs w:val="18"/>
                  <w:color w:val="0000FF"/>
                  <w:w w:val="99"/>
                </w:rPr>
                <w:t>Certification Pursuant to 18 U.S.C. Section 1350 (Chief Executive Officer).</w:t>
              </w:r>
            </w:hyperlink>
          </w:p>
        </w:tc>
        <w:tc>
          <w:tcPr>
            <w:tcW w:w="4220" w:type="dxa"/>
            <w:vAlign w:val="bottom"/>
            <w:gridSpan w:val="5"/>
          </w:tcPr>
          <w:p>
            <w:pPr>
              <w:spacing w:after="0"/>
              <w:rPr>
                <w:sz w:val="21"/>
                <w:szCs w:val="21"/>
                <w:color w:val="auto"/>
              </w:rPr>
            </w:pPr>
          </w:p>
        </w:tc>
      </w:tr>
      <w:tr>
        <w:trPr>
          <w:trHeight w:val="25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32.2†</w:t>
            </w:r>
          </w:p>
        </w:tc>
        <w:tc>
          <w:tcPr>
            <w:tcW w:w="9680" w:type="dxa"/>
            <w:vAlign w:val="bottom"/>
            <w:gridSpan w:val="13"/>
          </w:tcPr>
          <w:p>
            <w:pPr>
              <w:spacing w:after="0"/>
              <w:rPr>
                <w:rFonts w:ascii="Times New Roman" w:cs="Times New Roman" w:eastAsia="Times New Roman" w:hAnsi="Times New Roman"/>
                <w:sz w:val="18"/>
                <w:szCs w:val="18"/>
                <w:color w:val="0000FF"/>
              </w:rPr>
            </w:pPr>
            <w:hyperlink w:anchor="page122">
              <w:r>
                <w:rPr>
                  <w:rFonts w:ascii="Times New Roman" w:cs="Times New Roman" w:eastAsia="Times New Roman" w:hAnsi="Times New Roman"/>
                  <w:sz w:val="18"/>
                  <w:szCs w:val="18"/>
                  <w:color w:val="0000FF"/>
                </w:rPr>
                <w:t>Certification Pursuant to 18 U.S.C. Section 1350 (Chief Financial Officer).</w:t>
              </w:r>
            </w:hyperlink>
          </w:p>
        </w:tc>
      </w:tr>
      <w:tr>
        <w:trPr>
          <w:trHeight w:val="291"/>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101.INS</w:t>
            </w:r>
          </w:p>
        </w:tc>
        <w:tc>
          <w:tcPr>
            <w:tcW w:w="54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280" w:type="dxa"/>
            <w:vAlign w:val="bottom"/>
            <w:gridSpan w:val="6"/>
          </w:tcPr>
          <w:p>
            <w:pPr>
              <w:spacing w:after="0"/>
              <w:rPr>
                <w:sz w:val="24"/>
                <w:szCs w:val="24"/>
                <w:color w:val="auto"/>
              </w:rPr>
            </w:pPr>
          </w:p>
        </w:tc>
      </w:tr>
      <w:tr>
        <w:trPr>
          <w:trHeight w:val="27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7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27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101.PRE</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270"/>
        </w:trPr>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101.DEF</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36" w:lineRule="exact"/>
        <w:rPr>
          <w:sz w:val="20"/>
          <w:szCs w:val="20"/>
          <w:color w:val="auto"/>
        </w:rPr>
      </w:pPr>
    </w:p>
    <w:p>
      <w:pPr>
        <w:ind w:left="1640" w:hanging="1103"/>
        <w:spacing w:after="0"/>
        <w:tabs>
          <w:tab w:leader="none" w:pos="1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63" w:lineRule="exact"/>
        <w:rPr>
          <w:sz w:val="20"/>
          <w:szCs w:val="20"/>
          <w:color w:val="auto"/>
        </w:rPr>
      </w:pPr>
    </w:p>
    <w:p>
      <w:pPr>
        <w:ind w:left="1640" w:hanging="1148"/>
        <w:spacing w:after="0"/>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Condensed Consolidated Statements of Income for the three months ended February 2, 2019 and February 3, 2018, (ii) Condensed Consolidated Statements of Comprehensive Income for the three months ended February 2, 2019 and February 3, 2018, (iii) Condensed Consolidated Balance Sheets at February 2, 2019 and November 3, 2018,</w:t>
      </w:r>
    </w:p>
    <w:p>
      <w:pPr>
        <w:spacing w:after="0" w:line="2" w:lineRule="exact"/>
        <w:rPr>
          <w:sz w:val="20"/>
          <w:szCs w:val="20"/>
          <w:color w:val="auto"/>
        </w:rPr>
      </w:pPr>
    </w:p>
    <w:p>
      <w:pPr>
        <w:ind w:right="440" w:firstLine="8"/>
        <w:spacing w:after="0" w:line="261" w:lineRule="auto"/>
        <w:tabs>
          <w:tab w:leader="none" w:pos="3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three months ended February 2, 2019 and February 3, 2018 and (v) Notes to Condensed Consolidated Financial Statements for the three months ended February 2, 2019.</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738" w:right="299" w:bottom="1440" w:gutter="0" w:footer="0" w:header="0"/>
        </w:sectPr>
      </w:pPr>
    </w:p>
    <w:bookmarkStart w:id="42" w:name="page43"/>
    <w:bookmarkEnd w:id="4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59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2019</w:t>
            </w: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7"/>
        </w:trPr>
        <w:tc>
          <w:tcPr>
            <w:tcW w:w="3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70"/>
        </w:trPr>
        <w:tc>
          <w:tcPr>
            <w:tcW w:w="3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9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2019</w:t>
            </w: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Prashanth Mahendra-Rajah</w:t>
            </w:r>
          </w:p>
        </w:tc>
      </w:tr>
      <w:tr>
        <w:trPr>
          <w:trHeight w:val="27"/>
        </w:trPr>
        <w:tc>
          <w:tcPr>
            <w:tcW w:w="3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Prashanth Mahendra-Rajah</w:t>
            </w:r>
          </w:p>
        </w:tc>
      </w:tr>
    </w:tbl>
    <w:p>
      <w:pPr>
        <w:spacing w:after="0" w:line="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p>
      <w:pPr>
        <w:spacing w:after="0" w:line="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240" w:top="576" w:right="5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Name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ID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Amended and Restated 2006 Stock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terms not defined herein shall have the meanings assigned to such terms in the Plan.</w:t>
      </w:r>
    </w:p>
    <w:p>
      <w:pPr>
        <w:spacing w:after="0" w:line="167" w:lineRule="exact"/>
        <w:rPr>
          <w:sz w:val="20"/>
          <w:szCs w:val="20"/>
          <w:color w:val="auto"/>
        </w:rPr>
      </w:pPr>
    </w:p>
    <w:p>
      <w:pPr>
        <w:ind w:left="340" w:right="20" w:hanging="332"/>
        <w:spacing w:after="0" w:line="281"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Subject to the terms and conditions of the Plan and this Agreement, the Company has granted to the Optionee an Option to purchase that number of shares of the Company’s Common Stock (the “Option Shares”) effective on the Date of Grant set forth below:</w:t>
      </w:r>
    </w:p>
    <w:p>
      <w:pPr>
        <w:spacing w:after="0" w:line="107"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0000CC"/>
        </w:rPr>
        <w:t>Date of Grant:</w:t>
        <w:tab/>
        <w:t>Grant Date</w:t>
      </w:r>
    </w:p>
    <w:p>
      <w:pPr>
        <w:spacing w:after="0" w:line="167" w:lineRule="exact"/>
        <w:rPr>
          <w:sz w:val="20"/>
          <w:szCs w:val="20"/>
          <w:color w:val="auto"/>
        </w:rPr>
      </w:pPr>
    </w:p>
    <w:p>
      <w:pPr>
        <w:ind w:left="1300"/>
        <w:spacing w:after="0"/>
        <w:tabs>
          <w:tab w:leader="none" w:pos="3920" w:val="left"/>
        </w:tabs>
        <w:rPr>
          <w:sz w:val="20"/>
          <w:szCs w:val="20"/>
          <w:color w:val="auto"/>
        </w:rPr>
      </w:pPr>
      <w:r>
        <w:rPr>
          <w:rFonts w:ascii="Times New Roman" w:cs="Times New Roman" w:eastAsia="Times New Roman" w:hAnsi="Times New Roman"/>
          <w:sz w:val="16"/>
          <w:szCs w:val="16"/>
          <w:b w:val="1"/>
          <w:bCs w:val="1"/>
          <w:color w:val="0000CC"/>
        </w:rPr>
        <w:t>Number of Option Shares Granted:</w:t>
        <w:tab/>
        <w:t>Number of Awards Granted</w:t>
      </w:r>
    </w:p>
    <w:p>
      <w:pPr>
        <w:spacing w:after="0" w:line="167" w:lineRule="exact"/>
        <w:rPr>
          <w:sz w:val="20"/>
          <w:szCs w:val="20"/>
          <w:color w:val="auto"/>
        </w:rPr>
      </w:pPr>
    </w:p>
    <w:p>
      <w:pPr>
        <w:ind w:left="130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0000CC"/>
        </w:rPr>
        <w:t>Option Exercise Price Per Share:</w:t>
        <w:tab/>
        <w:t>Grant Price</w:t>
      </w:r>
    </w:p>
    <w:p>
      <w:pPr>
        <w:spacing w:after="0" w:line="169" w:lineRule="exact"/>
        <w:rPr>
          <w:sz w:val="20"/>
          <w:szCs w:val="20"/>
          <w:color w:val="auto"/>
        </w:rPr>
      </w:pPr>
    </w:p>
    <w:p>
      <w:pPr>
        <w:ind w:left="340" w:right="20" w:hanging="332"/>
        <w:spacing w:after="0" w:line="281"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Exercise of Option</w:t>
      </w:r>
      <w:r>
        <w:rPr>
          <w:rFonts w:ascii="Times New Roman" w:cs="Times New Roman" w:eastAsia="Times New Roman" w:hAnsi="Times New Roman"/>
          <w:sz w:val="16"/>
          <w:szCs w:val="16"/>
          <w:color w:val="auto"/>
        </w:rPr>
        <w:t>. Subject to the Optionee’s continued employment with the Company or the Employer (as defined in 3(h) below) and other limitations set forth in this Agreement and the Plan, the Option will vest as to a set number of shares on each of the scheduled vesting dates. Vesting Schedule.</w:t>
      </w:r>
    </w:p>
    <w:p>
      <w:pPr>
        <w:spacing w:after="0" w:line="10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right of exercise is cumulative, so that an Option, once vested, may be exercised, in whole or in part, at any time up to Expiration Date, the expiration date, or such earlier date as provided in Section 3 below or in the country-specific provisions in Appendix A.</w:t>
      </w:r>
    </w:p>
    <w:p>
      <w:pPr>
        <w:spacing w:after="0" w:line="109"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of Option; Termination of Employment</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the Option is ten (10) years after the Date of Grant, subject, however, to the early termination provisions set forth herein.</w:t>
      </w:r>
    </w:p>
    <w:p>
      <w:pPr>
        <w:spacing w:after="0" w:line="167"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09" w:lineRule="exact"/>
        <w:rPr>
          <w:rFonts w:ascii="Times New Roman" w:cs="Times New Roman" w:eastAsia="Times New Roman" w:hAnsi="Times New Roman"/>
          <w:sz w:val="16"/>
          <w:szCs w:val="16"/>
          <w:color w:val="auto"/>
        </w:rPr>
      </w:pPr>
    </w:p>
    <w:p>
      <w:pPr>
        <w:jc w:val="both"/>
        <w:ind w:left="660" w:right="20" w:hanging="328"/>
        <w:spacing w:after="0" w:line="258" w:lineRule="auto"/>
        <w:tabs>
          <w:tab w:leader="none" w:pos="66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vesting of the Option shall terminate on the date the Optionee </w:t>
      </w:r>
      <w:r>
        <w:rPr>
          <w:rFonts w:ascii="Times New Roman" w:cs="Times New Roman" w:eastAsia="Times New Roman" w:hAnsi="Times New Roman"/>
          <w:sz w:val="16"/>
          <w:szCs w:val="16"/>
          <w:u w:val="single" w:color="auto"/>
          <w:color w:val="auto"/>
        </w:rPr>
        <w:t>voluntarily terminates</w:t>
      </w:r>
      <w:r>
        <w:rPr>
          <w:rFonts w:ascii="Times New Roman" w:cs="Times New Roman" w:eastAsia="Times New Roman" w:hAnsi="Times New Roman"/>
          <w:sz w:val="16"/>
          <w:szCs w:val="16"/>
          <w:color w:val="auto"/>
        </w:rPr>
        <w:t xml:space="preserve"> employment with the Company or the Employer (as defined in Section 3(h)) (except by reason of retirement after attaining age 60 as provided below)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127"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6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Option shall terminate on the date the Optionee’s employment with the Company or the Employer is terminated by the Company or one of its subsidiaries </w:t>
      </w:r>
      <w:r>
        <w:rPr>
          <w:rFonts w:ascii="Times New Roman" w:cs="Times New Roman" w:eastAsia="Times New Roman" w:hAnsi="Times New Roman"/>
          <w:sz w:val="16"/>
          <w:szCs w:val="16"/>
          <w:u w:val="single" w:color="auto"/>
          <w:color w:val="auto"/>
        </w:rPr>
        <w:t>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35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1</w:t>
      </w:r>
    </w:p>
    <w:p>
      <w:pPr>
        <w:sectPr>
          <w:pgSz w:w="11900" w:h="16838" w:orient="portrait"/>
          <w:cols w:equalWidth="0" w:num="1">
            <w:col w:w="11420"/>
          </w:cols>
          <w:pgMar w:left="240" w:top="333" w:right="239" w:bottom="1440" w:gutter="0" w:footer="0" w:header="0"/>
        </w:sectPr>
      </w:pPr>
    </w:p>
    <w:bookmarkStart w:id="44" w:name="page45"/>
    <w:bookmarkEnd w:id="44"/>
    <w:p>
      <w:pPr>
        <w:ind w:left="660" w:hanging="328"/>
        <w:spacing w:after="0" w:line="281" w:lineRule="auto"/>
        <w:tabs>
          <w:tab w:leader="none" w:pos="6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09"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127" w:lineRule="exact"/>
        <w:rPr>
          <w:rFonts w:ascii="Times New Roman" w:cs="Times New Roman" w:eastAsia="Times New Roman" w:hAnsi="Times New Roman"/>
          <w:sz w:val="16"/>
          <w:szCs w:val="16"/>
          <w:color w:val="auto"/>
        </w:rPr>
      </w:pPr>
    </w:p>
    <w:p>
      <w:pPr>
        <w:jc w:val="both"/>
        <w:ind w:left="660" w:hanging="328"/>
        <w:spacing w:after="0" w:line="255" w:lineRule="auto"/>
        <w:tabs>
          <w:tab w:leader="none" w:pos="6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Optionee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 shall terminate. “Disabled” with respect to the Optionee means, when and if, as a result of disease, injury or mental disorder, the Optionee is incapable of engaging in regular service or occupation with the Company or the Employer (as defined in paragraph (h)) which has lasted or can be expected to last for a continuous period of not less than 12 months, as determined by the Company.</w:t>
      </w:r>
    </w:p>
    <w:p>
      <w:pPr>
        <w:spacing w:after="0" w:line="130" w:lineRule="exact"/>
        <w:rPr>
          <w:rFonts w:ascii="Times New Roman" w:cs="Times New Roman" w:eastAsia="Times New Roman" w:hAnsi="Times New Roman"/>
          <w:sz w:val="16"/>
          <w:szCs w:val="16"/>
          <w:color w:val="auto"/>
        </w:rPr>
      </w:pPr>
    </w:p>
    <w:p>
      <w:pPr>
        <w:jc w:val="both"/>
        <w:ind w:left="660" w:hanging="328"/>
        <w:spacing w:after="0" w:line="255" w:lineRule="auto"/>
        <w:tabs>
          <w:tab w:leader="none" w:pos="6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30" w:lineRule="exact"/>
        <w:rPr>
          <w:rFonts w:ascii="Times New Roman" w:cs="Times New Roman" w:eastAsia="Times New Roman" w:hAnsi="Times New Roman"/>
          <w:sz w:val="16"/>
          <w:szCs w:val="16"/>
          <w:color w:val="auto"/>
        </w:rPr>
      </w:pPr>
    </w:p>
    <w:p>
      <w:pPr>
        <w:jc w:val="both"/>
        <w:ind w:left="660" w:right="20" w:hanging="328"/>
        <w:spacing w:after="0" w:line="263" w:lineRule="auto"/>
        <w:tabs>
          <w:tab w:leader="none" w:pos="6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2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payment methods may be used to purchase Option Shares:</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cashless exercise in a manner described in Section 5(f)(2) of the Plan.</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 payable to the Company.</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by the Optionee of shares of Common Stock (by actual delivery or attestation) in accordance with Section 5(f)(3) of the Plan.</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 methods.</w:t>
      </w:r>
    </w:p>
    <w:p>
      <w:pPr>
        <w:spacing w:after="0" w:line="167"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Non-Transferability of Option</w:t>
      </w:r>
      <w:r>
        <w:rPr>
          <w:rFonts w:ascii="Times New Roman" w:cs="Times New Roman" w:eastAsia="Times New Roman" w:hAnsi="Times New Roman"/>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24" w:lineRule="exact"/>
        <w:rPr>
          <w:rFonts w:ascii="Times New Roman" w:cs="Times New Roman" w:eastAsia="Times New Roman" w:hAnsi="Times New Roman"/>
          <w:sz w:val="16"/>
          <w:szCs w:val="16"/>
          <w:color w:val="auto"/>
        </w:rPr>
      </w:pPr>
    </w:p>
    <w:p>
      <w:pPr>
        <w:ind w:left="340" w:hanging="332"/>
        <w:spacing w:after="0" w:line="281" w:lineRule="auto"/>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09" w:lineRule="exact"/>
        <w:rPr>
          <w:rFonts w:ascii="Times New Roman" w:cs="Times New Roman" w:eastAsia="Times New Roman" w:hAnsi="Times New Roman"/>
          <w:sz w:val="16"/>
          <w:szCs w:val="16"/>
          <w:color w:val="auto"/>
        </w:rPr>
      </w:pPr>
    </w:p>
    <w:p>
      <w:pPr>
        <w:jc w:val="both"/>
        <w:ind w:left="340" w:hanging="332"/>
        <w:spacing w:after="0" w:line="252" w:lineRule="auto"/>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 Regardless of any action the Company or the Employer, if different,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w:t>
      </w:r>
    </w:p>
    <w:p>
      <w:pPr>
        <w:spacing w:after="0" w:line="3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2</w:t>
      </w:r>
    </w:p>
    <w:p>
      <w:pPr>
        <w:sectPr>
          <w:pgSz w:w="11900" w:h="16838" w:orient="portrait"/>
          <w:cols w:equalWidth="0" w:num="1">
            <w:col w:w="11420"/>
          </w:cols>
          <w:pgMar w:left="240" w:top="369" w:right="239" w:bottom="1440" w:gutter="0" w:footer="0" w:header="0"/>
        </w:sectPr>
      </w:pPr>
    </w:p>
    <w:bookmarkStart w:id="45" w:name="page46"/>
    <w:bookmarkEnd w:id="45"/>
    <w:p>
      <w:pPr>
        <w:jc w:val="both"/>
        <w:ind w:left="340"/>
        <w:spacing w:after="0" w:line="351" w:lineRule="auto"/>
        <w:rPr>
          <w:sz w:val="20"/>
          <w:szCs w:val="20"/>
          <w:color w:val="auto"/>
        </w:rPr>
      </w:pPr>
      <w:r>
        <w:rPr>
          <w:rFonts w:ascii="Times New Roman" w:cs="Times New Roman" w:eastAsia="Times New Roman" w:hAnsi="Times New Roman"/>
          <w:sz w:val="16"/>
          <w:szCs w:val="16"/>
          <w:color w:val="auto"/>
        </w:rPr>
        <w:t>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98"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6"/>
          <w:szCs w:val="16"/>
          <w:color w:val="auto"/>
        </w:rPr>
        <w:t>Prior to the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 (i) withholding from the Optionee’s wages or other cash compensation paid to the Optionee by the Company and/or the Employer; or (ii) withholding from proceeds of the sale of Option Shares acquired at exercise of the Option either through a voluntary sale or through a mandatory sale arranged by the Company (on the Optionee’s behalf pursuant to this authorization). The Company may withhold or account for Tax-Related Items by considering applicable statutory withholding amounts or other applicable withholding rates in the Optionee’s jurisdiction(s), including maximum applicable rates. No fractional Option Shares will be issued pursuant to the grant of the Option and the issuance of Option Shares hereunder.</w:t>
      </w:r>
    </w:p>
    <w:p>
      <w:pPr>
        <w:spacing w:after="0" w:line="133" w:lineRule="exact"/>
        <w:rPr>
          <w:sz w:val="20"/>
          <w:szCs w:val="20"/>
          <w:color w:val="auto"/>
        </w:rPr>
      </w:pPr>
    </w:p>
    <w:p>
      <w:pPr>
        <w:jc w:val="both"/>
        <w:ind w:left="340" w:right="20"/>
        <w:spacing w:after="0" w:line="263" w:lineRule="auto"/>
        <w:rPr>
          <w:sz w:val="20"/>
          <w:szCs w:val="20"/>
          <w:color w:val="auto"/>
        </w:rPr>
      </w:pPr>
      <w:r>
        <w:rPr>
          <w:rFonts w:ascii="Times New Roman" w:cs="Times New Roman" w:eastAsia="Times New Roman" w:hAnsi="Times New Roman"/>
          <w:sz w:val="16"/>
          <w:szCs w:val="16"/>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24"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In accepting the Option, the Optionee acknowledges, understands and agrees that:</w:t>
      </w:r>
    </w:p>
    <w:p>
      <w:pPr>
        <w:spacing w:after="0" w:line="167"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may be amended, suspended or terminated by the Company at any time, to the extent permitted by the Plan;</w:t>
      </w:r>
    </w:p>
    <w:p>
      <w:pPr>
        <w:spacing w:after="0" w:line="109"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0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 grants, if any, will be at the sole discretion of the Company;</w:t>
      </w:r>
    </w:p>
    <w:p>
      <w:pPr>
        <w:spacing w:after="0" w:line="167"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0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67"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27" w:lineRule="exact"/>
        <w:rPr>
          <w:rFonts w:ascii="Times New Roman" w:cs="Times New Roman" w:eastAsia="Times New Roman" w:hAnsi="Times New Roman"/>
          <w:sz w:val="16"/>
          <w:szCs w:val="16"/>
          <w:color w:val="auto"/>
        </w:rPr>
      </w:pPr>
    </w:p>
    <w:p>
      <w:pPr>
        <w:ind w:left="660" w:right="20" w:hanging="328"/>
        <w:spacing w:after="0" w:line="281" w:lineRule="auto"/>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grant and the Optionee’s participation in the Plan will not be interpreted to form or amend an employment or service contract or relationship with the Company or the Employer;</w:t>
      </w:r>
    </w:p>
    <w:p>
      <w:pPr>
        <w:spacing w:after="0" w:line="10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Option Shares underlying the Option is unknown, indeterminable, and cannot be predicted with certainty;</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Option Shares do not increase in value, the Option will have no value;</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Option Shares, the value of such Option Shares may increase or decrease in value, even below the Exercise Price;</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Optionees who reside outside the U.S. and/or the Company is not the Optionee’s employer, the following additional provisions shall apply:</w:t>
      </w:r>
    </w:p>
    <w:p>
      <w:pPr>
        <w:spacing w:after="0" w:line="167" w:lineRule="exact"/>
        <w:rPr>
          <w:rFonts w:ascii="Times New Roman" w:cs="Times New Roman" w:eastAsia="Times New Roman" w:hAnsi="Times New Roman"/>
          <w:sz w:val="16"/>
          <w:szCs w:val="16"/>
          <w:color w:val="auto"/>
        </w:rPr>
      </w:pPr>
    </w:p>
    <w:p>
      <w:pPr>
        <w:ind w:left="1300" w:right="20" w:hanging="320"/>
        <w:spacing w:after="0" w:line="281" w:lineRule="auto"/>
        <w:tabs>
          <w:tab w:leader="none" w:pos="1300" w:val="left"/>
        </w:tabs>
        <w:numPr>
          <w:ilvl w:val="2"/>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intended to replace any pension rights or compensation;</w:t>
      </w:r>
    </w:p>
    <w:p>
      <w:pPr>
        <w:spacing w:after="0" w:line="33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3</w:t>
      </w:r>
    </w:p>
    <w:p>
      <w:pPr>
        <w:sectPr>
          <w:pgSz w:w="11900" w:h="16838" w:orient="portrait"/>
          <w:cols w:equalWidth="0" w:num="1">
            <w:col w:w="11420"/>
          </w:cols>
          <w:pgMar w:left="240" w:top="396" w:right="239" w:bottom="1440" w:gutter="0" w:footer="0" w:header="0"/>
        </w:sectPr>
      </w:pPr>
    </w:p>
    <w:bookmarkStart w:id="46" w:name="page47"/>
    <w:bookmarkEnd w:id="46"/>
    <w:p>
      <w:pPr>
        <w:ind w:left="1300" w:hanging="320"/>
        <w:spacing w:after="0" w:line="281" w:lineRule="auto"/>
        <w:tabs>
          <w:tab w:leader="none" w:pos="13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are extraordinary items that do not constitute compensation of any kind for services of any kind rendered to the Company or the Employer, and which is outside the scope of the Optionee’s employment or service contract, if any;</w:t>
      </w:r>
    </w:p>
    <w:p>
      <w:pPr>
        <w:spacing w:after="0" w:line="109" w:lineRule="exact"/>
        <w:rPr>
          <w:rFonts w:ascii="Times New Roman" w:cs="Times New Roman" w:eastAsia="Times New Roman" w:hAnsi="Times New Roman"/>
          <w:sz w:val="16"/>
          <w:szCs w:val="16"/>
          <w:color w:val="auto"/>
        </w:rPr>
      </w:pPr>
    </w:p>
    <w:p>
      <w:pPr>
        <w:jc w:val="both"/>
        <w:ind w:left="1300" w:hanging="320"/>
        <w:spacing w:after="0" w:line="263" w:lineRule="auto"/>
        <w:tabs>
          <w:tab w:leader="none" w:pos="13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124" w:lineRule="exact"/>
        <w:rPr>
          <w:rFonts w:ascii="Times New Roman" w:cs="Times New Roman" w:eastAsia="Times New Roman" w:hAnsi="Times New Roman"/>
          <w:sz w:val="16"/>
          <w:szCs w:val="16"/>
          <w:color w:val="auto"/>
        </w:rPr>
      </w:pPr>
    </w:p>
    <w:p>
      <w:pPr>
        <w:jc w:val="both"/>
        <w:ind w:left="1300" w:hanging="320"/>
        <w:spacing w:after="0" w:line="252" w:lineRule="auto"/>
        <w:tabs>
          <w:tab w:leader="none" w:pos="13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employment laws in the jurisdiction where Optionee is employed or the terms of Optionee’s employment agreement, if any) and in consideration of the grant of the Option to which the Optionee is otherwise not entitled, the Optionee irrevocably agrees never to institute any claim against the Company or the Employer and waives his or her ability, if any, to bring such a claim, and releases the Company and the Employer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33"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124" w:lineRule="exact"/>
        <w:rPr>
          <w:rFonts w:ascii="Times New Roman" w:cs="Times New Roman" w:eastAsia="Times New Roman" w:hAnsi="Times New Roman"/>
          <w:sz w:val="16"/>
          <w:szCs w:val="16"/>
          <w:color w:val="auto"/>
        </w:rPr>
      </w:pPr>
    </w:p>
    <w:p>
      <w:pPr>
        <w:ind w:left="340" w:hanging="332"/>
        <w:spacing w:after="0" w:line="281"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xml:space="preserve">. This Agreement shall be binding upon and inure to the benefit of the Company and the Optionee and his or her </w:t>
      </w:r>
      <w:r>
        <w:rPr>
          <w:rFonts w:ascii="Times New Roman" w:cs="Times New Roman" w:eastAsia="Times New Roman" w:hAnsi="Times New Roman"/>
          <w:sz w:val="16"/>
          <w:szCs w:val="16"/>
          <w:u w:val="single" w:color="auto"/>
          <w:color w:val="auto"/>
        </w:rPr>
        <w:t>respective</w:t>
      </w:r>
      <w:r>
        <w:rPr>
          <w:rFonts w:ascii="Times New Roman" w:cs="Times New Roman" w:eastAsia="Times New Roman" w:hAnsi="Times New Roman"/>
          <w:sz w:val="16"/>
          <w:szCs w:val="16"/>
          <w:color w:val="auto"/>
        </w:rPr>
        <w:t xml:space="preserve"> heirs, executors, administrators, legal representatives, successors and assigns, subject to the restrictions on transfer set forth in Section 5 of this Agreement.</w:t>
      </w:r>
    </w:p>
    <w:p>
      <w:pPr>
        <w:spacing w:after="0" w:line="109" w:lineRule="exact"/>
        <w:rPr>
          <w:rFonts w:ascii="Times New Roman" w:cs="Times New Roman" w:eastAsia="Times New Roman" w:hAnsi="Times New Roman"/>
          <w:sz w:val="16"/>
          <w:szCs w:val="16"/>
          <w:color w:val="auto"/>
        </w:rPr>
      </w:pPr>
    </w:p>
    <w:p>
      <w:pPr>
        <w:jc w:val="both"/>
        <w:ind w:left="340" w:hanging="332"/>
        <w:spacing w:after="0" w:line="258"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U.S.A., Attention: Stock Plan Administrator. Each notice to the Optionee shall be addressed to the Optionee at the Optionee’s last known mailing or email address, as applicable, on the records of the Company.</w:t>
      </w:r>
    </w:p>
    <w:p>
      <w:pPr>
        <w:spacing w:after="0" w:line="127" w:lineRule="exact"/>
        <w:rPr>
          <w:rFonts w:ascii="Times New Roman" w:cs="Times New Roman" w:eastAsia="Times New Roman" w:hAnsi="Times New Roman"/>
          <w:sz w:val="16"/>
          <w:szCs w:val="16"/>
          <w:color w:val="auto"/>
        </w:rPr>
      </w:pPr>
    </w:p>
    <w:p>
      <w:pPr>
        <w:ind w:left="340" w:hanging="332"/>
        <w:spacing w:after="0" w:line="281"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09" w:lineRule="exact"/>
        <w:rPr>
          <w:rFonts w:ascii="Times New Roman" w:cs="Times New Roman" w:eastAsia="Times New Roman" w:hAnsi="Times New Roman"/>
          <w:sz w:val="16"/>
          <w:szCs w:val="16"/>
          <w:color w:val="auto"/>
        </w:rPr>
      </w:pPr>
    </w:p>
    <w:p>
      <w:pPr>
        <w:ind w:left="340" w:hanging="332"/>
        <w:spacing w:after="0" w:line="281"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09" w:lineRule="exact"/>
        <w:rPr>
          <w:rFonts w:ascii="Times New Roman" w:cs="Times New Roman" w:eastAsia="Times New Roman" w:hAnsi="Times New Roman"/>
          <w:sz w:val="16"/>
          <w:szCs w:val="16"/>
          <w:color w:val="auto"/>
        </w:rPr>
      </w:pPr>
    </w:p>
    <w:p>
      <w:pPr>
        <w:ind w:left="340" w:right="20" w:hanging="332"/>
        <w:spacing w:after="0" w:line="281"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09" w:lineRule="exact"/>
        <w:rPr>
          <w:rFonts w:ascii="Times New Roman" w:cs="Times New Roman" w:eastAsia="Times New Roman" w:hAnsi="Times New Roman"/>
          <w:sz w:val="16"/>
          <w:szCs w:val="16"/>
          <w:color w:val="auto"/>
        </w:rPr>
      </w:pP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SEC or any state or foreign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3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4</w:t>
      </w:r>
    </w:p>
    <w:p>
      <w:pPr>
        <w:sectPr>
          <w:pgSz w:w="11900" w:h="16838" w:orient="portrait"/>
          <w:cols w:equalWidth="0" w:num="1">
            <w:col w:w="11420"/>
          </w:cols>
          <w:pgMar w:left="240" w:top="369" w:right="239" w:bottom="1440" w:gutter="0" w:footer="0" w:header="0"/>
        </w:sectPr>
      </w:pPr>
    </w:p>
    <w:bookmarkStart w:id="47" w:name="page48"/>
    <w:bookmarkEnd w:id="47"/>
    <w:p>
      <w:pPr>
        <w:ind w:left="340" w:hanging="332"/>
        <w:spacing w:after="0" w:line="281"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09"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Optionee’s Acceptance</w:t>
      </w:r>
      <w:r>
        <w:rPr>
          <w:rFonts w:ascii="Times New Roman" w:cs="Times New Roman" w:eastAsia="Times New Roman" w:hAnsi="Times New Roman"/>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24"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24" w:lineRule="exact"/>
        <w:rPr>
          <w:rFonts w:ascii="Times New Roman" w:cs="Times New Roman" w:eastAsia="Times New Roman" w:hAnsi="Times New Roman"/>
          <w:sz w:val="16"/>
          <w:szCs w:val="16"/>
          <w:color w:val="auto"/>
        </w:rPr>
      </w:pPr>
    </w:p>
    <w:p>
      <w:pPr>
        <w:ind w:left="340" w:hanging="332"/>
        <w:spacing w:after="0" w:line="281"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09" w:lineRule="exact"/>
        <w:rPr>
          <w:rFonts w:ascii="Times New Roman" w:cs="Times New Roman" w:eastAsia="Times New Roman" w:hAnsi="Times New Roman"/>
          <w:sz w:val="16"/>
          <w:szCs w:val="16"/>
          <w:color w:val="auto"/>
        </w:rPr>
      </w:pPr>
    </w:p>
    <w:p>
      <w:pPr>
        <w:ind w:left="340" w:right="20" w:hanging="332"/>
        <w:spacing w:after="0" w:line="281"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9" w:lineRule="exact"/>
        <w:rPr>
          <w:rFonts w:ascii="Times New Roman" w:cs="Times New Roman" w:eastAsia="Times New Roman" w:hAnsi="Times New Roman"/>
          <w:sz w:val="16"/>
          <w:szCs w:val="16"/>
          <w:color w:val="auto"/>
        </w:rPr>
      </w:pPr>
    </w:p>
    <w:p>
      <w:pPr>
        <w:jc w:val="both"/>
        <w:ind w:left="340" w:hanging="332"/>
        <w:spacing w:after="0" w:line="258"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w:t>
      </w:r>
      <w:r>
        <w:rPr>
          <w:rFonts w:ascii="Times New Roman" w:cs="Times New Roman" w:eastAsia="Times New Roman" w:hAnsi="Times New Roman"/>
          <w:sz w:val="16"/>
          <w:szCs w:val="16"/>
          <w:color w:val="auto"/>
        </w:rPr>
        <w:t>. The Option shall be subject to any special provisions set forth in the Appendix for the Optionee’s country of employment and/or residence, if any. If the Optionee relocates to one of the countries included in the Appendix during the life of the Option, the special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27"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24"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stock incentive plan under which this Option was made.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124" w:lineRule="exact"/>
        <w:rPr>
          <w:rFonts w:ascii="Times New Roman" w:cs="Times New Roman" w:eastAsia="Times New Roman" w:hAnsi="Times New Roman"/>
          <w:sz w:val="16"/>
          <w:szCs w:val="16"/>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Optionee acknowledges that, depending on the Optionee’s or the Optionee’s broker’s country of residence or where the Common Stock is listed, the Optionee may be subject to insider trading restrictions and/or market abuse laws, which may affect the Optionee’s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Options)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38" w:lineRule="exact"/>
        <w:rPr>
          <w:rFonts w:ascii="Times New Roman" w:cs="Times New Roman" w:eastAsia="Times New Roman" w:hAnsi="Times New Roman"/>
          <w:sz w:val="16"/>
          <w:szCs w:val="16"/>
          <w:color w:val="auto"/>
        </w:rPr>
      </w:pPr>
    </w:p>
    <w:p>
      <w:pPr>
        <w:jc w:val="both"/>
        <w:ind w:left="340" w:hanging="332"/>
        <w:spacing w:after="0" w:line="252"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Depending on the Optionee’s country,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3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5</w:t>
      </w:r>
    </w:p>
    <w:p>
      <w:pPr>
        <w:sectPr>
          <w:pgSz w:w="11900" w:h="16838" w:orient="portrait"/>
          <w:cols w:equalWidth="0" w:num="1">
            <w:col w:w="11420"/>
          </w:cols>
          <w:pgMar w:left="240" w:top="369" w:right="239" w:bottom="1440" w:gutter="0" w:footer="0" w:header="0"/>
        </w:sectPr>
      </w:pPr>
    </w:p>
    <w:bookmarkStart w:id="48" w:name="page49"/>
    <w:bookmarkEnd w:id="48"/>
    <w:p>
      <w:pPr>
        <w:ind w:left="340" w:hanging="332"/>
        <w:spacing w:after="0" w:line="281"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33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6</w:t>
      </w:r>
    </w:p>
    <w:p>
      <w:pPr>
        <w:sectPr>
          <w:pgSz w:w="11900" w:h="16838" w:orient="portrait"/>
          <w:cols w:equalWidth="0" w:num="1">
            <w:col w:w="11420"/>
          </w:cols>
          <w:pgMar w:left="240" w:top="369" w:right="239" w:bottom="1440" w:gutter="0" w:footer="0" w:header="0"/>
        </w:sectPr>
      </w:pPr>
    </w:p>
    <w:bookmarkStart w:id="49" w:name="page50"/>
    <w:bookmarkEnd w:id="49"/>
    <w:p>
      <w:pPr>
        <w:jc w:val="both"/>
        <w:spacing w:after="0" w:line="263" w:lineRule="auto"/>
        <w:rPr>
          <w:sz w:val="20"/>
          <w:szCs w:val="20"/>
          <w:color w:val="auto"/>
        </w:rPr>
      </w:pPr>
      <w:r>
        <w:rPr>
          <w:rFonts w:ascii="Times New Roman" w:cs="Times New Roman" w:eastAsia="Times New Roman" w:hAnsi="Times New Roman"/>
          <w:sz w:val="16"/>
          <w:szCs w:val="16"/>
          <w:color w:val="auto"/>
        </w:rPr>
        <w:t>A copy of the Plan prospectus is available on the Company’s Intranet at https://thecircuit.web.analog.com/Pages/CircuitHome.aspx.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(Stock_Plan_Admin@Analog.com).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 Ray Stata</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Vincent Roche</w:t>
            </w:r>
          </w:p>
        </w:tc>
      </w:tr>
      <w:tr>
        <w:trPr>
          <w:trHeight w:val="33"/>
        </w:trPr>
        <w:tc>
          <w:tcPr>
            <w:tcW w:w="274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1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Ray Stata</w:t>
            </w: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Vincent Roche</w:t>
            </w:r>
          </w:p>
        </w:tc>
      </w:tr>
      <w:tr>
        <w:trPr>
          <w:trHeight w:val="27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Chairman of the Board</w:t>
            </w:r>
          </w:p>
        </w:tc>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7</w:t>
      </w:r>
    </w:p>
    <w:p>
      <w:pPr>
        <w:sectPr>
          <w:pgSz w:w="11900" w:h="16838" w:orient="portrait"/>
          <w:cols w:equalWidth="0" w:num="1">
            <w:col w:w="11420"/>
          </w:cols>
          <w:pgMar w:left="240" w:top="909" w:right="239" w:bottom="1440" w:gutter="0" w:footer="0" w:header="0"/>
        </w:sectPr>
      </w:pPr>
    </w:p>
    <w:bookmarkStart w:id="50" w:name="page51"/>
    <w:bookmarkEnd w:id="50"/>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0" w:lineRule="exact"/>
        <w:rPr>
          <w:sz w:val="20"/>
          <w:szCs w:val="20"/>
          <w:color w:val="auto"/>
        </w:rPr>
      </w:pPr>
    </w:p>
    <w:p>
      <w:pPr>
        <w:spacing w:after="0" w:line="219"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15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October 2018.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157" w:lineRule="exact"/>
        <w:rPr>
          <w:sz w:val="20"/>
          <w:szCs w:val="20"/>
          <w:color w:val="auto"/>
        </w:rPr>
      </w:pPr>
    </w:p>
    <w:p>
      <w:pPr>
        <w:jc w:val="both"/>
        <w:ind w:left="340"/>
        <w:spacing w:after="0" w:line="271"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341"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OPTIONEES OUTSIDE THE U.S.</w:t>
      </w:r>
    </w:p>
    <w:p>
      <w:pPr>
        <w:spacing w:after="0" w:line="1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Technology Way, Norwood, Massachusetts, 02062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118" w:lineRule="exact"/>
        <w:rPr>
          <w:sz w:val="20"/>
          <w:szCs w:val="20"/>
          <w:color w:val="auto"/>
        </w:rPr>
      </w:pPr>
    </w:p>
    <w:p>
      <w:pPr>
        <w:jc w:val="both"/>
        <w:ind w:left="660" w:hanging="328"/>
        <w:spacing w:after="0" w:line="256"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26" w:lineRule="exact"/>
        <w:rPr>
          <w:rFonts w:ascii="Times New Roman" w:cs="Times New Roman" w:eastAsia="Times New Roman" w:hAnsi="Times New Roman"/>
          <w:sz w:val="16"/>
          <w:szCs w:val="16"/>
          <w:color w:val="auto"/>
        </w:rPr>
      </w:pPr>
    </w:p>
    <w:p>
      <w:pPr>
        <w:jc w:val="both"/>
        <w:ind w:left="660" w:hanging="328"/>
        <w:spacing w:after="0" w:line="256"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26" w:lineRule="exact"/>
        <w:rPr>
          <w:rFonts w:ascii="Times New Roman" w:cs="Times New Roman" w:eastAsia="Times New Roman" w:hAnsi="Times New Roman"/>
          <w:sz w:val="16"/>
          <w:szCs w:val="16"/>
          <w:color w:val="auto"/>
        </w:rPr>
      </w:pPr>
    </w:p>
    <w:p>
      <w:pPr>
        <w:jc w:val="both"/>
        <w:ind w:left="660" w:hanging="328"/>
        <w:spacing w:after="0" w:line="259"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For example, the European Commission has issued a limited adequacy finding with respect to the United States that applies only to the extent companies register for the EU-U.S. Privacy Shield program. The Company’s legal basis for the transfer of the Employee’s personal data is his or her consent.</w:t>
      </w:r>
    </w:p>
    <w:p>
      <w:pPr>
        <w:spacing w:after="0" w:line="124" w:lineRule="exact"/>
        <w:rPr>
          <w:rFonts w:ascii="Times New Roman" w:cs="Times New Roman" w:eastAsia="Times New Roman" w:hAnsi="Times New Roman"/>
          <w:sz w:val="16"/>
          <w:szCs w:val="16"/>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Optionee’s personal data only as long as is necessary to implement, administer and manage the Optionee’s participation in the Plan or as required to comply with legal or regulatory obligations, including under tax and security laws. If the Company keeps data longer, it would be to satisfy legal or regulatory obligations and the Company’s legal basis would be relevant laws or regulations.</w:t>
      </w:r>
    </w:p>
    <w:p>
      <w:pPr>
        <w:spacing w:after="0" w:line="117" w:lineRule="exact"/>
        <w:rPr>
          <w:rFonts w:ascii="Times New Roman" w:cs="Times New Roman" w:eastAsia="Times New Roman" w:hAnsi="Times New Roman"/>
          <w:sz w:val="16"/>
          <w:szCs w:val="16"/>
          <w:color w:val="auto"/>
        </w:rPr>
      </w:pPr>
    </w:p>
    <w:p>
      <w:pPr>
        <w:jc w:val="both"/>
        <w:ind w:left="660" w:hanging="328"/>
        <w:spacing w:after="0" w:line="259"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124" w:lineRule="exact"/>
        <w:rPr>
          <w:rFonts w:ascii="Times New Roman" w:cs="Times New Roman" w:eastAsia="Times New Roman" w:hAnsi="Times New Roman"/>
          <w:sz w:val="16"/>
          <w:szCs w:val="16"/>
          <w:color w:val="auto"/>
        </w:rPr>
      </w:pPr>
    </w:p>
    <w:p>
      <w:pPr>
        <w:ind w:left="660" w:hanging="328"/>
        <w:spacing w:after="0" w:line="286"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 (b) rectification</w:t>
      </w:r>
    </w:p>
    <w:p>
      <w:pPr>
        <w:spacing w:after="0" w:line="200" w:lineRule="exact"/>
        <w:rPr>
          <w:sz w:val="20"/>
          <w:szCs w:val="20"/>
          <w:color w:val="auto"/>
        </w:rPr>
      </w:pPr>
    </w:p>
    <w:p>
      <w:pPr>
        <w:spacing w:after="0" w:line="36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- 1</w:t>
      </w:r>
    </w:p>
    <w:p>
      <w:pPr>
        <w:sectPr>
          <w:pgSz w:w="11900" w:h="16838" w:orient="portrait"/>
          <w:cols w:equalWidth="0" w:num="1">
            <w:col w:w="11420"/>
          </w:cols>
          <w:pgMar w:left="240" w:top="475" w:right="239" w:bottom="1440" w:gutter="0" w:footer="0" w:header="0"/>
        </w:sectPr>
      </w:pPr>
    </w:p>
    <w:bookmarkStart w:id="51" w:name="page52"/>
    <w:bookmarkEnd w:id="51"/>
    <w:p>
      <w:pPr>
        <w:jc w:val="both"/>
        <w:ind w:left="660"/>
        <w:spacing w:after="0" w:line="347" w:lineRule="auto"/>
        <w:rPr>
          <w:sz w:val="20"/>
          <w:szCs w:val="20"/>
          <w:color w:val="auto"/>
        </w:rPr>
      </w:pPr>
      <w:r>
        <w:rPr>
          <w:rFonts w:ascii="Times New Roman" w:cs="Times New Roman" w:eastAsia="Times New Roman" w:hAnsi="Times New Roman"/>
          <w:sz w:val="16"/>
          <w:szCs w:val="16"/>
          <w:b w:val="1"/>
          <w:bCs w:val="1"/>
          <w:i w:val="1"/>
          <w:iCs w:val="1"/>
          <w:color w:val="auto"/>
        </w:rPr>
        <w:t>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Technology Way, Norwood, Massachusetts, 02062 U.S.A., Attention: Stock Plan Administrator.</w:t>
      </w:r>
    </w:p>
    <w:p>
      <w:pPr>
        <w:spacing w:after="0" w:line="97"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the Optionee resides in a European Economic Area or European Union member state and agrees with the data processing practices described in this notice, the Optionee declares the his or her consent by clicking "Accept Your Grant” on the Accepting Your Grants page on Fidelity’s participant website.</w:t>
      </w:r>
    </w:p>
    <w:p>
      <w:pPr>
        <w:spacing w:after="0" w:line="133"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that he or she is sufficiently proficient in English, or has consulted with an advisor who is sufficiently proficient in English, to understand the terms and conditions of this Agreement.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holds Option Shares acquired under the Plan outside Austria (even if he or she holds them outside Austria with an Austrian bank), then the Optionee understands that he or she must submit an annual report to the Austrian National Bank using the form “</w:t>
      </w:r>
      <w:r>
        <w:rPr>
          <w:rFonts w:ascii="Times New Roman" w:cs="Times New Roman" w:eastAsia="Times New Roman" w:hAnsi="Times New Roman"/>
          <w:sz w:val="16"/>
          <w:szCs w:val="16"/>
          <w:i w:val="1"/>
          <w:iCs w:val="1"/>
          <w:color w:val="auto"/>
        </w:rPr>
        <w:t>Standmeldung/Wertpapiere</w:t>
      </w:r>
      <w:r>
        <w:rPr>
          <w:rFonts w:ascii="Times New Roman" w:cs="Times New Roman" w:eastAsia="Times New Roman" w:hAnsi="Times New Roman"/>
          <w:sz w:val="16"/>
          <w:szCs w:val="16"/>
          <w:color w:val="auto"/>
        </w:rPr>
        <w:t>.” An exemption applies if the value of the securities held outside Austria as of December 31 does not exceed €5,000,000 or the value of the securities as of any quarter does not exceed €30,000,000. If the former threshold is exceeded, then the annual reporting obligations are imposed, whereas if the latter threshold is exceeded, then quarterly reports must be submitted. The deadline for filing the annual report is January 31 of the following year.</w:t>
      </w:r>
    </w:p>
    <w:p>
      <w:pPr>
        <w:spacing w:after="0" w:line="15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When the Option Shares are sold, there may be exchange control obligations if the cash received is held outside Austria, as a separate ongoing reporting requirement may apply to non-Austrian accounts. If the transaction value of all cash accounts abroad is less than €10,000,000, then no ongoing reporting requirements apply. However, if the transaction volume of all of the Optionee’s cash accounts abroad meets or exceeds €10,000,000, then the movements and the balance of all accounts must be reported monthly,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Taxation of Option</w:t>
      </w:r>
      <w:r>
        <w:rPr>
          <w:rFonts w:ascii="Times New Roman" w:cs="Times New Roman" w:eastAsia="Times New Roman" w:hAnsi="Times New Roman"/>
          <w:sz w:val="16"/>
          <w:szCs w:val="16"/>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15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154"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157"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Brokerage Account Tax</w:t>
      </w:r>
      <w:r>
        <w:rPr>
          <w:rFonts w:ascii="Times New Roman" w:cs="Times New Roman" w:eastAsia="Times New Roman" w:hAnsi="Times New Roman"/>
          <w:sz w:val="16"/>
          <w:szCs w:val="16"/>
          <w:color w:val="auto"/>
        </w:rPr>
        <w:t>: A brokerage account tax applies to Belgian residents if the average annual value of securities (including Option Shares acquired under the Plan) held in a brokerage account exceeds certain thresholds. Belgian residents should consult with a personal tax or financial advisor for additional details on their obligations with respect to the brokerage account tax.</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151"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Payment of Exercise Price and Withholding Taxes</w:t>
      </w:r>
      <w:r>
        <w:rPr>
          <w:rFonts w:ascii="Times New Roman" w:cs="Times New Roman" w:eastAsia="Times New Roman" w:hAnsi="Times New Roman"/>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w:t>
      </w:r>
    </w:p>
    <w:p>
      <w:pPr>
        <w:spacing w:after="0" w:line="19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- 2</w:t>
      </w:r>
    </w:p>
    <w:p>
      <w:pPr>
        <w:sectPr>
          <w:pgSz w:w="11900" w:h="16838" w:orient="portrait"/>
          <w:cols w:equalWidth="0" w:num="1">
            <w:col w:w="11420"/>
          </w:cols>
          <w:pgMar w:left="240" w:top="743" w:right="239" w:bottom="1440" w:gutter="0" w:footer="0" w:header="0"/>
        </w:sectPr>
      </w:pPr>
    </w:p>
    <w:bookmarkStart w:id="52" w:name="page53"/>
    <w:bookmarkEnd w:id="52"/>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pacing w:after="0" w:line="13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3 of the Agreement (except Section 3(g) regarding disability) as well as any other section required to give effect to the same:</w:t>
      </w:r>
    </w:p>
    <w:p>
      <w:pPr>
        <w:spacing w:after="0" w:line="13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last day on which the Optionee is actively employed by the Employer, and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or at common law.</w:t>
      </w:r>
    </w:p>
    <w:p>
      <w:pPr>
        <w:spacing w:after="0" w:line="15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Option Shares) held by Canadian residents must be reported annually on Form T1135 (Foreign Income Verification Statement) if the cost of such foreign specified property exceeds C$100,000 at any time during the year. Foreign specified property may also include the unvested portion of the Options. The Options must be reported (generally at a nil cost) if the $100,000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Optionee is in Quebec:</w:t>
      </w:r>
    </w:p>
    <w:p>
      <w:pPr>
        <w:spacing w:after="0" w:line="196"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Optionees Outside the U.S. set forth above:</w:t>
      </w:r>
    </w:p>
    <w:p>
      <w:pPr>
        <w:spacing w:after="0" w:line="36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further authorizes the Company and the Employer to record such information and to keep such information in the Optionee’s employee file.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French Language Acknowledgment</w:t>
      </w:r>
      <w:r>
        <w:rPr>
          <w:rFonts w:ascii="Times New Roman" w:cs="Times New Roman" w:eastAsia="Times New Roman" w:hAnsi="Times New Roman"/>
          <w:sz w:val="16"/>
          <w:szCs w:val="16"/>
          <w:color w:val="auto"/>
        </w:rPr>
        <w:t>. This provision supplements Section 19 of the Agreement:</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34"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19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33"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subsidiary or affiliate of the Company.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supplements Section 4 of the Agreement:</w:t>
      </w:r>
    </w:p>
    <w:p>
      <w:pPr>
        <w:spacing w:after="0" w:line="200" w:lineRule="exact"/>
        <w:rPr>
          <w:sz w:val="20"/>
          <w:szCs w:val="20"/>
          <w:color w:val="auto"/>
        </w:rPr>
      </w:pPr>
    </w:p>
    <w:p>
      <w:pPr>
        <w:spacing w:after="0" w:line="22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- 3</w:t>
      </w:r>
    </w:p>
    <w:p>
      <w:pPr>
        <w:sectPr>
          <w:pgSz w:w="11900" w:h="16838" w:orient="portrait"/>
          <w:cols w:equalWidth="0" w:num="1">
            <w:col w:w="11420"/>
          </w:cols>
          <w:pgMar w:left="240" w:top="720" w:right="239" w:bottom="1440" w:gutter="0" w:footer="0" w:header="0"/>
        </w:sectPr>
      </w:pPr>
    </w:p>
    <w:bookmarkStart w:id="53" w:name="page54"/>
    <w:bookmarkEnd w:id="53"/>
    <w:p>
      <w:pPr>
        <w:jc w:val="both"/>
        <w:ind w:left="340"/>
        <w:spacing w:after="0" w:line="253" w:lineRule="auto"/>
        <w:rPr>
          <w:sz w:val="20"/>
          <w:szCs w:val="20"/>
          <w:color w:val="auto"/>
        </w:rPr>
      </w:pPr>
      <w:r>
        <w:rPr>
          <w:rFonts w:ascii="Times New Roman" w:cs="Times New Roman" w:eastAsia="Times New Roman" w:hAnsi="Times New Roman"/>
          <w:sz w:val="16"/>
          <w:szCs w:val="16"/>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16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154"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16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19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Optionee acknowledges that he or she received an Employer Statement translated into Danish, which is being provided to comply with the Danish Stock Option Act and is attached hereto as Appendix B.</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Notice of Grant</w:t>
      </w:r>
      <w:r>
        <w:rPr>
          <w:rFonts w:ascii="Times New Roman" w:cs="Times New Roman" w:eastAsia="Times New Roman" w:hAnsi="Times New Roman"/>
          <w:sz w:val="16"/>
          <w:szCs w:val="16"/>
          <w:color w:val="auto"/>
        </w:rPr>
        <w:t>. This provision supplements Section 8 in the Agreement:</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this grant relates to future services to be performed and is not a bonus or compensation for past services.</w:t>
      </w:r>
    </w:p>
    <w:p>
      <w:pPr>
        <w:spacing w:after="0" w:line="134"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6"/>
          <w:szCs w:val="16"/>
          <w:u w:val="single" w:color="auto"/>
          <w:color w:val="auto"/>
        </w:rPr>
        <w:t>Exchange Control and Tax Information</w:t>
      </w:r>
      <w:r>
        <w:rPr>
          <w:rFonts w:ascii="Times New Roman" w:cs="Times New Roman" w:eastAsia="Times New Roman" w:hAnsi="Times New Roman"/>
          <w:sz w:val="16"/>
          <w:szCs w:val="16"/>
          <w:color w:val="auto"/>
        </w:rPr>
        <w:t>. The Optionee may hold Option Shares acquired under the Plan in a safety-deposit account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 brokerage account) either with a Danish bank or with an approved foreign broker or bank. If the Option Shares are held with a non-Danish broker or bank, the Optionee is required to inform the Danish Tax Administration about the safety-deposit account. For this purpose, the Optionee must file a Declaration V (Erklaering V) with the Danish Tax Administration. The Form V must be signed by the Optionee and may be signed by the bank/broker. In the event that the applicable broker or bank with which the safety-deposit account is held does not wish to, or, pursuant to the laws of the country in question, is not allowed to assume such obligation to report, the Optionee acknowledges that he or she is solely responsible for providing certain details regarding the foreign brokerage or bank account and any Option Shares acquired at exercise and held in such account to the Danish Tax Administration as part of the Optionee’s annual income tax return. By signing the Declaration V, the Optionee at the same time authorizes the Danish Tax Administration to examine the account. A sample of the Declaration V can be found at the following website: www.skat.dk/getFile.aspx?Id=47392.</w:t>
      </w:r>
    </w:p>
    <w:p>
      <w:pPr>
        <w:spacing w:after="0" w:line="164"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6"/>
          <w:szCs w:val="16"/>
          <w:color w:val="auto"/>
        </w:rPr>
        <w:t>In addition, if the Optionee opens a deposit account or brokerage account for the purpose of holding cash outside Denmark, the bank or brokerage account, as applicable, will be treated as a deposit account because cash can be held in the account. Therefore, the Optionee must also file a Declaration K (Erklaering K) with the Danish Tax Administration. Both the Optionee and the bank/broker must sign the Declaration K, unless an exemption from the broker/bank signature requirement is granted by the Danish Tax Administration. It is possible to seek the exemption on the Form K, which the Optionee should do at the time he or she submits the Form K. By signing the Declaration K, the Optionee (and the bank/broker to the extent the exemption is not granted) undertakes an obligation, without further request each year (no later than on February 1 of the year following the calendar year to which the information relates), to forward certain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or bank account</w:t>
      </w:r>
    </w:p>
    <w:p>
      <w:pPr>
        <w:spacing w:after="0" w:line="20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- 4</w:t>
      </w:r>
    </w:p>
    <w:p>
      <w:pPr>
        <w:sectPr>
          <w:pgSz w:w="11900" w:h="16838" w:orient="portrait"/>
          <w:cols w:equalWidth="0" w:num="1">
            <w:col w:w="11420"/>
          </w:cols>
          <w:pgMar w:left="240" w:top="720" w:right="239" w:bottom="1440" w:gutter="0" w:footer="0" w:header="0"/>
        </w:sectPr>
      </w:pPr>
    </w:p>
    <w:bookmarkStart w:id="54" w:name="page55"/>
    <w:bookmarkEnd w:id="54"/>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to the Danish Tax Administration as part of the Optionee’s annual income tax return. By signing the Declaration K, the Optionee at the same time authorizes the Danish Tax Administration to examine the account. A sample of Declaration K can be found at the following website: www.skat.dk/getFile.aspx?Id=42409&amp;newwindow=true.</w:t>
      </w:r>
    </w:p>
    <w:p>
      <w:pPr>
        <w:spacing w:after="0" w:line="13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establishes an account holding Option Shares or cash outside Denmark, the Optionee must report the account to the Danish Tax Administration. The form which should be used in this respect can be obtained from a local bank. (Please note that these obligations are separate from and in addition to the obligations described above.)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196"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French Qualified Option</w:t>
      </w:r>
      <w:r>
        <w:rPr>
          <w:rFonts w:ascii="Times New Roman" w:cs="Times New Roman" w:eastAsia="Times New Roman" w:hAnsi="Times New Roman"/>
          <w:sz w:val="16"/>
          <w:szCs w:val="16"/>
          <w:color w:val="auto"/>
        </w:rPr>
        <w:t>. This Option is intended to qualify for favorable tax and social security treatment applicable to stock options granted under Section L.225-177 to L.225-186-1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13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Options are subject to the terms and conditions of the Plan and the Rules of the Analog Devices, Inc. Amended and Restated 2006 Stock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12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Option Exercise Price Per Share</w:t>
      </w:r>
      <w:r>
        <w:rPr>
          <w:rFonts w:ascii="Times New Roman" w:cs="Times New Roman" w:eastAsia="Times New Roman" w:hAnsi="Times New Roman"/>
          <w:sz w:val="16"/>
          <w:szCs w:val="16"/>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Expiration</w:t>
      </w:r>
      <w:r>
        <w:rPr>
          <w:rFonts w:ascii="Times New Roman" w:cs="Times New Roman" w:eastAsia="Times New Roman" w:hAnsi="Times New Roman"/>
          <w:sz w:val="16"/>
          <w:szCs w:val="16"/>
          <w:color w:val="auto"/>
        </w:rPr>
        <w:t>. This provision replaces Section 3(a) of the Agreement:</w:t>
      </w:r>
    </w:p>
    <w:p>
      <w:pPr>
        <w:spacing w:after="0" w:line="167"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Notwithstanding Section 3(a) of the Agreement, the Option will expire 9½ years after the Effective Grant Date ({FRENCHEXPDATE}), as defined in the French Sub-plan.</w:t>
      </w:r>
    </w:p>
    <w:p>
      <w:pPr>
        <w:spacing w:after="0" w:line="3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Termination Upon Death</w:t>
      </w:r>
      <w:r>
        <w:rPr>
          <w:rFonts w:ascii="Times New Roman" w:cs="Times New Roman" w:eastAsia="Times New Roman" w:hAnsi="Times New Roman"/>
          <w:sz w:val="16"/>
          <w:szCs w:val="16"/>
          <w:color w:val="auto"/>
        </w:rPr>
        <w:t>. This provision replaces Section 3(e) of the Agreement:</w:t>
      </w:r>
    </w:p>
    <w:p>
      <w:pPr>
        <w:spacing w:after="0" w:line="167"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If the Optionee’s employment is terminated because of death, the unvested portion of the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178"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61"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76"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Option Shares outside of France or maintaining a foreign bank account are required to report such to French tax authorities when filing his or her annual tax return. Failure to comply may trigger significant penalties.</w:t>
      </w:r>
    </w:p>
    <w:p>
      <w:pPr>
        <w:spacing w:after="0" w:line="17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- 5</w:t>
      </w:r>
    </w:p>
    <w:p>
      <w:pPr>
        <w:sectPr>
          <w:pgSz w:w="11900" w:h="16838" w:orient="portrait"/>
          <w:cols w:equalWidth="0" w:num="1">
            <w:col w:w="11420"/>
          </w:cols>
          <w:pgMar w:left="240" w:top="720" w:right="2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In case of payments in connection with the exercise of the Options or sale of Option Shares acquired under the Plan, the report must be filed electronically by the 5th day of the month following the month in which the payment was received. The form of report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can be accessed via the Bundesbank’s website (www.bundesbank.de) and is available in both German and English. It is Optionee’s responsibility to comply with this reporting obligation and the Optionee should consult with his or her personal tax advisor in this regard.</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w:t>
      </w:r>
    </w:p>
    <w:p>
      <w:pPr>
        <w:spacing w:after="0" w:line="194"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Notwithstanding anything to the contrary in the Agreement, due to legal restrictions in India, the Optionee will not be permitted to pay the Exercise Price by (i) delivery of shares of Common Stock (as set forth in Section 4(c) of the Agreement) or (ii) a broker assisted partial cashless exercise such that a certain number of Option Shares subject to the exercised Option are sold immediately upon exercise and the proceeds of the sale remitted to the Company to cover the aggregate Exercise Price and any Tax-Related Items. However, payment of the Exercise Price may be made by any of the other methods of payment set forth in Section 4 of the Agreement. The Company reserves the right to provide the Optionee with this method of payment depending on the development of local law.</w:t>
      </w:r>
    </w:p>
    <w:p>
      <w:pPr>
        <w:spacing w:after="0" w:line="15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160"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declare any foreign bank accounts and assets (including Shares acquired under the Plan) on his or her annual tax return. The Optionee should consult with his or her personal tax advisor to determine his or her reporting requirements.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Labor Law Acknowledgment</w:t>
      </w:r>
      <w:r>
        <w:rPr>
          <w:rFonts w:ascii="Times New Roman" w:cs="Times New Roman" w:eastAsia="Times New Roman" w:hAnsi="Times New Roman"/>
          <w:sz w:val="16"/>
          <w:szCs w:val="16"/>
          <w:color w:val="auto"/>
        </w:rPr>
        <w:t>. This provision supplements Section 8 of the Agreement:</w:t>
      </w:r>
    </w:p>
    <w:p>
      <w:pPr>
        <w:spacing w:after="0" w:line="167"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the benefits received under the Plan will not be taken into account for any redundancy or unfair dismissal claim.</w:t>
      </w:r>
    </w:p>
    <w:p>
      <w:pPr>
        <w:spacing w:after="0" w:line="163"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Restriction on Type of Shares Issued to Directors</w:t>
      </w:r>
      <w:r>
        <w:rPr>
          <w:rFonts w:ascii="Times New Roman" w:cs="Times New Roman" w:eastAsia="Times New Roman" w:hAnsi="Times New Roman"/>
          <w:sz w:val="16"/>
          <w:szCs w:val="16"/>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19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Optionee understands and agrees that the Options are offered subject to and in accordance with the terms of the Israeli Sub-Plan (the “Sub-Plan”) under the 102 Capital Gains Track (as defined in the Sub-Plan), the Trust Agreement among the trustee appointed by Analog Devices (Israel) Ltd. and Analog Development (Israel) 1996 Ltd., and the Agreement. This includes the option exercise price per share and any other requirements set out in the Sub-plan. In the event of any inconsistencies among the Sub-Plan, the Agreement and/or the Plan, the Sub-Plan will govern the Options granted to the Optionee in Israel.</w:t>
      </w:r>
    </w:p>
    <w:p>
      <w:pPr>
        <w:spacing w:after="0" w:line="15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i w:val="1"/>
          <w:iCs w:val="1"/>
          <w:color w:val="auto"/>
        </w:rPr>
        <w:t>If the Optionee resides in Israel and has not already signed an Israeli Appendix in connection with grants made under the Plan, then the Optionee must print, sign and deliver the signed copy of the Israeli Appendix attached hereto as Appendix C within 45 days to: Stock Plan Administrator, Analog Devices, Inc., One Technology Way, Norwood, Massachusetts, 02062 U.S.A. If Analog Devices, (Israel) Ltd. or Analog Devices, Inc. does not receive the signed Israeli Appendix within 45 days, the Options shall terminate and will become null and void.</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 and applies only to Optionees who permanently transfer to Israel after the Date of</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Grant: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- 6</w:t>
      </w:r>
    </w:p>
    <w:p>
      <w:pPr>
        <w:sectPr>
          <w:pgSz w:w="11900" w:h="16838" w:orient="portrait"/>
          <w:cols w:equalWidth="0" w:num="1">
            <w:col w:w="11420"/>
          </w:cols>
          <w:pgMar w:left="240" w:top="934" w:right="239" w:bottom="1440" w:gutter="0" w:footer="0" w:header="0"/>
        </w:sectPr>
      </w:pPr>
    </w:p>
    <w:bookmarkStart w:id="56" w:name="page57"/>
    <w:bookmarkEnd w:id="56"/>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w:t>
      </w:r>
    </w:p>
    <w:p>
      <w:pPr>
        <w:spacing w:after="0" w:line="194"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57"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In accepting the Option, the Optionee acknowledges a copy of the Plan was made available to the Optionee, and that the Optionee has reviewed the Plan and the Agreement, including Appendix A, in their entirety and fully understand and accept all provisions of the Plan, the Agreement and Appendix A.</w:t>
      </w:r>
    </w:p>
    <w:p>
      <w:pPr>
        <w:spacing w:after="0" w:line="163"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pacing w:after="0" w:line="16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1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196"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Japanese resident and acquires Option Shares valued at more than ¥100,000,000 in a single transaction, the Optionee must file a Securities Acquisition Report with the Ministry of Finance through the Bank of Japan within 20 days of the acquisition of the Option Shares.</w:t>
      </w:r>
    </w:p>
    <w:p>
      <w:pPr>
        <w:spacing w:after="0" w:line="13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In addition, if the Optionee is a Japanese resident and pays more than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15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A Payment Report is required independently of a Securities Acquisition Report. Therefore, if the total amount that the Optionee pays upon a one-time transaction for exercising this Option and purchasing Option Shares exceeds ¥100,000,000, then the Optionee must file both a Payment Report and a Securities Acquisition Report.</w:t>
      </w:r>
    </w:p>
    <w:p>
      <w:pPr>
        <w:spacing w:after="0" w:line="13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will be required to report details of any assets held outside Japan as of December 31st to the extent such assets have a total net fair market value exceeding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00" w:lineRule="exact"/>
        <w:rPr>
          <w:sz w:val="20"/>
          <w:szCs w:val="20"/>
          <w:color w:val="auto"/>
        </w:rPr>
      </w:pPr>
    </w:p>
    <w:p>
      <w:pPr>
        <w:spacing w:after="0" w:line="22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- 7</w:t>
      </w:r>
    </w:p>
    <w:p>
      <w:pPr>
        <w:sectPr>
          <w:pgSz w:w="11900" w:h="16838" w:orient="portrait"/>
          <w:cols w:equalWidth="0" w:num="1">
            <w:col w:w="11420"/>
          </w:cols>
          <w:pgMar w:left="240" w:top="720" w:right="239" w:bottom="1440" w:gutter="0" w:footer="0" w:header="0"/>
        </w:sectPr>
      </w:pPr>
    </w:p>
    <w:bookmarkStart w:id="57" w:name="page58"/>
    <w:bookmarkEnd w:id="57"/>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pacing w:after="0" w:line="38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- 8</w:t>
      </w:r>
    </w:p>
    <w:p>
      <w:pPr>
        <w:sectPr>
          <w:pgSz w:w="11900" w:h="16838" w:orient="portrait"/>
          <w:cols w:equalWidth="0" w:num="1">
            <w:col w:w="11420"/>
          </w:cols>
          <w:pgMar w:left="240" w:top="720" w:right="2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of a subsidiary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8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following provision replaces the Data Privacy Information and Consent provision under the Terms and Conditions for Optionees Outside the U.S. set forth above:</w:t>
      </w:r>
    </w:p>
    <w:p>
      <w:pPr>
        <w:spacing w:after="0" w:line="39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- 9</w:t>
      </w:r>
    </w:p>
    <w:p>
      <w:pPr>
        <w:sectPr>
          <w:pgSz w:w="11900" w:h="16838" w:orient="portrait"/>
          <w:cols w:equalWidth="0" w:num="1">
            <w:col w:w="11420"/>
          </w:cols>
          <w:pgMar w:left="240" w:top="718" w:right="239" w:bottom="1440" w:gutter="0" w:footer="0" w:header="0"/>
        </w:sectPr>
      </w:pPr>
    </w:p>
    <w:bookmarkStart w:id="59" w:name="page60"/>
    <w:bookmarkEnd w:id="59"/>
    <w:tbl>
      <w:tblPr>
        <w:tblLayout w:type="fixed"/>
        <w:tblInd w:w="380" w:type="dxa"/>
        <w:tblCellMar>
          <w:top w:w="0" w:type="dxa"/>
          <w:left w:w="0" w:type="dxa"/>
          <w:bottom w:w="0" w:type="dxa"/>
          <w:right w:w="0" w:type="dxa"/>
        </w:tblCellMar>
      </w:tblP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The  Optionee  hereby  explicitly  and  unambiguously  consents  to  the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Pemegang Opsyen dengan ini secara eksplicit, secara sukarela dan tanpa sebarang</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collection, use and transfer, in electronic or other form, of his or her</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keraguan mengizinkan pengumpulan, penggunaan dan pemindahan, dalam bentuk</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personal data as described in this document by and among, as applicable,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elektronik atau lain-lain, data peribadinya seperti yang dinyatakan dalam dokumen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the Employer, and the Company and its subsidiaries for the exclusive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ini, oleh dan di antara, sebagaimana yang berkenaan, Majikan, Syarikat, dan mana-</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purpose of implementing, administering and managing the Optionee's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 Anak Syarikatnya bagi tujuan ekslusif untuk membantu dalam pelaksanaan,</w:t>
            </w: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participation in the Plan.</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pentadbiran dan pengurusan penyertaan Pemegang Opsyen dalam Pelan.</w:t>
            </w:r>
          </w:p>
        </w:tc>
      </w:tr>
      <w:tr>
        <w:trPr>
          <w:trHeight w:val="39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The Optionee understands that the Company and the Employer may hold</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Pemegang Opsyen memahami bahawa Syarikat dan Majikan mungkin memegang</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certain personal information about the Optionee, including, but not limited</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maklumat peribadi tertentu tentang Pemegang Opsyen, termasuk, tetapi tidak terhad</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to, his or her name, home address and telephone number, date of birth,</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kepada, namanya , alamat rumah dan nombor telefon, tarikh lahir, nombor insurans</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social insurance number or other identification number, salary, nationality,</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sosial atau nombor pengenalan lain, gaji, kewarganegaraan, jawatan, apa-apa syer</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job title, any shares of stock or directorships held in the Company, details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dalam saham atau jawatan pengarah yang dipegang dalam Syarikat, butir-butir</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of all options or any other entitlement to shares of stock awarded,</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semua opsyen atau apa-apa hak lain untuk syer dalam saham yang dianugerahkan,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canceled, exercised, vested, unvested or outstanding in the Optionee's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dibatalkan, dilaksanakan, terletak hak, tidak diletak hak ataupun yang belum</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favor, for the purpose of implementing, administering and managing the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dijelaskan  bagi  faedah  Pemegang  Opsyen,  untuk  tujuan  eksklusif  bagi</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Plan ("Data"). The source of the Data is the Employer as well as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melaksanakan, mentadbir dan menguruskan Pelan (“Data”). Sumber Data adalah</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information the Optionee is providing to the Company and the Employer</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daripada Majikan dan juga daripada maklumat yang dibekalkan oleh Pemegang</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 connection with the Option. The Optionee understands that Data may be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Opsyen kepada Syarikat dan Majikan berkenaan dengan Opysen. Pemegang Opysen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transferred to Fidelity or any other third parties as may be selected by the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juga memahami bahawa Data mungkin dipindahkan kepada Fidelity atau mana-</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Company  in  the  future,  which  are  assisting  in  the  implementation,</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mana pihak ketiga yang mungkin dipilih oleh Syarikat pada masa depan, </w:t>
            </w:r>
            <w:r>
              <w:rPr>
                <w:rFonts w:ascii="Times New Roman" w:cs="Times New Roman" w:eastAsia="Times New Roman" w:hAnsi="Times New Roman"/>
                <w:sz w:val="16"/>
                <w:szCs w:val="16"/>
                <w:color w:val="222222"/>
              </w:rPr>
              <w:t>yang</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administration and management of the Plan, that these recipients may be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membantu  dalam  pelaksanaan,  pentadbiran  dan  pengurusan  Pelan,  bahawa</w:t>
            </w:r>
          </w:p>
        </w:tc>
      </w:tr>
      <w:tr>
        <w:trPr>
          <w:trHeight w:val="201"/>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located in the Optionee's country or elsewhere and that the recipients'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penerima-penerima ini mungkin berada di negara Pemegang Opsyen atau di tempat</w:t>
            </w:r>
          </w:p>
        </w:tc>
      </w:tr>
      <w:tr>
        <w:trPr>
          <w:trHeight w:val="205"/>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country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United States) may have different data privacy laws and</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lain,  dan  bahawa  negara  penerima  (contohnya,  Amerika  Syarikat)  mungkin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protections than the Optionee's country. The Optionee understands that he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mempunyai undang-undang privasi data dan perlindungan yang berbeza daripada</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or she may request a list with the names and addresses of any potential</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negara  Pemegang  Opsyen.  Pemegang  Opsyen  memahami  bahawa  dia  boleh</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recipients of the Data by contacting his or her local human resources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meminta senarai nama dan alamat mana-mana penerima Data dengan menghubungi</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representative. The Optionee authorizes the Company, Fidelity and any</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 xml:space="preserve">wakil sumber manusia tempatannya. </w:t>
            </w:r>
            <w:r>
              <w:rPr>
                <w:rFonts w:ascii="Times New Roman" w:cs="Times New Roman" w:eastAsia="Times New Roman" w:hAnsi="Times New Roman"/>
                <w:sz w:val="16"/>
                <w:szCs w:val="16"/>
                <w:color w:val="000000"/>
              </w:rPr>
              <w:t>Pemegang Opsyen memberi kuasa kepada</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possible recipients which may assist the Company (presently or in</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Syarikat, Fidelity, dan mana-mana penerima lain yang mungkin membantu Syarikat</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the future) with implementing, administering and managing the Plan to</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(masa  sekarang  atau  pada  masa  depan)  untuk  melaksanakan,  mentadbir  dan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receive, possess, use, retain and transfer the Data, in electronic or other</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menguruskan  penyertaan  Pemegang  Opsyen  dalam  Pelan  untuk  menerima,</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form, for the sole purpose of implementing, administering and managing</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memiliki, menggunakan, mengekalkan dan memindahkan Data, dalam bentuk</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his or her participation in the Plan, including any requisite transfer of such</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elektronik  atau  lain-lain,  semata-mata  dengan  tujuan  untuk  melaksanakan,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Data as may be required to a broker or other third party with whom the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mentadbir dan menguruskan penyertaan Pemegang Opsyen dalam Pelan, termasuk</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Optionee may elect to deposit any Shares acquired upon exercise of this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apa-apa pemindahan Data yang diperlukan kepada broker atau pihak ketiga dengan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Option. The Optionee understands that Data will be held only as long as is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siapa Pemegang Opsyen mungkin pilih untuk mendepositkan apa-apa Saham yang</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necessary  to  implement,  administer  and  manage  the  Optionee's</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diperolehi di atas pelaksanaan Opsyen ini. </w:t>
            </w:r>
            <w:r>
              <w:rPr>
                <w:rFonts w:ascii="Times New Roman" w:cs="Times New Roman" w:eastAsia="Times New Roman" w:hAnsi="Times New Roman"/>
                <w:sz w:val="16"/>
                <w:szCs w:val="16"/>
                <w:color w:val="222222"/>
              </w:rPr>
              <w:t>Pemegang Opsyen memahami bahawa</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participation in the Plan. The Optionee understands that he or she may, at</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Data akan dipegang hanya untuk tempoh yang diperlukan untuk melaksanakan,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any time, view Data, request additional information about the storage and</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 xml:space="preserve">mentadbir  dan  menguruskan  penyertaannya  dalam  </w:t>
            </w:r>
            <w:r>
              <w:rPr>
                <w:rFonts w:ascii="Times New Roman" w:cs="Times New Roman" w:eastAsia="Times New Roman" w:hAnsi="Times New Roman"/>
                <w:sz w:val="16"/>
                <w:szCs w:val="16"/>
                <w:color w:val="000000"/>
              </w:rPr>
              <w:t>Pelan  tersebut</w:t>
            </w:r>
            <w:r>
              <w:rPr>
                <w:rFonts w:ascii="Times New Roman" w:cs="Times New Roman" w:eastAsia="Times New Roman" w:hAnsi="Times New Roman"/>
                <w:sz w:val="16"/>
                <w:szCs w:val="16"/>
                <w:color w:val="222222"/>
              </w:rPr>
              <w:t xml:space="preserve">.  </w:t>
            </w:r>
            <w:r>
              <w:rPr>
                <w:rFonts w:ascii="Times New Roman" w:cs="Times New Roman" w:eastAsia="Times New Roman" w:hAnsi="Times New Roman"/>
                <w:sz w:val="16"/>
                <w:szCs w:val="16"/>
                <w:color w:val="000000"/>
              </w:rPr>
              <w:t>Pemegang</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processing of Data, require any necessary amendments to Data or refuse or</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Opsyen memahami bahawa dia boleh, pada bila-bila masa, </w:t>
            </w:r>
            <w:r>
              <w:rPr>
                <w:rFonts w:ascii="Times New Roman" w:cs="Times New Roman" w:eastAsia="Times New Roman" w:hAnsi="Times New Roman"/>
                <w:sz w:val="16"/>
                <w:szCs w:val="16"/>
                <w:color w:val="222222"/>
              </w:rPr>
              <w:t>melihat data, meminta</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withdraw the consents herein, in any case without cost, by contacting in</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maklumat tambahan mengenai penyimpanan dan pemprosesan Data, meminta</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writing his or her local human resources representative. The Optionee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bahawa pindaan-pindaan dilaksanakan ke atas Data atau menolak atau menarik balik</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understands, however, that refusing or withdrawing his or her consent may</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persetujuan dalam ini, dalam mana-mana kes, tanpa kos, dengan menghubungi</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affect  the  Optionee's  ability  to  participate  in  the  Plan.  For  more</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 xml:space="preserve">secara bertulis wakil sumber manusia tempatannya. Pemegang Opsyen </w:t>
            </w:r>
            <w:r>
              <w:rPr>
                <w:rFonts w:ascii="Times New Roman" w:cs="Times New Roman" w:eastAsia="Times New Roman" w:hAnsi="Times New Roman"/>
                <w:sz w:val="16"/>
                <w:szCs w:val="16"/>
                <w:color w:val="000000"/>
              </w:rPr>
              <w:t>memahami</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information on the consequences of a refusal to consent or withdrawal of</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bahawa  keengganan  atau  penarikan  balik  persetujuannya  boleh  menjejaskan</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consent, the Optionee understands that he or she may contact his or her</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 xml:space="preserve">keupayaannya untuk mengambil bahagian dalam </w:t>
            </w:r>
            <w:r>
              <w:rPr>
                <w:rFonts w:ascii="Times New Roman" w:cs="Times New Roman" w:eastAsia="Times New Roman" w:hAnsi="Times New Roman"/>
                <w:sz w:val="16"/>
                <w:szCs w:val="16"/>
                <w:color w:val="000000"/>
              </w:rPr>
              <w:t>Pelan</w:t>
            </w:r>
            <w:r>
              <w:rPr>
                <w:rFonts w:ascii="Times New Roman" w:cs="Times New Roman" w:eastAsia="Times New Roman" w:hAnsi="Times New Roman"/>
                <w:sz w:val="16"/>
                <w:szCs w:val="16"/>
                <w:color w:val="222222"/>
              </w:rPr>
              <w:t>. Untuk maklumat lanjut</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regional stock plan administrator at Stock_Plan_Admin@Analog.com.</w:t>
            </w: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mengenai akibat keengganan</w:t>
            </w:r>
            <w:r>
              <w:rPr>
                <w:rFonts w:ascii="Times New Roman" w:cs="Times New Roman" w:eastAsia="Times New Roman" w:hAnsi="Times New Roman"/>
                <w:sz w:val="16"/>
                <w:szCs w:val="16"/>
                <w:color w:val="000000"/>
              </w:rPr>
              <w:t>nya</w:t>
            </w:r>
            <w:r>
              <w:rPr>
                <w:rFonts w:ascii="Times New Roman" w:cs="Times New Roman" w:eastAsia="Times New Roman" w:hAnsi="Times New Roman"/>
                <w:sz w:val="16"/>
                <w:szCs w:val="16"/>
                <w:color w:val="222222"/>
              </w:rPr>
              <w:t xml:space="preserve"> untuk memberikan keizinan atau penarikan balik</w:t>
            </w:r>
          </w:p>
        </w:tc>
      </w:tr>
      <w:tr>
        <w:trPr>
          <w:trHeight w:val="203"/>
        </w:trPr>
        <w:tc>
          <w:tcPr>
            <w:tcW w:w="4920" w:type="dxa"/>
            <w:vAlign w:val="bottom"/>
          </w:tcPr>
          <w:p>
            <w:pPr>
              <w:spacing w:after="0"/>
              <w:rPr>
                <w:sz w:val="17"/>
                <w:szCs w:val="17"/>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keizinan, Pemegang Opsyen fahami bahawa dia boleh menghubungi pentadbir pelan</w:t>
            </w:r>
          </w:p>
        </w:tc>
      </w:tr>
      <w:tr>
        <w:trPr>
          <w:trHeight w:val="210"/>
        </w:trPr>
        <w:tc>
          <w:tcPr>
            <w:tcW w:w="4920" w:type="dxa"/>
            <w:vAlign w:val="bottom"/>
          </w:tcPr>
          <w:p>
            <w:pPr>
              <w:spacing w:after="0"/>
              <w:rPr>
                <w:sz w:val="18"/>
                <w:szCs w:val="18"/>
                <w:color w:val="auto"/>
              </w:rPr>
            </w:pPr>
          </w:p>
        </w:tc>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 xml:space="preserve">saham serantau di </w:t>
            </w:r>
            <w:r>
              <w:rPr>
                <w:rFonts w:ascii="Times New Roman" w:cs="Times New Roman" w:eastAsia="Times New Roman" w:hAnsi="Times New Roman"/>
                <w:sz w:val="16"/>
                <w:szCs w:val="16"/>
                <w:color w:val="000000"/>
              </w:rPr>
              <w:t>Stock_Plan_Admin@Analog.com.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3536315</wp:posOffset>
            </wp:positionH>
            <wp:positionV relativeFrom="page">
              <wp:posOffset>551815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3553460</wp:posOffset>
            </wp:positionH>
            <wp:positionV relativeFrom="page">
              <wp:posOffset>551815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3570605</wp:posOffset>
            </wp:positionH>
            <wp:positionV relativeFrom="page">
              <wp:posOffset>551815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3587750</wp:posOffset>
            </wp:positionH>
            <wp:positionV relativeFrom="page">
              <wp:posOffset>551815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3604895</wp:posOffset>
            </wp:positionH>
            <wp:positionV relativeFrom="page">
              <wp:posOffset>551815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3622040</wp:posOffset>
            </wp:positionH>
            <wp:positionV relativeFrom="page">
              <wp:posOffset>551815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3639185</wp:posOffset>
            </wp:positionH>
            <wp:positionV relativeFrom="page">
              <wp:posOffset>551815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3656330</wp:posOffset>
            </wp:positionH>
            <wp:positionV relativeFrom="page">
              <wp:posOffset>551815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3673475</wp:posOffset>
            </wp:positionH>
            <wp:positionV relativeFrom="page">
              <wp:posOffset>551815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3690620</wp:posOffset>
            </wp:positionH>
            <wp:positionV relativeFrom="page">
              <wp:posOffset>551815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3707765</wp:posOffset>
            </wp:positionH>
            <wp:positionV relativeFrom="page">
              <wp:posOffset>551815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3724910</wp:posOffset>
            </wp:positionH>
            <wp:positionV relativeFrom="page">
              <wp:posOffset>551815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3742055</wp:posOffset>
            </wp:positionH>
            <wp:positionV relativeFrom="page">
              <wp:posOffset>551815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3759200</wp:posOffset>
            </wp:positionH>
            <wp:positionV relativeFrom="page">
              <wp:posOffset>551815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3776345</wp:posOffset>
            </wp:positionH>
            <wp:positionV relativeFrom="page">
              <wp:posOffset>551815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3793490</wp:posOffset>
            </wp:positionH>
            <wp:positionV relativeFrom="page">
              <wp:posOffset>551815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3810635</wp:posOffset>
            </wp:positionH>
            <wp:positionV relativeFrom="page">
              <wp:posOffset>551815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3827780</wp:posOffset>
            </wp:positionH>
            <wp:positionV relativeFrom="page">
              <wp:posOffset>551815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3844925</wp:posOffset>
            </wp:positionH>
            <wp:positionV relativeFrom="page">
              <wp:posOffset>551815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3862070</wp:posOffset>
            </wp:positionH>
            <wp:positionV relativeFrom="page">
              <wp:posOffset>551815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3879215</wp:posOffset>
            </wp:positionH>
            <wp:positionV relativeFrom="page">
              <wp:posOffset>551815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3896360</wp:posOffset>
            </wp:positionH>
            <wp:positionV relativeFrom="page">
              <wp:posOffset>551815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3913505</wp:posOffset>
            </wp:positionH>
            <wp:positionV relativeFrom="page">
              <wp:posOffset>551815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3930650</wp:posOffset>
            </wp:positionH>
            <wp:positionV relativeFrom="page">
              <wp:posOffset>551815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3947795</wp:posOffset>
            </wp:positionH>
            <wp:positionV relativeFrom="page">
              <wp:posOffset>551815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3964940</wp:posOffset>
            </wp:positionH>
            <wp:positionV relativeFrom="page">
              <wp:posOffset>551815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3982085</wp:posOffset>
            </wp:positionH>
            <wp:positionV relativeFrom="page">
              <wp:posOffset>551815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3999230</wp:posOffset>
            </wp:positionH>
            <wp:positionV relativeFrom="page">
              <wp:posOffset>551815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4016375</wp:posOffset>
            </wp:positionH>
            <wp:positionV relativeFrom="page">
              <wp:posOffset>551815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4033520</wp:posOffset>
            </wp:positionH>
            <wp:positionV relativeFrom="page">
              <wp:posOffset>551815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4050665</wp:posOffset>
            </wp:positionH>
            <wp:positionV relativeFrom="page">
              <wp:posOffset>551815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4067810</wp:posOffset>
            </wp:positionH>
            <wp:positionV relativeFrom="page">
              <wp:posOffset>551815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4084955</wp:posOffset>
            </wp:positionH>
            <wp:positionV relativeFrom="page">
              <wp:posOffset>551815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4102100</wp:posOffset>
            </wp:positionH>
            <wp:positionV relativeFrom="page">
              <wp:posOffset>551815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4119245</wp:posOffset>
            </wp:positionH>
            <wp:positionV relativeFrom="page">
              <wp:posOffset>551815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4136390</wp:posOffset>
            </wp:positionH>
            <wp:positionV relativeFrom="page">
              <wp:posOffset>551815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4153535</wp:posOffset>
            </wp:positionH>
            <wp:positionV relativeFrom="page">
              <wp:posOffset>551815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4170680</wp:posOffset>
            </wp:positionH>
            <wp:positionV relativeFrom="page">
              <wp:posOffset>551815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4187825</wp:posOffset>
            </wp:positionH>
            <wp:positionV relativeFrom="page">
              <wp:posOffset>551815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4205605</wp:posOffset>
            </wp:positionH>
            <wp:positionV relativeFrom="page">
              <wp:posOffset>551815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4222750</wp:posOffset>
            </wp:positionH>
            <wp:positionV relativeFrom="page">
              <wp:posOffset>551815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4239895</wp:posOffset>
            </wp:positionH>
            <wp:positionV relativeFrom="page">
              <wp:posOffset>551815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4257040</wp:posOffset>
            </wp:positionH>
            <wp:positionV relativeFrom="page">
              <wp:posOffset>551815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4274185</wp:posOffset>
            </wp:positionH>
            <wp:positionV relativeFrom="page">
              <wp:posOffset>551815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4291330</wp:posOffset>
            </wp:positionH>
            <wp:positionV relativeFrom="page">
              <wp:posOffset>551815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4308475</wp:posOffset>
            </wp:positionH>
            <wp:positionV relativeFrom="page">
              <wp:posOffset>551815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4325620</wp:posOffset>
            </wp:positionH>
            <wp:positionV relativeFrom="page">
              <wp:posOffset>551815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4342765</wp:posOffset>
            </wp:positionH>
            <wp:positionV relativeFrom="page">
              <wp:posOffset>551815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4359910</wp:posOffset>
            </wp:positionH>
            <wp:positionV relativeFrom="page">
              <wp:posOffset>551815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4377055</wp:posOffset>
            </wp:positionH>
            <wp:positionV relativeFrom="page">
              <wp:posOffset>551815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4394200</wp:posOffset>
            </wp:positionH>
            <wp:positionV relativeFrom="page">
              <wp:posOffset>551815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4411345</wp:posOffset>
            </wp:positionH>
            <wp:positionV relativeFrom="page">
              <wp:posOffset>551815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4428490</wp:posOffset>
            </wp:positionH>
            <wp:positionV relativeFrom="page">
              <wp:posOffset>551815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4445635</wp:posOffset>
            </wp:positionH>
            <wp:positionV relativeFrom="page">
              <wp:posOffset>551815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4462780</wp:posOffset>
            </wp:positionH>
            <wp:positionV relativeFrom="page">
              <wp:posOffset>551815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4479925</wp:posOffset>
            </wp:positionH>
            <wp:positionV relativeFrom="page">
              <wp:posOffset>551815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4497070</wp:posOffset>
            </wp:positionH>
            <wp:positionV relativeFrom="page">
              <wp:posOffset>551815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4514215</wp:posOffset>
            </wp:positionH>
            <wp:positionV relativeFrom="page">
              <wp:posOffset>551815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4531360</wp:posOffset>
            </wp:positionH>
            <wp:positionV relativeFrom="page">
              <wp:posOffset>551815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4548505</wp:posOffset>
            </wp:positionH>
            <wp:positionV relativeFrom="page">
              <wp:posOffset>551815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4565650</wp:posOffset>
            </wp:positionH>
            <wp:positionV relativeFrom="page">
              <wp:posOffset>551815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4582795</wp:posOffset>
            </wp:positionH>
            <wp:positionV relativeFrom="page">
              <wp:posOffset>551815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4599940</wp:posOffset>
            </wp:positionH>
            <wp:positionV relativeFrom="page">
              <wp:posOffset>551815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4617085</wp:posOffset>
            </wp:positionH>
            <wp:positionV relativeFrom="page">
              <wp:posOffset>551815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4634230</wp:posOffset>
            </wp:positionH>
            <wp:positionV relativeFrom="page">
              <wp:posOffset>551815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4651375</wp:posOffset>
            </wp:positionH>
            <wp:positionV relativeFrom="page">
              <wp:posOffset>551815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4668520</wp:posOffset>
            </wp:positionH>
            <wp:positionV relativeFrom="page">
              <wp:posOffset>551815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4685665</wp:posOffset>
            </wp:positionH>
            <wp:positionV relativeFrom="page">
              <wp:posOffset>551815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4702810</wp:posOffset>
            </wp:positionH>
            <wp:positionV relativeFrom="page">
              <wp:posOffset>551815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4719955</wp:posOffset>
            </wp:positionH>
            <wp:positionV relativeFrom="page">
              <wp:posOffset>551815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4737100</wp:posOffset>
            </wp:positionH>
            <wp:positionV relativeFrom="page">
              <wp:posOffset>551815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4754245</wp:posOffset>
            </wp:positionH>
            <wp:positionV relativeFrom="page">
              <wp:posOffset>551815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4771390</wp:posOffset>
            </wp:positionH>
            <wp:positionV relativeFrom="page">
              <wp:posOffset>551815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4788535</wp:posOffset>
            </wp:positionH>
            <wp:positionV relativeFrom="page">
              <wp:posOffset>551815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4805680</wp:posOffset>
            </wp:positionH>
            <wp:positionV relativeFrom="page">
              <wp:posOffset>551815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4822825</wp:posOffset>
            </wp:positionH>
            <wp:positionV relativeFrom="page">
              <wp:posOffset>551815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4839970</wp:posOffset>
            </wp:positionH>
            <wp:positionV relativeFrom="page">
              <wp:posOffset>551815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4857115</wp:posOffset>
            </wp:positionH>
            <wp:positionV relativeFrom="page">
              <wp:posOffset>551815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4874260</wp:posOffset>
            </wp:positionH>
            <wp:positionV relativeFrom="page">
              <wp:posOffset>551815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4891405</wp:posOffset>
            </wp:positionH>
            <wp:positionV relativeFrom="page">
              <wp:posOffset>551815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4908550</wp:posOffset>
            </wp:positionH>
            <wp:positionV relativeFrom="page">
              <wp:posOffset>551815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4925695</wp:posOffset>
            </wp:positionH>
            <wp:positionV relativeFrom="page">
              <wp:posOffset>551815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4942840</wp:posOffset>
            </wp:positionH>
            <wp:positionV relativeFrom="page">
              <wp:posOffset>551815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4959985</wp:posOffset>
            </wp:positionH>
            <wp:positionV relativeFrom="page">
              <wp:posOffset>551815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4977130</wp:posOffset>
            </wp:positionH>
            <wp:positionV relativeFrom="page">
              <wp:posOffset>551815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4994275</wp:posOffset>
            </wp:positionH>
            <wp:positionV relativeFrom="page">
              <wp:posOffset>551815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5011420</wp:posOffset>
            </wp:positionH>
            <wp:positionV relativeFrom="page">
              <wp:posOffset>551815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5028565</wp:posOffset>
            </wp:positionH>
            <wp:positionV relativeFrom="page">
              <wp:posOffset>551815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5045710</wp:posOffset>
            </wp:positionH>
            <wp:positionV relativeFrom="page">
              <wp:posOffset>551815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5062855</wp:posOffset>
            </wp:positionH>
            <wp:positionV relativeFrom="page">
              <wp:posOffset>551815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5080000</wp:posOffset>
            </wp:positionH>
            <wp:positionV relativeFrom="page">
              <wp:posOffset>551815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5097145</wp:posOffset>
            </wp:positionH>
            <wp:positionV relativeFrom="page">
              <wp:posOffset>551815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5114290</wp:posOffset>
            </wp:positionH>
            <wp:positionV relativeFrom="page">
              <wp:posOffset>551815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5131435</wp:posOffset>
            </wp:positionH>
            <wp:positionV relativeFrom="page">
              <wp:posOffset>551815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5148580</wp:posOffset>
            </wp:positionH>
            <wp:positionV relativeFrom="page">
              <wp:posOffset>551815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5165725</wp:posOffset>
            </wp:positionH>
            <wp:positionV relativeFrom="page">
              <wp:posOffset>551815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5182870</wp:posOffset>
            </wp:positionH>
            <wp:positionV relativeFrom="page">
              <wp:posOffset>551815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5200015</wp:posOffset>
            </wp:positionH>
            <wp:positionV relativeFrom="page">
              <wp:posOffset>551815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5217160</wp:posOffset>
            </wp:positionH>
            <wp:positionV relativeFrom="page">
              <wp:posOffset>551815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5234305</wp:posOffset>
            </wp:positionH>
            <wp:positionV relativeFrom="page">
              <wp:posOffset>551815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5251450</wp:posOffset>
            </wp:positionH>
            <wp:positionV relativeFrom="page">
              <wp:posOffset>551815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5268595</wp:posOffset>
            </wp:positionH>
            <wp:positionV relativeFrom="page">
              <wp:posOffset>551815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5285740</wp:posOffset>
            </wp:positionH>
            <wp:positionV relativeFrom="page">
              <wp:posOffset>551815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5302885</wp:posOffset>
            </wp:positionH>
            <wp:positionV relativeFrom="page">
              <wp:posOffset>551815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5320030</wp:posOffset>
            </wp:positionH>
            <wp:positionV relativeFrom="page">
              <wp:posOffset>551815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5337175</wp:posOffset>
            </wp:positionH>
            <wp:positionV relativeFrom="page">
              <wp:posOffset>551815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5354320</wp:posOffset>
            </wp:positionH>
            <wp:positionV relativeFrom="page">
              <wp:posOffset>551815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5371465</wp:posOffset>
            </wp:positionH>
            <wp:positionV relativeFrom="page">
              <wp:posOffset>551815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5388610</wp:posOffset>
            </wp:positionH>
            <wp:positionV relativeFrom="page">
              <wp:posOffset>551815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551815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5422900</wp:posOffset>
            </wp:positionH>
            <wp:positionV relativeFrom="page">
              <wp:posOffset>551815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5440045</wp:posOffset>
            </wp:positionH>
            <wp:positionV relativeFrom="page">
              <wp:posOffset>551815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5457190</wp:posOffset>
            </wp:positionH>
            <wp:positionV relativeFrom="page">
              <wp:posOffset>551815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5474335</wp:posOffset>
            </wp:positionH>
            <wp:positionV relativeFrom="page">
              <wp:posOffset>551815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5491480</wp:posOffset>
            </wp:positionH>
            <wp:positionV relativeFrom="page">
              <wp:posOffset>551815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5508625</wp:posOffset>
            </wp:positionH>
            <wp:positionV relativeFrom="page">
              <wp:posOffset>551815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5525770</wp:posOffset>
            </wp:positionH>
            <wp:positionV relativeFrom="page">
              <wp:posOffset>551815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5542915</wp:posOffset>
            </wp:positionH>
            <wp:positionV relativeFrom="page">
              <wp:posOffset>551815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5560060</wp:posOffset>
            </wp:positionH>
            <wp:positionV relativeFrom="page">
              <wp:posOffset>551815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5577205</wp:posOffset>
            </wp:positionH>
            <wp:positionV relativeFrom="page">
              <wp:posOffset>551815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5594350</wp:posOffset>
            </wp:positionH>
            <wp:positionV relativeFrom="page">
              <wp:posOffset>551815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5611495</wp:posOffset>
            </wp:positionH>
            <wp:positionV relativeFrom="page">
              <wp:posOffset>551815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5628640</wp:posOffset>
            </wp:positionH>
            <wp:positionV relativeFrom="page">
              <wp:posOffset>551815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5645785</wp:posOffset>
            </wp:positionH>
            <wp:positionV relativeFrom="page">
              <wp:posOffset>551815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5662930</wp:posOffset>
            </wp:positionH>
            <wp:positionV relativeFrom="page">
              <wp:posOffset>551815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5680075</wp:posOffset>
            </wp:positionH>
            <wp:positionV relativeFrom="page">
              <wp:posOffset>551815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5697220</wp:posOffset>
            </wp:positionH>
            <wp:positionV relativeFrom="page">
              <wp:posOffset>551815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5714365</wp:posOffset>
            </wp:positionH>
            <wp:positionV relativeFrom="page">
              <wp:posOffset>551815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5731510</wp:posOffset>
            </wp:positionH>
            <wp:positionV relativeFrom="page">
              <wp:posOffset>551815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5748655</wp:posOffset>
            </wp:positionH>
            <wp:positionV relativeFrom="page">
              <wp:posOffset>551815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5765800</wp:posOffset>
            </wp:positionH>
            <wp:positionV relativeFrom="page">
              <wp:posOffset>551815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5782945</wp:posOffset>
            </wp:positionH>
            <wp:positionV relativeFrom="page">
              <wp:posOffset>551815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5800090</wp:posOffset>
            </wp:positionH>
            <wp:positionV relativeFrom="page">
              <wp:posOffset>551815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5817235</wp:posOffset>
            </wp:positionH>
            <wp:positionV relativeFrom="page">
              <wp:posOffset>551815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5835015</wp:posOffset>
            </wp:positionH>
            <wp:positionV relativeFrom="page">
              <wp:posOffset>551815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5852160</wp:posOffset>
            </wp:positionH>
            <wp:positionV relativeFrom="page">
              <wp:posOffset>551815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551815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5886450</wp:posOffset>
            </wp:positionH>
            <wp:positionV relativeFrom="page">
              <wp:posOffset>551815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551815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5920740</wp:posOffset>
            </wp:positionH>
            <wp:positionV relativeFrom="page">
              <wp:posOffset>551815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5937885</wp:posOffset>
            </wp:positionH>
            <wp:positionV relativeFrom="page">
              <wp:posOffset>551815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5955030</wp:posOffset>
            </wp:positionH>
            <wp:positionV relativeFrom="page">
              <wp:posOffset>551815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5972175</wp:posOffset>
            </wp:positionH>
            <wp:positionV relativeFrom="page">
              <wp:posOffset>551815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5989320</wp:posOffset>
            </wp:positionH>
            <wp:positionV relativeFrom="page">
              <wp:posOffset>551815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6006465</wp:posOffset>
            </wp:positionH>
            <wp:positionV relativeFrom="page">
              <wp:posOffset>551815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6023610</wp:posOffset>
            </wp:positionH>
            <wp:positionV relativeFrom="page">
              <wp:posOffset>551815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6040755</wp:posOffset>
            </wp:positionH>
            <wp:positionV relativeFrom="page">
              <wp:posOffset>551815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6057900</wp:posOffset>
            </wp:positionH>
            <wp:positionV relativeFrom="page">
              <wp:posOffset>551815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6075045</wp:posOffset>
            </wp:positionH>
            <wp:positionV relativeFrom="page">
              <wp:posOffset>551815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551815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551815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6126480</wp:posOffset>
            </wp:positionH>
            <wp:positionV relativeFrom="page">
              <wp:posOffset>551815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6143625</wp:posOffset>
            </wp:positionH>
            <wp:positionV relativeFrom="page">
              <wp:posOffset>551815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6160770</wp:posOffset>
            </wp:positionH>
            <wp:positionV relativeFrom="page">
              <wp:posOffset>551815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6177915</wp:posOffset>
            </wp:positionH>
            <wp:positionV relativeFrom="page">
              <wp:posOffset>551815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551815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6212205</wp:posOffset>
            </wp:positionH>
            <wp:positionV relativeFrom="page">
              <wp:posOffset>551815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6229350</wp:posOffset>
            </wp:positionH>
            <wp:positionV relativeFrom="page">
              <wp:posOffset>551815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551815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6263640</wp:posOffset>
            </wp:positionH>
            <wp:positionV relativeFrom="page">
              <wp:posOffset>551815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6280785</wp:posOffset>
            </wp:positionH>
            <wp:positionV relativeFrom="page">
              <wp:posOffset>551815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551815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551815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6332220</wp:posOffset>
            </wp:positionH>
            <wp:positionV relativeFrom="page">
              <wp:posOffset>551815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551815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6366510</wp:posOffset>
            </wp:positionH>
            <wp:positionV relativeFrom="page">
              <wp:posOffset>551815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6383655</wp:posOffset>
            </wp:positionH>
            <wp:positionV relativeFrom="page">
              <wp:posOffset>551815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6400800</wp:posOffset>
            </wp:positionH>
            <wp:positionV relativeFrom="page">
              <wp:posOffset>551815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6417945</wp:posOffset>
            </wp:positionH>
            <wp:positionV relativeFrom="page">
              <wp:posOffset>551815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6435090</wp:posOffset>
            </wp:positionH>
            <wp:positionV relativeFrom="page">
              <wp:posOffset>551815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6452235</wp:posOffset>
            </wp:positionH>
            <wp:positionV relativeFrom="page">
              <wp:posOffset>551815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6469380</wp:posOffset>
            </wp:positionH>
            <wp:positionV relativeFrom="page">
              <wp:posOffset>551815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6486525</wp:posOffset>
            </wp:positionH>
            <wp:positionV relativeFrom="page">
              <wp:posOffset>551815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6503670</wp:posOffset>
            </wp:positionH>
            <wp:positionV relativeFrom="page">
              <wp:posOffset>551815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6520815</wp:posOffset>
            </wp:positionH>
            <wp:positionV relativeFrom="page">
              <wp:posOffset>551815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6537960</wp:posOffset>
            </wp:positionH>
            <wp:positionV relativeFrom="page">
              <wp:posOffset>551815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6555105</wp:posOffset>
            </wp:positionH>
            <wp:positionV relativeFrom="page">
              <wp:posOffset>551815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6572250</wp:posOffset>
            </wp:positionH>
            <wp:positionV relativeFrom="page">
              <wp:posOffset>551815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6589395</wp:posOffset>
            </wp:positionH>
            <wp:positionV relativeFrom="page">
              <wp:posOffset>551815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6606540</wp:posOffset>
            </wp:positionH>
            <wp:positionV relativeFrom="page">
              <wp:posOffset>551815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6623685</wp:posOffset>
            </wp:positionH>
            <wp:positionV relativeFrom="page">
              <wp:posOffset>551815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6640830</wp:posOffset>
            </wp:positionH>
            <wp:positionV relativeFrom="page">
              <wp:posOffset>551815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6657975</wp:posOffset>
            </wp:positionH>
            <wp:positionV relativeFrom="page">
              <wp:posOffset>551815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6675120</wp:posOffset>
            </wp:positionH>
            <wp:positionV relativeFrom="page">
              <wp:posOffset>551815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6692265</wp:posOffset>
            </wp:positionH>
            <wp:positionV relativeFrom="page">
              <wp:posOffset>551815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6709410</wp:posOffset>
            </wp:positionH>
            <wp:positionV relativeFrom="page">
              <wp:posOffset>551815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6726555</wp:posOffset>
            </wp:positionH>
            <wp:positionV relativeFrom="page">
              <wp:posOffset>551815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6743700</wp:posOffset>
            </wp:positionH>
            <wp:positionV relativeFrom="page">
              <wp:posOffset>551815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551815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6777990</wp:posOffset>
            </wp:positionH>
            <wp:positionV relativeFrom="page">
              <wp:posOffset>551815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6795135</wp:posOffset>
            </wp:positionH>
            <wp:positionV relativeFrom="page">
              <wp:posOffset>551815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6812280</wp:posOffset>
            </wp:positionH>
            <wp:positionV relativeFrom="page">
              <wp:posOffset>551815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6829425</wp:posOffset>
            </wp:positionH>
            <wp:positionV relativeFrom="page">
              <wp:posOffset>551815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6846570</wp:posOffset>
            </wp:positionH>
            <wp:positionV relativeFrom="page">
              <wp:posOffset>551815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6863715</wp:posOffset>
            </wp:positionH>
            <wp:positionV relativeFrom="page">
              <wp:posOffset>551815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6880860</wp:posOffset>
            </wp:positionH>
            <wp:positionV relativeFrom="page">
              <wp:posOffset>551815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6898005</wp:posOffset>
            </wp:positionH>
            <wp:positionV relativeFrom="page">
              <wp:posOffset>551815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6915150</wp:posOffset>
            </wp:positionH>
            <wp:positionV relativeFrom="page">
              <wp:posOffset>551815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6932295</wp:posOffset>
            </wp:positionH>
            <wp:positionV relativeFrom="page">
              <wp:posOffset>551815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6949440</wp:posOffset>
            </wp:positionH>
            <wp:positionV relativeFrom="page">
              <wp:posOffset>551815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6966585</wp:posOffset>
            </wp:positionH>
            <wp:positionV relativeFrom="page">
              <wp:posOffset>551815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6983730</wp:posOffset>
            </wp:positionH>
            <wp:positionV relativeFrom="page">
              <wp:posOffset>551815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7000875</wp:posOffset>
            </wp:positionH>
            <wp:positionV relativeFrom="page">
              <wp:posOffset>551815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7018020</wp:posOffset>
            </wp:positionH>
            <wp:positionV relativeFrom="page">
              <wp:posOffset>551815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7035165</wp:posOffset>
            </wp:positionH>
            <wp:positionV relativeFrom="page">
              <wp:posOffset>551815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7052310</wp:posOffset>
            </wp:positionH>
            <wp:positionV relativeFrom="page">
              <wp:posOffset>551815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372110</wp:posOffset>
            </wp:positionH>
            <wp:positionV relativeFrom="page">
              <wp:posOffset>551815</wp:posOffset>
            </wp:positionV>
            <wp:extent cx="31559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89535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89535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89535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89535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89535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89535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89535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89535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89535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89535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89535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89535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89535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89535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89535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89535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89535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89535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89535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89535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89535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89535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89535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89535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89535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89535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89535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89535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89535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89535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89535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89535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89535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89535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89535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89535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89535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89535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89535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89535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89535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89535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89535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89535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89535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89535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89535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89535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89535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89535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89535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89535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89535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89535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89535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89535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89535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89535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89535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89535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89535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89535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89535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89535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89535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89535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89535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89535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89535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89535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89535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89535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89535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89535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89535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89535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89535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89535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89535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89535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89535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89535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89535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89535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89535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89535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89535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89535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89535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89535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89535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89535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89535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89535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89535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89535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89535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89535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89535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89535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89535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89535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89535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89535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89535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89535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89535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89535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89535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89535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89535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89535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89535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89535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89535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89535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89535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89535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89535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89535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89535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89535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89535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89535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89535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89535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89535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89535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89535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89535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89535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89535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89535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89535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89535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89535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89535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89535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89535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89535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89535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89535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89535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89535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89535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89535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89535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89535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89535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89535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89535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89535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89535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89535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89535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89535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89535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89535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89535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89535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89535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89535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89535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89535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89535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89535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89535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89535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89535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89535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89535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89535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89535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89535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89535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89535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89535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89535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89535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89535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89535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89535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89535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89535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89535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89535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89535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89535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89535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89535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89535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89535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89535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89535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89535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89535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89535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89535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89535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89535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89535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89535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89535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89535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89535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-6187440</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-6170295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-6153150</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-6136005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-6118860</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-6101715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-6084570</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-6067425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-6050280</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-6033135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-6015990</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-5998845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-5981700</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-5964555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-5947410</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-5930265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-5913120</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-5895975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-5878830</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-5861685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-5844540</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-5827395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-5810250</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-5793105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-5775960</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-5758180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-5741035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-5723890</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-5706745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-5689600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-5672455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-5655310</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-5638165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-5621020</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-5603875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-5586730</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-5569585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-5552440</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-5535295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-5518150</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-5501005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-5483860</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-5466715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-5449570</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-5432425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-5415280</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-5398135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-5380990</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-5363845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-5346700</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-5329555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-5312410</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-5295265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-5278120</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-5260975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-5243830</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-5226685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-5209540</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-5192395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-5175250</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-5158105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-5140960</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-5123815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-5106670</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-5089525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-5072380</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-5055235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-5038090</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-5020945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-5003800</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-4986655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-4969510</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-4952365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-4935220</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-4918075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-4900930</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-4883785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-4866640</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-4849495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-4832350</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-4815205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-4798060</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-4780915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-4763770</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-4746625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-4729480</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-4712335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-4695190</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-4678045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-4660900</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-4643755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-4626610</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-4609465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-4592320</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-4575175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-4558030</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-4540885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-4523740</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-4506595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-4489450</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-4472305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-4455160</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-4438015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-4420870</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-4403725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-4386580</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-4369435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-4352290</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-4335145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-4318000</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-4300855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-4283710</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-4266565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-4249420</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-4232275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-4215130</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-4197985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-4180840</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-4163695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-4146550</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-4128770</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-4111625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-4094480</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-4077335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-4060190</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-4043045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-4025900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-4008755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-3991610</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-3974465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-3957320</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-3940175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-3923030</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-3905885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-3888740</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-3871595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-3854450</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-3837305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-3820160</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-3803015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-3785870</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-3768725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-3751580</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-3734435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-3717290</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-3700145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-3683000</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-3665855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-3648710</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-3631565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-3614420</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-3597275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-3580130</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-3562985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-3545840</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-3528695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-3511550</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-3494405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-3477260</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-3460115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-3442970</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-3425825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-3408680</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-3391535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-3374390</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-3357245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-3340100</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-3322955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-3305810</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-3288665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-3271520</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-3254375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-3237230</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-3220085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-3202940</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-3185795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-3168650</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-3151505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-3134360</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-3117215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-3100070</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-3082925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-3065780</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-3048635</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-3031490</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-3014345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-2997200</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-2980055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-2962910</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-2945765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-2928620</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-2911475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-2894330</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-2877185</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-2860040</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-2842895</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-2825750</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-2808605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-2791460</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-2774315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-2757170</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-2740025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-2722880</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-2705735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-2688590</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-2671445</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-2654300</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-2637155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-2620010</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-2602865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-2585720</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-2568575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-2551430</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-2534285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-2517140</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-2499995</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-2482215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-2465070</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-2447925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-2430780</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-2413635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-2396490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-2379345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-2362200</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-2345055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-2327910</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-2310765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-2293620</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-2276475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-2259330</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-2242185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-2225040</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-2207895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-2190750</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-2173605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-2156460</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-2139315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-2122170</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-2105025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-2087880</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-2070735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-2053590</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-2036445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-2019300</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-2002155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-1985010</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-1967865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-1950720</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-1933575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-1916430</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-1899285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-1882140</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-1864995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-1847850</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-1830705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-1813560</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-1796415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-1779270</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-1762125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-1744980</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-1727835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-1710690</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-1693545</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-1676400</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-1659255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-1642110</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-1624965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-1607820</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-1590675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-1573530</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-1556385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-1539240</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-1522095</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-1504950</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-1487805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-1470660</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-1453515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-1436370</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-1419225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-1402080</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-1384935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-1367790</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-1350645</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-1333500</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-1316355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-1299210</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-1282065</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-1264920</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-1247775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-1230630</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-1213485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-1196340</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-1179195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-1162050</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-1144905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-1127760</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-1110615</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-1093470</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-1076325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-1059180</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-1042035</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-1024890</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-1007745</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-990600</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-973455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-956310</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-939165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-922020</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-904875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-887730</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-870585</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-853440</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-835660</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-818515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-801370</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-784225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-767080</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-749935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-732790</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-715645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-698500</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-681355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-664210</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-647065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-629920</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-612775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-595630</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-578485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-561340</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-544195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-527050</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-509905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-492760</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-475615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-458470</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-441325</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-424180</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-407035</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-389890</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-372745</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-355600</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-338455</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-321310</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-304165</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-287020</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-269875</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-252730</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-235585</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-218440</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-201295</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-184150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-167005</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-149860</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-132715</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-115570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-98425</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-81280</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-64135</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-46990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-29845</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-12700</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3810</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20955</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38100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55245</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72390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89535</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-6187440</wp:posOffset>
            </wp:positionV>
            <wp:extent cx="3155950" cy="628586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3155950" cy="6285865"/>
                    </a:xfrm>
                    <a:prstGeom prst="rect">
                      <a:avLst/>
                    </a:prstGeom>
                    <a:noFill/>
                  </pic:spPr>
                </pic:pic>
              </a:graphicData>
            </a:graphic>
          </wp:anchor>
        </w:drawing>
      </w: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23"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Optionee acknowledges that he or she has received a copy of the Plan, has reviewed the Plan in its entirety and fully understands and accepts all provisions of the Plan. The Optionee further acknowledges that he or she has read and expressly approves the terms and conditions set forth in the Nature of Grant paragraph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36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- 10</w:t>
      </w:r>
    </w:p>
    <w:p>
      <w:pPr>
        <w:sectPr>
          <w:pgSz w:w="11900" w:h="16838" w:orient="portrait"/>
          <w:cols w:equalWidth="0" w:num="1">
            <w:col w:w="11420"/>
          </w:cols>
          <w:pgMar w:left="240" w:top="895" w:right="239" w:bottom="1440" w:gutter="0" w:footer="0" w:header="0"/>
        </w:sectPr>
      </w:pPr>
    </w:p>
    <w:bookmarkStart w:id="60" w:name="page61"/>
    <w:bookmarkEnd w:id="60"/>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Optionee expressly recognizes that Analog Devices, Inc., with registered offices at One Technology Way, Norwood, Massachusetts, 02062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33"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09"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2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2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Technology Way, Norwood, Massachusetts, 02062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28" w:lineRule="exact"/>
        <w:rPr>
          <w:sz w:val="20"/>
          <w:szCs w:val="20"/>
          <w:color w:val="auto"/>
        </w:rPr>
      </w:pPr>
    </w:p>
    <w:p>
      <w:pPr>
        <w:jc w:val="both"/>
        <w:ind w:left="340" w:right="20"/>
        <w:spacing w:after="0" w:line="283"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200" w:lineRule="exact"/>
        <w:rPr>
          <w:sz w:val="20"/>
          <w:szCs w:val="20"/>
          <w:color w:val="auto"/>
        </w:rPr>
      </w:pPr>
    </w:p>
    <w:p>
      <w:pPr>
        <w:spacing w:after="0" w:line="25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This provision supplements Section 8 of the Agreement:</w:t>
      </w:r>
    </w:p>
    <w:p>
      <w:pPr>
        <w:spacing w:after="0" w:line="221"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By accepting the Option, the Optionee acknowledges that the Option is intended as an incentive for the Optionee to remain employed with the Employer and is not intended as remuneration for labor performed.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23"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grant of Options is being made pursuant to an exemption from registration under Section 10.2 of the SRC that has been approved by the PSEC.</w:t>
      </w:r>
    </w:p>
    <w:p>
      <w:pPr>
        <w:spacing w:after="0" w:line="200" w:lineRule="exact"/>
        <w:rPr>
          <w:sz w:val="20"/>
          <w:szCs w:val="20"/>
          <w:color w:val="auto"/>
        </w:rPr>
      </w:pPr>
    </w:p>
    <w:p>
      <w:pPr>
        <w:spacing w:after="0" w:line="22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- 11</w:t>
      </w:r>
    </w:p>
    <w:p>
      <w:pPr>
        <w:sectPr>
          <w:pgSz w:w="11900" w:h="16838" w:orient="portrait"/>
          <w:cols w:equalWidth="0" w:num="1">
            <w:col w:w="11420"/>
          </w:cols>
          <w:pgMar w:left="240" w:top="720" w:right="239" w:bottom="1440" w:gutter="0" w:footer="0" w:header="0"/>
        </w:sectPr>
      </w:pPr>
    </w:p>
    <w:bookmarkStart w:id="61" w:name="page62"/>
    <w:bookmarkEnd w:id="61"/>
    <w:p>
      <w:pPr>
        <w:jc w:val="both"/>
        <w:ind w:left="340"/>
        <w:spacing w:after="0" w:line="254" w:lineRule="auto"/>
        <w:rPr>
          <w:sz w:val="20"/>
          <w:szCs w:val="20"/>
          <w:color w:val="auto"/>
        </w:rPr>
      </w:pPr>
      <w:r>
        <w:rPr>
          <w:rFonts w:ascii="Times New Roman" w:cs="Times New Roman" w:eastAsia="Times New Roman" w:hAnsi="Times New Roman"/>
          <w:sz w:val="16"/>
          <w:szCs w:val="16"/>
          <w:color w:val="auto"/>
        </w:rPr>
        <w:t>The Optionee should be aware of the risks of participating in the Plan, which include (without limitation) the risk of fluctuation in the price of the Option Shares on the Nasdaq Global Select Market (“Nasdaq”) and the risk of currency fluctuations between the U.S. Dollar and the Optionee’s local currency. In this regard, the Optionee should note that the value of any Option Shares he or she may acquire under the Plan may decrease, and fluctuations in foreign exchange rates between his or her local currency and the U.S. Dollar may affect the value of the Options or any amounts due to him or her pursuant to the exercise of Options or the subsequent sale of any Option Shares acquired by him or her. The Company is not making any representations, projections or assurances about the value of the Option Shares now or in the future.</w:t>
      </w:r>
    </w:p>
    <w:p>
      <w:pPr>
        <w:spacing w:after="0" w:line="35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Option Shares, the Optionee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5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 xml:space="preserve">The Optionee should also note that the sale or disposal of Option Shares acquired under the Plan may be subject to certain restrictions under Philippines securities laws. Those restrictions should not apply if the offer and resale of Option Shares takes place outside of the Philippines through the facilities of a stock exchange on which the Option Shares are listed. The Option Shares are currently listed on Nasdaq. The Company’s designated broker should be able to assist the Optionee in the sale of Option Shares on Nasdaq. </w:t>
      </w:r>
      <w:r>
        <w:rPr>
          <w:rFonts w:ascii="Times New Roman" w:cs="Times New Roman" w:eastAsia="Times New Roman" w:hAnsi="Times New Roman"/>
          <w:sz w:val="16"/>
          <w:szCs w:val="16"/>
          <w:i w:val="1"/>
          <w:iCs w:val="1"/>
          <w:color w:val="auto"/>
        </w:rPr>
        <w:t>If the Optionee has questions with regard to the application of Philippines securities laws to the disposal or sale of Option Shares acquired under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Plan the Optionee should consult with his or her legal advisor.</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196"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 maintains bank or brokerage accounts holding cash and foreign securities (including Option Shares) outside of Poland, the Optionee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32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19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Options and the issuance of any Option Shares are not subject to the regulations concerning public offers and private placements under the Law on Capital Markets.</w:t>
      </w:r>
    </w:p>
    <w:p>
      <w:pPr>
        <w:spacing w:after="0" w:line="13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Options were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w:t>
      </w:r>
    </w:p>
    <w:p>
      <w:pPr>
        <w:spacing w:after="0" w:line="38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- 12</w:t>
      </w:r>
    </w:p>
    <w:p>
      <w:pPr>
        <w:sectPr>
          <w:pgSz w:w="11900" w:h="16838" w:orient="portrait"/>
          <w:cols w:equalWidth="0" w:num="1">
            <w:col w:w="11420"/>
          </w:cols>
          <w:pgMar w:left="240" w:top="720" w:right="239" w:bottom="1440" w:gutter="0" w:footer="0" w:header="0"/>
        </w:sectPr>
      </w:pPr>
    </w:p>
    <w:bookmarkStart w:id="62" w:name="page63"/>
    <w:bookmarkEnd w:id="62"/>
    <w:p>
      <w:pPr>
        <w:jc w:val="both"/>
        <w:ind w:left="340"/>
        <w:spacing w:after="0" w:line="251" w:lineRule="auto"/>
        <w:rPr>
          <w:sz w:val="20"/>
          <w:szCs w:val="20"/>
          <w:color w:val="auto"/>
        </w:rPr>
      </w:pPr>
      <w:r>
        <w:rPr>
          <w:rFonts w:ascii="Times New Roman" w:cs="Times New Roman" w:eastAsia="Times New Roman" w:hAnsi="Times New Roman"/>
          <w:sz w:val="16"/>
          <w:szCs w:val="16"/>
          <w:u w:val="single" w:color="auto"/>
          <w:color w:val="auto"/>
        </w:rPr>
        <w:t>Chief Executive Officer and Director Notification</w:t>
      </w:r>
      <w:r>
        <w:rPr>
          <w:rFonts w:ascii="Times New Roman" w:cs="Times New Roman" w:eastAsia="Times New Roman" w:hAnsi="Times New Roman"/>
          <w:sz w:val="16"/>
          <w:szCs w:val="16"/>
          <w:color w:val="auto"/>
        </w:rPr>
        <w:t>. If the Optionee is the Chief Executive Officer (“CEO”) or a director, associate director or shadow director of a subsidiary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CEO or director, associate director, or shadow director.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196"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6"/>
          <w:szCs w:val="16"/>
          <w:u w:val="single" w:color="auto"/>
          <w:color w:val="auto"/>
        </w:rPr>
        <w:t>No Entitlement for Claims or Compensation</w:t>
      </w:r>
      <w:r>
        <w:rPr>
          <w:rFonts w:ascii="Times New Roman" w:cs="Times New Roman" w:eastAsia="Times New Roman" w:hAnsi="Times New Roman"/>
          <w:sz w:val="16"/>
          <w:szCs w:val="16"/>
          <w:color w:val="auto"/>
        </w:rPr>
        <w:t>. In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66"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6"/>
          <w:szCs w:val="16"/>
          <w:color w:val="auto"/>
        </w:rPr>
        <w:t>Further, and except as provided in Section 3(g) of the Agreement in the event Optionee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3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Optionee acknowledges that he or she has read and specifically accepts the conditions referred to in Section 3 of the Agreement.</w:t>
      </w:r>
    </w:p>
    <w:p>
      <w:pPr>
        <w:spacing w:after="0" w:line="19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Options and the Option Shares issued upon exercise of the Option are considered a private placement outside of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xml:space="preserve"> and does not constitute a public offering prospectus.</w:t>
      </w:r>
    </w:p>
    <w:p>
      <w:pPr>
        <w:spacing w:after="0" w:line="15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Optionee acknowledges that he or she must declare any Option Shares that are acquired under the Plan to the </w:t>
      </w:r>
      <w:r>
        <w:rPr>
          <w:rFonts w:ascii="Times New Roman" w:cs="Times New Roman" w:eastAsia="Times New Roman" w:hAnsi="Times New Roman"/>
          <w:sz w:val="16"/>
          <w:szCs w:val="16"/>
          <w:i w:val="1"/>
          <w:iCs w:val="1"/>
          <w:color w:val="auto"/>
        </w:rPr>
        <w:t>Dirección General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Comercio e Inversiones </w:t>
      </w:r>
      <w:r>
        <w:rPr>
          <w:rFonts w:ascii="Times New Roman" w:cs="Times New Roman" w:eastAsia="Times New Roman" w:hAnsi="Times New Roman"/>
          <w:sz w:val="16"/>
          <w:szCs w:val="16"/>
          <w:color w:val="auto"/>
        </w:rPr>
        <w:t>of the Ministry of Economy and Competitiveness (the “DGCI”). After the initial declaration, the declaration must be filed with the DGCI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basis each January while the Option Shares are owned; however, if the value of the Option Shares or the sale proceeds exceed a certain amount, a declaration must be filed within one month of the acquisition or sale, as applicable.</w:t>
      </w:r>
    </w:p>
    <w:p>
      <w:pPr>
        <w:spacing w:after="0" w:line="15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Optionee holds assets (e.g., cash or Option Shares held in a bank or brokerage account) outside Spain with a value in excess of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The reporting must be completed by March 31. 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38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- 13</w:t>
      </w:r>
    </w:p>
    <w:p>
      <w:pPr>
        <w:sectPr>
          <w:pgSz w:w="11900" w:h="16838" w:orient="portrait"/>
          <w:cols w:equalWidth="0" w:num="1">
            <w:col w:w="11420"/>
          </w:cols>
          <w:pgMar w:left="240" w:top="720" w:right="239" w:bottom="1440" w:gutter="0" w:footer="0" w:header="0"/>
        </w:sectPr>
      </w:pPr>
    </w:p>
    <w:bookmarkStart w:id="63" w:name="page64"/>
    <w:bookmarkEnd w:id="63"/>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Further,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Automatic Cashless Exercise and Sale</w:t>
      </w:r>
      <w:r>
        <w:rPr>
          <w:rFonts w:ascii="Times New Roman" w:cs="Times New Roman" w:eastAsia="Times New Roman" w:hAnsi="Times New Roman"/>
          <w:sz w:val="16"/>
          <w:szCs w:val="16"/>
          <w:color w:val="auto"/>
        </w:rPr>
        <w:t>. The grant of the Option is conditioned on the Optionee’s agreement to the below.</w:t>
      </w:r>
    </w:p>
    <w:p>
      <w:pPr>
        <w:spacing w:after="0" w:line="221"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6"/>
          <w:szCs w:val="16"/>
          <w:color w:val="auto"/>
        </w:rPr>
        <w:t>The Optionee agrees that, if he or she has not previously exercised the Option to the maximum extent possible in accordance with its terms prior to the first day on which the closing price of the Company’s Common Stock on the New York Stock Exchange equals or exceed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 possible, and to cause to be remitted to the Optionee the net proceeds, after deduction of the Exercise Price and all Tax-Related Items and charges required to be withheld by the Company or Analog Devices A.B.</w:t>
      </w:r>
    </w:p>
    <w:p>
      <w:pPr>
        <w:spacing w:after="0" w:line="18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Company’s Common Stock on the New York Stock Exchange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Analog Devices A.B.</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2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Option grant is not intended to be a public offering in Switzerland and is therefore not subject to registration in Switzerland. Neither this document nor any materials relating to the Option Shares constitutes a prospectus as such term is understood pursuant to article 652a of the Swiss Code of Obligations and neither this document nor any other materials relating to the Option Shares may be publicly distributed or otherwise made publicly available in Switzerland. Neither this document nor any other offering or marketing material relating to the Options has been or will be filed with, approved or supervised by any Swiss regulatory authority (in particular, the Swiss Financial Supervisory Authority (FINMA)).</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57"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and participation in the Plan is made available only to employees of the Company and the Employer. It is not a public offer of securities by a Taiwanese company. Therefore, it is exempt from registration in Taiwan.</w:t>
      </w:r>
    </w:p>
    <w:p>
      <w:pPr>
        <w:spacing w:after="0" w:line="13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Option Shares) into Taiwan up to US$5,000,000 per year without justification.</w:t>
      </w:r>
    </w:p>
    <w:p>
      <w:pPr>
        <w:spacing w:after="0" w:line="13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Optionee must submit a Foreign Exchange Transaction Form and also provide supporting documentation to the satisfaction of the remitting bank.</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Manner of Exercising Option</w:t>
      </w:r>
      <w:r>
        <w:rPr>
          <w:rFonts w:ascii="Times New Roman" w:cs="Times New Roman" w:eastAsia="Times New Roman" w:hAnsi="Times New Roman"/>
          <w:sz w:val="16"/>
          <w:szCs w:val="16"/>
          <w:color w:val="auto"/>
        </w:rPr>
        <w:t>. This provision supplements Section 4 of the Agreement:</w:t>
      </w:r>
    </w:p>
    <w:p>
      <w:pPr>
        <w:spacing w:after="0" w:line="194"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color w:val="auto"/>
        </w:rPr>
        <w:t>Due to legal restrictions in Turkey, Optionee may be required to exercise his or her option using the cashless sell-all exercise method whereby all Option Shares subject to the exercised option will be sold immediately upon exercise and the proceeds of the sale, less the Exercise Price,</w:t>
      </w:r>
    </w:p>
    <w:p>
      <w:pPr>
        <w:spacing w:after="0" w:line="17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- 14</w:t>
      </w:r>
    </w:p>
    <w:p>
      <w:pPr>
        <w:sectPr>
          <w:pgSz w:w="11900" w:h="16838" w:orient="portrait"/>
          <w:cols w:equalWidth="0" w:num="1">
            <w:col w:w="11420"/>
          </w:cols>
          <w:pgMar w:left="240" w:top="720" w:right="239" w:bottom="1440" w:gutter="0" w:footer="0" w:header="0"/>
        </w:sectPr>
      </w:pPr>
    </w:p>
    <w:bookmarkStart w:id="64" w:name="page65"/>
    <w:bookmarkEnd w:id="64"/>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any Tax-Related Items and broker's fees or commissions will be remitted to Optionee in accordance with any applicable laws and regulations. Optionee will not be permitted to acquire and hold Option Shares after exercise. The Company reserves the right to provide additional methods of exercise to Optionee depending on the development of local law.</w:t>
      </w:r>
    </w:p>
    <w:p>
      <w:pPr>
        <w:spacing w:after="0" w:line="151"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13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19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33"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07"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33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A - 15</w:t>
      </w:r>
    </w:p>
    <w:p>
      <w:pPr>
        <w:sectPr>
          <w:pgSz w:w="11900" w:h="16838" w:orient="portrait"/>
          <w:cols w:equalWidth="0" w:num="1">
            <w:col w:w="11420"/>
          </w:cols>
          <w:pgMar w:left="240" w:top="720"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SPECIAL NOTICE FOR DANISH EMPLOYEES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EMPLOYER STATEMENT</w:t>
      </w:r>
    </w:p>
    <w:p>
      <w:pPr>
        <w:spacing w:after="0" w:line="176"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69"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This statement contains only the information mentioned in the Act. The other terms and conditions of your stock option grant are described in detail in the Analog Devices, Inc. Amended and Restated 2006 Stock Incentive Plan (the “Plan”), and the Stock Option Agreement for Employees Outside the U.S., including the country-specific appendix (the “Agreement”), which have been given to you.</w:t>
      </w:r>
    </w:p>
    <w:p>
      <w:pPr>
        <w:spacing w:after="0" w:line="8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Time of grant of option to purchase stock</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grant date for your stock option is the date that the Company approved a grant for you.</w:t>
      </w:r>
    </w:p>
    <w:p>
      <w:pPr>
        <w:spacing w:after="0" w:line="1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Terms or conditions for option grant</w:t>
      </w:r>
    </w:p>
    <w:p>
      <w:pPr>
        <w:spacing w:after="0" w:line="129"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8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Vesting date or period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Your stock option will vest in accordance with the vesting schedule set forth in Section 1 of your Agreement.</w:t>
      </w:r>
    </w:p>
    <w:p>
      <w:pPr>
        <w:spacing w:after="0" w:line="1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29" w:lineRule="exact"/>
        <w:rPr>
          <w:sz w:val="20"/>
          <w:szCs w:val="20"/>
          <w:color w:val="auto"/>
        </w:rPr>
      </w:pPr>
    </w:p>
    <w:p>
      <w:pPr>
        <w:ind w:left="340" w:right="20"/>
        <w:spacing w:after="0" w:line="281" w:lineRule="auto"/>
        <w:rPr>
          <w:sz w:val="20"/>
          <w:szCs w:val="20"/>
          <w:color w:val="auto"/>
        </w:rPr>
      </w:pPr>
      <w:r>
        <w:rPr>
          <w:rFonts w:ascii="Times New Roman" w:cs="Times New Roman" w:eastAsia="Times New Roman" w:hAnsi="Times New Roman"/>
          <w:sz w:val="16"/>
          <w:szCs w:val="16"/>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67"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Your rights upon termination of employment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exercise of your Options will be determined in accord with the terms of your Agreement.</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addition, you will be ineligible to receive any additional Option grants after your termination.</w:t>
      </w:r>
    </w:p>
    <w:p>
      <w:pPr>
        <w:spacing w:after="0" w:line="10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29"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298" w:lineRule="exact"/>
        <w:rPr>
          <w:sz w:val="20"/>
          <w:szCs w:val="20"/>
          <w:color w:val="auto"/>
        </w:rPr>
      </w:pPr>
    </w:p>
    <w:p>
      <w:pPr>
        <w:jc w:val="both"/>
        <w:ind w:left="340"/>
        <w:spacing w:after="0" w:line="299"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Three Technology Way</w:t>
      </w: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Norwood, MA 02062</w:t>
      </w: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APPENDIX B - 1</w:t>
      </w:r>
    </w:p>
    <w:p>
      <w:pPr>
        <w:sectPr>
          <w:pgSz w:w="11900" w:h="16838" w:orient="portrait"/>
          <w:cols w:equalWidth="0" w:num="1">
            <w:col w:w="11420"/>
          </w:cols>
          <w:pgMar w:left="240" w:top="718" w:right="23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SÆRLIG MEDDELELSE TIL DANSKE MEDARBEJDERE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ARBEJDSGIVERERKLÆRING</w:t>
      </w:r>
    </w:p>
    <w:p>
      <w:pPr>
        <w:spacing w:after="0" w:line="325"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84"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Denne erklæring indeholder kun de oplysninger, der er nævnt i Aktieoptionsloven. De øvrige kriterier og betingelser for din tildeling af aktieoptioner er detaljeret beskrevet i Analog Devices, Inc. Amended and Restated 2006 Stock Incentive Plan (“Planen”) og i Stock Option Agreement for Employees Outside the U.S. inkl. det landespecifikke tillæg (“Aftalen”), som du har fået udleveret.</w:t>
      </w:r>
    </w:p>
    <w:p>
      <w:pPr>
        <w:spacing w:after="0" w:line="8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Tidspunktet for tildeling af retten til at købe aktier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Tidspunktet for tildelingen af din aktieoption er den dato, hvor Selskabets godkendte din tildeling.</w:t>
      </w:r>
    </w:p>
    <w:p>
      <w:pPr>
        <w:spacing w:after="0" w:line="1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Kriterier og betingelser for optionstildelingen</w:t>
      </w:r>
    </w:p>
    <w:p>
      <w:pPr>
        <w:spacing w:after="0" w:line="129"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8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Modningstidspunkt eller-periode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Din aktieoption modnes som anført i den modningsplan, der fremgår af afsnit 1 i Aftalen.</w:t>
      </w:r>
    </w:p>
    <w:p>
      <w:pPr>
        <w:spacing w:after="0" w:line="1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29"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6"/>
          <w:szCs w:val="16"/>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67"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29"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67"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Planen</w:t>
      </w:r>
    </w:p>
    <w:p>
      <w:pPr>
        <w:spacing w:after="0" w:line="129"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69"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3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Three Technology Way</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Norwood, MA 02062</w:t>
      </w: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APPENDIX B - 2</w:t>
      </w:r>
    </w:p>
    <w:p>
      <w:pPr>
        <w:sectPr>
          <w:pgSz w:w="11900" w:h="16838" w:orient="portrait"/>
          <w:cols w:equalWidth="0" w:num="1">
            <w:col w:w="11420"/>
          </w:cols>
          <w:pgMar w:left="240" w:top="718"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ISRAELI APPENDIX</w:t>
      </w:r>
    </w:p>
    <w:p>
      <w:pPr>
        <w:spacing w:after="0" w:line="167"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6"/>
          <w:szCs w:val="16"/>
          <w:b w:val="1"/>
          <w:bCs w:val="1"/>
          <w:u w:val="single" w:color="auto"/>
          <w:color w:val="auto"/>
        </w:rPr>
        <w:t>Trust Arrangement</w:t>
      </w:r>
      <w:r>
        <w:rPr>
          <w:rFonts w:ascii="Times New Roman" w:cs="Times New Roman" w:eastAsia="Times New Roman" w:hAnsi="Times New Roman"/>
          <w:sz w:val="16"/>
          <w:szCs w:val="16"/>
          <w:b w:val="1"/>
          <w:bCs w:val="1"/>
          <w:color w:val="auto"/>
        </w:rPr>
        <w:t>. If the Optionee resides in Israel and has not already signed an Israeli Appendix in connection with grants made under the Amended and Restated Analog Devices, Inc. 2006 Stock Incentive Plan (the “Plan”), then the Optionee must print, sign &amp; deliver the signed copy of this Israeli Appendix within 45 days to: Stock Plan Administrator, Analog Devices, Inc., Norwood, Massachusetts, 02062 USA.</w:t>
      </w:r>
    </w:p>
    <w:p>
      <w:pPr>
        <w:spacing w:after="0" w:line="14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The Optionee hereby understands and agrees that the Options are offered subject to and in accordance with the terms of the Israeli Sub-Plan (the “Sub-Plan”) to the Plan under the 102 Capital Gains Track (as defined in the Sub-Plan), the Trust Agreement between the trustee appointed by Analog Devices, (Israel) Ltd. (the “Trustee”), the Global Non-Qualified Stock Option Agreement, including Appendix A thereto (collectively, the “Option Agreement”), and the Plan. In the event of any inconsistencies among the Sub-Plan, the Option Agreement, and/or the Plan, the Optionee agrees that the Sub-Plan will govern the Options granted to the Optionee in Israel.</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Please sign this Israeli Appendix and return it to the address shown on the top within 45 days of receipt. If Analog Devices, (Israel) Ltd. or Analog Devices, Inc.</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does not receive your signed Israel Appendix, your Options shall terminate and will become null and void.</w:t>
      </w:r>
    </w:p>
    <w:p>
      <w:pPr>
        <w:spacing w:after="0" w:line="200" w:lineRule="exact"/>
        <w:rPr>
          <w:sz w:val="20"/>
          <w:szCs w:val="20"/>
          <w:color w:val="auto"/>
        </w:rPr>
      </w:pPr>
    </w:p>
    <w:p>
      <w:pPr>
        <w:spacing w:after="0" w:line="354" w:lineRule="exact"/>
        <w:rPr>
          <w:sz w:val="20"/>
          <w:szCs w:val="20"/>
          <w:color w:val="auto"/>
        </w:rPr>
      </w:pPr>
    </w:p>
    <w:p>
      <w:pPr>
        <w:ind w:left="1960"/>
        <w:spacing w:after="0"/>
        <w:tabs>
          <w:tab w:leader="none" w:pos="4300" w:val="left"/>
        </w:tabs>
        <w:rPr>
          <w:sz w:val="20"/>
          <w:szCs w:val="20"/>
          <w:color w:val="auto"/>
        </w:rPr>
      </w:pPr>
      <w:r>
        <w:rPr>
          <w:rFonts w:ascii="Times New Roman" w:cs="Times New Roman" w:eastAsia="Times New Roman" w:hAnsi="Times New Roman"/>
          <w:sz w:val="16"/>
          <w:szCs w:val="16"/>
          <w:color w:val="auto"/>
        </w:rPr>
        <w:t>Name: Employee Name</w:t>
      </w:r>
      <w:r>
        <w:rPr>
          <w:sz w:val="20"/>
          <w:szCs w:val="20"/>
          <w:color w:val="auto"/>
        </w:rPr>
        <w:tab/>
      </w:r>
      <w:r>
        <w:rPr>
          <w:rFonts w:ascii="Times New Roman" w:cs="Times New Roman" w:eastAsia="Times New Roman" w:hAnsi="Times New Roman"/>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tab/>
        <w:t>APPENDIX C - 1</w:t>
      </w:r>
    </w:p>
    <w:p>
      <w:pPr>
        <w:sectPr>
          <w:pgSz w:w="11900" w:h="16838" w:orient="portrait"/>
          <w:cols w:equalWidth="0" w:num="1">
            <w:col w:w="11420"/>
          </w:cols>
          <w:pgMar w:left="240" w:top="718" w:right="2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APPENDIX D</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stock options (“Awards”), you are required to enter into an Election to transfer to you any liability for employer’s NICs that may arise in connection with your Awards.</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Analog Devices, Inc. Amended and Restated 2006 Stock Incentive Plan, you are required to enter into an Election to transfer to you any liability for employer’s NICs that may arise in connection with your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13"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hanging="328"/>
        <w:spacing w:after="0" w:line="246" w:lineRule="auto"/>
        <w:tabs>
          <w:tab w:leader="none" w:pos="6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authorise your employer to recover an amount sufficient to cover this liability by such methods including, but not limited to, deductions from your salary or other payments due or the sale of sufficient shares acquired pursuant to your Awards; and</w:t>
      </w:r>
    </w:p>
    <w:p>
      <w:pPr>
        <w:ind w:left="660" w:right="20" w:hanging="328"/>
        <w:spacing w:after="0" w:line="257" w:lineRule="auto"/>
        <w:tabs>
          <w:tab w:leader="none" w:pos="6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D - 1</w:t>
      </w:r>
    </w:p>
    <w:p>
      <w:pPr>
        <w:sectPr>
          <w:pgSz w:w="11900" w:h="16838" w:orient="portrait"/>
          <w:cols w:equalWidth="0" w:num="1">
            <w:col w:w="11420"/>
          </w:cols>
          <w:pgMar w:left="240" w:top="718" w:right="2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APPENDIX 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65" w:lineRule="exact"/>
        <w:rPr>
          <w:sz w:val="20"/>
          <w:szCs w:val="20"/>
          <w:color w:val="auto"/>
        </w:rPr>
      </w:pPr>
    </w:p>
    <w:p>
      <w:pPr>
        <w:jc w:val="both"/>
        <w:ind w:left="660" w:hanging="652"/>
        <w:spacing w:after="0" w:line="273" w:lineRule="auto"/>
        <w:tabs>
          <w:tab w:leader="none" w:pos="6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authorised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2006 Stock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310" w:lineRule="exact"/>
        <w:rPr>
          <w:rFonts w:ascii="Times New Roman" w:cs="Times New Roman" w:eastAsia="Times New Roman" w:hAnsi="Times New Roman"/>
          <w:sz w:val="16"/>
          <w:szCs w:val="16"/>
          <w:color w:val="auto"/>
        </w:rPr>
      </w:pPr>
    </w:p>
    <w:p>
      <w:pPr>
        <w:ind w:left="660" w:right="20" w:hanging="652"/>
        <w:spacing w:after="0" w:line="283" w:lineRule="auto"/>
        <w:tabs>
          <w:tab w:leader="none" w:pos="6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Technology Way, Norwood, Massachusetts 02062,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19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192"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in relation to the Awards:</w:t>
      </w:r>
    </w:p>
    <w:p>
      <w:pPr>
        <w:spacing w:after="0" w:line="196"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stock options and/or stock purchase rights (within section 477(3)(a) of ITEPA);</w:t>
      </w:r>
    </w:p>
    <w:p>
      <w:pPr>
        <w:spacing w:after="0" w:line="356"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stock options in return for consideration (within section 477(3)(b) of ITEPA);</w:t>
      </w:r>
    </w:p>
    <w:p>
      <w:pPr>
        <w:spacing w:after="0" w:line="356"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stock options, other than a benefit within (i) or (ii) above (within section 477(3)(c) of ITEPA);</w:t>
      </w:r>
    </w:p>
    <w:p>
      <w:pPr>
        <w:spacing w:after="0" w:line="356"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post-acquisition charges relating to the shares acquired pursuant to the stock options (within section 427 of ITEPA); and/or</w:t>
      </w:r>
    </w:p>
    <w:p>
      <w:pPr>
        <w:spacing w:after="0" w:line="356"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post-acquisition charges relating to the shares acquired pursuant to the stock options (within section 439 of ITEPA).</w:t>
      </w:r>
    </w:p>
    <w:p>
      <w:pPr>
        <w:spacing w:after="0" w:line="354"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194"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196" w:lineRule="exact"/>
        <w:rPr>
          <w:sz w:val="20"/>
          <w:szCs w:val="20"/>
          <w:color w:val="auto"/>
        </w:rPr>
      </w:pPr>
    </w:p>
    <w:p>
      <w:pPr>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the occurrence of a Chargeable Event in respect of the Awards pursuant to section 4(4)(a) and/or paragraph 3B(1A) of Schedule 1 of the SSCBA.</w:t>
      </w:r>
    </w:p>
    <w:p>
      <w:pPr>
        <w:spacing w:after="0" w:line="136" w:lineRule="exact"/>
        <w:rPr>
          <w:sz w:val="20"/>
          <w:szCs w:val="20"/>
          <w:color w:val="auto"/>
        </w:rPr>
      </w:pPr>
    </w:p>
    <w:p>
      <w:pPr>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36" w:lineRule="exact"/>
        <w:rPr>
          <w:sz w:val="20"/>
          <w:szCs w:val="20"/>
          <w:color w:val="auto"/>
        </w:rPr>
      </w:pPr>
    </w:p>
    <w:p>
      <w:pPr>
        <w:ind w:left="660" w:right="2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34"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D - 2</w:t>
      </w:r>
    </w:p>
    <w:p>
      <w:pPr>
        <w:sectPr>
          <w:pgSz w:w="11900" w:h="16838" w:orient="portrait"/>
          <w:cols w:equalWidth="0" w:num="1">
            <w:col w:w="11420"/>
          </w:cols>
          <w:pgMar w:left="240" w:top="718" w:right="239" w:bottom="1440" w:gutter="0" w:footer="0" w:header="0"/>
        </w:sectPr>
      </w:pPr>
    </w:p>
    <w:bookmarkStart w:id="70" w:name="page71"/>
    <w:bookmarkEnd w:id="70"/>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on the Chargeable Event is hereby transferred to the Employee. The Employee understands that, by signing or electronically accepting this Election, he or she will become personally liable for the Employer’s Liability covered by this Election. This Election is made in accordance with paragraph 3B(1) of Schedule 1 of the SSCBA.</w:t>
      </w:r>
    </w:p>
    <w:p>
      <w:pPr>
        <w:spacing w:after="0" w:line="122"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19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Employee hereby authorises the Company and/or the Employer to collect the Employer’s Liability from the Employee at any time after the Chargeable Event:</w:t>
      </w:r>
    </w:p>
    <w:p>
      <w:pPr>
        <w:spacing w:after="0" w:line="194"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11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1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11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13"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Company hereby reserves for itself and the Company the right to withhold the transfer of any securities related to the Awards to the Employee until full payment of the Employer’s Liability is received.</w:t>
      </w:r>
    </w:p>
    <w:p>
      <w:pPr>
        <w:spacing w:after="0" w:line="13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The Company agrees to remit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2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196" w:lineRule="exact"/>
        <w:rPr>
          <w:sz w:val="20"/>
          <w:szCs w:val="20"/>
          <w:color w:val="auto"/>
        </w:rPr>
      </w:pPr>
    </w:p>
    <w:p>
      <w:pPr>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194"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67"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67"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67" w:lineRule="exact"/>
        <w:rPr>
          <w:rFonts w:ascii="Times New Roman" w:cs="Times New Roman" w:eastAsia="Times New Roman" w:hAnsi="Times New Roman"/>
          <w:sz w:val="16"/>
          <w:szCs w:val="16"/>
          <w:color w:val="auto"/>
        </w:rPr>
      </w:pPr>
    </w:p>
    <w:p>
      <w:pPr>
        <w:ind w:left="1300" w:right="20" w:hanging="644"/>
        <w:spacing w:after="0" w:line="281" w:lineRule="auto"/>
        <w:tabs>
          <w:tab w:leader="none" w:pos="13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the Awards in circumstances where section 483 ITEPA applies.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authorised representative to appear on this Election, Analog Devices, Inc. agrees to be bound by the terms of this Election.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2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 Kevin P. Lanouette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106045</wp:posOffset>
            </wp:positionV>
            <wp:extent cx="137223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Kevin P. Lanouette</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Assistant General Counsel</w:t>
      </w:r>
    </w:p>
    <w:p>
      <w:pPr>
        <w:spacing w:after="0" w:line="200" w:lineRule="exact"/>
        <w:rPr>
          <w:sz w:val="20"/>
          <w:szCs w:val="20"/>
          <w:color w:val="auto"/>
        </w:rPr>
      </w:pPr>
    </w:p>
    <w:p>
      <w:pPr>
        <w:spacing w:after="0" w:line="29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D - 3</w:t>
      </w:r>
    </w:p>
    <w:p>
      <w:pPr>
        <w:sectPr>
          <w:pgSz w:w="11900" w:h="16838" w:orient="portrait"/>
          <w:cols w:equalWidth="0" w:num="1">
            <w:col w:w="11420"/>
          </w:cols>
          <w:pgMar w:left="240" w:top="720"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33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D - 3</w:t>
      </w:r>
    </w:p>
    <w:p>
      <w:pPr>
        <w:sectPr>
          <w:pgSz w:w="11900" w:h="16838" w:orient="portrait"/>
          <w:cols w:equalWidth="0" w:num="1">
            <w:col w:w="10219"/>
          </w:cols>
          <w:pgMar w:left="240" w:top="1017" w:right="1440" w:bottom="1440" w:gutter="0" w:footer="0" w:header="0"/>
        </w:sectPr>
      </w:pPr>
    </w:p>
    <w:bookmarkStart w:id="72" w:name="page73"/>
    <w:bookmarkEnd w:id="72"/>
    <w:p>
      <w:pPr>
        <w:ind w:left="41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0" w:type="dxa"/>
            <w:vAlign w:val="bottom"/>
            <w:tcBorders>
              <w:right w:val="single" w:sz="8" w:color="auto"/>
            </w:tcBorders>
          </w:tcPr>
          <w:p>
            <w:pPr>
              <w:spacing w:after="0"/>
              <w:rPr>
                <w:sz w:val="19"/>
                <w:szCs w:val="19"/>
                <w:color w:val="auto"/>
              </w:rPr>
            </w:pPr>
          </w:p>
        </w:tc>
        <w:tc>
          <w:tcPr>
            <w:tcW w:w="45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 3 Horizon Business Village, 1 Brooklands Road, Weybridge,</w:t>
            </w:r>
          </w:p>
        </w:tc>
      </w:tr>
      <w:tr>
        <w:trPr>
          <w:trHeight w:val="210"/>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Surrey, KT13 OTJ</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895439</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37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Linear Technology (UK) Limited</w:t>
            </w:r>
          </w:p>
        </w:tc>
        <w:tc>
          <w:tcPr>
            <w:tcW w:w="4680" w:type="dxa"/>
            <w:vAlign w:val="bottom"/>
          </w:tcPr>
          <w:p>
            <w:pPr>
              <w:spacing w:after="0"/>
              <w:rPr>
                <w:sz w:val="24"/>
                <w:szCs w:val="24"/>
                <w:color w:val="auto"/>
              </w:rPr>
            </w:pPr>
          </w:p>
        </w:tc>
      </w:tr>
      <w:tr>
        <w:trPr>
          <w:trHeight w:val="344"/>
        </w:trPr>
        <w:tc>
          <w:tcPr>
            <w:tcW w:w="8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 The Listons, Liston Road, Marlow, Buckinghamshire, SL7 1FD</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2149602</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120PA00148447</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120/L30589</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color w:val="auto"/>
        </w:rPr>
        <w:t>VERSION 10/18</w:t>
      </w:r>
      <w:r>
        <w:rPr>
          <w:sz w:val="20"/>
          <w:szCs w:val="20"/>
          <w:color w:val="auto"/>
        </w:rPr>
        <w:tab/>
      </w:r>
      <w:r>
        <w:rPr>
          <w:rFonts w:ascii="Times New Roman" w:cs="Times New Roman" w:eastAsia="Times New Roman" w:hAnsi="Times New Roman"/>
          <w:sz w:val="15"/>
          <w:szCs w:val="15"/>
          <w:color w:val="auto"/>
        </w:rPr>
        <w:t>APPENDIX D - 4</w:t>
      </w:r>
    </w:p>
    <w:p>
      <w:pPr>
        <w:sectPr>
          <w:pgSz w:w="11900" w:h="16838" w:orient="portrait"/>
          <w:cols w:equalWidth="0" w:num="1">
            <w:col w:w="10219"/>
          </w:cols>
          <w:pgMar w:left="240" w:top="1015" w:right="144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1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Employee ID</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10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Amended and Restated 2006 Stock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30"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Restricted Stock Unit</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ind w:left="660" w:right="2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RSUs (the “Award”) effective on the Date of Grant set forth below:</w:t>
      </w:r>
    </w:p>
    <w:p>
      <w:pPr>
        <w:spacing w:after="0" w:line="107"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spacing w:after="0" w:line="25"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RSUs:  Number of Awards Granted</w:t>
      </w:r>
    </w:p>
    <w:p>
      <w:pPr>
        <w:spacing w:after="0" w:line="5"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Vesting Schedule</w:t>
      </w:r>
    </w:p>
    <w:p>
      <w:pPr>
        <w:spacing w:after="0" w:line="203" w:lineRule="exact"/>
        <w:rPr>
          <w:rFonts w:ascii="Times New Roman" w:cs="Times New Roman" w:eastAsia="Times New Roman" w:hAnsi="Times New Roman"/>
          <w:sz w:val="16"/>
          <w:szCs w:val="16"/>
          <w:color w:val="auto"/>
        </w:rPr>
      </w:pPr>
    </w:p>
    <w:p>
      <w:pPr>
        <w:jc w:val="both"/>
        <w:ind w:left="66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a European Economic Area or European Union member state, Hong Kong, India, Israel, Japan, Serbia, Switzerland, Taiwan, or Turkey,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 In addition, if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Participant resides in Israel, written consent may be required by Grant Custom 3, the Participant should refer to Appendix A for details.</w:t>
      </w:r>
    </w:p>
    <w:p>
      <w:pPr>
        <w:spacing w:after="0" w:line="343" w:lineRule="exact"/>
        <w:rPr>
          <w:rFonts w:ascii="Times New Roman" w:cs="Times New Roman" w:eastAsia="Times New Roman" w:hAnsi="Times New Roman"/>
          <w:sz w:val="16"/>
          <w:szCs w:val="16"/>
          <w:color w:val="auto"/>
        </w:rPr>
      </w:pPr>
    </w:p>
    <w:p>
      <w:pPr>
        <w:jc w:val="both"/>
        <w:ind w:left="66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340" w:lineRule="exact"/>
        <w:rPr>
          <w:rFonts w:ascii="Times New Roman" w:cs="Times New Roman" w:eastAsia="Times New Roman" w:hAnsi="Times New Roman"/>
          <w:sz w:val="16"/>
          <w:szCs w:val="16"/>
          <w:color w:val="auto"/>
        </w:rPr>
      </w:pPr>
    </w:p>
    <w:p>
      <w:pPr>
        <w:jc w:val="both"/>
        <w:ind w:left="66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RSU shall, if and when it vests in accordance with this Agreement,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2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left="980" w:hanging="324"/>
        <w:spacing w:after="0" w:line="250" w:lineRule="auto"/>
        <w:tabs>
          <w:tab w:leader="none" w:pos="98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RSUs shall vest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38" w:lineRule="exact"/>
        <w:rPr>
          <w:rFonts w:ascii="Times New Roman" w:cs="Times New Roman" w:eastAsia="Times New Roman" w:hAnsi="Times New Roman"/>
          <w:sz w:val="16"/>
          <w:szCs w:val="16"/>
          <w:color w:val="auto"/>
        </w:rPr>
      </w:pPr>
    </w:p>
    <w:p>
      <w:pPr>
        <w:jc w:val="both"/>
        <w:ind w:left="980" w:hanging="324"/>
        <w:spacing w:after="0" w:line="258" w:lineRule="auto"/>
        <w:tabs>
          <w:tab w:leader="none" w:pos="98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200" w:lineRule="exact"/>
        <w:rPr>
          <w:sz w:val="20"/>
          <w:szCs w:val="20"/>
          <w:color w:val="auto"/>
        </w:rPr>
      </w:pPr>
    </w:p>
    <w:p>
      <w:pPr>
        <w:spacing w:after="0" w:line="37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333" w:right="239" w:bottom="1440" w:gutter="0" w:footer="0" w:header="0"/>
        </w:sectPr>
      </w:pPr>
    </w:p>
    <w:bookmarkStart w:id="74" w:name="page75"/>
    <w:bookmarkEnd w:id="74"/>
    <w:p>
      <w:pPr>
        <w:ind w:left="980" w:hanging="324"/>
        <w:spacing w:after="0" w:line="281" w:lineRule="auto"/>
        <w:tabs>
          <w:tab w:leader="none" w:pos="98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all Unvested RSUs shall vest in full as of the date of the Participant’s death.</w:t>
      </w:r>
    </w:p>
    <w:p>
      <w:pPr>
        <w:spacing w:after="0" w:line="109" w:lineRule="exact"/>
        <w:rPr>
          <w:rFonts w:ascii="Times New Roman" w:cs="Times New Roman" w:eastAsia="Times New Roman" w:hAnsi="Times New Roman"/>
          <w:sz w:val="16"/>
          <w:szCs w:val="16"/>
          <w:color w:val="auto"/>
        </w:rPr>
      </w:pPr>
    </w:p>
    <w:p>
      <w:pPr>
        <w:jc w:val="both"/>
        <w:ind w:left="980" w:hanging="324"/>
        <w:spacing w:after="0" w:line="258" w:lineRule="auto"/>
        <w:tabs>
          <w:tab w:leader="none" w:pos="98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27" w:lineRule="exact"/>
        <w:rPr>
          <w:rFonts w:ascii="Times New Roman" w:cs="Times New Roman" w:eastAsia="Times New Roman" w:hAnsi="Times New Roman"/>
          <w:sz w:val="16"/>
          <w:szCs w:val="16"/>
          <w:color w:val="auto"/>
        </w:rPr>
      </w:pPr>
    </w:p>
    <w:p>
      <w:pPr>
        <w:jc w:val="both"/>
        <w:ind w:left="980" w:hanging="324"/>
        <w:spacing w:after="0" w:line="255" w:lineRule="auto"/>
        <w:tabs>
          <w:tab w:leader="none" w:pos="98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3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RSUs, either voluntarily or by operation of law.</w:t>
      </w:r>
    </w:p>
    <w:p>
      <w:pPr>
        <w:spacing w:after="0" w:line="167" w:lineRule="exact"/>
        <w:rPr>
          <w:rFonts w:ascii="Times New Roman" w:cs="Times New Roman" w:eastAsia="Times New Roman" w:hAnsi="Times New Roman"/>
          <w:sz w:val="16"/>
          <w:szCs w:val="16"/>
          <w:color w:val="auto"/>
        </w:rPr>
      </w:pPr>
    </w:p>
    <w:p>
      <w:pPr>
        <w:ind w:left="980" w:right="20" w:hanging="324"/>
        <w:spacing w:after="0" w:line="281" w:lineRule="auto"/>
        <w:tabs>
          <w:tab w:leader="none" w:pos="98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09"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27"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The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2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left="980" w:hanging="324"/>
        <w:spacing w:after="0" w:line="250" w:lineRule="auto"/>
        <w:tabs>
          <w:tab w:leader="none" w:pos="98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36" w:lineRule="exact"/>
        <w:rPr>
          <w:rFonts w:ascii="Times New Roman" w:cs="Times New Roman" w:eastAsia="Times New Roman" w:hAnsi="Times New Roman"/>
          <w:sz w:val="16"/>
          <w:szCs w:val="16"/>
          <w:color w:val="auto"/>
        </w:rPr>
      </w:pPr>
    </w:p>
    <w:p>
      <w:pPr>
        <w:jc w:val="both"/>
        <w:ind w:left="980" w:hanging="324"/>
        <w:spacing w:after="0" w:line="263" w:lineRule="auto"/>
        <w:tabs>
          <w:tab w:leader="none" w:pos="98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with regard to all Tax-Related Items by one or a combination of the methods set forth below:</w:t>
      </w:r>
    </w:p>
    <w:p>
      <w:pPr>
        <w:spacing w:after="0" w:line="124" w:lineRule="exact"/>
        <w:rPr>
          <w:rFonts w:ascii="Times New Roman" w:cs="Times New Roman" w:eastAsia="Times New Roman" w:hAnsi="Times New Roman"/>
          <w:sz w:val="16"/>
          <w:szCs w:val="16"/>
          <w:color w:val="auto"/>
        </w:rPr>
      </w:pPr>
    </w:p>
    <w:p>
      <w:pPr>
        <w:ind w:left="1620" w:hanging="640"/>
        <w:spacing w:after="0" w:line="263" w:lineRule="auto"/>
        <w:tabs>
          <w:tab w:leader="none" w:pos="1296" w:val="left"/>
        </w:tabs>
        <w:numPr>
          <w:ilvl w:val="2"/>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w:t>
      </w:r>
    </w:p>
    <w:p>
      <w:pPr>
        <w:spacing w:after="0" w:line="200" w:lineRule="exact"/>
        <w:rPr>
          <w:sz w:val="20"/>
          <w:szCs w:val="20"/>
          <w:color w:val="auto"/>
        </w:rPr>
      </w:pPr>
    </w:p>
    <w:p>
      <w:pPr>
        <w:spacing w:after="0" w:line="3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369" w:right="239" w:bottom="1440" w:gutter="0" w:footer="0" w:header="0"/>
        </w:sectPr>
      </w:pPr>
    </w:p>
    <w:bookmarkStart w:id="75" w:name="page76"/>
    <w:bookmarkEnd w:id="75"/>
    <w:p>
      <w:pPr>
        <w:ind w:left="1300"/>
        <w:spacing w:after="0"/>
        <w:rPr>
          <w:sz w:val="20"/>
          <w:szCs w:val="20"/>
          <w:color w:val="auto"/>
        </w:rPr>
      </w:pPr>
      <w:r>
        <w:rPr>
          <w:rFonts w:ascii="Times New Roman" w:cs="Times New Roman" w:eastAsia="Times New Roman" w:hAnsi="Times New Roman"/>
          <w:sz w:val="16"/>
          <w:szCs w:val="16"/>
          <w:color w:val="auto"/>
        </w:rPr>
        <w:t>Related Items (determined by reference to the closing price of the Common Stock on the Nasdaq Global Select Market on the applicable vesting date); or</w:t>
      </w:r>
    </w:p>
    <w:p>
      <w:pPr>
        <w:spacing w:after="0" w:line="208" w:lineRule="exact"/>
        <w:rPr>
          <w:sz w:val="20"/>
          <w:szCs w:val="20"/>
          <w:color w:val="auto"/>
        </w:rPr>
      </w:pPr>
    </w:p>
    <w:p>
      <w:pPr>
        <w:ind w:left="1620" w:hanging="640"/>
        <w:spacing w:after="0" w:line="281" w:lineRule="auto"/>
        <w:tabs>
          <w:tab w:leader="none" w:pos="129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09" w:lineRule="exact"/>
        <w:rPr>
          <w:rFonts w:ascii="Times New Roman" w:cs="Times New Roman" w:eastAsia="Times New Roman" w:hAnsi="Times New Roman"/>
          <w:sz w:val="16"/>
          <w:szCs w:val="16"/>
          <w:color w:val="auto"/>
        </w:rPr>
      </w:pPr>
    </w:p>
    <w:p>
      <w:pPr>
        <w:ind w:left="1620" w:hanging="640"/>
        <w:spacing w:after="0" w:line="281" w:lineRule="auto"/>
        <w:tabs>
          <w:tab w:leader="none" w:pos="129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0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6"/>
          <w:szCs w:val="16"/>
          <w:color w:val="auto"/>
        </w:rPr>
        <w:t>provided, however, that if the Participant is a Section 16 officer of the Company under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2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6"/>
          <w:szCs w:val="16"/>
          <w:color w:val="auto"/>
        </w:rPr>
        <w:t>The Company may withhold or account for Tax-Related Items by considering applicable statutory withholding amounts or other applicable withholding rates, including maximum applicable rates in the Participant’s jurisdiction(s). If the obligation for Tax-Related Items is satisfied by withholding in Shares, for tax purposes, the Participant is deemed to have been issued the full number of Shares subject to the vested RSU, notwithstanding that a number of the Shares are held back solely for the purpose of paying the Tax-Related Items.</w:t>
      </w:r>
    </w:p>
    <w:p>
      <w:pPr>
        <w:spacing w:after="0" w:line="127"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33" w:lineRule="exact"/>
        <w:rPr>
          <w:sz w:val="20"/>
          <w:szCs w:val="20"/>
          <w:color w:val="auto"/>
        </w:rPr>
      </w:pPr>
    </w:p>
    <w:p>
      <w:pPr>
        <w:jc w:val="both"/>
        <w:ind w:left="660" w:hanging="328"/>
        <w:spacing w:after="0" w:line="253" w:lineRule="auto"/>
        <w:tabs>
          <w:tab w:leader="none" w:pos="6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A, where share settlement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pursuant to Section 6 herein.</w:t>
      </w:r>
    </w:p>
    <w:p>
      <w:pPr>
        <w:spacing w:after="0" w:line="132" w:lineRule="exact"/>
        <w:rPr>
          <w:rFonts w:ascii="Times New Roman" w:cs="Times New Roman" w:eastAsia="Times New Roman" w:hAnsi="Times New Roman"/>
          <w:sz w:val="16"/>
          <w:szCs w:val="16"/>
          <w:color w:val="auto"/>
        </w:rPr>
      </w:pPr>
    </w:p>
    <w:p>
      <w:pPr>
        <w:jc w:val="both"/>
        <w:ind w:left="660" w:hanging="328"/>
        <w:spacing w:after="0" w:line="253" w:lineRule="auto"/>
        <w:tabs>
          <w:tab w:leader="none" w:pos="6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3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left="980" w:hanging="324"/>
        <w:spacing w:after="0" w:line="255" w:lineRule="auto"/>
        <w:tabs>
          <w:tab w:leader="none" w:pos="98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30" w:lineRule="exact"/>
        <w:rPr>
          <w:rFonts w:ascii="Times New Roman" w:cs="Times New Roman" w:eastAsia="Times New Roman" w:hAnsi="Times New Roman"/>
          <w:sz w:val="16"/>
          <w:szCs w:val="16"/>
          <w:color w:val="auto"/>
        </w:rPr>
      </w:pPr>
    </w:p>
    <w:p>
      <w:pPr>
        <w:jc w:val="both"/>
        <w:ind w:left="980" w:hanging="324"/>
        <w:spacing w:after="0" w:line="252" w:lineRule="auto"/>
        <w:tabs>
          <w:tab w:leader="none" w:pos="98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extend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w:t>
      </w:r>
    </w:p>
    <w:p>
      <w:pPr>
        <w:spacing w:after="0" w:line="200" w:lineRule="exact"/>
        <w:rPr>
          <w:sz w:val="20"/>
          <w:szCs w:val="20"/>
          <w:color w:val="auto"/>
        </w:rPr>
      </w:pPr>
    </w:p>
    <w:p>
      <w:pPr>
        <w:spacing w:after="0" w:line="3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396" w:right="239" w:bottom="1440" w:gutter="0" w:footer="0" w:header="0"/>
        </w:sectPr>
      </w:pPr>
    </w:p>
    <w:bookmarkStart w:id="76" w:name="page77"/>
    <w:bookmarkEnd w:id="76"/>
    <w:p>
      <w:pPr>
        <w:ind w:left="980"/>
        <w:spacing w:after="0" w:line="369" w:lineRule="auto"/>
        <w:rPr>
          <w:sz w:val="20"/>
          <w:szCs w:val="20"/>
          <w:color w:val="auto"/>
        </w:rPr>
      </w:pPr>
      <w:r>
        <w:rPr>
          <w:rFonts w:ascii="Times New Roman" w:cs="Times New Roman" w:eastAsia="Times New Roman" w:hAnsi="Times New Roman"/>
          <w:sz w:val="16"/>
          <w:szCs w:val="16"/>
          <w:color w:val="auto"/>
        </w:rPr>
        <w:t>long-service awards, holiday pay, pension, or retirement benefits or similar payments. The grant of RSUs should in no event be considered as compensation for, or relating in any way to, past services for the Company or the Employer.</w:t>
      </w:r>
    </w:p>
    <w:p>
      <w:pPr>
        <w:spacing w:after="0" w:line="82" w:lineRule="exact"/>
        <w:rPr>
          <w:sz w:val="20"/>
          <w:szCs w:val="20"/>
          <w:color w:val="auto"/>
        </w:rPr>
      </w:pPr>
    </w:p>
    <w:p>
      <w:pPr>
        <w:jc w:val="both"/>
        <w:ind w:left="980" w:hanging="324"/>
        <w:spacing w:after="0" w:line="255"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30" w:lineRule="exact"/>
        <w:rPr>
          <w:rFonts w:ascii="Times New Roman" w:cs="Times New Roman" w:eastAsia="Times New Roman" w:hAnsi="Times New Roman"/>
          <w:sz w:val="16"/>
          <w:szCs w:val="16"/>
          <w:color w:val="auto"/>
        </w:rPr>
      </w:pPr>
    </w:p>
    <w:p>
      <w:pPr>
        <w:jc w:val="both"/>
        <w:ind w:left="980" w:hanging="324"/>
        <w:spacing w:after="0" w:line="253"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32" w:lineRule="exact"/>
        <w:rPr>
          <w:rFonts w:ascii="Times New Roman" w:cs="Times New Roman" w:eastAsia="Times New Roman" w:hAnsi="Times New Roman"/>
          <w:sz w:val="16"/>
          <w:szCs w:val="16"/>
          <w:color w:val="auto"/>
        </w:rPr>
      </w:pPr>
    </w:p>
    <w:p>
      <w:pPr>
        <w:jc w:val="both"/>
        <w:ind w:left="980" w:hanging="324"/>
        <w:spacing w:after="0" w:line="263"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24"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67" w:lineRule="exact"/>
        <w:rPr>
          <w:rFonts w:ascii="Times New Roman" w:cs="Times New Roman" w:eastAsia="Times New Roman" w:hAnsi="Times New Roman"/>
          <w:sz w:val="16"/>
          <w:szCs w:val="16"/>
          <w:color w:val="auto"/>
        </w:rPr>
      </w:pPr>
    </w:p>
    <w:p>
      <w:pPr>
        <w:ind w:left="980" w:right="20" w:hanging="324"/>
        <w:spacing w:after="0" w:line="281"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09" w:lineRule="exact"/>
        <w:rPr>
          <w:rFonts w:ascii="Times New Roman" w:cs="Times New Roman" w:eastAsia="Times New Roman" w:hAnsi="Times New Roman"/>
          <w:sz w:val="16"/>
          <w:szCs w:val="16"/>
          <w:color w:val="auto"/>
        </w:rPr>
      </w:pPr>
    </w:p>
    <w:p>
      <w:pPr>
        <w:ind w:left="980" w:right="20" w:hanging="324"/>
        <w:spacing w:after="0" w:line="281"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09" w:lineRule="exact"/>
        <w:rPr>
          <w:rFonts w:ascii="Times New Roman" w:cs="Times New Roman" w:eastAsia="Times New Roman" w:hAnsi="Times New Roman"/>
          <w:sz w:val="16"/>
          <w:szCs w:val="16"/>
          <w:color w:val="auto"/>
        </w:rPr>
      </w:pPr>
    </w:p>
    <w:p>
      <w:pPr>
        <w:jc w:val="both"/>
        <w:ind w:left="980" w:hanging="324"/>
        <w:spacing w:after="0" w:line="255"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U.S.A., Attention: Stock Plan Administrator. Each notice to the Participant shall be addressed to the Participant at the Participant’s last known mailing or email address, as applicable, on the records of the Company.</w:t>
      </w:r>
    </w:p>
    <w:p>
      <w:pPr>
        <w:spacing w:after="0" w:line="130" w:lineRule="exact"/>
        <w:rPr>
          <w:rFonts w:ascii="Times New Roman" w:cs="Times New Roman" w:eastAsia="Times New Roman" w:hAnsi="Times New Roman"/>
          <w:sz w:val="16"/>
          <w:szCs w:val="16"/>
          <w:color w:val="auto"/>
        </w:rPr>
      </w:pPr>
    </w:p>
    <w:p>
      <w:pPr>
        <w:ind w:left="980" w:right="20" w:hanging="324"/>
        <w:spacing w:after="0" w:line="281"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09" w:lineRule="exact"/>
        <w:rPr>
          <w:rFonts w:ascii="Times New Roman" w:cs="Times New Roman" w:eastAsia="Times New Roman" w:hAnsi="Times New Roman"/>
          <w:sz w:val="16"/>
          <w:szCs w:val="16"/>
          <w:color w:val="auto"/>
        </w:rPr>
      </w:pPr>
    </w:p>
    <w:p>
      <w:pPr>
        <w:ind w:left="980" w:hanging="324"/>
        <w:spacing w:after="0" w:line="281"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09" w:lineRule="exact"/>
        <w:rPr>
          <w:rFonts w:ascii="Times New Roman" w:cs="Times New Roman" w:eastAsia="Times New Roman" w:hAnsi="Times New Roman"/>
          <w:sz w:val="16"/>
          <w:szCs w:val="16"/>
          <w:color w:val="auto"/>
        </w:rPr>
      </w:pPr>
    </w:p>
    <w:p>
      <w:pPr>
        <w:ind w:left="980" w:hanging="324"/>
        <w:spacing w:after="0" w:line="281"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09" w:lineRule="exact"/>
        <w:rPr>
          <w:rFonts w:ascii="Times New Roman" w:cs="Times New Roman" w:eastAsia="Times New Roman" w:hAnsi="Times New Roman"/>
          <w:sz w:val="16"/>
          <w:szCs w:val="16"/>
          <w:color w:val="auto"/>
        </w:rPr>
      </w:pPr>
    </w:p>
    <w:p>
      <w:pPr>
        <w:jc w:val="both"/>
        <w:ind w:left="980" w:hanging="324"/>
        <w:spacing w:after="0" w:line="250"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w:t>
      </w:r>
    </w:p>
    <w:p>
      <w:pPr>
        <w:spacing w:after="0" w:line="200" w:lineRule="exact"/>
        <w:rPr>
          <w:sz w:val="20"/>
          <w:szCs w:val="20"/>
          <w:color w:val="auto"/>
        </w:rPr>
      </w:pPr>
    </w:p>
    <w:p>
      <w:pPr>
        <w:spacing w:after="0" w:line="3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396" w:right="239" w:bottom="1440" w:gutter="0" w:footer="0" w:header="0"/>
        </w:sectPr>
      </w:pPr>
    </w:p>
    <w:bookmarkStart w:id="77" w:name="page78"/>
    <w:bookmarkEnd w:id="77"/>
    <w:p>
      <w:pPr>
        <w:ind w:left="980" w:right="20"/>
        <w:spacing w:after="0" w:line="369" w:lineRule="auto"/>
        <w:rPr>
          <w:sz w:val="20"/>
          <w:szCs w:val="20"/>
          <w:color w:val="auto"/>
        </w:rPr>
      </w:pPr>
      <w:r>
        <w:rPr>
          <w:rFonts w:ascii="Times New Roman" w:cs="Times New Roman" w:eastAsia="Times New Roman" w:hAnsi="Times New Roman"/>
          <w:sz w:val="16"/>
          <w:szCs w:val="16"/>
          <w:color w:val="auto"/>
        </w:rPr>
        <w:t>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82" w:lineRule="exact"/>
        <w:rPr>
          <w:sz w:val="20"/>
          <w:szCs w:val="20"/>
          <w:color w:val="auto"/>
        </w:rPr>
      </w:pPr>
    </w:p>
    <w:p>
      <w:pPr>
        <w:ind w:left="980" w:hanging="324"/>
        <w:spacing w:after="0" w:line="281"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09" w:lineRule="exact"/>
        <w:rPr>
          <w:rFonts w:ascii="Times New Roman" w:cs="Times New Roman" w:eastAsia="Times New Roman" w:hAnsi="Times New Roman"/>
          <w:sz w:val="16"/>
          <w:szCs w:val="16"/>
          <w:color w:val="auto"/>
        </w:rPr>
      </w:pPr>
    </w:p>
    <w:p>
      <w:pPr>
        <w:jc w:val="both"/>
        <w:ind w:left="980" w:hanging="324"/>
        <w:spacing w:after="0" w:line="263"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24" w:lineRule="exact"/>
        <w:rPr>
          <w:rFonts w:ascii="Times New Roman" w:cs="Times New Roman" w:eastAsia="Times New Roman" w:hAnsi="Times New Roman"/>
          <w:sz w:val="16"/>
          <w:szCs w:val="16"/>
          <w:color w:val="auto"/>
        </w:rPr>
      </w:pPr>
    </w:p>
    <w:p>
      <w:pPr>
        <w:jc w:val="both"/>
        <w:ind w:left="980" w:hanging="324"/>
        <w:spacing w:after="0" w:line="263"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24" w:lineRule="exact"/>
        <w:rPr>
          <w:rFonts w:ascii="Times New Roman" w:cs="Times New Roman" w:eastAsia="Times New Roman" w:hAnsi="Times New Roman"/>
          <w:sz w:val="16"/>
          <w:szCs w:val="16"/>
          <w:color w:val="auto"/>
        </w:rPr>
      </w:pPr>
    </w:p>
    <w:p>
      <w:pPr>
        <w:jc w:val="both"/>
        <w:ind w:left="980" w:hanging="324"/>
        <w:spacing w:after="0" w:line="258"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27" w:lineRule="exact"/>
        <w:rPr>
          <w:rFonts w:ascii="Times New Roman" w:cs="Times New Roman" w:eastAsia="Times New Roman" w:hAnsi="Times New Roman"/>
          <w:sz w:val="16"/>
          <w:szCs w:val="16"/>
          <w:color w:val="auto"/>
        </w:rPr>
      </w:pPr>
    </w:p>
    <w:p>
      <w:pPr>
        <w:jc w:val="both"/>
        <w:ind w:left="980" w:hanging="324"/>
        <w:spacing w:after="0" w:line="255"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RSUs shall be subject to any special terms and conditions for such country as may be set forth in Appendix A to this Agreement. Moreover, if the Participant relocates to one of the countries included in Appendix A, the special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30" w:lineRule="exact"/>
        <w:rPr>
          <w:rFonts w:ascii="Times New Roman" w:cs="Times New Roman" w:eastAsia="Times New Roman" w:hAnsi="Times New Roman"/>
          <w:sz w:val="16"/>
          <w:szCs w:val="16"/>
          <w:color w:val="auto"/>
        </w:rPr>
      </w:pPr>
    </w:p>
    <w:p>
      <w:pPr>
        <w:jc w:val="both"/>
        <w:ind w:left="980" w:hanging="324"/>
        <w:spacing w:after="0" w:line="258"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27" w:lineRule="exact"/>
        <w:rPr>
          <w:rFonts w:ascii="Times New Roman" w:cs="Times New Roman" w:eastAsia="Times New Roman" w:hAnsi="Times New Roman"/>
          <w:sz w:val="16"/>
          <w:szCs w:val="16"/>
          <w:color w:val="auto"/>
        </w:rPr>
      </w:pPr>
    </w:p>
    <w:p>
      <w:pPr>
        <w:jc w:val="both"/>
        <w:ind w:left="980" w:hanging="324"/>
        <w:spacing w:after="0" w:line="258"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27" w:lineRule="exact"/>
        <w:rPr>
          <w:rFonts w:ascii="Times New Roman" w:cs="Times New Roman" w:eastAsia="Times New Roman" w:hAnsi="Times New Roman"/>
          <w:sz w:val="16"/>
          <w:szCs w:val="16"/>
          <w:color w:val="auto"/>
        </w:rPr>
      </w:pPr>
    </w:p>
    <w:p>
      <w:pPr>
        <w:jc w:val="both"/>
        <w:ind w:left="980" w:hanging="324"/>
        <w:spacing w:after="0" w:line="258"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27" w:lineRule="exact"/>
        <w:rPr>
          <w:rFonts w:ascii="Times New Roman" w:cs="Times New Roman" w:eastAsia="Times New Roman" w:hAnsi="Times New Roman"/>
          <w:sz w:val="16"/>
          <w:szCs w:val="16"/>
          <w:color w:val="auto"/>
        </w:rPr>
      </w:pPr>
    </w:p>
    <w:p>
      <w:pPr>
        <w:jc w:val="both"/>
        <w:ind w:left="980" w:hanging="324"/>
        <w:spacing w:after="0" w:line="263"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24" w:lineRule="exact"/>
        <w:rPr>
          <w:rFonts w:ascii="Times New Roman" w:cs="Times New Roman" w:eastAsia="Times New Roman" w:hAnsi="Times New Roman"/>
          <w:sz w:val="16"/>
          <w:szCs w:val="16"/>
          <w:color w:val="auto"/>
        </w:rPr>
      </w:pPr>
    </w:p>
    <w:p>
      <w:pPr>
        <w:jc w:val="both"/>
        <w:ind w:left="980" w:hanging="324"/>
        <w:spacing w:after="0" w:line="250" w:lineRule="auto"/>
        <w:tabs>
          <w:tab w:leader="none" w:pos="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acknowledges that, depending on the Participant’s or the Participant’s broker’s country of residence or where the Common Stock is listed,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w:t>
      </w:r>
    </w:p>
    <w:p>
      <w:pPr>
        <w:spacing w:after="0" w:line="200" w:lineRule="exact"/>
        <w:rPr>
          <w:sz w:val="20"/>
          <w:szCs w:val="20"/>
          <w:color w:val="auto"/>
        </w:rPr>
      </w:pPr>
    </w:p>
    <w:p>
      <w:pPr>
        <w:spacing w:after="0" w:line="38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396" w:right="239" w:bottom="1440" w:gutter="0" w:footer="0" w:header="0"/>
        </w:sectPr>
      </w:pPr>
    </w:p>
    <w:bookmarkStart w:id="78" w:name="page79"/>
    <w:bookmarkEnd w:id="78"/>
    <w:p>
      <w:pPr>
        <w:ind w:left="980"/>
        <w:spacing w:after="0" w:line="369" w:lineRule="auto"/>
        <w:rPr>
          <w:sz w:val="20"/>
          <w:szCs w:val="20"/>
          <w:color w:val="auto"/>
        </w:rPr>
      </w:pPr>
      <w:r>
        <w:rPr>
          <w:rFonts w:ascii="Times New Roman" w:cs="Times New Roman" w:eastAsia="Times New Roman" w:hAnsi="Times New Roman"/>
          <w:sz w:val="16"/>
          <w:szCs w:val="16"/>
          <w:color w:val="auto"/>
        </w:rPr>
        <w:t>policy. The Participant acknowledges that it is his or her responsibility to comply with any applicable restrictions, and the Participant should speak to his or her personal advisor on this matter.</w:t>
      </w:r>
    </w:p>
    <w:p>
      <w:pPr>
        <w:spacing w:after="0" w:line="82" w:lineRule="exact"/>
        <w:rPr>
          <w:sz w:val="20"/>
          <w:szCs w:val="20"/>
          <w:color w:val="auto"/>
        </w:rPr>
      </w:pPr>
    </w:p>
    <w:p>
      <w:pPr>
        <w:jc w:val="both"/>
        <w:ind w:left="980" w:hanging="324"/>
        <w:spacing w:after="0" w:line="251" w:lineRule="auto"/>
        <w:tabs>
          <w:tab w:leader="none" w:pos="9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Depending on the Participant’s country,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35" w:lineRule="exact"/>
        <w:rPr>
          <w:rFonts w:ascii="Times New Roman" w:cs="Times New Roman" w:eastAsia="Times New Roman" w:hAnsi="Times New Roman"/>
          <w:sz w:val="16"/>
          <w:szCs w:val="16"/>
          <w:color w:val="auto"/>
        </w:rPr>
      </w:pPr>
    </w:p>
    <w:p>
      <w:pPr>
        <w:ind w:left="980" w:hanging="324"/>
        <w:spacing w:after="0" w:line="281" w:lineRule="auto"/>
        <w:tabs>
          <w:tab w:leader="none" w:pos="9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74"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50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 Ray Stata</w:t>
            </w:r>
          </w:p>
        </w:tc>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Vincent Roche</w:t>
            </w:r>
          </w:p>
        </w:tc>
      </w:tr>
      <w:tr>
        <w:trPr>
          <w:trHeight w:val="33"/>
        </w:trPr>
        <w:tc>
          <w:tcPr>
            <w:tcW w:w="2380" w:type="dxa"/>
            <w:vAlign w:val="bottom"/>
            <w:tcBorders>
              <w:bottom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1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Ray Stata</w:t>
            </w: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Vincent Roche</w:t>
            </w:r>
          </w:p>
        </w:tc>
      </w:tr>
      <w:tr>
        <w:trPr>
          <w:trHeight w:val="249"/>
        </w:trPr>
        <w:tc>
          <w:tcPr>
            <w:tcW w:w="23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&amp; Chief Executive</w:t>
            </w: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Chairman of the Board</w:t>
            </w: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396" w:right="239" w:bottom="1440" w:gutter="0" w:footer="0" w:header="0"/>
        </w:sectPr>
      </w:pPr>
    </w:p>
    <w:bookmarkStart w:id="79" w:name="page80"/>
    <w:bookmarkEnd w:id="79"/>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15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2018.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154"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51"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1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Technology Way, Norwood, Massachusetts, 02062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8" w:lineRule="exact"/>
        <w:rPr>
          <w:sz w:val="20"/>
          <w:szCs w:val="20"/>
          <w:color w:val="auto"/>
        </w:rPr>
      </w:pPr>
    </w:p>
    <w:p>
      <w:pPr>
        <w:jc w:val="both"/>
        <w:ind w:left="660" w:hanging="328"/>
        <w:spacing w:after="0" w:line="255" w:lineRule="auto"/>
        <w:tabs>
          <w:tab w:leader="none" w:pos="660" w:val="left"/>
        </w:tabs>
        <w:numPr>
          <w:ilvl w:val="0"/>
          <w:numId w:val="7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319" w:lineRule="exact"/>
        <w:rPr>
          <w:rFonts w:ascii="Times New Roman" w:cs="Times New Roman" w:eastAsia="Times New Roman" w:hAnsi="Times New Roman"/>
          <w:sz w:val="16"/>
          <w:szCs w:val="16"/>
          <w:b w:val="1"/>
          <w:bCs w:val="1"/>
          <w:i w:val="1"/>
          <w:iCs w:val="1"/>
          <w:color w:val="auto"/>
        </w:rPr>
      </w:pPr>
    </w:p>
    <w:p>
      <w:pPr>
        <w:jc w:val="both"/>
        <w:ind w:left="660" w:hanging="328"/>
        <w:spacing w:after="0" w:line="256"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26" w:lineRule="exact"/>
        <w:rPr>
          <w:rFonts w:ascii="Times New Roman" w:cs="Times New Roman" w:eastAsia="Times New Roman" w:hAnsi="Times New Roman"/>
          <w:sz w:val="16"/>
          <w:szCs w:val="16"/>
          <w:color w:val="auto"/>
        </w:rPr>
      </w:pPr>
    </w:p>
    <w:p>
      <w:pPr>
        <w:jc w:val="both"/>
        <w:ind w:left="660" w:hanging="328"/>
        <w:spacing w:after="0" w:line="259"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For example, the European Commission has issued a limited adequacy finding with respect to the United States that applies only to the extent companies register for the EU-U.S. Privacy Shield program. The Company’s legal basis for the transfer of the Employee’s personal data is his or her consent.</w:t>
      </w:r>
    </w:p>
    <w:p>
      <w:pPr>
        <w:spacing w:after="0" w:line="124" w:lineRule="exact"/>
        <w:rPr>
          <w:rFonts w:ascii="Times New Roman" w:cs="Times New Roman" w:eastAsia="Times New Roman" w:hAnsi="Times New Roman"/>
          <w:sz w:val="16"/>
          <w:szCs w:val="16"/>
          <w:color w:val="auto"/>
        </w:rPr>
      </w:pPr>
    </w:p>
    <w:p>
      <w:pPr>
        <w:jc w:val="both"/>
        <w:ind w:left="660" w:hanging="328"/>
        <w:spacing w:after="0" w:line="266"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 If the Company keeps data longer, it would be to satisfy legal or regulatory obligations and the Company’s legal basis would be relevant laws or regulations.</w:t>
      </w:r>
    </w:p>
    <w:p>
      <w:pPr>
        <w:spacing w:after="0" w:line="117" w:lineRule="exact"/>
        <w:rPr>
          <w:rFonts w:ascii="Times New Roman" w:cs="Times New Roman" w:eastAsia="Times New Roman" w:hAnsi="Times New Roman"/>
          <w:sz w:val="16"/>
          <w:szCs w:val="16"/>
          <w:color w:val="auto"/>
        </w:rPr>
      </w:pPr>
    </w:p>
    <w:p>
      <w:pPr>
        <w:jc w:val="both"/>
        <w:ind w:left="660" w:hanging="328"/>
        <w:spacing w:after="0" w:line="259"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24" w:lineRule="exact"/>
        <w:rPr>
          <w:rFonts w:ascii="Times New Roman" w:cs="Times New Roman" w:eastAsia="Times New Roman" w:hAnsi="Times New Roman"/>
          <w:sz w:val="16"/>
          <w:szCs w:val="16"/>
          <w:color w:val="auto"/>
        </w:rPr>
      </w:pPr>
    </w:p>
    <w:p>
      <w:pPr>
        <w:ind w:left="660" w:hanging="328"/>
        <w:spacing w:after="0" w:line="286"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w:t>
      </w:r>
    </w:p>
    <w:p>
      <w:pPr>
        <w:spacing w:after="0" w:line="33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0" w:name="page81"/>
    <w:bookmarkEnd w:id="80"/>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660" w:hanging="4"/>
        <w:spacing w:after="0" w:line="347" w:lineRule="auto"/>
        <w:tabs>
          <w:tab w:leader="none" w:pos="892" w:val="left"/>
        </w:tabs>
        <w:numPr>
          <w:ilvl w:val="0"/>
          <w:numId w:val="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Technology Way, Norwood, Massachusetts, 02062 U.S.A., Attention: Stock Plan Administrator.</w:t>
      </w:r>
    </w:p>
    <w:p>
      <w:pPr>
        <w:spacing w:after="0" w:line="97"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or European Union member state and agrees with the data processing practices described in this notice, the Participant declares his or her consent by clicking “Accept Your Grant” on the Accepting Your Grants page on Fidelity’s participant website.</w:t>
      </w:r>
    </w:p>
    <w:p>
      <w:pPr>
        <w:spacing w:after="0" w:line="133"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Australian Offer Documen</w:t>
      </w:r>
      <w:r>
        <w:rPr>
          <w:rFonts w:ascii="Times New Roman" w:cs="Times New Roman" w:eastAsia="Times New Roman" w:hAnsi="Times New Roman"/>
          <w:sz w:val="16"/>
          <w:szCs w:val="16"/>
          <w:color w:val="auto"/>
        </w:rPr>
        <w:t>t. This offer of Restricted Stock Units is intended to comply with the provisions of the Corporations Act 2001, ASIC Regulatory Guide 49 and ASIC Class Order CO 14/1000. Additional details are set forth in the Offer Document for the offer of Restricted Stock Units to Australian resident employees, which is attached hereto as Appendix B.</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Times New Roman" w:cs="Times New Roman" w:eastAsia="Times New Roman" w:hAnsi="Times New Roman"/>
          <w:sz w:val="16"/>
          <w:szCs w:val="16"/>
          <w:i w:val="1"/>
          <w:iCs w:val="1"/>
          <w:color w:val="auto"/>
        </w:rPr>
        <w:t>Standmeldung/Wertpapiere</w:t>
      </w:r>
      <w:r>
        <w:rPr>
          <w:rFonts w:ascii="Times New Roman" w:cs="Times New Roman" w:eastAsia="Times New Roman" w:hAnsi="Times New Roman"/>
          <w:sz w:val="16"/>
          <w:szCs w:val="16"/>
          <w:color w:val="auto"/>
        </w:rPr>
        <w:t>.” An exemption applies if the value of the securities held outside Austria as of December 31 does not exceed €5,000,000 or the value of the securities as of any quarter does not exceed €30,000,000. If the former threshold is exceeded, then the annual reporting obligations are imposed, whereas if the latter threshold is exceeded, then quarterly reports must be submitted. The deadline for filing the annual report is January 31 of the following year.</w:t>
      </w:r>
    </w:p>
    <w:p>
      <w:pPr>
        <w:spacing w:after="0" w:line="15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€10,000,000, then no ongoing reporting requirements apply. However, if the transaction volume of all of the Participant’s cash accounts abroad meets or exceeds €10,000,000, then the movements and the balance of all accounts must be reported monthly,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19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154"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157"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Brokerage Account Tax</w:t>
      </w:r>
      <w:r>
        <w:rPr>
          <w:rFonts w:ascii="Times New Roman" w:cs="Times New Roman" w:eastAsia="Times New Roman" w:hAnsi="Times New Roman"/>
          <w:sz w:val="16"/>
          <w:szCs w:val="16"/>
          <w:color w:val="auto"/>
        </w:rPr>
        <w:t>: A brokerage account tax applies to Belgian residents if the average annual value of securities (including Shares acquired under the Plan) held in a brokerage account exceeds certain thresholds. Belgian residents should consult with a personal tax or financial advisor for additional details on their obligations with respect to the brokerage account tax.</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36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1" w:name="page82"/>
    <w:bookmarkEnd w:id="81"/>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51"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13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15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19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13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French Language Acknowledgment</w:t>
      </w:r>
      <w:r>
        <w:rPr>
          <w:rFonts w:ascii="Times New Roman" w:cs="Times New Roman" w:eastAsia="Times New Roman" w:hAnsi="Times New Roman"/>
          <w:sz w:val="16"/>
          <w:szCs w:val="16"/>
          <w:color w:val="auto"/>
        </w:rPr>
        <w:t>. This provision supplements Section 9(q) of the Agreement:</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34"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19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33"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subsidiary or affiliate of the Company.</w:t>
      </w:r>
    </w:p>
    <w:p>
      <w:pPr>
        <w:spacing w:after="0" w:line="160"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w:t>
      </w:r>
    </w:p>
    <w:p>
      <w:pPr>
        <w:spacing w:after="0" w:line="17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2" w:name="page83"/>
    <w:bookmarkEnd w:id="82"/>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color w:val="auto"/>
        </w:rPr>
        <w:t>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16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5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5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Tax Liability</w:t>
      </w:r>
      <w:r>
        <w:rPr>
          <w:rFonts w:ascii="Times New Roman" w:cs="Times New Roman" w:eastAsia="Times New Roman" w:hAnsi="Times New Roman"/>
          <w:sz w:val="16"/>
          <w:szCs w:val="16"/>
          <w:color w:val="auto"/>
        </w:rPr>
        <w:t>. Taxes are due at the time of vesting of the RSUs. The Participant understands and agrees that Tax-Related Items may be taken by the Employer from the Participant’s salary or other cash compensation.</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19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and is attached hereto as Appendix C.</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194"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134"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6"/>
          <w:szCs w:val="16"/>
          <w:u w:val="single" w:color="auto"/>
          <w:color w:val="auto"/>
        </w:rPr>
        <w:t>Exchange Control and Tax Information</w:t>
      </w:r>
      <w:r>
        <w:rPr>
          <w:rFonts w:ascii="Times New Roman" w:cs="Times New Roman" w:eastAsia="Times New Roman" w:hAnsi="Times New Roman"/>
          <w:sz w:val="16"/>
          <w:szCs w:val="16"/>
          <w:color w:val="auto"/>
        </w:rPr>
        <w:t>. The Participant may hold Shares acquired under the Plan in a safety-deposit account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 brokerage account) either with a Danish bank or with an approved foreign broker or bank. If the Shares are held with a non-Danish broker or bank, the Participant is required to inform the Danish Tax Administration about the safety-deposit account. For this purpose, the Participant must file a Declaration V (Erklaering V) with the Danish Tax Administration. The Form V must be signed by the Participant and may be signed by the bank/broker. In the event that the applicable broker or bank with which the safety-deposit account is held does not wish to, or, pursuant to the laws of the country in question, is not allowed to assume such obligation to report, the Participant acknowledges that he or she is solely responsible for providing certain details regarding the foreign brokerage or bank account and any Shares acquired at vesting and held in such account to the Danish Tax Administration as part of the Participant’s annual income tax return. By signing the Declaration V, the Participant at the same time authorizes the Danish Tax Administration to examine the account. A sample of the Declaration V can be found at the following website: www.skat.dk/getFile.aspx?Id=47392.</w:t>
      </w:r>
    </w:p>
    <w:p>
      <w:pPr>
        <w:spacing w:after="0" w:line="164"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6"/>
          <w:szCs w:val="16"/>
          <w:color w:val="auto"/>
        </w:rPr>
        <w:t>In addition, if the Participant opens a deposit account or brokerage account for the purpose of holding cash outside Denmark, the bank or brokerage account, as applicable, will be treated as a deposit account because cash can be held in the account. Therefore, the Participant must also file a Declaration K (Erklaering K) with the Danish Tax Administration. Both the Participant and the bank/broker must sign the Declaration K, unless an exemption from the broker/bank signature requirement is granted by the Danish Tax Administration. It is possible to seek the exemption on the Form K, which the Participant should do at the time he or she submits the Form K. By signing the Declaration K, the Participant (and the bank/broker to the extent the exemption is not granted) undertakes an obligation, without further request each year (no later than on February 1 of the year following the calendar year to which the information relates), to forward certain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Participant acknowledges that he or she is solely responsible for providing certain details regarding the foreign brokerage or bank account to the Danish Tax Administration as part of the Participant’s annual income tax return. By signing the Declaration K, the Participant at the same time authorizes the Danish Tax Administration to examine the account. A sample of Declaration K can be found at the following website: www.skat.dk/getFile.aspx?Id=42409&amp;newwindow=true.</w:t>
      </w:r>
    </w:p>
    <w:p>
      <w:pPr>
        <w:spacing w:after="0" w:line="3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3" w:name="page84"/>
    <w:bookmarkEnd w:id="83"/>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 (Please note that these obligations are separate from and in addition to the obligations described above.)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19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French-Qualified RSUs</w:t>
      </w:r>
      <w:r>
        <w:rPr>
          <w:rFonts w:ascii="Times New Roman" w:cs="Times New Roman" w:eastAsia="Times New Roman" w:hAnsi="Times New Roman"/>
          <w:sz w:val="16"/>
          <w:szCs w:val="16"/>
          <w:color w:val="auto"/>
        </w:rPr>
        <w:t>. The RSUs are intended to qualify for the favorable tax and social security regime in France under Section L. 225-197-1 to L. 225-197-6-1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157"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RSUs are subject to the terms and conditions of the Plan and the Rules of the Analog Devices, Inc. Amended and Restated 2006 Stock Incentive Plan for Grants to Participant in France (the “French Sub-plan”). To the extent that any term is defined in both the Plan and the French Sub-plan, for purposes of this grant of a French-qualified RSUs, the definitions in the French Sub-plan shall prevail.</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19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and as determined under Section 2(d) of the Agreement) to benefit from the favorable tax and social security regime, no vesting shall occur prior to the second anniversary of the Date of Grant, or such other minimum period as required for the vesting period applicable to French-qualified RSUs under Section L.225-197-1 of the French Commercial Code, as amended, or relevant Sections of the French Tax Code or the French Social Security Code, as amended.</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and as determined under Section 2(d) of the Agreement), the Unvested RSUs as of the date of the Participant’s termination shall vest in full as of the date of the termination.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194"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RSUs prior to the second anniversary of each of the respective vesting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16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Further, as long as the RSUs and the Shares acquired at vesting of the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00" w:lineRule="exact"/>
        <w:rPr>
          <w:sz w:val="20"/>
          <w:szCs w:val="20"/>
          <w:color w:val="auto"/>
        </w:rPr>
      </w:pPr>
    </w:p>
    <w:p>
      <w:pPr>
        <w:spacing w:after="0" w:line="2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4" w:name="page85"/>
    <w:bookmarkEnd w:id="84"/>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Certain adjustments may disqualify the RSUs, in which case they may no longer benefit from favorable tax and social security treatment in France.</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3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34" w:lineRule="exact"/>
        <w:rPr>
          <w:sz w:val="20"/>
          <w:szCs w:val="20"/>
          <w:color w:val="auto"/>
        </w:rPr>
      </w:pPr>
    </w:p>
    <w:p>
      <w:pPr>
        <w:jc w:val="both"/>
        <w:ind w:left="340"/>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35"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19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can be accessed via the Bundesbank’s website (www.bundesbank.de) and is available in both German and English. It is Participant’s responsibility to comply with this reporting obligation and the Participant should consult with his or her personal tax advisor in this regard.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196"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RSUs vest within six months of the Date of Grant, the Participant agrees not to sell any Shares acquired upon vesting of the RSUs prior to the six-month anniversary of the Date of Grant.</w:t>
      </w:r>
    </w:p>
    <w:p>
      <w:pPr>
        <w:spacing w:after="0" w:line="13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 exercise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19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5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39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5" w:name="page86"/>
    <w:bookmarkEnd w:id="85"/>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By accepting the RSUs, the Participant acknowledges, understands, and agrees that the benefits received under the Plan will not be taken into account for any redundancy or unfair dismissal claim.</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19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RSUs are offered subject to and in accordance with the terms of the Israeli Sub-Plan (the “Sub-Plan”) under the 102 Capital Gains Track (as defined in the Sub-Plan), the Trust Agreement between the trustee appointed by Analog Devices, (Israel) Ltd. (the “Trustee”), the Agreement, and the Plan. In the event of any inconsistencies among the Sub-Plan, the Agreement and/or the Plan, the Participant agrees that the Sub-Plan will govern the RSUs granted to the Participant in Israel.</w:t>
      </w:r>
    </w:p>
    <w:p>
      <w:pPr>
        <w:spacing w:after="0" w:line="15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D within 45 days to: Stock Plan Administrator, Analog Devices, Inc., One Technology Way, Norwood, Massachusetts, 02062 U.S.A. If Analog Devices, (Israel) Ltd. or Analog Devices, Inc. does not receive the signed Israeli Appendix within 45 days, the RSUs shall terminate and will become null and void.</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194"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194" w:lineRule="exact"/>
        <w:rPr>
          <w:sz w:val="20"/>
          <w:szCs w:val="20"/>
          <w:color w:val="auto"/>
        </w:rPr>
      </w:pPr>
    </w:p>
    <w:p>
      <w:pPr>
        <w:jc w:val="both"/>
        <w:ind w:left="340"/>
        <w:spacing w:after="0" w:line="271"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In accepting the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78"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13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15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19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6" w:name="page87"/>
    <w:bookmarkEnd w:id="86"/>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1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7" w:name="page88"/>
    <w:bookmarkEnd w:id="87"/>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166370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166370</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166370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166370</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166370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166370</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166370</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166370</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166370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166370</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166370</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166370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166370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166370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166370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166370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166370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166370</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166370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166370</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166370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166370</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166370</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166370</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166370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166370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166370</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166370</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166370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166370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166370</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166370</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166370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166370</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166370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166370</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166370</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166370</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166370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166370</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166370</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166370</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166370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166370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166370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166370</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166370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166370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166370</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166370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166370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166370</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166370</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166370</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166370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166370</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166370</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166370</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166370</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166370</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166370</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166370</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166370</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166370</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166370</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166370</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166370</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166370</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166370</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166370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166370</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166370</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166370</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166370</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166370</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166370</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166370</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166370</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166370</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166370</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166370</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166370</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166370</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166370</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166370</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166370</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166370</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166370</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166370</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166370</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166370</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166370</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166370</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166370</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166370</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166370</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166370</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166370</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166370</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166370</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166370</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166370</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166370</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166370</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166370</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166370</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166370</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166370</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166370</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166370</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166370</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166370</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166370</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166370</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166370</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166370</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166370</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166370</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166370</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166370</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166370</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166370</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166370</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166370</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166370</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166370</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166370</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166370</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166370</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166370</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166370</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166370</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166370</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166370</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166370</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166370</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166370</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166370</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166370</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166370</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166370</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166370</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166370</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166370</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166370</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166370</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166370</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166370</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166370</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166370</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166370</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166370</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166370</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166370</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166370</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166370</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166370</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166370</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166370</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166370</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166370</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166370</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166370</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166370</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166370</wp:posOffset>
            </wp:positionV>
            <wp:extent cx="88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166370</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166370</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166370</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166370</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166370</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166370</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166370</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166370</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166370</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166370</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166370</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166370</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166370</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166370</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166370</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166370</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166370</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166370</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166370</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166370</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166370</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166370</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166370</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166370</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166370</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166370</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166370</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166370</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166370</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166370</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166370</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166370</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166370</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166370</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166370</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166370</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166370</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166370</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166370</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166370</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166370</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166370</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166370</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166370</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166370</wp:posOffset>
            </wp:positionV>
            <wp:extent cx="8890" cy="171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166370</wp:posOffset>
            </wp:positionV>
            <wp:extent cx="3087370" cy="171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5">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269"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The Participant hereby explicitly and unambiguously consents to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Peserta dengan ini secara eksplicit, secara sukarela dan tanpa sebarang keraguan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collection, use and transfer, in electronic or other form, of his or her</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mengizinkan pengumpulan, penggunaan dan pemindahan, dalam bentuk elektronik</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personal data as described in this document by and among, as applicable,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atau lain-lain, data peribadinya seperti yang dinyatakan dalam dokumen ini, oleh dan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the Employer, and the Company and its subsidiaries for the exclusive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 antara, sebagaimana yang berkenaan, Majikan, Syarikat, dan mana-mana anak</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purpose of implementing, administering and managing the Participant’s</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Syarikatnya bagi tujuan ekslusif untuk membantu dalam pelaksanaan, pentadbiran</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participation in the Plan.</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dan pengurusan penyertaan Peserta dalam Pelan.</w:t>
            </w:r>
          </w:p>
        </w:tc>
      </w:tr>
      <w:tr>
        <w:trPr>
          <w:trHeight w:val="397"/>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The Participant understands that the Company and the Employer may</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Peserta memahami bahawa Syarikat dan Majikan mungkin memegang maklumat</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hold certain personal information about the Participant, including, but not</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peribadi tertentu tentang Peserta, termasuk, tetapi tidak terhad kepada, namanya,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limited to, his or her name, home address and telephone number, date of</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alamat rumah dan nombor telefon, tarikh lahir, nombor insurans sosial atau nombor</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birth, social insurance number or other identification number, salary,</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pengenalan lain, gaji, kewarganegaraan, jawatan, apa-apa syer dalam saham atau</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nationality, job title, any shares of stock or directorships held in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jawatan pengarah yang dipegang dalam Syarikat, butir-butir semua RSUs atau apa-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Company, details of all RSUs or any other entitlement to shares of stock</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apa hak lain untuk syer dalam saham yang dianugerahkan, dibatalkan, dilaksanakan,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awarded, canceled, exercised, vested, unvested or outstanding in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terletak hak, tidak diletak hak ataupun yang belum dijelaskan bagi faedah Peserta,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Participant’s favor, for the purpose of implementing, administering and</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untuk  tujuan  eksklusif  bagi  melaksanakan,  mentadbir  dan  menguruskan  Pelan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managing the Plan (“Data”). The source of the Data is the Employer as</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(“Data”). Sumber Data adalah daripada Majikan dan juga daripada maklumat yang</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well as information the Participant is providing to the Company and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dibekalkan oleh Peserta kepada Syarikat dan Majikan berkenaan dengan RSUs.</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Employer in connection with the RSUs. The Participant understands that</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Penerima Anugerah juga memahami bahawa Data mungkin dipindahkan kepada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Data may be transferred to Fidelity or any other third parties as may be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Fidelity atau mana-mana pihak ketiga yang mungkin dipilih oleh Syarikat pada masa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selected by the Company in the future, which are assisting in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depan, </w:t>
            </w:r>
            <w:r>
              <w:rPr>
                <w:rFonts w:ascii="Times New Roman" w:cs="Times New Roman" w:eastAsia="Times New Roman" w:hAnsi="Times New Roman"/>
                <w:sz w:val="16"/>
                <w:szCs w:val="16"/>
                <w:color w:val="222222"/>
              </w:rPr>
              <w:t>yang membantu dalam pelaksanaan, pentadbiran dan pengurusan Pelan,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implementation, administration and management of the Plan, that these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bahawa penerima-penerima ini mungkin berada di negara Peserta atau di tempat lain,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recipients may be located in the Participant’s country or elsewhere and</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dan bahawa negara penerima (contohnya, Amerika Syarikat) mungkin mempunyai</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that the recipients’ country (e.g., the United States) may have different</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undang-undang privasi data dan perlindungan yang berbeza daripada negara Peserta.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data privacy laws and protections than the Participant’s country.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Peserta memahami bahawa dia boleh meminta senarai nama dan alamat mana-mana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Participant understands that he or she may request a list with the names</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 xml:space="preserve">penerima Data dengan menghubungi wakil sumber manusia tempatannya. </w:t>
            </w:r>
            <w:r>
              <w:rPr>
                <w:rFonts w:ascii="Times New Roman" w:cs="Times New Roman" w:eastAsia="Times New Roman" w:hAnsi="Times New Roman"/>
                <w:sz w:val="16"/>
                <w:szCs w:val="16"/>
                <w:color w:val="000000"/>
              </w:rPr>
              <w:t>Peserta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and addresses of any potential recipients of the Data by contacting his or</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memberi kuasa kepada Syarikat, Fidelity, dan mana-mana penerima lain yang</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her local human resources representative. The Participant authorizes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mungkin  membantu  Syarikat  (masa  sekarang  atau  pada  masa  depan)  untuk</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Company, Fidelity and any other possible recipients which may assist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melaksanakan, mentadbir dan menguruskan penyertaan Peserta dalam Pelan untuk</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Company (presently or in the future) with implementing, administering</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menerima, memiliki, menggunakan, mengekalkan dan memindahkan Data, dalam</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and managing the Plan to receive, possess, use, retain and transfer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bentuk elektronik atau lain-lain, semata-mata dengan tujuan untuk melaksanakan,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Data, in electronic or other form, for the sole purpose of implementing,</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mentadbir dan menguruskan penyertaan Peserta dalam Pelan, termasuk apa-apa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administering  and  managing  his  or  her  participation  in  the  Plan,</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pemindahan Data yang diperlukan kepada broker atau pihak ketiga dengan siapa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including any requisite transfer of such Data as may be required to a</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Peserta mungkin pilih untuk mendepositkan apa-apa Saham yang diperolehi di atas</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broker or other third party with whom the Participant may elect to</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penyelesaian Anugerah. </w:t>
            </w:r>
            <w:r>
              <w:rPr>
                <w:rFonts w:ascii="Times New Roman" w:cs="Times New Roman" w:eastAsia="Times New Roman" w:hAnsi="Times New Roman"/>
                <w:sz w:val="16"/>
                <w:szCs w:val="16"/>
                <w:color w:val="222222"/>
              </w:rPr>
              <w:t>Peserta memahami bahawa Data akan dipegang hanya untuk</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deposit  any  Shares  acquired  upon  settlement  of  the  Award.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tempoh  yang  diperlukan  untuk  melaksanakan,  mentadbir  dan  menguruskan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Participant understands that Data will be held only as long as is necessary</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 xml:space="preserve">penyertaannya dalam </w:t>
            </w:r>
            <w:r>
              <w:rPr>
                <w:rFonts w:ascii="Times New Roman" w:cs="Times New Roman" w:eastAsia="Times New Roman" w:hAnsi="Times New Roman"/>
                <w:sz w:val="16"/>
                <w:szCs w:val="16"/>
                <w:color w:val="000000"/>
              </w:rPr>
              <w:t>Pelan tersebut</w:t>
            </w:r>
            <w:r>
              <w:rPr>
                <w:rFonts w:ascii="Times New Roman" w:cs="Times New Roman" w:eastAsia="Times New Roman" w:hAnsi="Times New Roman"/>
                <w:sz w:val="16"/>
                <w:szCs w:val="16"/>
                <w:color w:val="222222"/>
              </w:rPr>
              <w:t xml:space="preserve">. </w:t>
            </w:r>
            <w:r>
              <w:rPr>
                <w:rFonts w:ascii="Times New Roman" w:cs="Times New Roman" w:eastAsia="Times New Roman" w:hAnsi="Times New Roman"/>
                <w:sz w:val="16"/>
                <w:szCs w:val="16"/>
                <w:color w:val="000000"/>
              </w:rPr>
              <w:t>Peserta memahami bahawa dia boleh, pada bila-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to implement, administer and manage the Participant’s participation in</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bila masa, </w:t>
            </w:r>
            <w:r>
              <w:rPr>
                <w:rFonts w:ascii="Times New Roman" w:cs="Times New Roman" w:eastAsia="Times New Roman" w:hAnsi="Times New Roman"/>
                <w:sz w:val="16"/>
                <w:szCs w:val="16"/>
                <w:color w:val="222222"/>
              </w:rPr>
              <w:t>melihat data, meminta maklumat tambahan mengenai penyimpanan dan</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the Plan. The Participant understands that he or she may, at any time,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pemprosesan Data, meminta bahawa pindaan-pindaan dilaksanakan ke atas Data atau</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view  Data,  request  additional  information  about  the  storage  and</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menolak atau menarik balik persetujuan dalam ini, dalam mana-mana kes, tanpa kos,</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processing of Data, require any necessary amendments to Data or refuse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dengan menghubungi secara bertulis wakil sumber manusia tempatannya. Peserta</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or withdraw the consents herein, in any case without cost, by contacting</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memahami  </w:t>
            </w:r>
            <w:r>
              <w:rPr>
                <w:rFonts w:ascii="Times New Roman" w:cs="Times New Roman" w:eastAsia="Times New Roman" w:hAnsi="Times New Roman"/>
                <w:sz w:val="16"/>
                <w:szCs w:val="16"/>
                <w:color w:val="222222"/>
              </w:rPr>
              <w:t>bahawa  keengganan  atau  penarikan  balik  persetujuannya  boleh</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in  writing  his  or  her  local  human  resources  representative.  The</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 xml:space="preserve">menjejaskan keupayaannya untuk mengambil bahagian dalam </w:t>
            </w:r>
            <w:r>
              <w:rPr>
                <w:rFonts w:ascii="Times New Roman" w:cs="Times New Roman" w:eastAsia="Times New Roman" w:hAnsi="Times New Roman"/>
                <w:sz w:val="16"/>
                <w:szCs w:val="16"/>
                <w:color w:val="000000"/>
              </w:rPr>
              <w:t>Pelan</w:t>
            </w:r>
            <w:r>
              <w:rPr>
                <w:rFonts w:ascii="Times New Roman" w:cs="Times New Roman" w:eastAsia="Times New Roman" w:hAnsi="Times New Roman"/>
                <w:sz w:val="16"/>
                <w:szCs w:val="16"/>
                <w:color w:val="222222"/>
              </w:rPr>
              <w:t>. Untuk maklumat</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Participant understands, however, that refusing or withdrawing his or her</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lanjut mengenai akibat keengganan</w:t>
            </w:r>
            <w:r>
              <w:rPr>
                <w:rFonts w:ascii="Times New Roman" w:cs="Times New Roman" w:eastAsia="Times New Roman" w:hAnsi="Times New Roman"/>
                <w:sz w:val="16"/>
                <w:szCs w:val="16"/>
                <w:color w:val="000000"/>
              </w:rPr>
              <w:t>nya</w:t>
            </w:r>
            <w:r>
              <w:rPr>
                <w:rFonts w:ascii="Times New Roman" w:cs="Times New Roman" w:eastAsia="Times New Roman" w:hAnsi="Times New Roman"/>
                <w:sz w:val="16"/>
                <w:szCs w:val="16"/>
                <w:color w:val="222222"/>
              </w:rPr>
              <w:t xml:space="preserve"> untuk memberikan keizinan atau penarikan</w:t>
            </w:r>
          </w:p>
        </w:tc>
      </w:tr>
      <w:tr>
        <w:trPr>
          <w:trHeight w:val="221"/>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consent may affect the Participant’s ability to participate in the Plan. For</w:t>
            </w:r>
          </w:p>
        </w:tc>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222222"/>
              </w:rPr>
              <w:t>balik keizinan, Peserta fahami bahawa dia boleh menghubungi pentadbir pelan saham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-5662295</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-5645150</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-5628005</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-5610860</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-5593715</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-5576570</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-5559425</wp:posOffset>
            </wp:positionV>
            <wp:extent cx="88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-5542280</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-5525135</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-5507990</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-5490845</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-5473065</wp:posOffset>
            </wp:positionV>
            <wp:extent cx="889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-5455920</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-5438775</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-5421630</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-5404485</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-5387340</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-5370195</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-5353050</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-5335905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-5318760</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-5301615</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-5284470</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-5267325</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-5250180</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-5233035</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-5215890</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-5198745</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-5181600</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-5164455</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-5147310</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-5130165</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-5113020</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-5095875</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-5078730</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-5061585</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-5044440</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-5027295</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-5010150</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-4993005</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-4975860</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-4958715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-4941570</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-4924425</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-4907280</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-4890135</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-4872990</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-4855845</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-4838700</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-4821555</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-4804410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-4787265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-4770120</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-4752975</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-4735830</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-4718685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-4701540</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-4684395</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-4667250</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-4650105</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-4632960</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-4615815</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-4598670</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-4581525</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-4564380</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-4547235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-4530090</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-4512945</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-4495800</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-4478655</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-4461510</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-4444365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-4427220</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-4410075</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-4392930</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-4375785</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-4358640</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-4341495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-4324350</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-4307205</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-4290060</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-4272915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-4255770</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-4238625</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-4221480</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-4204335</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-4187190</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-4170045</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-4152900</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-4135755</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-4118610</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-4101465</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-4084320</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-4067175</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-4050030</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-4032885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-4015740</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-3998595</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-3981450</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-3964305</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-3947160</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-3930015</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-3912870</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-3895725</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-3878580</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-3861435</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-3844290</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-3826510</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-3809365</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-3792220</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-3775075</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-3757930</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-3740785</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-3723640</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-3706495</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-3689350</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-3672205</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-3655060</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-3637915</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-3620770</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-3603625</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-3586480</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-3569335</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-3552190</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-3535045</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-3517900</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-3500755</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-3483610</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-3466465</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-3449320</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-3432175</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-3415030</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-3397885</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-3380740</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-3363595</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-3346450</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-3329305</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-3312160</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-3295015</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-3277870</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-3260725</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-3243580</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-3226435</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-3209290</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-3192145</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-3175000</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-3157855</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-3140710</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-3123565</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-3106420</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-3089275</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-3072130</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-3054985</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-3037840</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-3020695</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-3003550</wp:posOffset>
            </wp:positionV>
            <wp:extent cx="88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-2986405</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-2969260</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-2952115</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-2934970</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-2917825</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-2900680</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-2883535</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-2866390</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-2849245</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-2832100</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-2814955</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-2797810</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-2780665</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-2763520</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-2746375</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-2729230</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-2712085</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-2694940</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-2677795</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-2660650</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-2643505</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-2626360</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-2609215</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-2592070</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-2574925</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-2557780</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-2540635</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-2523490</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-2506345</wp:posOffset>
            </wp:positionV>
            <wp:extent cx="889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-2489200</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-2472055</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-2454910</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-2437765</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-2420620</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-2403475</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-2386330</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-2369185</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-2352040</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-2334895</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-2317750</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-2300605</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-2283460</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-2266315</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-2249170</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-2232025</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-2214880</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-2197100</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-2179955</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-2162810</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-2145665</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-2128520</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-2111375</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-2094230</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-2077085</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-2059940</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-2042795</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-2025650</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-2008505</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-1991360</wp:posOffset>
            </wp:positionV>
            <wp:extent cx="889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-1974215</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-1957070</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-1939925</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-1922780</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-1905635</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-1888490</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-1871345</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-1854200</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-1837055</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-1819910</wp:posOffset>
            </wp:positionV>
            <wp:extent cx="889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-1802765</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-1785620</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-1768475</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-1751330</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-1734185</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-1717040</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-1699895</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-1682750</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-1665605</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-1648460</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-1631315</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-1614170</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-1597025</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-1579880</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-1562735</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-1545590</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-1528445</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-1511300</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-1494155</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-1477010</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-1459865</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-1442720</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-1425575</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-1408430</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-1391285</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-1374140</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-1356995</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-1339850</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-1322705</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-1305560</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-1288415</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-1271270</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-1254125</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-1236980</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-1219835</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-1202690</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-1185545</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-1168400</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-1151255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-1134110</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-1116965</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-1099820</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-1082675</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-1065530</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-1048385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-1031240</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-1014095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-996950</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-979805</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-962660</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-945515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-928370</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-911225</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-894080</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-876935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-859790</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-842645</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-825500</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-808355</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-791210</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-774065</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-756920</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-739775</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-722630</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-705485</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-688340</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-671195</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-654050</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-636905</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-619760</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-602615</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-585470</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-568325</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-550545</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-533400</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-516255</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-499110</wp:posOffset>
            </wp:positionV>
            <wp:extent cx="88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-481965</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-464820</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-447675</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-430530</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-413385</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-396240</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-379095</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-361950</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-344805</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-327660</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-310515</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-293370</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-276225</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-259080</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-241935</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-224790</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-207645</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-190500</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-173355</wp:posOffset>
            </wp:positionV>
            <wp:extent cx="88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-156210</wp:posOffset>
            </wp:positionV>
            <wp:extent cx="88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-139065</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-121920</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-104775</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-87630</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-70485</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-53340</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-36195</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-19050</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-1905</wp:posOffset>
            </wp:positionV>
            <wp:extent cx="88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-5662295</wp:posOffset>
            </wp:positionV>
            <wp:extent cx="88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-5645150</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-5628005</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-5610860</wp:posOffset>
            </wp:positionV>
            <wp:extent cx="889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-5593715</wp:posOffset>
            </wp:positionV>
            <wp:extent cx="88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-5576570</wp:posOffset>
            </wp:positionV>
            <wp:extent cx="88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-5559425</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-5542280</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-5525135</wp:posOffset>
            </wp:positionV>
            <wp:extent cx="88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-5507990</wp:posOffset>
            </wp:positionV>
            <wp:extent cx="889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-5490845</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-5473065</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-5455920</wp:posOffset>
            </wp:positionV>
            <wp:extent cx="88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-5438775</wp:posOffset>
            </wp:positionV>
            <wp:extent cx="88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-5421630</wp:posOffset>
            </wp:positionV>
            <wp:extent cx="889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-5404485</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-5387340</wp:posOffset>
            </wp:positionV>
            <wp:extent cx="88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-5370195</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-5353050</wp:posOffset>
            </wp:positionV>
            <wp:extent cx="889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-5335905</wp:posOffset>
            </wp:positionV>
            <wp:extent cx="88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-5318760</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-5301615</wp:posOffset>
            </wp:positionV>
            <wp:extent cx="889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-5284470</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-5267325</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-5250180</wp:posOffset>
            </wp:positionV>
            <wp:extent cx="889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-5233035</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-5215890</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-5198745</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-5181600</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-5164455</wp:posOffset>
            </wp:positionV>
            <wp:extent cx="889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-5147310</wp:posOffset>
            </wp:positionV>
            <wp:extent cx="889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-5130165</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-5113020</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-5095875</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-5078730</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-5061585</wp:posOffset>
            </wp:positionV>
            <wp:extent cx="889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-5044440</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-5027295</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-5010150</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-4993005</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-4975860</wp:posOffset>
            </wp:positionV>
            <wp:extent cx="889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-4958715</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-4941570</wp:posOffset>
            </wp:positionV>
            <wp:extent cx="88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-4924425</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-4907280</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-4890135</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-4872990</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-4855845</wp:posOffset>
            </wp:positionV>
            <wp:extent cx="88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-4838700</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-4821555</wp:posOffset>
            </wp:positionV>
            <wp:extent cx="88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-4804410</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-4787265</wp:posOffset>
            </wp:positionV>
            <wp:extent cx="88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-4770120</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-4752975</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-4735830</wp:posOffset>
            </wp:positionV>
            <wp:extent cx="889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-4718685</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-4701540</wp:posOffset>
            </wp:positionV>
            <wp:extent cx="88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-4684395</wp:posOffset>
            </wp:positionV>
            <wp:extent cx="889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-4667250</wp:posOffset>
            </wp:positionV>
            <wp:extent cx="889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-4650105</wp:posOffset>
            </wp:positionV>
            <wp:extent cx="88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-4632960</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-4615815</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-4598670</wp:posOffset>
            </wp:positionV>
            <wp:extent cx="88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-4581525</wp:posOffset>
            </wp:positionV>
            <wp:extent cx="889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-4564380</wp:posOffset>
            </wp:positionV>
            <wp:extent cx="889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-4547235</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-4530090</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-4512945</wp:posOffset>
            </wp:positionV>
            <wp:extent cx="889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-4495800</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-4478655</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-4461510</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-4444365</wp:posOffset>
            </wp:positionV>
            <wp:extent cx="889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-4427220</wp:posOffset>
            </wp:positionV>
            <wp:extent cx="88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-4410075</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-4392930</wp:posOffset>
            </wp:positionV>
            <wp:extent cx="88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-4375785</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-4358640</wp:posOffset>
            </wp:positionV>
            <wp:extent cx="88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-4341495</wp:posOffset>
            </wp:positionV>
            <wp:extent cx="88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-4324350</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-4307205</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-4290060</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-4272915</wp:posOffset>
            </wp:positionV>
            <wp:extent cx="889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-4255770</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-4238625</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-4221480</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-4204335</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-4187190</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-4170045</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-4152900</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-4135755</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-4118610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-4101465</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-4084320</wp:posOffset>
            </wp:positionV>
            <wp:extent cx="88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-4067175</wp:posOffset>
            </wp:positionV>
            <wp:extent cx="88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-4050030</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-4032885</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-4015740</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-3998595</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-3981450</wp:posOffset>
            </wp:positionV>
            <wp:extent cx="88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-3964305</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-3947160</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-3930015</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-3912870</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-3895725</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-3878580</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-3861435</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-3844290</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-3826510</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-3809365</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-3792220</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-3775075</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-3757930</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-3740785</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-3723640</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-3706495</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-3689350</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-3672205</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-3655060</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-3637915</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-3620770</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-3603625</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-3586480</wp:posOffset>
            </wp:positionV>
            <wp:extent cx="889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-3569335</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-3552190</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-3535045</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-3517900</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-3500755</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-3483610</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-3466465</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-3449320</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-3432175</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-3415030</wp:posOffset>
            </wp:positionV>
            <wp:extent cx="88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-3397885</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-3380740</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-3363595</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-3346450</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-3329305</wp:posOffset>
            </wp:positionV>
            <wp:extent cx="889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-3312160</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-3295015</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-3277870</wp:posOffset>
            </wp:positionV>
            <wp:extent cx="88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-3260725</wp:posOffset>
            </wp:positionV>
            <wp:extent cx="88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-3243580</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-3226435</wp:posOffset>
            </wp:positionV>
            <wp:extent cx="88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-3209290</wp:posOffset>
            </wp:positionV>
            <wp:extent cx="889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-3192145</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-3175000</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-3157855</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-3140710</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-3123565</wp:posOffset>
            </wp:positionV>
            <wp:extent cx="88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-3106420</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-3089275</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-3072130</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-3054985</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-3037840</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-3020695</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-3003550</wp:posOffset>
            </wp:positionV>
            <wp:extent cx="889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-2986405</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-2969260</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-2952115</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-2934970</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-2917825</wp:posOffset>
            </wp:positionV>
            <wp:extent cx="889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-2900680</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-2883535</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-2866390</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-2849245</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-2832100</wp:posOffset>
            </wp:positionV>
            <wp:extent cx="889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-2814955</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-2797810</wp:posOffset>
            </wp:positionV>
            <wp:extent cx="889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-2780665</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-2763520</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-2746375</wp:posOffset>
            </wp:positionV>
            <wp:extent cx="889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-2729230</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-2712085</wp:posOffset>
            </wp:positionV>
            <wp:extent cx="889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-2694940</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-2677795</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-2660650</wp:posOffset>
            </wp:positionV>
            <wp:extent cx="889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-2643505</wp:posOffset>
            </wp:positionV>
            <wp:extent cx="889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-2626360</wp:posOffset>
            </wp:positionV>
            <wp:extent cx="889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-2609215</wp:posOffset>
            </wp:positionV>
            <wp:extent cx="88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-2592070</wp:posOffset>
            </wp:positionV>
            <wp:extent cx="889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-2574925</wp:posOffset>
            </wp:positionV>
            <wp:extent cx="889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-2557780</wp:posOffset>
            </wp:positionV>
            <wp:extent cx="889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-2540635</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-2523490</wp:posOffset>
            </wp:positionV>
            <wp:extent cx="889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-2506345</wp:posOffset>
            </wp:positionV>
            <wp:extent cx="889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-2489200</wp:posOffset>
            </wp:positionV>
            <wp:extent cx="889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-2472055</wp:posOffset>
            </wp:positionV>
            <wp:extent cx="889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-2454910</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-2437765</wp:posOffset>
            </wp:positionV>
            <wp:extent cx="889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-2420620</wp:posOffset>
            </wp:positionV>
            <wp:extent cx="88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-2403475</wp:posOffset>
            </wp:positionV>
            <wp:extent cx="889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-2386330</wp:posOffset>
            </wp:positionV>
            <wp:extent cx="889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-2369185</wp:posOffset>
            </wp:positionV>
            <wp:extent cx="88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-2352040</wp:posOffset>
            </wp:positionV>
            <wp:extent cx="889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-2334895</wp:posOffset>
            </wp:positionV>
            <wp:extent cx="889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-2317750</wp:posOffset>
            </wp:positionV>
            <wp:extent cx="889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-2300605</wp:posOffset>
            </wp:positionV>
            <wp:extent cx="889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-2283460</wp:posOffset>
            </wp:positionV>
            <wp:extent cx="88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-2266315</wp:posOffset>
            </wp:positionV>
            <wp:extent cx="88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-2249170</wp:posOffset>
            </wp:positionV>
            <wp:extent cx="889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-2232025</wp:posOffset>
            </wp:positionV>
            <wp:extent cx="889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-2214880</wp:posOffset>
            </wp:positionV>
            <wp:extent cx="889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-2197100</wp:posOffset>
            </wp:positionV>
            <wp:extent cx="88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-2179955</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-2162810</wp:posOffset>
            </wp:positionV>
            <wp:extent cx="889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-2145665</wp:posOffset>
            </wp:positionV>
            <wp:extent cx="889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-2128520</wp:posOffset>
            </wp:positionV>
            <wp:extent cx="88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-2111375</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-2094230</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-2077085</wp:posOffset>
            </wp:positionV>
            <wp:extent cx="88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-2059940</wp:posOffset>
            </wp:positionV>
            <wp:extent cx="88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-2042795</wp:posOffset>
            </wp:positionV>
            <wp:extent cx="889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-2025650</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-2008505</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-1991360</wp:posOffset>
            </wp:positionV>
            <wp:extent cx="889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-1974215</wp:posOffset>
            </wp:positionV>
            <wp:extent cx="88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-1957070</wp:posOffset>
            </wp:positionV>
            <wp:extent cx="889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-1939925</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-1922780</wp:posOffset>
            </wp:positionV>
            <wp:extent cx="88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-1905635</wp:posOffset>
            </wp:positionV>
            <wp:extent cx="889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-1888490</wp:posOffset>
            </wp:positionV>
            <wp:extent cx="889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-1871345</wp:posOffset>
            </wp:positionV>
            <wp:extent cx="88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-1854200</wp:posOffset>
            </wp:positionV>
            <wp:extent cx="889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-1837055</wp:posOffset>
            </wp:positionV>
            <wp:extent cx="889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-1819910</wp:posOffset>
            </wp:positionV>
            <wp:extent cx="889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-1802765</wp:posOffset>
            </wp:positionV>
            <wp:extent cx="889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-1785620</wp:posOffset>
            </wp:positionV>
            <wp:extent cx="889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-1768475</wp:posOffset>
            </wp:positionV>
            <wp:extent cx="889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-1751330</wp:posOffset>
            </wp:positionV>
            <wp:extent cx="889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-1734185</wp:posOffset>
            </wp:positionV>
            <wp:extent cx="889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-1717040</wp:posOffset>
            </wp:positionV>
            <wp:extent cx="88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-1699895</wp:posOffset>
            </wp:positionV>
            <wp:extent cx="88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-1682750</wp:posOffset>
            </wp:positionV>
            <wp:extent cx="889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-1665605</wp:posOffset>
            </wp:positionV>
            <wp:extent cx="889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-1648460</wp:posOffset>
            </wp:positionV>
            <wp:extent cx="889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-1631315</wp:posOffset>
            </wp:positionV>
            <wp:extent cx="88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-1614170</wp:posOffset>
            </wp:positionV>
            <wp:extent cx="88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-1597025</wp:posOffset>
            </wp:positionV>
            <wp:extent cx="889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-1579880</wp:posOffset>
            </wp:positionV>
            <wp:extent cx="889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-1562735</wp:posOffset>
            </wp:positionV>
            <wp:extent cx="889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-1545590</wp:posOffset>
            </wp:positionV>
            <wp:extent cx="889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-1528445</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-1511300</wp:posOffset>
            </wp:positionV>
            <wp:extent cx="889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-1494155</wp:posOffset>
            </wp:positionV>
            <wp:extent cx="889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-1477010</wp:posOffset>
            </wp:positionV>
            <wp:extent cx="889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-1459865</wp:posOffset>
            </wp:positionV>
            <wp:extent cx="88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-1442720</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-1425575</wp:posOffset>
            </wp:positionV>
            <wp:extent cx="889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-1408430</wp:posOffset>
            </wp:positionV>
            <wp:extent cx="889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-1391285</wp:posOffset>
            </wp:positionV>
            <wp:extent cx="889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-1374140</wp:posOffset>
            </wp:positionV>
            <wp:extent cx="889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-1356995</wp:posOffset>
            </wp:positionV>
            <wp:extent cx="88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-1339850</wp:posOffset>
            </wp:positionV>
            <wp:extent cx="889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-1322705</wp:posOffset>
            </wp:positionV>
            <wp:extent cx="889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-1305560</wp:posOffset>
            </wp:positionV>
            <wp:extent cx="889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-1288415</wp:posOffset>
            </wp:positionV>
            <wp:extent cx="889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-1271270</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-1254125</wp:posOffset>
            </wp:positionV>
            <wp:extent cx="889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-1236980</wp:posOffset>
            </wp:positionV>
            <wp:extent cx="889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-1219835</wp:posOffset>
            </wp:positionV>
            <wp:extent cx="889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-1202690</wp:posOffset>
            </wp:positionV>
            <wp:extent cx="889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-1185545</wp:posOffset>
            </wp:positionV>
            <wp:extent cx="889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-1168400</wp:posOffset>
            </wp:positionV>
            <wp:extent cx="889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-1151255</wp:posOffset>
            </wp:positionV>
            <wp:extent cx="889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-1134110</wp:posOffset>
            </wp:positionV>
            <wp:extent cx="889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-1116965</wp:posOffset>
            </wp:positionV>
            <wp:extent cx="889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-1099820</wp:posOffset>
            </wp:positionV>
            <wp:extent cx="889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-1082675</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-1065530</wp:posOffset>
            </wp:positionV>
            <wp:extent cx="889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-1048385</wp:posOffset>
            </wp:positionV>
            <wp:extent cx="889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-1031240</wp:posOffset>
            </wp:positionV>
            <wp:extent cx="88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-1014095</wp:posOffset>
            </wp:positionV>
            <wp:extent cx="889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-996950</wp:posOffset>
            </wp:positionV>
            <wp:extent cx="88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-979805</wp:posOffset>
            </wp:positionV>
            <wp:extent cx="889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-962660</wp:posOffset>
            </wp:positionV>
            <wp:extent cx="889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-945515</wp:posOffset>
            </wp:positionV>
            <wp:extent cx="889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-928370</wp:posOffset>
            </wp:positionV>
            <wp:extent cx="889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-911225</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-894080</wp:posOffset>
            </wp:positionV>
            <wp:extent cx="889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-876935</wp:posOffset>
            </wp:positionV>
            <wp:extent cx="889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-859790</wp:posOffset>
            </wp:positionV>
            <wp:extent cx="889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-842645</wp:posOffset>
            </wp:positionV>
            <wp:extent cx="889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-825500</wp:posOffset>
            </wp:positionV>
            <wp:extent cx="889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-808355</wp:posOffset>
            </wp:positionV>
            <wp:extent cx="889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-791210</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-774065</wp:posOffset>
            </wp:positionV>
            <wp:extent cx="889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-756920</wp:posOffset>
            </wp:positionV>
            <wp:extent cx="889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-739775</wp:posOffset>
            </wp:positionV>
            <wp:extent cx="88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-722630</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-705485</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-688340</wp:posOffset>
            </wp:positionV>
            <wp:extent cx="889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-671195</wp:posOffset>
            </wp:positionV>
            <wp:extent cx="889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-654050</wp:posOffset>
            </wp:positionV>
            <wp:extent cx="889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-636905</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-619760</wp:posOffset>
            </wp:positionV>
            <wp:extent cx="889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-602615</wp:posOffset>
            </wp:positionV>
            <wp:extent cx="889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-585470</wp:posOffset>
            </wp:positionV>
            <wp:extent cx="889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-568325</wp:posOffset>
            </wp:positionV>
            <wp:extent cx="889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-550545</wp:posOffset>
            </wp:positionV>
            <wp:extent cx="889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-533400</wp:posOffset>
            </wp:positionV>
            <wp:extent cx="88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-516255</wp:posOffset>
            </wp:positionV>
            <wp:extent cx="889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-499110</wp:posOffset>
            </wp:positionV>
            <wp:extent cx="889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-481965</wp:posOffset>
            </wp:positionV>
            <wp:extent cx="88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-464820</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-447675</wp:posOffset>
            </wp:positionV>
            <wp:extent cx="889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-430530</wp:posOffset>
            </wp:positionV>
            <wp:extent cx="889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-413385</wp:posOffset>
            </wp:positionV>
            <wp:extent cx="889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-396240</wp:posOffset>
            </wp:positionV>
            <wp:extent cx="889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-379095</wp:posOffset>
            </wp:positionV>
            <wp:extent cx="88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-361950</wp:posOffset>
            </wp:positionV>
            <wp:extent cx="889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-344805</wp:posOffset>
            </wp:positionV>
            <wp:extent cx="889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-327660</wp:posOffset>
            </wp:positionV>
            <wp:extent cx="889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-310515</wp:posOffset>
            </wp:positionV>
            <wp:extent cx="889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-293370</wp:posOffset>
            </wp:positionV>
            <wp:extent cx="889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-276225</wp:posOffset>
            </wp:positionV>
            <wp:extent cx="889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-259080</wp:posOffset>
            </wp:positionV>
            <wp:extent cx="889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-241935</wp:posOffset>
            </wp:positionV>
            <wp:extent cx="889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-224790</wp:posOffset>
            </wp:positionV>
            <wp:extent cx="88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-207645</wp:posOffset>
            </wp:positionV>
            <wp:extent cx="88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-190500</wp:posOffset>
            </wp:positionV>
            <wp:extent cx="889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-173355</wp:posOffset>
            </wp:positionV>
            <wp:extent cx="88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-156210</wp:posOffset>
            </wp:positionV>
            <wp:extent cx="889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-139065</wp:posOffset>
            </wp:positionV>
            <wp:extent cx="889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-121920</wp:posOffset>
            </wp:positionV>
            <wp:extent cx="889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-104775</wp:posOffset>
            </wp:positionV>
            <wp:extent cx="889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-87630</wp:posOffset>
            </wp:positionV>
            <wp:extent cx="889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-70485</wp:posOffset>
            </wp:positionV>
            <wp:extent cx="889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-53340</wp:posOffset>
            </wp:positionV>
            <wp:extent cx="889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-36195</wp:posOffset>
            </wp:positionV>
            <wp:extent cx="889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-19050</wp:posOffset>
            </wp:positionV>
            <wp:extent cx="889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-1905</wp:posOffset>
            </wp:positionV>
            <wp:extent cx="889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-5662295</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-5645150</wp:posOffset>
            </wp:positionV>
            <wp:extent cx="889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-5628005</wp:posOffset>
            </wp:positionV>
            <wp:extent cx="889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-5610860</wp:posOffset>
            </wp:positionV>
            <wp:extent cx="889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-5593715</wp:posOffset>
            </wp:positionV>
            <wp:extent cx="88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-5576570</wp:posOffset>
            </wp:positionV>
            <wp:extent cx="889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-5559425</wp:posOffset>
            </wp:positionV>
            <wp:extent cx="889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-5542280</wp:posOffset>
            </wp:positionV>
            <wp:extent cx="889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-5525135</wp:posOffset>
            </wp:positionV>
            <wp:extent cx="889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-5507990</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-5490845</wp:posOffset>
            </wp:positionV>
            <wp:extent cx="88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-5473065</wp:posOffset>
            </wp:positionV>
            <wp:extent cx="889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-5455920</wp:posOffset>
            </wp:positionV>
            <wp:extent cx="889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-5438775</wp:posOffset>
            </wp:positionV>
            <wp:extent cx="889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-5421630</wp:posOffset>
            </wp:positionV>
            <wp:extent cx="889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-5404485</wp:posOffset>
            </wp:positionV>
            <wp:extent cx="889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-5387340</wp:posOffset>
            </wp:positionV>
            <wp:extent cx="88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-5370195</wp:posOffset>
            </wp:positionV>
            <wp:extent cx="889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-5353050</wp:posOffset>
            </wp:positionV>
            <wp:extent cx="889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-5335905</wp:posOffset>
            </wp:positionV>
            <wp:extent cx="889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-5318760</wp:posOffset>
            </wp:positionV>
            <wp:extent cx="889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-5301615</wp:posOffset>
            </wp:positionV>
            <wp:extent cx="889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-5284470</wp:posOffset>
            </wp:positionV>
            <wp:extent cx="889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-5267325</wp:posOffset>
            </wp:positionV>
            <wp:extent cx="889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-5250180</wp:posOffset>
            </wp:positionV>
            <wp:extent cx="889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-5233035</wp:posOffset>
            </wp:positionV>
            <wp:extent cx="889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-5215890</wp:posOffset>
            </wp:positionV>
            <wp:extent cx="889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-5198745</wp:posOffset>
            </wp:positionV>
            <wp:extent cx="889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-5181600</wp:posOffset>
            </wp:positionV>
            <wp:extent cx="889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-5164455</wp:posOffset>
            </wp:positionV>
            <wp:extent cx="889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-5147310</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-5130165</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-5113020</wp:posOffset>
            </wp:positionV>
            <wp:extent cx="889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-5095875</wp:posOffset>
            </wp:positionV>
            <wp:extent cx="889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-5078730</wp:posOffset>
            </wp:positionV>
            <wp:extent cx="889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-5061585</wp:posOffset>
            </wp:positionV>
            <wp:extent cx="889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-5044440</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-5027295</wp:posOffset>
            </wp:positionV>
            <wp:extent cx="88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-5010150</wp:posOffset>
            </wp:positionV>
            <wp:extent cx="889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-4993005</wp:posOffset>
            </wp:positionV>
            <wp:extent cx="889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-4975860</wp:posOffset>
            </wp:positionV>
            <wp:extent cx="889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-4958715</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-4941570</wp:posOffset>
            </wp:positionV>
            <wp:extent cx="889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-4924425</wp:posOffset>
            </wp:positionV>
            <wp:extent cx="88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-4907280</wp:posOffset>
            </wp:positionV>
            <wp:extent cx="889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-4890135</wp:posOffset>
            </wp:positionV>
            <wp:extent cx="889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-4872990</wp:posOffset>
            </wp:positionV>
            <wp:extent cx="88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-4855845</wp:posOffset>
            </wp:positionV>
            <wp:extent cx="889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-4838700</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-4821555</wp:posOffset>
            </wp:positionV>
            <wp:extent cx="88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-4804410</wp:posOffset>
            </wp:positionV>
            <wp:extent cx="889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-4787265</wp:posOffset>
            </wp:positionV>
            <wp:extent cx="889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-4770120</wp:posOffset>
            </wp:positionV>
            <wp:extent cx="889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-4752975</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-4735830</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-4718685</wp:posOffset>
            </wp:positionV>
            <wp:extent cx="88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-4701540</wp:posOffset>
            </wp:positionV>
            <wp:extent cx="889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-4684395</wp:posOffset>
            </wp:positionV>
            <wp:extent cx="889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-4667250</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-4650105</wp:posOffset>
            </wp:positionV>
            <wp:extent cx="889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-4632960</wp:posOffset>
            </wp:positionV>
            <wp:extent cx="889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-4615815</wp:posOffset>
            </wp:positionV>
            <wp:extent cx="889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-4598670</wp:posOffset>
            </wp:positionV>
            <wp:extent cx="889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-4581525</wp:posOffset>
            </wp:positionV>
            <wp:extent cx="889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-4564380</wp:posOffset>
            </wp:positionV>
            <wp:extent cx="889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-4547235</wp:posOffset>
            </wp:positionV>
            <wp:extent cx="889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-4530090</wp:posOffset>
            </wp:positionV>
            <wp:extent cx="889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-4512945</wp:posOffset>
            </wp:positionV>
            <wp:extent cx="889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-4495800</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-4478655</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-4461510</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-4444365</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-4427220</wp:posOffset>
            </wp:positionV>
            <wp:extent cx="889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-4410075</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-4392930</wp:posOffset>
            </wp:positionV>
            <wp:extent cx="889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-4375785</wp:posOffset>
            </wp:positionV>
            <wp:extent cx="889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-4358640</wp:posOffset>
            </wp:positionV>
            <wp:extent cx="88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-4341495</wp:posOffset>
            </wp:positionV>
            <wp:extent cx="889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-4324350</wp:posOffset>
            </wp:positionV>
            <wp:extent cx="889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-4307205</wp:posOffset>
            </wp:positionV>
            <wp:extent cx="889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-4290060</wp:posOffset>
            </wp:positionV>
            <wp:extent cx="889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-4272915</wp:posOffset>
            </wp:positionV>
            <wp:extent cx="889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-4255770</wp:posOffset>
            </wp:positionV>
            <wp:extent cx="88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-4238625</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-4221480</wp:posOffset>
            </wp:positionV>
            <wp:extent cx="889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-4204335</wp:posOffset>
            </wp:positionV>
            <wp:extent cx="889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-4187190</wp:posOffset>
            </wp:positionV>
            <wp:extent cx="889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-4170045</wp:posOffset>
            </wp:positionV>
            <wp:extent cx="889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-4152900</wp:posOffset>
            </wp:positionV>
            <wp:extent cx="889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-4135755</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-4118610</wp:posOffset>
            </wp:positionV>
            <wp:extent cx="889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-4101465</wp:posOffset>
            </wp:positionV>
            <wp:extent cx="88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-4084320</wp:posOffset>
            </wp:positionV>
            <wp:extent cx="889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-4067175</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-4050030</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-4032885</wp:posOffset>
            </wp:positionV>
            <wp:extent cx="88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-4015740</wp:posOffset>
            </wp:positionV>
            <wp:extent cx="889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-3998595</wp:posOffset>
            </wp:positionV>
            <wp:extent cx="88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-3981450</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-3964305</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-3947160</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-3930015</wp:posOffset>
            </wp:positionV>
            <wp:extent cx="889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-3912870</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-3895725</wp:posOffset>
            </wp:positionV>
            <wp:extent cx="88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-3878580</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-3861435</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-3844290</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-3826510</wp:posOffset>
            </wp:positionV>
            <wp:extent cx="889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-3809365</wp:posOffset>
            </wp:positionV>
            <wp:extent cx="889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-3792220</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-3775075</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-3757930</wp:posOffset>
            </wp:positionV>
            <wp:extent cx="889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-3740785</wp:posOffset>
            </wp:positionV>
            <wp:extent cx="889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-3723640</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-3706495</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-3689350</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-3672205</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-3655060</wp:posOffset>
            </wp:positionV>
            <wp:extent cx="889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-3637915</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-3620770</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-3603625</wp:posOffset>
            </wp:positionV>
            <wp:extent cx="889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-3586480</wp:posOffset>
            </wp:positionV>
            <wp:extent cx="889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-3569335</wp:posOffset>
            </wp:positionV>
            <wp:extent cx="88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-3552190</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-3535045</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-3517900</wp:posOffset>
            </wp:positionV>
            <wp:extent cx="889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-3500755</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-3483610</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-3466465</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-3449320</wp:posOffset>
            </wp:positionV>
            <wp:extent cx="889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-3432175</wp:posOffset>
            </wp:positionV>
            <wp:extent cx="889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-3415030</wp:posOffset>
            </wp:positionV>
            <wp:extent cx="88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-3397885</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-3380740</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-3363595</wp:posOffset>
            </wp:positionV>
            <wp:extent cx="889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-3346450</wp:posOffset>
            </wp:positionV>
            <wp:extent cx="889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-3329305</wp:posOffset>
            </wp:positionV>
            <wp:extent cx="889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-3312160</wp:posOffset>
            </wp:positionV>
            <wp:extent cx="889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-3295015</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-3277870</wp:posOffset>
            </wp:positionV>
            <wp:extent cx="889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-3260725</wp:posOffset>
            </wp:positionV>
            <wp:extent cx="88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-3243580</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-3226435</wp:posOffset>
            </wp:positionV>
            <wp:extent cx="88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-3209290</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-3192145</wp:posOffset>
            </wp:positionV>
            <wp:extent cx="889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-3175000</wp:posOffset>
            </wp:positionV>
            <wp:extent cx="88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-3157855</wp:posOffset>
            </wp:positionV>
            <wp:extent cx="889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-3140710</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-3123565</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-3106420</wp:posOffset>
            </wp:positionV>
            <wp:extent cx="88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-3089275</wp:posOffset>
            </wp:positionV>
            <wp:extent cx="889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-3072130</wp:posOffset>
            </wp:positionV>
            <wp:extent cx="889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-3054985</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-3037840</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-3020695</wp:posOffset>
            </wp:positionV>
            <wp:extent cx="88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-3003550</wp:posOffset>
            </wp:positionV>
            <wp:extent cx="889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-2986405</wp:posOffset>
            </wp:positionV>
            <wp:extent cx="889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-2969260</wp:posOffset>
            </wp:positionV>
            <wp:extent cx="889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-2952115</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-2934970</wp:posOffset>
            </wp:positionV>
            <wp:extent cx="889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-2917825</wp:posOffset>
            </wp:positionV>
            <wp:extent cx="889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-2900680</wp:posOffset>
            </wp:positionV>
            <wp:extent cx="889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-2883535</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-2866390</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-2849245</wp:posOffset>
            </wp:positionV>
            <wp:extent cx="889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-2832100</wp:posOffset>
            </wp:positionV>
            <wp:extent cx="889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-2814955</wp:posOffset>
            </wp:positionV>
            <wp:extent cx="889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-2797810</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-2780665</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-2763520</wp:posOffset>
            </wp:positionV>
            <wp:extent cx="889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-2746375</wp:posOffset>
            </wp:positionV>
            <wp:extent cx="889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-2729230</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-2712085</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-2694940</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-2677795</wp:posOffset>
            </wp:positionV>
            <wp:extent cx="889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-2660650</wp:posOffset>
            </wp:positionV>
            <wp:extent cx="889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-2643505</wp:posOffset>
            </wp:positionV>
            <wp:extent cx="88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-2626360</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-2609215</wp:posOffset>
            </wp:positionV>
            <wp:extent cx="889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-2592070</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-2574925</wp:posOffset>
            </wp:positionV>
            <wp:extent cx="889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-2557780</wp:posOffset>
            </wp:positionV>
            <wp:extent cx="889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-2540635</wp:posOffset>
            </wp:positionV>
            <wp:extent cx="88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-2523490</wp:posOffset>
            </wp:positionV>
            <wp:extent cx="889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-2506345</wp:posOffset>
            </wp:positionV>
            <wp:extent cx="889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-2489200</wp:posOffset>
            </wp:positionV>
            <wp:extent cx="88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-2472055</wp:posOffset>
            </wp:positionV>
            <wp:extent cx="889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-2454910</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-2437765</wp:posOffset>
            </wp:positionV>
            <wp:extent cx="889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-2420620</wp:posOffset>
            </wp:positionV>
            <wp:extent cx="88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-2403475</wp:posOffset>
            </wp:positionV>
            <wp:extent cx="889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-2386330</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-2369185</wp:posOffset>
            </wp:positionV>
            <wp:extent cx="889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-2352040</wp:posOffset>
            </wp:positionV>
            <wp:extent cx="889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-2334895</wp:posOffset>
            </wp:positionV>
            <wp:extent cx="889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-2317750</wp:posOffset>
            </wp:positionV>
            <wp:extent cx="889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-2300605</wp:posOffset>
            </wp:positionV>
            <wp:extent cx="8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-2283460</wp:posOffset>
            </wp:positionV>
            <wp:extent cx="889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-2266315</wp:posOffset>
            </wp:positionV>
            <wp:extent cx="889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-2249170</wp:posOffset>
            </wp:positionV>
            <wp:extent cx="889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-2232025</wp:posOffset>
            </wp:positionV>
            <wp:extent cx="889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-2214880</wp:posOffset>
            </wp:positionV>
            <wp:extent cx="889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-2197100</wp:posOffset>
            </wp:positionV>
            <wp:extent cx="889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-2179955</wp:posOffset>
            </wp:positionV>
            <wp:extent cx="889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-2162810</wp:posOffset>
            </wp:positionV>
            <wp:extent cx="889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-2145665</wp:posOffset>
            </wp:positionV>
            <wp:extent cx="889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-2128520</wp:posOffset>
            </wp:positionV>
            <wp:extent cx="889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-2111375</wp:posOffset>
            </wp:positionV>
            <wp:extent cx="889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-2094230</wp:posOffset>
            </wp:positionV>
            <wp:extent cx="889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-2077085</wp:posOffset>
            </wp:positionV>
            <wp:extent cx="889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-2059940</wp:posOffset>
            </wp:positionV>
            <wp:extent cx="889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-2042795</wp:posOffset>
            </wp:positionV>
            <wp:extent cx="889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-2025650</wp:posOffset>
            </wp:positionV>
            <wp:extent cx="889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-2008505</wp:posOffset>
            </wp:positionV>
            <wp:extent cx="889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-1991360</wp:posOffset>
            </wp:positionV>
            <wp:extent cx="889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-1974215</wp:posOffset>
            </wp:positionV>
            <wp:extent cx="889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-1957070</wp:posOffset>
            </wp:positionV>
            <wp:extent cx="889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-1939925</wp:posOffset>
            </wp:positionV>
            <wp:extent cx="889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-1922780</wp:posOffset>
            </wp:positionV>
            <wp:extent cx="889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-1905635</wp:posOffset>
            </wp:positionV>
            <wp:extent cx="889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-1888490</wp:posOffset>
            </wp:positionV>
            <wp:extent cx="889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-1871345</wp:posOffset>
            </wp:positionV>
            <wp:extent cx="88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-1854200</wp:posOffset>
            </wp:positionV>
            <wp:extent cx="889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-1837055</wp:posOffset>
            </wp:positionV>
            <wp:extent cx="889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-1819910</wp:posOffset>
            </wp:positionV>
            <wp:extent cx="889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-1802765</wp:posOffset>
            </wp:positionV>
            <wp:extent cx="889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-1785620</wp:posOffset>
            </wp:positionV>
            <wp:extent cx="889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-1768475</wp:posOffset>
            </wp:positionV>
            <wp:extent cx="889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-1751330</wp:posOffset>
            </wp:positionV>
            <wp:extent cx="889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-1734185</wp:posOffset>
            </wp:positionV>
            <wp:extent cx="889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-1717040</wp:posOffset>
            </wp:positionV>
            <wp:extent cx="889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-1699895</wp:posOffset>
            </wp:positionV>
            <wp:extent cx="889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-1682750</wp:posOffset>
            </wp:positionV>
            <wp:extent cx="889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-1665605</wp:posOffset>
            </wp:positionV>
            <wp:extent cx="889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-1648460</wp:posOffset>
            </wp:positionV>
            <wp:extent cx="889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-1631315</wp:posOffset>
            </wp:positionV>
            <wp:extent cx="88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-1614170</wp:posOffset>
            </wp:positionV>
            <wp:extent cx="889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-1597025</wp:posOffset>
            </wp:positionV>
            <wp:extent cx="889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-1579880</wp:posOffset>
            </wp:positionV>
            <wp:extent cx="889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-1562735</wp:posOffset>
            </wp:positionV>
            <wp:extent cx="889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-1545590</wp:posOffset>
            </wp:positionV>
            <wp:extent cx="889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-1528445</wp:posOffset>
            </wp:positionV>
            <wp:extent cx="889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-1511300</wp:posOffset>
            </wp:positionV>
            <wp:extent cx="889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-1494155</wp:posOffset>
            </wp:positionV>
            <wp:extent cx="889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-1477010</wp:posOffset>
            </wp:positionV>
            <wp:extent cx="889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-1459865</wp:posOffset>
            </wp:positionV>
            <wp:extent cx="889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-1442720</wp:posOffset>
            </wp:positionV>
            <wp:extent cx="889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-1425575</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-1408430</wp:posOffset>
            </wp:positionV>
            <wp:extent cx="889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-1391285</wp:posOffset>
            </wp:positionV>
            <wp:extent cx="889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-1374140</wp:posOffset>
            </wp:positionV>
            <wp:extent cx="889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-1356995</wp:posOffset>
            </wp:positionV>
            <wp:extent cx="889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-1339850</wp:posOffset>
            </wp:positionV>
            <wp:extent cx="88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-1322705</wp:posOffset>
            </wp:positionV>
            <wp:extent cx="889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-1305560</wp:posOffset>
            </wp:positionV>
            <wp:extent cx="889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-1288415</wp:posOffset>
            </wp:positionV>
            <wp:extent cx="889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-1271270</wp:posOffset>
            </wp:positionV>
            <wp:extent cx="889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-1254125</wp:posOffset>
            </wp:positionV>
            <wp:extent cx="889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-1236980</wp:posOffset>
            </wp:positionV>
            <wp:extent cx="889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-1219835</wp:posOffset>
            </wp:positionV>
            <wp:extent cx="889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-1202690</wp:posOffset>
            </wp:positionV>
            <wp:extent cx="889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-1185545</wp:posOffset>
            </wp:positionV>
            <wp:extent cx="889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-1168400</wp:posOffset>
            </wp:positionV>
            <wp:extent cx="889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-1151255</wp:posOffset>
            </wp:positionV>
            <wp:extent cx="889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-1134110</wp:posOffset>
            </wp:positionV>
            <wp:extent cx="889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-1116965</wp:posOffset>
            </wp:positionV>
            <wp:extent cx="889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-1099820</wp:posOffset>
            </wp:positionV>
            <wp:extent cx="889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-1082675</wp:posOffset>
            </wp:positionV>
            <wp:extent cx="889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-1065530</wp:posOffset>
            </wp:positionV>
            <wp:extent cx="889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-1048385</wp:posOffset>
            </wp:positionV>
            <wp:extent cx="889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-1031240</wp:posOffset>
            </wp:positionV>
            <wp:extent cx="889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-1014095</wp:posOffset>
            </wp:positionV>
            <wp:extent cx="889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-996950</wp:posOffset>
            </wp:positionV>
            <wp:extent cx="889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-979805</wp:posOffset>
            </wp:positionV>
            <wp:extent cx="889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-962660</wp:posOffset>
            </wp:positionV>
            <wp:extent cx="889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-945515</wp:posOffset>
            </wp:positionV>
            <wp:extent cx="889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-928370</wp:posOffset>
            </wp:positionV>
            <wp:extent cx="889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-911225</wp:posOffset>
            </wp:positionV>
            <wp:extent cx="889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-894080</wp:posOffset>
            </wp:positionV>
            <wp:extent cx="889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-876935</wp:posOffset>
            </wp:positionV>
            <wp:extent cx="889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-859790</wp:posOffset>
            </wp:positionV>
            <wp:extent cx="889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-842645</wp:posOffset>
            </wp:positionV>
            <wp:extent cx="889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-825500</wp:posOffset>
            </wp:positionV>
            <wp:extent cx="889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-808355</wp:posOffset>
            </wp:positionV>
            <wp:extent cx="889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-791210</wp:posOffset>
            </wp:positionV>
            <wp:extent cx="889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-774065</wp:posOffset>
            </wp:positionV>
            <wp:extent cx="889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-756920</wp:posOffset>
            </wp:positionV>
            <wp:extent cx="889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-739775</wp:posOffset>
            </wp:positionV>
            <wp:extent cx="889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-722630</wp:posOffset>
            </wp:positionV>
            <wp:extent cx="88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-705485</wp:posOffset>
            </wp:positionV>
            <wp:extent cx="88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-688340</wp:posOffset>
            </wp:positionV>
            <wp:extent cx="88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-671195</wp:posOffset>
            </wp:positionV>
            <wp:extent cx="889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-654050</wp:posOffset>
            </wp:positionV>
            <wp:extent cx="889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-636905</wp:posOffset>
            </wp:positionV>
            <wp:extent cx="889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-619760</wp:posOffset>
            </wp:positionV>
            <wp:extent cx="889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-602615</wp:posOffset>
            </wp:positionV>
            <wp:extent cx="889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-585470</wp:posOffset>
            </wp:positionV>
            <wp:extent cx="889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-568325</wp:posOffset>
            </wp:positionV>
            <wp:extent cx="889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-550545</wp:posOffset>
            </wp:positionV>
            <wp:extent cx="889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-533400</wp:posOffset>
            </wp:positionV>
            <wp:extent cx="889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-516255</wp:posOffset>
            </wp:positionV>
            <wp:extent cx="889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-499110</wp:posOffset>
            </wp:positionV>
            <wp:extent cx="889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-481965</wp:posOffset>
            </wp:positionV>
            <wp:extent cx="889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-464820</wp:posOffset>
            </wp:positionV>
            <wp:extent cx="889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-447675</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-430530</wp:posOffset>
            </wp:positionV>
            <wp:extent cx="88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-413385</wp:posOffset>
            </wp:positionV>
            <wp:extent cx="889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-396240</wp:posOffset>
            </wp:positionV>
            <wp:extent cx="889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-379095</wp:posOffset>
            </wp:positionV>
            <wp:extent cx="889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-361950</wp:posOffset>
            </wp:positionV>
            <wp:extent cx="889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-344805</wp:posOffset>
            </wp:positionV>
            <wp:extent cx="88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-327660</wp:posOffset>
            </wp:positionV>
            <wp:extent cx="889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-310515</wp:posOffset>
            </wp:positionV>
            <wp:extent cx="889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-293370</wp:posOffset>
            </wp:positionV>
            <wp:extent cx="889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-276225</wp:posOffset>
            </wp:positionV>
            <wp:extent cx="889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-259080</wp:posOffset>
            </wp:positionV>
            <wp:extent cx="88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-241935</wp:posOffset>
            </wp:positionV>
            <wp:extent cx="889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-224790</wp:posOffset>
            </wp:positionV>
            <wp:extent cx="889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-207645</wp:posOffset>
            </wp:positionV>
            <wp:extent cx="889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-190500</wp:posOffset>
            </wp:positionV>
            <wp:extent cx="889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-173355</wp:posOffset>
            </wp:positionV>
            <wp:extent cx="889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-156210</wp:posOffset>
            </wp:positionV>
            <wp:extent cx="889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-139065</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-121920</wp:posOffset>
            </wp:positionV>
            <wp:extent cx="889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-104775</wp:posOffset>
            </wp:positionV>
            <wp:extent cx="889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-87630</wp:posOffset>
            </wp:positionV>
            <wp:extent cx="889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-70485</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-53340</wp:posOffset>
            </wp:positionV>
            <wp:extent cx="88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-36195</wp:posOffset>
            </wp:positionV>
            <wp:extent cx="889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-19050</wp:posOffset>
            </wp:positionV>
            <wp:extent cx="889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-1905</wp:posOffset>
            </wp:positionV>
            <wp:extent cx="889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6"/>
          <w:szCs w:val="16"/>
          <w:color w:val="auto"/>
        </w:rPr>
        <w:t xml:space="preserve">more information on the consequences of a refusal to consent or </w:t>
      </w:r>
      <w:r>
        <w:rPr>
          <w:sz w:val="1"/>
          <w:szCs w:val="1"/>
          <w:color w:val="auto"/>
        </w:rPr>
        <w:drawing>
          <wp:inline distT="0" distB="0" distL="0" distR="0">
            <wp:extent cx="8890" cy="8890"/>
            <wp:effectExtent l="0" t="0" r="0" b="0"/>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r>
        <w:rPr>
          <w:rFonts w:ascii="Times New Roman" w:cs="Times New Roman" w:eastAsia="Times New Roman" w:hAnsi="Times New Roman"/>
          <w:sz w:val="16"/>
          <w:szCs w:val="16"/>
          <w:color w:val="222222"/>
        </w:rPr>
        <w:t xml:space="preserve"> serantau di </w:t>
      </w:r>
      <w:r>
        <w:rPr>
          <w:rFonts w:ascii="Times New Roman" w:cs="Times New Roman" w:eastAsia="Times New Roman" w:hAnsi="Times New Roman"/>
          <w:sz w:val="16"/>
          <w:szCs w:val="16"/>
          <w:color w:val="000000"/>
        </w:rPr>
        <w:t>Stock_Plan_Admin@Analog.com</w:t>
      </w:r>
      <w:r>
        <w:rPr>
          <w:rFonts w:ascii="Times New Roman" w:cs="Times New Roman" w:eastAsia="Times New Roman" w:hAnsi="Times New Roman"/>
          <w:sz w:val="16"/>
          <w:szCs w:val="16"/>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-101600</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-84455</wp:posOffset>
            </wp:positionV>
            <wp:extent cx="889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-67310</wp:posOffset>
            </wp:positionV>
            <wp:extent cx="889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-50165</wp:posOffset>
            </wp:positionV>
            <wp:extent cx="889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-33020</wp:posOffset>
            </wp:positionV>
            <wp:extent cx="889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-15875</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635</wp:posOffset>
            </wp:positionV>
            <wp:extent cx="889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-101600</wp:posOffset>
            </wp:positionV>
            <wp:extent cx="889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-84455</wp:posOffset>
            </wp:positionV>
            <wp:extent cx="889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-67310</wp:posOffset>
            </wp:positionV>
            <wp:extent cx="889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-50165</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-33020</wp:posOffset>
            </wp:positionV>
            <wp:extent cx="889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-15875</wp:posOffset>
            </wp:positionV>
            <wp:extent cx="889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635</wp:posOffset>
            </wp:positionV>
            <wp:extent cx="889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-15875</wp:posOffset>
            </wp:positionV>
            <wp:extent cx="889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635</wp:posOffset>
            </wp:positionV>
            <wp:extent cx="889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6"/>
          <w:szCs w:val="16"/>
          <w:color w:val="auto"/>
        </w:rPr>
        <w:t xml:space="preserve">withdrawal of consent, the Participant understands that he or she may </w:t>
      </w:r>
      <w:r>
        <w:rPr>
          <w:sz w:val="1"/>
          <w:szCs w:val="1"/>
          <w:color w:val="auto"/>
        </w:rPr>
        <w:drawing>
          <wp:inline distT="0" distB="0" distL="0" distR="0">
            <wp:extent cx="8890" cy="8890"/>
            <wp:effectExtent l="0" t="0" r="0" b="0"/>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0">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1">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2">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3">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drawing>
          <wp:inline distT="0" distB="0" distL="0" distR="0">
            <wp:extent cx="8890" cy="8890"/>
            <wp:effectExtent l="0" t="0" r="0" b="0"/>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4">
                      <a:extLst>
                        <a:ext uri="{28A0092B-C50C-407E-A947-70E740481C1C}"/>
                      </a:extLst>
                    </a:blip>
                    <a:srcRect/>
                    <a:stretch>
                      <a:fillRect/>
                    </a:stretch>
                  </pic:blipFill>
                  <pic:spPr bwMode="auto">
                    <a:xfrm>
                      <a:off x="0" y="0"/>
                      <a:ext cx="8890" cy="88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-110490</wp:posOffset>
            </wp:positionV>
            <wp:extent cx="889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-93345</wp:posOffset>
            </wp:positionV>
            <wp:extent cx="889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-76200</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-59055</wp:posOffset>
            </wp:positionV>
            <wp:extent cx="889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-41910</wp:posOffset>
            </wp:positionV>
            <wp:extent cx="889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-24765</wp:posOffset>
            </wp:positionV>
            <wp:extent cx="889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-7620</wp:posOffset>
            </wp:positionV>
            <wp:extent cx="889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-110490</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-93345</wp:posOffset>
            </wp:positionV>
            <wp:extent cx="889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-76200</wp:posOffset>
            </wp:positionV>
            <wp:extent cx="88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-59055</wp:posOffset>
            </wp:positionV>
            <wp:extent cx="889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-41910</wp:posOffset>
            </wp:positionV>
            <wp:extent cx="889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-24765</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-7620</wp:posOffset>
            </wp:positionV>
            <wp:extent cx="889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-24765</wp:posOffset>
            </wp:positionV>
            <wp:extent cx="889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-7620</wp:posOffset>
            </wp:positionV>
            <wp:extent cx="889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380"/>
        <w:spacing w:after="0"/>
        <w:tabs>
          <w:tab w:leader="none" w:pos="1040" w:val="left"/>
          <w:tab w:leader="none" w:pos="1440" w:val="left"/>
          <w:tab w:leader="none" w:pos="1780" w:val="left"/>
          <w:tab w:leader="none" w:pos="2180" w:val="left"/>
          <w:tab w:leader="none" w:pos="2920" w:val="left"/>
          <w:tab w:leader="none" w:pos="3480" w:val="left"/>
          <w:tab w:leader="none" w:pos="3960" w:val="left"/>
          <w:tab w:leader="none" w:pos="5020" w:val="left"/>
        </w:tabs>
        <w:rPr>
          <w:sz w:val="20"/>
          <w:szCs w:val="20"/>
          <w:color w:val="auto"/>
        </w:rPr>
      </w:pPr>
      <w:r>
        <w:rPr>
          <w:rFonts w:ascii="Times New Roman" w:cs="Times New Roman" w:eastAsia="Times New Roman" w:hAnsi="Times New Roman"/>
          <w:sz w:val="16"/>
          <w:szCs w:val="16"/>
          <w:color w:val="auto"/>
        </w:rPr>
        <w:t>contact</w:t>
        <w:tab/>
        <w:t>his</w:t>
        <w:tab/>
        <w:t>or</w:t>
        <w:tab/>
        <w:t>her</w:t>
        <w:tab/>
        <w:t>regional</w:t>
        <w:tab/>
        <w:t>stock</w:t>
        <w:tab/>
        <w:t>plan</w:t>
        <w:tab/>
        <w:t>administrator</w:t>
        <w:tab/>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-112395</wp:posOffset>
            </wp:positionV>
            <wp:extent cx="889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-95250</wp:posOffset>
            </wp:positionV>
            <wp:extent cx="889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-78105</wp:posOffset>
            </wp:positionV>
            <wp:extent cx="88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-60960</wp:posOffset>
            </wp:positionV>
            <wp:extent cx="889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-43815</wp:posOffset>
            </wp:positionV>
            <wp:extent cx="889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-26670</wp:posOffset>
            </wp:positionV>
            <wp:extent cx="889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-9525</wp:posOffset>
            </wp:positionV>
            <wp:extent cx="889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6985</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-112395</wp:posOffset>
            </wp:positionV>
            <wp:extent cx="889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-95250</wp:posOffset>
            </wp:positionV>
            <wp:extent cx="889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-78105</wp:posOffset>
            </wp:positionV>
            <wp:extent cx="889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-60960</wp:posOffset>
            </wp:positionV>
            <wp:extent cx="889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-43815</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-26670</wp:posOffset>
            </wp:positionV>
            <wp:extent cx="889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-9525</wp:posOffset>
            </wp:positionV>
            <wp:extent cx="889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6985</wp:posOffset>
            </wp:positionV>
            <wp:extent cx="889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-112395</wp:posOffset>
            </wp:positionV>
            <wp:extent cx="889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-95250</wp:posOffset>
            </wp:positionV>
            <wp:extent cx="889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-78105</wp:posOffset>
            </wp:positionV>
            <wp:extent cx="889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-60960</wp:posOffset>
            </wp:positionV>
            <wp:extent cx="889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-43815</wp:posOffset>
            </wp:positionV>
            <wp:extent cx="889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-26670</wp:posOffset>
            </wp:positionV>
            <wp:extent cx="889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-9525</wp:posOffset>
            </wp:positionV>
            <wp:extent cx="889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6985</wp:posOffset>
            </wp:positionV>
            <wp:extent cx="889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6"/>
          <w:szCs w:val="16"/>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33020</wp:posOffset>
            </wp:positionV>
            <wp:extent cx="889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33020</wp:posOffset>
            </wp:positionV>
            <wp:extent cx="889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33020</wp:posOffset>
            </wp:positionV>
            <wp:extent cx="889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33020</wp:posOffset>
            </wp:positionV>
            <wp:extent cx="889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33020</wp:posOffset>
            </wp:positionV>
            <wp:extent cx="889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33020</wp:posOffset>
            </wp:positionV>
            <wp:extent cx="889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33020</wp:posOffset>
            </wp:positionV>
            <wp:extent cx="889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33020</wp:posOffset>
            </wp:positionV>
            <wp:extent cx="889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33020</wp:posOffset>
            </wp:positionV>
            <wp:extent cx="889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33020</wp:posOffset>
            </wp:positionV>
            <wp:extent cx="889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33020</wp:posOffset>
            </wp:positionV>
            <wp:extent cx="889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33020</wp:posOffset>
            </wp:positionV>
            <wp:extent cx="889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33020</wp:posOffset>
            </wp:positionV>
            <wp:extent cx="889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33020</wp:posOffset>
            </wp:positionV>
            <wp:extent cx="889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33020</wp:posOffset>
            </wp:positionV>
            <wp:extent cx="889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33020</wp:posOffset>
            </wp:positionV>
            <wp:extent cx="889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33020</wp:posOffset>
            </wp:positionV>
            <wp:extent cx="889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33020</wp:posOffset>
            </wp:positionV>
            <wp:extent cx="889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33020</wp:posOffset>
            </wp:positionV>
            <wp:extent cx="889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33020</wp:posOffset>
            </wp:positionV>
            <wp:extent cx="889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33020</wp:posOffset>
            </wp:positionV>
            <wp:extent cx="889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33020</wp:posOffset>
            </wp:positionV>
            <wp:extent cx="889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33020</wp:posOffset>
            </wp:positionV>
            <wp:extent cx="889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33020</wp:posOffset>
            </wp:positionV>
            <wp:extent cx="889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33020</wp:posOffset>
            </wp:positionV>
            <wp:extent cx="889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33020</wp:posOffset>
            </wp:positionV>
            <wp:extent cx="889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33020</wp:posOffset>
            </wp:positionV>
            <wp:extent cx="889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33020</wp:posOffset>
            </wp:positionV>
            <wp:extent cx="889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33020</wp:posOffset>
            </wp:positionV>
            <wp:extent cx="889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33020</wp:posOffset>
            </wp:positionV>
            <wp:extent cx="889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33020</wp:posOffset>
            </wp:positionV>
            <wp:extent cx="889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33020</wp:posOffset>
            </wp:positionV>
            <wp:extent cx="889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33020</wp:posOffset>
            </wp:positionV>
            <wp:extent cx="889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33020</wp:posOffset>
            </wp:positionV>
            <wp:extent cx="889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33020</wp:posOffset>
            </wp:positionV>
            <wp:extent cx="889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33020</wp:posOffset>
            </wp:positionV>
            <wp:extent cx="889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33020</wp:posOffset>
            </wp:positionV>
            <wp:extent cx="889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33020</wp:posOffset>
            </wp:positionV>
            <wp:extent cx="889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33020</wp:posOffset>
            </wp:positionV>
            <wp:extent cx="889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33020</wp:posOffset>
            </wp:positionV>
            <wp:extent cx="889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33020</wp:posOffset>
            </wp:positionV>
            <wp:extent cx="889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33020</wp:posOffset>
            </wp:positionV>
            <wp:extent cx="889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33020</wp:posOffset>
            </wp:positionV>
            <wp:extent cx="889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33020</wp:posOffset>
            </wp:positionV>
            <wp:extent cx="889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33020</wp:posOffset>
            </wp:positionV>
            <wp:extent cx="889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33020</wp:posOffset>
            </wp:positionV>
            <wp:extent cx="889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33020</wp:posOffset>
            </wp:positionV>
            <wp:extent cx="889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33020</wp:posOffset>
            </wp:positionV>
            <wp:extent cx="889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33020</wp:posOffset>
            </wp:positionV>
            <wp:extent cx="889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33020</wp:posOffset>
            </wp:positionV>
            <wp:extent cx="889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33020</wp:posOffset>
            </wp:positionV>
            <wp:extent cx="889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33020</wp:posOffset>
            </wp:positionV>
            <wp:extent cx="889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33020</wp:posOffset>
            </wp:positionV>
            <wp:extent cx="889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33020</wp:posOffset>
            </wp:positionV>
            <wp:extent cx="889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33020</wp:posOffset>
            </wp:positionV>
            <wp:extent cx="889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33020</wp:posOffset>
            </wp:positionV>
            <wp:extent cx="889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33020</wp:posOffset>
            </wp:positionV>
            <wp:extent cx="889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33020</wp:posOffset>
            </wp:positionV>
            <wp:extent cx="889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33020</wp:posOffset>
            </wp:positionV>
            <wp:extent cx="889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33020</wp:posOffset>
            </wp:positionV>
            <wp:extent cx="889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33020</wp:posOffset>
            </wp:positionV>
            <wp:extent cx="889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33020</wp:posOffset>
            </wp:positionV>
            <wp:extent cx="889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33020</wp:posOffset>
            </wp:positionV>
            <wp:extent cx="889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33020</wp:posOffset>
            </wp:positionV>
            <wp:extent cx="889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33020</wp:posOffset>
            </wp:positionV>
            <wp:extent cx="889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33020</wp:posOffset>
            </wp:positionV>
            <wp:extent cx="889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33020</wp:posOffset>
            </wp:positionV>
            <wp:extent cx="889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33020</wp:posOffset>
            </wp:positionV>
            <wp:extent cx="889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33020</wp:posOffset>
            </wp:positionV>
            <wp:extent cx="889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33020</wp:posOffset>
            </wp:positionV>
            <wp:extent cx="889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33020</wp:posOffset>
            </wp:positionV>
            <wp:extent cx="889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33020</wp:posOffset>
            </wp:positionV>
            <wp:extent cx="889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33020</wp:posOffset>
            </wp:positionV>
            <wp:extent cx="889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33020</wp:posOffset>
            </wp:positionV>
            <wp:extent cx="889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33020</wp:posOffset>
            </wp:positionV>
            <wp:extent cx="889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33020</wp:posOffset>
            </wp:positionV>
            <wp:extent cx="889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33020</wp:posOffset>
            </wp:positionV>
            <wp:extent cx="889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33020</wp:posOffset>
            </wp:positionV>
            <wp:extent cx="889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33020</wp:posOffset>
            </wp:positionV>
            <wp:extent cx="889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33020</wp:posOffset>
            </wp:positionV>
            <wp:extent cx="889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33020</wp:posOffset>
            </wp:positionV>
            <wp:extent cx="889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33020</wp:posOffset>
            </wp:positionV>
            <wp:extent cx="889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33020</wp:posOffset>
            </wp:positionV>
            <wp:extent cx="889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33020</wp:posOffset>
            </wp:positionV>
            <wp:extent cx="889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33020</wp:posOffset>
            </wp:positionV>
            <wp:extent cx="889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33020</wp:posOffset>
            </wp:positionV>
            <wp:extent cx="889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33020</wp:posOffset>
            </wp:positionV>
            <wp:extent cx="889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33020</wp:posOffset>
            </wp:positionV>
            <wp:extent cx="889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33020</wp:posOffset>
            </wp:positionV>
            <wp:extent cx="889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33020</wp:posOffset>
            </wp:positionV>
            <wp:extent cx="889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33020</wp:posOffset>
            </wp:positionV>
            <wp:extent cx="889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33020</wp:posOffset>
            </wp:positionV>
            <wp:extent cx="889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33020</wp:posOffset>
            </wp:positionV>
            <wp:extent cx="889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33020</wp:posOffset>
            </wp:positionV>
            <wp:extent cx="889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33020</wp:posOffset>
            </wp:positionV>
            <wp:extent cx="889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33020</wp:posOffset>
            </wp:positionV>
            <wp:extent cx="889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33020</wp:posOffset>
            </wp:positionV>
            <wp:extent cx="889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33020</wp:posOffset>
            </wp:positionV>
            <wp:extent cx="889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33020</wp:posOffset>
            </wp:positionV>
            <wp:extent cx="889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33020</wp:posOffset>
            </wp:positionV>
            <wp:extent cx="889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33020</wp:posOffset>
            </wp:positionV>
            <wp:extent cx="889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33020</wp:posOffset>
            </wp:positionV>
            <wp:extent cx="889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33020</wp:posOffset>
            </wp:positionV>
            <wp:extent cx="889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33020</wp:posOffset>
            </wp:positionV>
            <wp:extent cx="889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33020</wp:posOffset>
            </wp:positionV>
            <wp:extent cx="889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33020</wp:posOffset>
            </wp:positionV>
            <wp:extent cx="889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33020</wp:posOffset>
            </wp:positionV>
            <wp:extent cx="889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33020</wp:posOffset>
            </wp:positionV>
            <wp:extent cx="889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33020</wp:posOffset>
            </wp:positionV>
            <wp:extent cx="889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33020</wp:posOffset>
            </wp:positionV>
            <wp:extent cx="889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33020</wp:posOffset>
            </wp:positionV>
            <wp:extent cx="889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33020</wp:posOffset>
            </wp:positionV>
            <wp:extent cx="889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33020</wp:posOffset>
            </wp:positionV>
            <wp:extent cx="889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33020</wp:posOffset>
            </wp:positionV>
            <wp:extent cx="889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33020</wp:posOffset>
            </wp:positionV>
            <wp:extent cx="889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33020</wp:posOffset>
            </wp:positionV>
            <wp:extent cx="889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33020</wp:posOffset>
            </wp:positionV>
            <wp:extent cx="889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33020</wp:posOffset>
            </wp:positionV>
            <wp:extent cx="889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33020</wp:posOffset>
            </wp:positionV>
            <wp:extent cx="889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33020</wp:posOffset>
            </wp:positionV>
            <wp:extent cx="889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33020</wp:posOffset>
            </wp:positionV>
            <wp:extent cx="889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33020</wp:posOffset>
            </wp:positionV>
            <wp:extent cx="889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33020</wp:posOffset>
            </wp:positionV>
            <wp:extent cx="889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33020</wp:posOffset>
            </wp:positionV>
            <wp:extent cx="889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33020</wp:posOffset>
            </wp:positionV>
            <wp:extent cx="889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33020</wp:posOffset>
            </wp:positionV>
            <wp:extent cx="889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33020</wp:posOffset>
            </wp:positionV>
            <wp:extent cx="889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33020</wp:posOffset>
            </wp:positionV>
            <wp:extent cx="889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33020</wp:posOffset>
            </wp:positionV>
            <wp:extent cx="889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33020</wp:posOffset>
            </wp:positionV>
            <wp:extent cx="889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33020</wp:posOffset>
            </wp:positionV>
            <wp:extent cx="889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33020</wp:posOffset>
            </wp:positionV>
            <wp:extent cx="889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33020</wp:posOffset>
            </wp:positionV>
            <wp:extent cx="889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33020</wp:posOffset>
            </wp:positionV>
            <wp:extent cx="889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33020</wp:posOffset>
            </wp:positionV>
            <wp:extent cx="889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33020</wp:posOffset>
            </wp:positionV>
            <wp:extent cx="889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33020</wp:posOffset>
            </wp:positionV>
            <wp:extent cx="889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33020</wp:posOffset>
            </wp:positionV>
            <wp:extent cx="889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33020</wp:posOffset>
            </wp:positionV>
            <wp:extent cx="889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33020</wp:posOffset>
            </wp:positionV>
            <wp:extent cx="889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33020</wp:posOffset>
            </wp:positionV>
            <wp:extent cx="889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33020</wp:posOffset>
            </wp:positionV>
            <wp:extent cx="889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33020</wp:posOffset>
            </wp:positionV>
            <wp:extent cx="889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33020</wp:posOffset>
            </wp:positionV>
            <wp:extent cx="889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33020</wp:posOffset>
            </wp:positionV>
            <wp:extent cx="889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33020</wp:posOffset>
            </wp:positionV>
            <wp:extent cx="889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33020</wp:posOffset>
            </wp:positionV>
            <wp:extent cx="889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33020</wp:posOffset>
            </wp:positionV>
            <wp:extent cx="889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33020</wp:posOffset>
            </wp:positionV>
            <wp:extent cx="889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33020</wp:posOffset>
            </wp:positionV>
            <wp:extent cx="889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33020</wp:posOffset>
            </wp:positionV>
            <wp:extent cx="889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33020</wp:posOffset>
            </wp:positionV>
            <wp:extent cx="889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33020</wp:posOffset>
            </wp:positionV>
            <wp:extent cx="889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33020</wp:posOffset>
            </wp:positionV>
            <wp:extent cx="889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33020</wp:posOffset>
            </wp:positionV>
            <wp:extent cx="889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33020</wp:posOffset>
            </wp:positionV>
            <wp:extent cx="889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33020</wp:posOffset>
            </wp:positionV>
            <wp:extent cx="889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33020</wp:posOffset>
            </wp:positionV>
            <wp:extent cx="889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33020</wp:posOffset>
            </wp:positionV>
            <wp:extent cx="889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33020</wp:posOffset>
            </wp:positionV>
            <wp:extent cx="889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33020</wp:posOffset>
            </wp:positionV>
            <wp:extent cx="889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33020</wp:posOffset>
            </wp:positionV>
            <wp:extent cx="889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33020</wp:posOffset>
            </wp:positionV>
            <wp:extent cx="889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33020</wp:posOffset>
            </wp:positionV>
            <wp:extent cx="889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33020</wp:posOffset>
            </wp:positionV>
            <wp:extent cx="889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33020</wp:posOffset>
            </wp:positionV>
            <wp:extent cx="889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33020</wp:posOffset>
            </wp:positionV>
            <wp:extent cx="889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33020</wp:posOffset>
            </wp:positionV>
            <wp:extent cx="889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33020</wp:posOffset>
            </wp:positionV>
            <wp:extent cx="889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33020</wp:posOffset>
            </wp:positionV>
            <wp:extent cx="889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33020</wp:posOffset>
            </wp:positionV>
            <wp:extent cx="889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33020</wp:posOffset>
            </wp:positionV>
            <wp:extent cx="889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33020</wp:posOffset>
            </wp:positionV>
            <wp:extent cx="889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33020</wp:posOffset>
            </wp:positionV>
            <wp:extent cx="889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33020</wp:posOffset>
            </wp:positionV>
            <wp:extent cx="889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33020</wp:posOffset>
            </wp:positionV>
            <wp:extent cx="889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33020</wp:posOffset>
            </wp:positionV>
            <wp:extent cx="889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33020</wp:posOffset>
            </wp:positionV>
            <wp:extent cx="889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33020</wp:posOffset>
            </wp:positionV>
            <wp:extent cx="889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33020</wp:posOffset>
            </wp:positionV>
            <wp:extent cx="889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33020</wp:posOffset>
            </wp:positionV>
            <wp:extent cx="889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33020</wp:posOffset>
            </wp:positionV>
            <wp:extent cx="889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33020</wp:posOffset>
            </wp:positionV>
            <wp:extent cx="889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33020</wp:posOffset>
            </wp:positionV>
            <wp:extent cx="889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33020</wp:posOffset>
            </wp:positionV>
            <wp:extent cx="889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33020</wp:posOffset>
            </wp:positionV>
            <wp:extent cx="889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33020</wp:posOffset>
            </wp:positionV>
            <wp:extent cx="889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33020</wp:posOffset>
            </wp:positionV>
            <wp:extent cx="889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33020</wp:posOffset>
            </wp:positionV>
            <wp:extent cx="889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33020</wp:posOffset>
            </wp:positionV>
            <wp:extent cx="889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33020</wp:posOffset>
            </wp:positionV>
            <wp:extent cx="889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33020</wp:posOffset>
            </wp:positionV>
            <wp:extent cx="88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33020</wp:posOffset>
            </wp:positionV>
            <wp:extent cx="889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33020</wp:posOffset>
            </wp:positionV>
            <wp:extent cx="889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33020</wp:posOffset>
            </wp:positionV>
            <wp:extent cx="889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33020</wp:posOffset>
            </wp:positionV>
            <wp:extent cx="889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33020</wp:posOffset>
            </wp:positionV>
            <wp:extent cx="889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33020</wp:posOffset>
            </wp:positionV>
            <wp:extent cx="889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33020</wp:posOffset>
            </wp:positionV>
            <wp:extent cx="889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33020</wp:posOffset>
            </wp:positionV>
            <wp:extent cx="889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33020</wp:posOffset>
            </wp:positionV>
            <wp:extent cx="889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33020</wp:posOffset>
            </wp:positionV>
            <wp:extent cx="889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33020</wp:posOffset>
            </wp:positionV>
            <wp:extent cx="889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33020</wp:posOffset>
            </wp:positionV>
            <wp:extent cx="889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33020</wp:posOffset>
            </wp:positionV>
            <wp:extent cx="889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33020</wp:posOffset>
            </wp:positionV>
            <wp:extent cx="889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33020</wp:posOffset>
            </wp:positionV>
            <wp:extent cx="889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33020</wp:posOffset>
            </wp:positionV>
            <wp:extent cx="889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33020</wp:posOffset>
            </wp:positionV>
            <wp:extent cx="889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-103505</wp:posOffset>
            </wp:positionV>
            <wp:extent cx="889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-86360</wp:posOffset>
            </wp:positionV>
            <wp:extent cx="889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-69215</wp:posOffset>
            </wp:positionV>
            <wp:extent cx="889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-52070</wp:posOffset>
            </wp:positionV>
            <wp:extent cx="889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-34925</wp:posOffset>
            </wp:positionV>
            <wp:extent cx="889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-17780</wp:posOffset>
            </wp:positionV>
            <wp:extent cx="889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-635</wp:posOffset>
            </wp:positionV>
            <wp:extent cx="889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15875</wp:posOffset>
            </wp:positionV>
            <wp:extent cx="889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33020</wp:posOffset>
            </wp:positionV>
            <wp:extent cx="889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-103505</wp:posOffset>
            </wp:positionV>
            <wp:extent cx="3087370" cy="14605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3">
                      <a:extLst>
                        <a:ext uri="{28A0092B-C50C-407E-A947-70E740481C1C}"/>
                      </a:extLst>
                    </a:blip>
                    <a:srcRect/>
                    <a:stretch>
                      <a:fillRect/>
                    </a:stretch>
                  </pic:blipFill>
                  <pic:spPr bwMode="auto">
                    <a:xfrm>
                      <a:off x="0" y="0"/>
                      <a:ext cx="3087370" cy="146050"/>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196"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200" w:lineRule="exact"/>
        <w:rPr>
          <w:sz w:val="20"/>
          <w:szCs w:val="20"/>
          <w:color w:val="auto"/>
        </w:rPr>
      </w:pPr>
    </w:p>
    <w:p>
      <w:pPr>
        <w:spacing w:after="0" w:line="38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A - 9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8" w:name="page89"/>
    <w:bookmarkEnd w:id="88"/>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Technology Way, Norwood, Massachusetts, 02062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60"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4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Technology Way, Norwood, Massachusetts, 02062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5" w:lineRule="exact"/>
        <w:rPr>
          <w:sz w:val="20"/>
          <w:szCs w:val="20"/>
          <w:color w:val="auto"/>
        </w:rPr>
      </w:pPr>
    </w:p>
    <w:p>
      <w:pPr>
        <w:jc w:val="both"/>
        <w:ind w:left="340" w:right="20"/>
        <w:spacing w:after="0" w:line="283"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67"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By accepting the RSU, the Participant acknowledges that the RSU is intended as an incentive for the Participant to remain employed with the Employer and is not intended as remuneration for labor performed.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19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grant of RSUs is being made pursuant to an exemption from registration under Section 10.2 of the SRC that has been approved by the PSEC.</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w:t>
      </w:r>
    </w:p>
    <w:p>
      <w:pPr>
        <w:spacing w:after="0" w:line="1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APPENDIX A - 10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89" w:name="page90"/>
    <w:bookmarkEnd w:id="89"/>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154"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5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questions with regard to the application of Philippines securities laws to the disposal or sale of Shares acquired under the Plan the Participant should consult with his or her legal advisor.</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24"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19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196"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subject to the regulations concerning public offers and private placements under the Law on Capital Markets.</w:t>
      </w:r>
    </w:p>
    <w:p>
      <w:pPr>
        <w:spacing w:after="0" w:line="13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w:t>
      </w:r>
    </w:p>
    <w:p>
      <w:pPr>
        <w:spacing w:after="0" w:line="3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APPENDIX A - 11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0" w:name="page91"/>
    <w:bookmarkEnd w:id="90"/>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6"/>
          <w:szCs w:val="16"/>
          <w:u w:val="single" w:color="auto"/>
          <w:color w:val="auto"/>
        </w:rPr>
        <w:t>Chief Executive Officer and Director Notification</w:t>
      </w:r>
      <w:r>
        <w:rPr>
          <w:rFonts w:ascii="Times New Roman" w:cs="Times New Roman" w:eastAsia="Times New Roman" w:hAnsi="Times New Roman"/>
          <w:sz w:val="16"/>
          <w:szCs w:val="16"/>
          <w:color w:val="auto"/>
        </w:rPr>
        <w:t>. If the Participant is the Chief Executive Officer (“CEO”) or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RSUs or when Shares are subsequently sold). In addition, a notification must be made of the Participant’s interests in the Company or any related company within two (2) business days of becoming a CEO or director, associate director, or shadow director.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67"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6"/>
          <w:szCs w:val="16"/>
          <w:color w:val="auto"/>
        </w:rPr>
        <w:t>In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162"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jc w:val="both"/>
        <w:ind w:left="340" w:hanging="8"/>
        <w:spacing w:after="0" w:line="248" w:lineRule="auto"/>
        <w:tabs>
          <w:tab w:leader="none" w:pos="59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194"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14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acknowledges that he or she must declare any Shares that are acquired under the Plan to the </w:t>
      </w:r>
      <w:r>
        <w:rPr>
          <w:rFonts w:ascii="Times New Roman" w:cs="Times New Roman" w:eastAsia="Times New Roman" w:hAnsi="Times New Roman"/>
          <w:sz w:val="16"/>
          <w:szCs w:val="16"/>
          <w:i w:val="1"/>
          <w:iCs w:val="1"/>
          <w:color w:val="auto"/>
        </w:rPr>
        <w:t>Dirección General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Comercio e Inversiones </w:t>
      </w:r>
      <w:r>
        <w:rPr>
          <w:rFonts w:ascii="Times New Roman" w:cs="Times New Roman" w:eastAsia="Times New Roman" w:hAnsi="Times New Roman"/>
          <w:sz w:val="16"/>
          <w:szCs w:val="16"/>
          <w:color w:val="auto"/>
        </w:rPr>
        <w:t>of the Ministry of Economy and Competitiveness (the “DGCI”). After the initial declaration, the declaration must be filed with the DGCI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basis each January while the shares are owned; however, if the value of the Shares or the sale proceeds exceed a certain amount, a declaration must be filed within one month of the acquisition or sale, as applicable.</w:t>
      </w:r>
    </w:p>
    <w:p>
      <w:pPr>
        <w:spacing w:after="0" w:line="15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APPENDIX A - 12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1" w:name="page92"/>
    <w:bookmarkEnd w:id="91"/>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is not intended to be a public offering in Switzerland and is therefore not subject to registration in Switzerland. Neither this document nor any materials relating to the RSUs constitutes a prospectus as such term is understood pursuant to article 652a of the Swiss Code of Obligations, and neither this document nor any other materials relating to the RSUs may be publicly distributed nor otherwise made publicly available in Switzerland. Neither this document nor any other offering or marketing material relating to the RSUs has been or will be filed with, approved or supervised by any Swiss regulatory authority (in particular, the Swiss Financial Supervisory Authority (FINMA)).</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19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157" w:lineRule="exact"/>
        <w:rPr>
          <w:sz w:val="20"/>
          <w:szCs w:val="20"/>
          <w:color w:val="auto"/>
        </w:rPr>
      </w:pPr>
    </w:p>
    <w:p>
      <w:pPr>
        <w:jc w:val="both"/>
        <w:ind w:left="340" w:right="20"/>
        <w:spacing w:after="0" w:line="28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and participation in the Plan is made available only to employees of the Company and the Employer. It is not a public offer of securities by a Taiwanese company. Therefore, it is exempt from registration in Taiwan.</w:t>
      </w:r>
    </w:p>
    <w:p>
      <w:pPr>
        <w:spacing w:after="0" w:line="13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13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19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3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19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36"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1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APPENDIX A - 13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2" w:name="page93"/>
    <w:bookmarkEnd w:id="92"/>
    <w:p>
      <w:pPr>
        <w:ind w:left="522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16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151"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58" w:lineRule="exact"/>
        <w:rPr>
          <w:sz w:val="20"/>
          <w:szCs w:val="20"/>
          <w:color w:val="auto"/>
        </w:rPr>
      </w:pPr>
    </w:p>
    <w:p>
      <w:pPr>
        <w:jc w:val="both"/>
        <w:ind w:left="340" w:right="20"/>
        <w:spacing w:after="0" w:line="28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E.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36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APPENDIX A - 14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3" w:name="page94"/>
    <w:bookmarkEnd w:id="93"/>
    <w:p>
      <w:pPr>
        <w:ind w:left="5220"/>
        <w:spacing w:after="0"/>
        <w:rPr>
          <w:sz w:val="20"/>
          <w:szCs w:val="20"/>
          <w:color w:val="auto"/>
        </w:rPr>
      </w:pPr>
      <w:r>
        <w:rPr>
          <w:rFonts w:ascii="Times New Roman" w:cs="Times New Roman" w:eastAsia="Times New Roman" w:hAnsi="Times New Roman"/>
          <w:sz w:val="16"/>
          <w:szCs w:val="16"/>
          <w:b w:val="1"/>
          <w:bCs w:val="1"/>
          <w:color w:val="auto"/>
        </w:rPr>
        <w:t>APPENDIX B</w:t>
      </w:r>
    </w:p>
    <w:p>
      <w:pPr>
        <w:spacing w:after="0" w:line="16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OFFER OF RESTRICTED STOCK UNITS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39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Investment in shares involves a degree of risk. Eligible employees who elect to participate in the Plans should monitor their participation and consider all risk factors relevant to the acquisition of shares of common stock under the Plans as set out in this Offer Document and the Additional Documents.</w:t>
      </w:r>
    </w:p>
    <w:p>
      <w:pPr>
        <w:spacing w:after="0" w:line="1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pleased to provide you with this offer to participate in the Analog Devices, Inc. Amended and Restated 2006 Stock Incentive Plan (the “Plan”). This Offer Document sets out information regarding the grant of restricted stock units (“Restricted Stock Units”) over shares of common stock (“Shares”) of Analog Devices, Inc. (the “Company”) to Australian resident employees and directors of the Company and its Australian Subsidiary.</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adopted the Plan to enable the Company and its subsidiaries to attract, retain and motivate their employees by providing for or increasing the proprietary interests of such employees in the Company. The Plan and this Offer Document are intended to comply with the provisions of the Corporations Act 2001, ASIC Regulatory Guide 49 and ASIC Class Order CO 14/1000.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capitalized term used but not defined herein shall have the meaning ascribed to such term in the Plan.</w:t>
      </w:r>
    </w:p>
    <w:p>
      <w:pPr>
        <w:spacing w:after="0" w:line="219"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is an Offer of Restricted Share Units, as may be granted from time to time by the Company, to certain eligible employees in accordance with the Plan.</w:t>
      </w:r>
    </w:p>
    <w:p>
      <w:pPr>
        <w:spacing w:after="0" w:line="219"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TERMS OF GRANT</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terms of the grant of Restricted Stock Units incorporate the rules of the Plan, this Offer Document and the Global Restricted Stock Unit Agreement, and Appendix A thereto (the “Agreement”). By accepting a grant of Restricted Stock Units, you will be bound by the rules of the Plan, this Offer Document and the Agreement.</w:t>
      </w:r>
    </w:p>
    <w:p>
      <w:pPr>
        <w:spacing w:after="0" w:line="161"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ADDITIONAL DOCUMENTS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the information set out in this Offer Document, attached are copies of the following documents:</w:t>
      </w:r>
    </w:p>
    <w:p>
      <w:pPr>
        <w:spacing w:after="0" w:line="221" w:lineRule="exact"/>
        <w:rPr>
          <w:sz w:val="20"/>
          <w:szCs w:val="20"/>
          <w:color w:val="auto"/>
        </w:rPr>
      </w:pPr>
    </w:p>
    <w:p>
      <w:pPr>
        <w:ind w:left="680" w:hanging="672"/>
        <w:spacing w:after="0"/>
        <w:tabs>
          <w:tab w:leader="none" w:pos="6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w:t>
      </w:r>
    </w:p>
    <w:p>
      <w:pPr>
        <w:spacing w:after="0" w:line="221"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Prospectus; and</w:t>
      </w:r>
    </w:p>
    <w:p>
      <w:pPr>
        <w:spacing w:after="0" w:line="221"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(collectively, the “Additional Documents”).</w:t>
      </w:r>
    </w:p>
    <w:p>
      <w:pPr>
        <w:spacing w:after="0" w:line="2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Agreement sets out, among other details, the vesting conditions applicable to your Restricted Stock Units, information on the settlement of your Restricted Stock Units and the consequences of a change in the nature or status of your employment.</w:t>
      </w:r>
    </w:p>
    <w:p>
      <w:pPr>
        <w:spacing w:after="0" w:line="1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 xml:space="preserve">The other Additional Documents provide further information to assist you to make an informed investment decision in relation to your participation in the Plan. Neither the Plan nor the 2006 Stock Incentive Plan Prospectus is a prospectus for the purposes of the </w:t>
      </w:r>
      <w:r>
        <w:rPr>
          <w:rFonts w:ascii="Times New Roman" w:cs="Times New Roman" w:eastAsia="Times New Roman" w:hAnsi="Times New Roman"/>
          <w:sz w:val="16"/>
          <w:szCs w:val="16"/>
          <w:i w:val="1"/>
          <w:iCs w:val="1"/>
          <w:color w:val="auto"/>
        </w:rPr>
        <w:t>Corporations Act</w:t>
      </w:r>
      <w:r>
        <w:rPr>
          <w:rFonts w:ascii="Times New Roman" w:cs="Times New Roman" w:eastAsia="Times New Roman" w:hAnsi="Times New Roman"/>
          <w:sz w:val="16"/>
          <w:szCs w:val="16"/>
          <w:color w:val="auto"/>
        </w:rPr>
        <w:t>.</w:t>
      </w:r>
    </w:p>
    <w:p>
      <w:pPr>
        <w:spacing w:after="0" w:line="3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B - 1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4" w:name="page95"/>
    <w:bookmarkEnd w:id="94"/>
    <w:p>
      <w:pPr>
        <w:ind w:left="5220"/>
        <w:spacing w:after="0"/>
        <w:rPr>
          <w:sz w:val="20"/>
          <w:szCs w:val="20"/>
          <w:color w:val="auto"/>
        </w:rPr>
      </w:pPr>
      <w:r>
        <w:rPr>
          <w:rFonts w:ascii="Times New Roman" w:cs="Times New Roman" w:eastAsia="Times New Roman" w:hAnsi="Times New Roman"/>
          <w:sz w:val="16"/>
          <w:szCs w:val="16"/>
          <w:b w:val="1"/>
          <w:bCs w:val="1"/>
          <w:color w:val="auto"/>
        </w:rPr>
        <w:t>APPENDIX B</w:t>
      </w:r>
    </w:p>
    <w:p>
      <w:pPr>
        <w:spacing w:after="0" w:line="16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OFFER OF RESTRICTED STOCK UNITS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390"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RELIANCE ON STATEMENTS</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1"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IS ELIGIBLE TO PARTICIPATE?</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1"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ACCEPTING AN AWARD</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Agreement sets out additional terms and conditions of your Restricted Stock Unit award. You are not required to affirmatively accept your Restricted Stock Units award in writing.</w:t>
      </w:r>
    </w:p>
    <w:p>
      <w:pPr>
        <w:spacing w:after="0" w:line="161"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MATERIAL TERMS OF THE RESTRICTED STOCK UNITS?</w:t>
      </w:r>
    </w:p>
    <w:p>
      <w:pPr>
        <w:spacing w:after="0" w:line="221" w:lineRule="exact"/>
        <w:rPr>
          <w:sz w:val="20"/>
          <w:szCs w:val="20"/>
          <w:color w:val="auto"/>
        </w:rPr>
      </w:pPr>
    </w:p>
    <w:p>
      <w:pPr>
        <w:ind w:left="620" w:hanging="612"/>
        <w:spacing w:after="0"/>
        <w:tabs>
          <w:tab w:leader="none" w:pos="62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Restricted Stock Units?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Restricted Stock Units represent the right to receive Shares upon fulfilment of the vesting conditions set out in your Agreement. The Restricted Stock Units are considered “restricted” because they are subject to forfeiture and restrictions on transfer until they vest. The restrictions are set forth in your Agreement. When your Restricted Stock Units vest, you will be issued Shares at no monetary cost (other than applicable taxes) to you. Notwithstanding anything to the contrary in the Plan, the Agreement, or any related document, your Restricted Stock Units will be settled in Shares.</w:t>
      </w:r>
    </w:p>
    <w:p>
      <w:pPr>
        <w:spacing w:after="0" w:line="179" w:lineRule="exact"/>
        <w:rPr>
          <w:sz w:val="20"/>
          <w:szCs w:val="20"/>
          <w:color w:val="auto"/>
        </w:rPr>
      </w:pPr>
    </w:p>
    <w:p>
      <w:pPr>
        <w:ind w:left="620" w:hanging="612"/>
        <w:spacing w:after="0"/>
        <w:tabs>
          <w:tab w:leader="none" w:pos="62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 I have to pay any money to receive the Restricted Stock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You pay no monetary consideration to receive the Restricted Stock Units, nor do you pay anything to receive the Shares upon vesting (other than applicable taxes).</w:t>
      </w:r>
    </w:p>
    <w:p>
      <w:pPr>
        <w:spacing w:after="0" w:line="219" w:lineRule="exact"/>
        <w:rPr>
          <w:sz w:val="20"/>
          <w:szCs w:val="20"/>
          <w:color w:val="auto"/>
        </w:rPr>
      </w:pPr>
    </w:p>
    <w:p>
      <w:pPr>
        <w:ind w:left="620" w:hanging="612"/>
        <w:spacing w:after="0"/>
        <w:tabs>
          <w:tab w:leader="none" w:pos="62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Shares will I receive upon vesting of my Restricted Stock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details of your Restricted Stock Units and the number of Shares subject to the award are set out in the Agreement.</w:t>
      </w:r>
    </w:p>
    <w:p>
      <w:pPr>
        <w:spacing w:after="0" w:line="2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(d)</w:t>
        <w:tab/>
        <w:t>When do I become a stockholder?</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You are not a stockholder merely as a result of holding Restricted Stock Units. The Restricted Stock Units will not entitle you to any shareholder rights, including the right to vote the Shares or receive dividends, notices of meetings, proxy statements and other materials provided to stockholders, until the restrictions lapse at vesting and the Restricted Stock Units are paid out in Shares. In this regard, you are not recorded as the owner of the Shares prior to vesting. You should refer to your Agreement for details of the consequences of a change in the nature of your employment.</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(e)</w:t>
        <w:tab/>
        <w:t>Can I transfer the Restricted Stock Units to someone else?</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No. The Restricted Stock Units are generally non-transferable, unless otherwise provided in your Agreement; however, once Shares are issued upon vesting, the Shares will be freely tradeable (subject to the Company’s policies and applicable laws regarding insider trading).</w:t>
      </w:r>
    </w:p>
    <w:p>
      <w:pPr>
        <w:spacing w:after="0" w:line="161"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my employment with the Company or Australian Subsidiary terminates?</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Your right to any unvested Restricted Stock Units will terminate when you terminate employment with the Company or its Australian Subsidiary for reasons including, but not limited to, retirement, resignation, lay-off, discharge, or other change of employment status.</w:t>
      </w:r>
    </w:p>
    <w:p>
      <w:pPr>
        <w:spacing w:after="0" w:line="161"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A SHARE IN THE COMPANY</w:t>
      </w:r>
    </w:p>
    <w:p>
      <w:pPr>
        <w:spacing w:after="0" w:line="22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Common stock of a U.S. corporation is analogous to an ordinary share of an Australian corporation. Each holder of a Share is entitled to one vote for every Share held in the Company.</w:t>
      </w:r>
    </w:p>
    <w:p>
      <w:pPr>
        <w:spacing w:after="0" w:line="3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B - 2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5" w:name="page96"/>
    <w:bookmarkEnd w:id="95"/>
    <w:p>
      <w:pPr>
        <w:ind w:left="5220"/>
        <w:spacing w:after="0"/>
        <w:rPr>
          <w:sz w:val="20"/>
          <w:szCs w:val="20"/>
          <w:color w:val="auto"/>
        </w:rPr>
      </w:pPr>
      <w:r>
        <w:rPr>
          <w:rFonts w:ascii="Times New Roman" w:cs="Times New Roman" w:eastAsia="Times New Roman" w:hAnsi="Times New Roman"/>
          <w:sz w:val="16"/>
          <w:szCs w:val="16"/>
          <w:b w:val="1"/>
          <w:bCs w:val="1"/>
          <w:color w:val="auto"/>
        </w:rPr>
        <w:t>APPENDIX B</w:t>
      </w:r>
    </w:p>
    <w:p>
      <w:pPr>
        <w:spacing w:after="0" w:line="16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OFFER OF RESTRICTED STOCK UNITS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may be paid on the Shares out of any funds of the Company legally available for dividends at the discretion of the board of directors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Shares are traded on the Nasdaq Global Select Market in the United States of America and are traded under the symbol “ADI”.</w:t>
      </w:r>
    </w:p>
    <w:p>
      <w:pPr>
        <w:spacing w:after="0" w:line="2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1"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CAN I OBTAIN UPDATED INDICATIVE EXAMPLES OF THE CURRENT MARKET PRICE IN AUSTRALIAN DOLLARS?</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You may ascertain the current market price of the Shares as traded on the Nasdaq at http://www.nasdaq.com under the code “ADI”. The Australian dollar equivalent of that price can be obtained at: http://www.rba.gov.au/statistics/frequency/exchange-rates.html.</w:t>
      </w:r>
    </w:p>
    <w:p>
      <w:pPr>
        <w:spacing w:after="0" w:line="16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i w:val="1"/>
          <w:iCs w:val="1"/>
          <w:color w:val="auto"/>
        </w:rPr>
        <w:t>This will not be a prediction of what the market price per Share will be when the Restricted Stock Units vest or settle or of the applicable exchange rate on the actual date of vesting or settlement.</w:t>
      </w:r>
    </w:p>
    <w:p>
      <w:pPr>
        <w:spacing w:after="0" w:line="160"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ADDITIONAL RISK FACTORS APPLY TO AUSTRALIAN RESIDENTS’ PARTICIPATION IN THE PLAN?</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http://www.sec.gov/, on the Company’s “Investor Relations” page at http://investor.analog.com/, and upon request to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you should be aware that the Australian dollar value of the Shares you may acquire at vesting will be affected by the U.S. dollar/Australian dollar exchange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Participation in the Plan involves certain risks related to fluctuations in this rate of exchange.</w:t>
      </w:r>
    </w:p>
    <w:p>
      <w:pPr>
        <w:spacing w:after="0" w:line="201"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 MODIFICATION, TERMINATION ETC.</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76"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AUSTRALIAN TAX CONSEQUENCES OF PARTICIPATION IN THE PLAN?</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following is a summary of the tax consequences as of October 2018 for an Australian resident employee who receives Restricted Stock Units under the Plan. You may also be subject to Medicare levy and surcharge.</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note that for Restricted Stock Units granted under the Plan prior to 1 July 2015, different employee share scheme rules apply. The following taxation summary applies only to Restricted Stock Units granted on or after 1 July 2015. If you hold Restricted Stock Units granted before 1 July 2015, please consult with your personal tax advisor on the applicable tax treatment.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summary is necessarily general in nature and does not purport to be tax advice in relation to an actual or potential recipient of Restricted Stock Units.</w:t>
      </w: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B - 3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6" w:name="page97"/>
    <w:bookmarkEnd w:id="96"/>
    <w:p>
      <w:pPr>
        <w:ind w:left="5220"/>
        <w:spacing w:after="0"/>
        <w:rPr>
          <w:sz w:val="20"/>
          <w:szCs w:val="20"/>
          <w:color w:val="auto"/>
        </w:rPr>
      </w:pPr>
      <w:r>
        <w:rPr>
          <w:rFonts w:ascii="Times New Roman" w:cs="Times New Roman" w:eastAsia="Times New Roman" w:hAnsi="Times New Roman"/>
          <w:sz w:val="16"/>
          <w:szCs w:val="16"/>
          <w:b w:val="1"/>
          <w:bCs w:val="1"/>
          <w:color w:val="auto"/>
        </w:rPr>
        <w:t>APPENDIX B</w:t>
      </w:r>
    </w:p>
    <w:p>
      <w:pPr>
        <w:spacing w:after="0" w:line="16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OFFER OF RESTRICTED STOCK UNITS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3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If you are a citizen or resident of another country for local tax law purposes or if you transfer employment to another country after the Restricted Stock Units are granted to you, the information contained in this summary may not be applicable to you. </w:t>
      </w:r>
      <w:r>
        <w:rPr>
          <w:rFonts w:ascii="Times New Roman" w:cs="Times New Roman" w:eastAsia="Times New Roman" w:hAnsi="Times New Roman"/>
          <w:sz w:val="16"/>
          <w:szCs w:val="16"/>
          <w:i w:val="1"/>
          <w:iCs w:val="1"/>
          <w:color w:val="auto"/>
        </w:rPr>
        <w:t>You should seek appropriate professional advice as to how the tax or other laws in Australia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 your country apply to your specific situation.</w:t>
      </w:r>
    </w:p>
    <w:p>
      <w:pPr>
        <w:spacing w:after="0" w:line="1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If you are awarded Restricted Stock Units under the Plan, you should not rely on this summary as anything other than a broad guide, and you should obtain independent taxation advice specific to your particular circumstances before making the decision to accept the Restricted Stock Units.</w:t>
      </w:r>
    </w:p>
    <w:p>
      <w:pPr>
        <w:spacing w:after="0" w:line="161" w:lineRule="exact"/>
        <w:rPr>
          <w:sz w:val="20"/>
          <w:szCs w:val="20"/>
          <w:color w:val="auto"/>
        </w:rPr>
      </w:pPr>
    </w:p>
    <w:p>
      <w:pPr>
        <w:ind w:left="620" w:hanging="612"/>
        <w:spacing w:after="0"/>
        <w:tabs>
          <w:tab w:leader="none" w:pos="62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effect of the grant of the Restricted Stock Units?</w:t>
      </w:r>
    </w:p>
    <w:p>
      <w:pPr>
        <w:spacing w:after="0" w:line="2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The Australian tax legislation contains specific rules, in Division 83A of the </w:t>
      </w:r>
      <w:r>
        <w:rPr>
          <w:rFonts w:ascii="Times New Roman" w:cs="Times New Roman" w:eastAsia="Times New Roman" w:hAnsi="Times New Roman"/>
          <w:sz w:val="16"/>
          <w:szCs w:val="16"/>
          <w:i w:val="1"/>
          <w:iCs w:val="1"/>
          <w:color w:val="auto"/>
        </w:rPr>
        <w:t>Income Tax Assessment Act 1997</w:t>
      </w:r>
      <w:r>
        <w:rPr>
          <w:rFonts w:ascii="Times New Roman" w:cs="Times New Roman" w:eastAsia="Times New Roman" w:hAnsi="Times New Roman"/>
          <w:sz w:val="16"/>
          <w:szCs w:val="16"/>
          <w:color w:val="auto"/>
        </w:rPr>
        <w:t>, governing the taxation of shares and rights (called “ESS interests”) acquired by employees under employee share schemes. The Restricted Stock Units granted under the Plan should be regarded as a right to acquire shares and accordingly, an ESS interest for these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assessable income includes the ESS interest at grant, unless the ESS interest is subject to a “real risk of forfeiture,” in which case you will be subject to deferred taxation.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case of the Restricted Stock Units, the “real risk of forfeiture” test requires that:</w:t>
      </w:r>
    </w:p>
    <w:p>
      <w:pPr>
        <w:spacing w:after="0" w:line="221" w:lineRule="exact"/>
        <w:rPr>
          <w:sz w:val="20"/>
          <w:szCs w:val="20"/>
          <w:color w:val="auto"/>
        </w:rPr>
      </w:pPr>
    </w:p>
    <w:p>
      <w:pPr>
        <w:ind w:left="660" w:hanging="4"/>
        <w:spacing w:after="0" w:line="281" w:lineRule="auto"/>
        <w:tabs>
          <w:tab w:leader="none" w:pos="101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must be a real risk that, under the conditions of the Plan, you will forfeit the Restricted Stock Units or lose them (other than by disposing of them or in connection with the vesting of the Restricted Stock Units); or</w:t>
      </w:r>
    </w:p>
    <w:p>
      <w:pPr>
        <w:spacing w:after="0" w:line="163" w:lineRule="exact"/>
        <w:rPr>
          <w:rFonts w:ascii="Times New Roman" w:cs="Times New Roman" w:eastAsia="Times New Roman" w:hAnsi="Times New Roman"/>
          <w:sz w:val="16"/>
          <w:szCs w:val="16"/>
          <w:color w:val="auto"/>
        </w:rPr>
      </w:pPr>
    </w:p>
    <w:p>
      <w:pPr>
        <w:ind w:left="660" w:right="20" w:hanging="4"/>
        <w:spacing w:after="0" w:line="281" w:lineRule="auto"/>
        <w:tabs>
          <w:tab w:leader="none" w:pos="103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must be a real risk that if your Restricted Stock Units vest, under the conditions of the Plan, you will forfeit the underlying Shares or lose them other than by disposing of them.</w:t>
      </w:r>
    </w:p>
    <w:p>
      <w:pPr>
        <w:spacing w:after="0" w:line="1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terms of your Restricted Stock Unit award are set out in the Additional Documents. It is understood that your Restricted Stock Units will satisfy the real risk of forfeiture test and that you will be subject to deferred taxation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you generally should not be subject to tax when the Restricted Share Units are granted to you).</w:t>
      </w:r>
    </w:p>
    <w:p>
      <w:pPr>
        <w:spacing w:after="0" w:line="161" w:lineRule="exact"/>
        <w:rPr>
          <w:sz w:val="20"/>
          <w:szCs w:val="20"/>
          <w:color w:val="auto"/>
        </w:rPr>
      </w:pPr>
    </w:p>
    <w:p>
      <w:pPr>
        <w:ind w:left="620" w:hanging="612"/>
        <w:spacing w:after="0"/>
        <w:tabs>
          <w:tab w:leader="none" w:pos="62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When will you be taxed if your Restricted Stock Units are subject to a real risk of forfeiture?</w:t>
      </w:r>
    </w:p>
    <w:p>
      <w:pPr>
        <w:spacing w:after="0" w:line="22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You will be required to include an amount in your assessable income for the income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financial year ending 30 June) in which the earliest of the following events occurs in relation to the Restricted Stock Units (the “ESS deferred taxing point”).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ESS deferred taxing point will be the earliest of the following:</w:t>
      </w:r>
    </w:p>
    <w:p>
      <w:pPr>
        <w:spacing w:after="0" w:line="221" w:lineRule="exact"/>
        <w:rPr>
          <w:sz w:val="20"/>
          <w:szCs w:val="20"/>
          <w:color w:val="auto"/>
        </w:rPr>
      </w:pPr>
    </w:p>
    <w:p>
      <w:pPr>
        <w:ind w:left="660" w:hanging="4"/>
        <w:spacing w:after="0" w:line="281" w:lineRule="auto"/>
        <w:tabs>
          <w:tab w:leader="none" w:pos="101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there are no longer any genuine restrictions on the vesting of the Restricted Stock Units and there is no real risk of you forfeiting your Restricted Stock Units;</w:t>
      </w:r>
    </w:p>
    <w:p>
      <w:pPr>
        <w:spacing w:after="0" w:line="163"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Restricted Stock Units are settled and there is no genuine restriction on the disposal of the underlying Shares; and</w:t>
      </w:r>
    </w:p>
    <w:p>
      <w:pPr>
        <w:spacing w:after="0" w:line="221"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cessation of employment (but see Section 11(e) below).</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Generally, this means that you will be subject to tax when your Restricted Stock Units vest. However, the ESS deferred taxing point for your Restricted Stock Units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income taxes, the assessable amount may also be subject to Medicare Levy and surcharge (if applicable).</w:t>
      </w:r>
    </w:p>
    <w:p>
      <w:pPr>
        <w:spacing w:after="0" w:line="219" w:lineRule="exact"/>
        <w:rPr>
          <w:sz w:val="20"/>
          <w:szCs w:val="20"/>
          <w:color w:val="auto"/>
        </w:rPr>
      </w:pPr>
    </w:p>
    <w:p>
      <w:pPr>
        <w:ind w:left="620" w:hanging="612"/>
        <w:spacing w:after="0"/>
        <w:tabs>
          <w:tab w:leader="none" w:pos="62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amount to be included in your assessable income if an ESS deferred taxing point occurs?</w:t>
      </w:r>
    </w:p>
    <w:p>
      <w:pPr>
        <w:spacing w:after="0" w:line="22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The amount you must include in your assessable income in the income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financial year ending 30 June) in which the ESS deferred taxing point occurs in relation to your Restricted Stock Units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typically at vesting) will be the difference between the “market value” of the underlying</w:t>
      </w:r>
    </w:p>
    <w:p>
      <w:pPr>
        <w:spacing w:after="0" w:line="39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B - 4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7" w:name="page98"/>
    <w:bookmarkEnd w:id="97"/>
    <w:p>
      <w:pPr>
        <w:ind w:left="5220"/>
        <w:spacing w:after="0"/>
        <w:rPr>
          <w:sz w:val="20"/>
          <w:szCs w:val="20"/>
          <w:color w:val="auto"/>
        </w:rPr>
      </w:pPr>
      <w:r>
        <w:rPr>
          <w:rFonts w:ascii="Times New Roman" w:cs="Times New Roman" w:eastAsia="Times New Roman" w:hAnsi="Times New Roman"/>
          <w:sz w:val="16"/>
          <w:szCs w:val="16"/>
          <w:b w:val="1"/>
          <w:bCs w:val="1"/>
          <w:color w:val="auto"/>
        </w:rPr>
        <w:t>APPENDIX B</w:t>
      </w:r>
    </w:p>
    <w:p>
      <w:pPr>
        <w:spacing w:after="0" w:line="16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OFFER OF RESTRICTED STOCK UNITS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3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Shares at the ESS deferred taxing point and the cost base of the Restricted Stock Units (which should be nil because you do not have to pay anything to acquire the Restricted Stock Units or the underlying Shares).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Restricted Stock Units (which, again, should be nil).</w:t>
      </w:r>
    </w:p>
    <w:p>
      <w:pPr>
        <w:spacing w:after="0" w:line="176" w:lineRule="exact"/>
        <w:rPr>
          <w:sz w:val="20"/>
          <w:szCs w:val="20"/>
          <w:color w:val="auto"/>
        </w:rPr>
      </w:pPr>
    </w:p>
    <w:p>
      <w:pPr>
        <w:ind w:left="620" w:hanging="612"/>
        <w:spacing w:after="0"/>
        <w:tabs>
          <w:tab w:leader="none" w:pos="620"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market value of the Underlying Shares?</w:t>
      </w:r>
    </w:p>
    <w:p>
      <w:pPr>
        <w:spacing w:after="0" w:line="22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The “market value” of the Restricted Stock Units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Restricted Stock Units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79" w:lineRule="exact"/>
        <w:rPr>
          <w:sz w:val="20"/>
          <w:szCs w:val="20"/>
          <w:color w:val="auto"/>
        </w:rPr>
      </w:pPr>
    </w:p>
    <w:p>
      <w:pPr>
        <w:ind w:left="620" w:hanging="612"/>
        <w:spacing w:after="0"/>
        <w:tabs>
          <w:tab w:leader="none" w:pos="62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I cease employment before my Restricted Stock Units vest?</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you cease employment with your employer prior to the vesting date of some or all of your Restricted Stock Units and the Restricted Stock Units do not vest upon termination of employment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they are forfeited), you may be treated as having never acquired the forfeited Restricted Stock Units in which case, no amount will be included in your assessable income.</w:t>
      </w:r>
    </w:p>
    <w:p>
      <w:pPr>
        <w:spacing w:after="0" w:line="176" w:lineRule="exact"/>
        <w:rPr>
          <w:sz w:val="20"/>
          <w:szCs w:val="20"/>
          <w:color w:val="auto"/>
        </w:rPr>
      </w:pPr>
    </w:p>
    <w:p>
      <w:pPr>
        <w:ind w:left="620" w:hanging="612"/>
        <w:spacing w:after="0"/>
        <w:tabs>
          <w:tab w:leader="none" w:pos="62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tax consequences will arise when I sell my Shares?</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If you sell the Shares acquired upon vesting of your Restricted Stock Units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you sell the Shares acquired upon vesting of your Restricted Stock Units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You are responsible for reporting any income you realize from the sale of Shares acquired upon vesting of Restricted Stock Units and paying any applicable taxes due on such income.</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76" w:lineRule="exact"/>
        <w:rPr>
          <w:sz w:val="20"/>
          <w:szCs w:val="20"/>
          <w:color w:val="auto"/>
        </w:rPr>
      </w:pPr>
    </w:p>
    <w:p>
      <w:pPr>
        <w:ind w:left="620" w:hanging="612"/>
        <w:spacing w:after="0"/>
        <w:tabs>
          <w:tab w:leader="none" w:pos="62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taxation consequences if a dividend is paid on the Shares?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you vest in the Restricted Stock Units and become a Company stockholder, you may be entitled to receive dividends on the Shares obtained from vesting in the Restricted Stock Units if the board of directors of the Company, in its discretion, declares a dividend. Any dividends paid on Shares will be subject to income tax in Australia in the tax year they are paid (even where such dividends are reinvested in Shares). The dividends are also subject</w:t>
      </w: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B - 5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8" w:name="page99"/>
    <w:bookmarkEnd w:id="98"/>
    <w:p>
      <w:pPr>
        <w:ind w:left="5220"/>
        <w:spacing w:after="0"/>
        <w:rPr>
          <w:sz w:val="20"/>
          <w:szCs w:val="20"/>
          <w:color w:val="auto"/>
        </w:rPr>
      </w:pPr>
      <w:r>
        <w:rPr>
          <w:rFonts w:ascii="Times New Roman" w:cs="Times New Roman" w:eastAsia="Times New Roman" w:hAnsi="Times New Roman"/>
          <w:sz w:val="16"/>
          <w:szCs w:val="16"/>
          <w:b w:val="1"/>
          <w:bCs w:val="1"/>
          <w:color w:val="auto"/>
        </w:rPr>
        <w:t>APPENDIX B</w:t>
      </w:r>
    </w:p>
    <w:p>
      <w:pPr>
        <w:spacing w:after="0" w:line="16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OFFER OF RESTRICTED STOCK UNITS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39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to U.S. federal income tax withheld at source. You may be entitled to a foreign tax credit against your Australian income tax for the U.S. federal income tax withheld on any dividends.</w:t>
      </w:r>
    </w:p>
    <w:p>
      <w:pPr>
        <w:spacing w:after="0" w:line="161" w:lineRule="exact"/>
        <w:rPr>
          <w:sz w:val="20"/>
          <w:szCs w:val="20"/>
          <w:color w:val="auto"/>
        </w:rPr>
      </w:pPr>
    </w:p>
    <w:p>
      <w:pPr>
        <w:ind w:left="620" w:hanging="612"/>
        <w:spacing w:after="0"/>
        <w:tabs>
          <w:tab w:leader="none" w:pos="62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tax withholding and reporting obligations associated with the Restricted Stock Units?</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You will be responsible for reporting on your tax return and paying any tax liability in relation to the Restricted Stock Units and any Shares issued to you at vesting. It is also your responsibility to report and pay any tax liability on the sale of any Shares acquired under the Plan any dividends received.</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Your employer will be required to withhold tax due on the Restricted Stock Units only if you have not provided your Tax File Number or Australian Business Number, as applicable, to your employer.</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 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Times New Roman" w:cs="Times New Roman" w:eastAsia="Times New Roman" w:hAnsi="Times New Roman"/>
          <w:sz w:val="16"/>
          <w:szCs w:val="16"/>
          <w:i w:val="1"/>
          <w:iCs w:val="1"/>
          <w:color w:val="auto"/>
        </w:rPr>
        <w:t>You will be responsible for determining this amount and calculating your tax accordingly.</w:t>
      </w:r>
    </w:p>
    <w:p>
      <w:pPr>
        <w:spacing w:after="0" w:line="185"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U.S. TAX CONSEQUENCES OF PARTICIPATION IN THE PLAN?</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Australian residents who are not U.S. citizens or tax residents should not be subject to U.S. tax by reason only of the award or vesting of the Restricted Stock Units and/or the sale of Shares, except with respect to dividends as described above. However, liability for U.S. tax may accrue if an Australian resident is otherwise subject to U.S. tax.</w:t>
      </w:r>
    </w:p>
    <w:p>
      <w:pPr>
        <w:spacing w:after="0" w:line="1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This is only an indication of the likely U.S. tax consequences for an Australian resident who is awarded Restricted Stock Units under the Plan. Each Australian resident should seek his or her own advice as to the U.S. tax consequences of the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urge you to carefully review the information contained in this Offer Document and the Additional Documents.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B - 6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99" w:name="page100"/>
    <w:bookmarkEnd w:id="99"/>
    <w:p>
      <w:pPr>
        <w:jc w:val="center"/>
        <w:ind w:left="340"/>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21" w:lineRule="exact"/>
        <w:rPr>
          <w:sz w:val="20"/>
          <w:szCs w:val="20"/>
          <w:color w:val="auto"/>
        </w:rPr>
      </w:pPr>
    </w:p>
    <w:p>
      <w:pPr>
        <w:jc w:val="right"/>
        <w:ind w:right="346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5"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Amended and Restated 2006 Stock Incentive Plan (the “Plan”) in a separate written statement. This statement contains only the information mentioned in the Stock Option Act; the other terms and conditions of your grant of RSUs is described in detail in your Global Restricted Stock Unit Agreement) (the “Agreement”), the addendum to your Agreement and the Plan.</w:t>
      </w:r>
    </w:p>
    <w:p>
      <w:pPr>
        <w:spacing w:after="0" w:line="1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1.</w:t>
        <w:tab/>
        <w:t>Date of Grant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RSUs under the Plan on Grant Date. On this basis, the Date of Grant for your RSUs is Grant Date.</w:t>
      </w:r>
    </w:p>
    <w:p>
      <w:pPr>
        <w:spacing w:after="0" w:line="16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RSU Grant</w:t>
      </w:r>
    </w:p>
    <w:p>
      <w:pPr>
        <w:spacing w:after="0" w:line="16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3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RSUs</w:t>
      </w:r>
    </w:p>
    <w:p>
      <w:pPr>
        <w:spacing w:after="0" w:line="169"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RSUs vest, the Company will issue one share of the Company’s common stock to you in settlement of each vested RSU.</w:t>
      </w:r>
    </w:p>
    <w:p>
      <w:pPr>
        <w:spacing w:after="0" w:line="16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4.</w:t>
        <w:tab/>
        <w:t>Exercise Price</w:t>
      </w:r>
    </w:p>
    <w:p>
      <w:pPr>
        <w:spacing w:after="0" w:line="169"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0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69"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0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6.</w:t>
        <w:tab/>
        <w:t>Financial Aspects of Participating in the Plan</w:t>
      </w:r>
    </w:p>
    <w:p>
      <w:pPr>
        <w:spacing w:after="0" w:line="169"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24"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4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7.</w:t>
        <w:tab/>
        <w:t>Other Issues</w:t>
      </w:r>
    </w:p>
    <w:p>
      <w:pPr>
        <w:spacing w:after="0" w:line="169"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39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C - 1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100" w:name="page101"/>
    <w:bookmarkEnd w:id="100"/>
    <w:p>
      <w:pPr>
        <w:jc w:val="center"/>
        <w:ind w:left="320"/>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21"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spacing w:after="0" w:line="25"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Technology Way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Norwood, MA 02062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APPENDIX C - 2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0219"/>
          </w:cols>
          <w:pgMar w:left="240" w:top="542" w:right="1440" w:bottom="1440" w:gutter="0" w:footer="0" w:header="0"/>
        </w:sectPr>
      </w:pPr>
    </w:p>
    <w:bookmarkStart w:id="101" w:name="page102"/>
    <w:bookmarkEnd w:id="101"/>
    <w:p>
      <w:pPr>
        <w:ind w:left="4020"/>
        <w:spacing w:after="0"/>
        <w:rPr>
          <w:sz w:val="20"/>
          <w:szCs w:val="20"/>
          <w:color w:val="auto"/>
        </w:rPr>
      </w:pPr>
      <w:r>
        <w:rPr>
          <w:rFonts w:ascii="Times New Roman" w:cs="Times New Roman" w:eastAsia="Times New Roman" w:hAnsi="Times New Roman"/>
          <w:sz w:val="16"/>
          <w:szCs w:val="16"/>
          <w:b w:val="1"/>
          <w:bCs w:val="1"/>
          <w:color w:val="auto"/>
        </w:rPr>
        <w:t>ARBEJDSGIVERERKLÆRING – DANMARK</w:t>
      </w:r>
    </w:p>
    <w:p>
      <w:pPr>
        <w:spacing w:after="0" w:line="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39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ændrede og genfremsatte 2006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87"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125"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88"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87"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3.</w:t>
        <w:tab/>
        <w:t>Modningsdato for RSU’er</w:t>
      </w:r>
    </w:p>
    <w:p>
      <w:pPr>
        <w:spacing w:after="0" w:line="88"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125"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4.</w:t>
        <w:tab/>
        <w:t>Udnyttelseskurs</w:t>
      </w:r>
    </w:p>
    <w:p>
      <w:pPr>
        <w:spacing w:after="0" w:line="88"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7"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5.</w:t>
        <w:tab/>
        <w:t>Din retsstilling i forbindelse med fratræden</w:t>
      </w:r>
    </w:p>
    <w:p>
      <w:pPr>
        <w:spacing w:after="0" w:line="88"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7"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6.</w:t>
        <w:tab/>
        <w:t>Økonomiske aspekter ved at deltage i Ordningen</w:t>
      </w:r>
    </w:p>
    <w:p>
      <w:pPr>
        <w:spacing w:after="0" w:line="88"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84"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82"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7.</w:t>
        <w:tab/>
        <w:t>Diverse</w:t>
      </w:r>
    </w:p>
    <w:p>
      <w:pPr>
        <w:spacing w:after="0" w:line="88"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Technology Way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Norwood, MA 02062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39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C - 3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APPENDIX 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6"/>
          <w:szCs w:val="16"/>
          <w:b w:val="1"/>
          <w:bCs w:val="1"/>
          <w:u w:val="single" w:color="auto"/>
          <w:color w:val="auto"/>
        </w:rPr>
        <w:t>Trust Arrangement</w:t>
      </w:r>
      <w:r>
        <w:rPr>
          <w:rFonts w:ascii="Times New Roman" w:cs="Times New Roman" w:eastAsia="Times New Roman" w:hAnsi="Times New Roman"/>
          <w:sz w:val="16"/>
          <w:szCs w:val="16"/>
          <w:b w:val="1"/>
          <w:bCs w:val="1"/>
          <w:color w:val="auto"/>
        </w:rPr>
        <w:t>. If the Participant resides in Israel and has not already signed an Israeli Appendix in connection with grants made under the Amended and Restated Analog Devices, Inc. 2006 Stock Incentive Plan (the “Plan”), then the Participant must print, sign &amp; deliver the signed copy of this Israeli Appendix within 45 days to: Stock Plan Administrator, Analog Devices, Inc., Norwood, Massachusetts, 02062 USA.</w:t>
      </w:r>
    </w:p>
    <w:p>
      <w:pPr>
        <w:spacing w:after="0" w:line="14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6"/>
          <w:szCs w:val="16"/>
          <w:color w:val="auto"/>
        </w:rPr>
        <w:t>The Participant hereby understands and agrees that the RSUs are offered subject to and in accordance with the terms of the Israeli Sub-Plan (the “Sub-Plan”) to the Plan under the 102 Capital Gains Track (as defined in the Sub-Plan), the Trust Agreement between the trustee appointed by Analog Devices, (Israel) Ltd. (the “Trustee”), Global Restricted Stock Unit Agreement, including Appendix A thereto (collectively, the “Restricted Stock Unit Agreement”), and the Plan. In the event of any inconsistencies among the Sub-Plan, the Restricted Stock Unit Agreement, and/or the Plan, the Participant agrees that the Sub-Plan will govern the RSUs granted to the Participant in Israel.</w:t>
      </w: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Please sign this Israeli Appendix and return it to the address shown on the top within 45 days of receipt. If Analog Devices, (Israel) Ltd. or Analog Devices, Inc.</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does not receive your signed Israel Appendix, your RSUs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412115</wp:posOffset>
            </wp:positionV>
            <wp:extent cx="4690745"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4">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60"/>
        <w:spacing w:after="0"/>
        <w:tabs>
          <w:tab w:leader="none" w:pos="7920" w:val="left"/>
        </w:tabs>
        <w:rPr>
          <w:sz w:val="20"/>
          <w:szCs w:val="20"/>
          <w:color w:val="auto"/>
        </w:rPr>
      </w:pPr>
      <w:r>
        <w:rPr>
          <w:rFonts w:ascii="Times New Roman" w:cs="Times New Roman" w:eastAsia="Times New Roman" w:hAnsi="Times New Roman"/>
          <w:sz w:val="16"/>
          <w:szCs w:val="16"/>
          <w:color w:val="auto"/>
        </w:rPr>
        <w:t>Name: Participant Name</w:t>
      </w:r>
      <w:r>
        <w:rPr>
          <w:sz w:val="20"/>
          <w:szCs w:val="20"/>
          <w:color w:val="auto"/>
        </w:rPr>
        <w:tab/>
      </w: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APPENDIX D - 1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APPENDIX 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1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(“Awards”), you are required to enter into an Election to transfer to you any liability for employer’s NICs that may arise in connection with your awards.</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Analog Devices, Inc. 2006 Stock Incentive Plan (the “Plan”), you are required to enter into an Election to transfer to you any liability for employer’s NICs that may arise in connection with your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113"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spacing w:after="0" w:line="23" w:lineRule="exact"/>
        <w:rPr>
          <w:rFonts w:ascii="Times New Roman" w:cs="Times New Roman" w:eastAsia="Times New Roman" w:hAnsi="Times New Roman"/>
          <w:sz w:val="16"/>
          <w:szCs w:val="16"/>
          <w:color w:val="auto"/>
        </w:rPr>
      </w:pPr>
    </w:p>
    <w:p>
      <w:pPr>
        <w:ind w:left="660" w:hanging="328"/>
        <w:spacing w:after="0" w:line="246" w:lineRule="auto"/>
        <w:tabs>
          <w:tab w:leader="none" w:pos="6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authorise your employer to recover an amount sufficient to cover this liability by such methods including, but not limited to, deductions from your salary or other payments due or the sale of sufficient shares acquired pursuant to your Awards; and</w:t>
      </w:r>
    </w:p>
    <w:p>
      <w:pPr>
        <w:ind w:left="660" w:right="20" w:hanging="328"/>
        <w:spacing w:after="0" w:line="257" w:lineRule="auto"/>
        <w:tabs>
          <w:tab w:leader="none" w:pos="6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34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color w:val="auto"/>
        </w:rPr>
        <w:t>APPENDIX E - 1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APPENDIX 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65" w:lineRule="exact"/>
        <w:rPr>
          <w:sz w:val="20"/>
          <w:szCs w:val="20"/>
          <w:color w:val="auto"/>
        </w:rPr>
      </w:pPr>
    </w:p>
    <w:p>
      <w:pPr>
        <w:jc w:val="both"/>
        <w:ind w:left="660" w:right="20" w:hanging="652"/>
        <w:spacing w:after="0" w:line="265" w:lineRule="auto"/>
        <w:tabs>
          <w:tab w:leader="none" w:pos="6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authorised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Amended and Restated 2006 Stock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9" w:lineRule="exact"/>
        <w:rPr>
          <w:rFonts w:ascii="Times New Roman" w:cs="Times New Roman" w:eastAsia="Times New Roman" w:hAnsi="Times New Roman"/>
          <w:sz w:val="16"/>
          <w:szCs w:val="16"/>
          <w:color w:val="auto"/>
        </w:rPr>
      </w:pPr>
    </w:p>
    <w:p>
      <w:pPr>
        <w:ind w:left="660" w:right="20" w:hanging="652"/>
        <w:spacing w:after="0" w:line="283" w:lineRule="auto"/>
        <w:tabs>
          <w:tab w:leader="none" w:pos="6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Technology Way, Norwood, Massachusetts 02062,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19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Plans.</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192"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in relation to the Awards:</w:t>
      </w:r>
    </w:p>
    <w:p>
      <w:pPr>
        <w:spacing w:after="0" w:line="196"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restricted stock units and/or stock purchase rights (within section 477(3)(a) of ITEPA);</w:t>
      </w:r>
    </w:p>
    <w:p>
      <w:pPr>
        <w:spacing w:after="0" w:line="356"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restricted stock units in return for consideration (within section 477(3)(b) of ITEPA);</w:t>
      </w:r>
    </w:p>
    <w:p>
      <w:pPr>
        <w:spacing w:after="0" w:line="356" w:lineRule="exact"/>
        <w:rPr>
          <w:rFonts w:ascii="Times New Roman" w:cs="Times New Roman" w:eastAsia="Times New Roman" w:hAnsi="Times New Roman"/>
          <w:sz w:val="16"/>
          <w:szCs w:val="16"/>
          <w:color w:val="auto"/>
        </w:rPr>
      </w:pPr>
    </w:p>
    <w:p>
      <w:pPr>
        <w:ind w:left="1960" w:hanging="655"/>
        <w:spacing w:after="0" w:line="281" w:lineRule="auto"/>
        <w:tabs>
          <w:tab w:leader="none" w:pos="19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restricted stock units, other than a benefit within (i) or (ii) above (within section 477(3)(c) of ITEPA);</w:t>
      </w:r>
    </w:p>
    <w:p>
      <w:pPr>
        <w:spacing w:after="0" w:line="298"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post-acquisition charges relating to the shares acquired pursuant to the restricted stock units (within section 427 of ITEPA); and/or</w:t>
      </w:r>
    </w:p>
    <w:p>
      <w:pPr>
        <w:spacing w:after="0" w:line="356" w:lineRule="exact"/>
        <w:rPr>
          <w:rFonts w:ascii="Times New Roman" w:cs="Times New Roman" w:eastAsia="Times New Roman" w:hAnsi="Times New Roman"/>
          <w:sz w:val="16"/>
          <w:szCs w:val="16"/>
          <w:color w:val="auto"/>
        </w:rPr>
      </w:pPr>
    </w:p>
    <w:p>
      <w:pPr>
        <w:ind w:left="1960" w:hanging="655"/>
        <w:spacing w:after="0"/>
        <w:tabs>
          <w:tab w:leader="none" w:pos="19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post-acquisition charges relating to the shares acquired pursuant to the restricted stock units (within section 439 of ITEPA).</w:t>
      </w:r>
    </w:p>
    <w:p>
      <w:pPr>
        <w:spacing w:after="0" w:line="354"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194"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196" w:lineRule="exact"/>
        <w:rPr>
          <w:sz w:val="20"/>
          <w:szCs w:val="20"/>
          <w:color w:val="auto"/>
        </w:rPr>
      </w:pPr>
    </w:p>
    <w:p>
      <w:pPr>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the occurrence of a Chargeable Event in respect of the Awards pursuant to section 4(4)(a) and/or paragraph 3B(1A) of Schedule 1 of the SSCBA.</w:t>
      </w:r>
    </w:p>
    <w:p>
      <w:pPr>
        <w:spacing w:after="0" w:line="136" w:lineRule="exact"/>
        <w:rPr>
          <w:sz w:val="20"/>
          <w:szCs w:val="20"/>
          <w:color w:val="auto"/>
        </w:rPr>
      </w:pPr>
    </w:p>
    <w:p>
      <w:pPr>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36" w:lineRule="exact"/>
        <w:rPr>
          <w:sz w:val="20"/>
          <w:szCs w:val="20"/>
          <w:color w:val="auto"/>
        </w:rPr>
      </w:pPr>
    </w:p>
    <w:p>
      <w:pPr>
        <w:ind w:left="660" w:right="2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34"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00" w:lineRule="exact"/>
        <w:rPr>
          <w:sz w:val="20"/>
          <w:szCs w:val="20"/>
          <w:color w:val="auto"/>
        </w:rPr>
      </w:pPr>
    </w:p>
    <w:p>
      <w:pPr>
        <w:spacing w:after="0" w:line="22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color w:val="auto"/>
        </w:rPr>
        <w:t>APPENDIX E - 2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color w:val="auto"/>
        </w:rPr>
        <w:t>APPENDIX 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50"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on the Chargeable Event is hereby transferred to the Employee. The Employee understands that, by signing or electronically accepting this Election, he or she will become personally liable for the Employer’s Liability covered by this Election. This Election is made in accordance with paragraph 3B(1) of Schedule 1 of the SSCBA.</w:t>
      </w:r>
    </w:p>
    <w:p>
      <w:pPr>
        <w:spacing w:after="0" w:line="122"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19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Employee hereby authorises the Company and/or the Employer to collect the Employer’s Liability from the Employee at any time after the Chargeable Event:</w:t>
      </w:r>
    </w:p>
    <w:p>
      <w:pPr>
        <w:spacing w:after="0" w:line="194"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11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11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11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113"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Company hereby reserves for itself and the Company the right to withhold the transfer of any securities related to the Awards to the Employee until full payment of the Employer’s Liability is received.</w:t>
      </w:r>
    </w:p>
    <w:p>
      <w:pPr>
        <w:spacing w:after="0" w:line="13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The Company agrees to remit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22"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196" w:lineRule="exact"/>
        <w:rPr>
          <w:sz w:val="20"/>
          <w:szCs w:val="20"/>
          <w:color w:val="auto"/>
        </w:rPr>
      </w:pPr>
    </w:p>
    <w:p>
      <w:pPr>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194"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67"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67"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67" w:lineRule="exact"/>
        <w:rPr>
          <w:rFonts w:ascii="Times New Roman" w:cs="Times New Roman" w:eastAsia="Times New Roman" w:hAnsi="Times New Roman"/>
          <w:sz w:val="16"/>
          <w:szCs w:val="16"/>
          <w:color w:val="auto"/>
        </w:rPr>
      </w:pPr>
    </w:p>
    <w:p>
      <w:pPr>
        <w:ind w:left="1300" w:right="20" w:hanging="644"/>
        <w:spacing w:after="0" w:line="281" w:lineRule="auto"/>
        <w:tabs>
          <w:tab w:leader="none" w:pos="13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the Awards in circumstances where section 483 ITEPA applies.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1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authorised representative to appear on this Election, Analog Devices, Inc. agrees to be bound by the terms of this Election.</w:t>
      </w:r>
    </w:p>
    <w:p>
      <w:pPr>
        <w:spacing w:after="0" w:line="200" w:lineRule="exact"/>
        <w:rPr>
          <w:sz w:val="20"/>
          <w:szCs w:val="20"/>
          <w:color w:val="auto"/>
        </w:rPr>
      </w:pPr>
    </w:p>
    <w:p>
      <w:pPr>
        <w:spacing w:after="0" w:line="38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color w:val="auto"/>
        </w:rPr>
        <w:t>APPENDIX E - 3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1420"/>
          </w:cols>
          <w:pgMar w:left="240" w:top="542" w:right="239" w:bottom="1440" w:gutter="0" w:footer="0" w:header="0"/>
        </w:sectPr>
      </w:pPr>
    </w:p>
    <w:bookmarkStart w:id="106" w:name="page107"/>
    <w:bookmarkEnd w:id="106"/>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APPENDIX E</w:t>
      </w:r>
    </w:p>
    <w:p>
      <w:pPr>
        <w:spacing w:after="0" w:line="11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11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behalf of Analog Devices, Inc.</w:t>
      </w:r>
    </w:p>
    <w:p>
      <w:pPr>
        <w:spacing w:after="0" w:line="200" w:lineRule="exact"/>
        <w:rPr>
          <w:sz w:val="20"/>
          <w:szCs w:val="20"/>
          <w:color w:val="auto"/>
        </w:rPr>
      </w:pPr>
    </w:p>
    <w:p>
      <w:pPr>
        <w:spacing w:after="0" w:line="3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/s/ Kevin P. Lanouette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106045</wp:posOffset>
            </wp:positionV>
            <wp:extent cx="1294765"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5">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Kevin P. Lanouette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Assistant General Counsel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APPENDIX E - 4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0219"/>
          </w:cols>
          <w:pgMar w:left="240" w:top="542" w:right="1440" w:bottom="1440" w:gutter="0" w:footer="0" w:header="0"/>
        </w:sectPr>
      </w:pPr>
    </w:p>
    <w:bookmarkStart w:id="107" w:name="page108"/>
    <w:bookmarkEnd w:id="107"/>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APPENDIX E</w:t>
      </w:r>
    </w:p>
    <w:p>
      <w:pPr>
        <w:spacing w:after="0" w:line="11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1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AMENDED AND RESTATED 2006 STOCK INCENTIVE PLAN</w:t>
      </w:r>
    </w:p>
    <w:p>
      <w:pPr>
        <w:spacing w:after="0" w:line="11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0" w:type="dxa"/>
            <w:vAlign w:val="bottom"/>
            <w:tcBorders>
              <w:right w:val="single" w:sz="8" w:color="auto"/>
            </w:tcBorders>
          </w:tcPr>
          <w:p>
            <w:pPr>
              <w:spacing w:after="0"/>
              <w:rPr>
                <w:sz w:val="19"/>
                <w:szCs w:val="19"/>
                <w:color w:val="auto"/>
              </w:rPr>
            </w:pPr>
          </w:p>
        </w:tc>
        <w:tc>
          <w:tcPr>
            <w:tcW w:w="45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 3 Horizon Business Village, 1 Brooklands Road, Weybridge,</w:t>
            </w:r>
          </w:p>
        </w:tc>
      </w:tr>
      <w:tr>
        <w:trPr>
          <w:trHeight w:val="210"/>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Surrey, KT13 OTJ</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895439</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379"/>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Linear Technology (UK) Limited</w:t>
            </w:r>
          </w:p>
        </w:tc>
        <w:tc>
          <w:tcPr>
            <w:tcW w:w="4680" w:type="dxa"/>
            <w:vAlign w:val="bottom"/>
          </w:tcPr>
          <w:p>
            <w:pPr>
              <w:spacing w:after="0"/>
              <w:rPr>
                <w:sz w:val="24"/>
                <w:szCs w:val="24"/>
                <w:color w:val="auto"/>
              </w:rPr>
            </w:pPr>
          </w:p>
        </w:tc>
      </w:tr>
      <w:tr>
        <w:trPr>
          <w:trHeight w:val="344"/>
        </w:trPr>
        <w:tc>
          <w:tcPr>
            <w:tcW w:w="8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 The Listons, Liston Road, Marlow, Buckinghamshire, SL7 1FD</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2149602</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120PA00148447</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17"/>
        </w:trPr>
        <w:tc>
          <w:tcPr>
            <w:tcW w:w="8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120/L30589</w:t>
            </w:r>
          </w:p>
        </w:tc>
      </w:tr>
      <w:tr>
        <w:trPr>
          <w:trHeight w:val="330"/>
        </w:trPr>
        <w:tc>
          <w:tcPr>
            <w:tcW w:w="80" w:type="dxa"/>
            <w:vAlign w:val="bottom"/>
            <w:tcBorders>
              <w:right w:val="single" w:sz="8" w:color="auto"/>
            </w:tcBorders>
          </w:tcPr>
          <w:p>
            <w:pPr>
              <w:spacing w:after="0"/>
              <w:rPr>
                <w:sz w:val="24"/>
                <w:szCs w:val="24"/>
                <w:color w:val="auto"/>
              </w:rPr>
            </w:pPr>
          </w:p>
        </w:tc>
        <w:tc>
          <w:tcPr>
            <w:tcW w:w="454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6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APPENDIX E - 5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VERSION 10/18</w:t>
      </w:r>
    </w:p>
    <w:p>
      <w:pPr>
        <w:sectPr>
          <w:pgSz w:w="11900" w:h="16838" w:orient="portrait"/>
          <w:cols w:equalWidth="0" w:num="1">
            <w:col w:w="10219"/>
          </w:cols>
          <w:pgMar w:left="240" w:top="542" w:right="144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2006 STOCK INCENTIVE PLAN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Private &amp; Confidential (Addressee Only)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Name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ID: Client Grant ID</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35"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40"/>
        <w:spacing w:after="0" w:line="296" w:lineRule="auto"/>
        <w:rPr>
          <w:sz w:val="20"/>
          <w:szCs w:val="20"/>
          <w:color w:val="auto"/>
        </w:rPr>
      </w:pPr>
      <w:r>
        <w:rPr>
          <w:rFonts w:ascii="Times New Roman" w:cs="Times New Roman" w:eastAsia="Times New Roman" w:hAnsi="Times New Roman"/>
          <w:sz w:val="20"/>
          <w:szCs w:val="20"/>
          <w:color w:val="auto"/>
        </w:rPr>
        <w:t>This Restricted Stock Unit Agreement (the “Agreement”) confirms that, subject to the terms and conditions of the Analog Devices, Inc. Amended and Restated 2006 Stock Incentive Plan (the “Plan”), the Company has granted to the Participant, effective on the Date of Grant set forth below, that number of RSUs set forth below:</w:t>
      </w:r>
    </w:p>
    <w:p>
      <w:pPr>
        <w:spacing w:after="0" w:line="108"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0"/>
          <w:szCs w:val="20"/>
          <w:color w:val="auto"/>
        </w:rPr>
        <w:t>Date of Grant:</w:t>
      </w:r>
      <w:r>
        <w:rPr>
          <w:sz w:val="20"/>
          <w:szCs w:val="20"/>
          <w:color w:val="auto"/>
        </w:rPr>
        <w:tab/>
      </w:r>
      <w:r>
        <w:rPr>
          <w:rFonts w:ascii="Times New Roman" w:cs="Times New Roman" w:eastAsia="Times New Roman" w:hAnsi="Times New Roman"/>
          <w:sz w:val="19"/>
          <w:szCs w:val="19"/>
          <w:color w:val="auto"/>
        </w:rPr>
        <w:t>Grant Date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Number of RSUs Granted:Number of Awards Granted</w:t>
      </w:r>
    </w:p>
    <w:p>
      <w:pPr>
        <w:sectPr>
          <w:pgSz w:w="11900" w:h="16838" w:orient="portrait"/>
          <w:cols w:equalWidth="0" w:num="1">
            <w:col w:w="11420"/>
          </w:cols>
          <w:pgMar w:left="240" w:top="333" w:right="2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Vesting Schedule: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RSUs shall vest on the earlier of one year from Grant Date or the date of the Company’s next annual meeting of shareholders, subject to the Participant’s continued service as a member of the Company’s Board of Directors (a “Director”).</w:t>
      </w:r>
    </w:p>
    <w:p>
      <w:pPr>
        <w:spacing w:after="0" w:line="200" w:lineRule="exact"/>
        <w:rPr>
          <w:sz w:val="20"/>
          <w:szCs w:val="20"/>
          <w:color w:val="auto"/>
        </w:rPr>
      </w:pPr>
    </w:p>
    <w:p>
      <w:pPr>
        <w:sectPr>
          <w:pgSz w:w="11900" w:h="16838" w:orient="portrait"/>
          <w:cols w:equalWidth="0" w:num="2">
            <w:col w:w="2080" w:space="520"/>
            <w:col w:w="8820"/>
          </w:cols>
          <w:pgMar w:left="240" w:top="333" w:right="239" w:bottom="1440" w:gutter="0" w:footer="0" w:header="0"/>
          <w:type w:val="continuous"/>
        </w:sectPr>
      </w:pPr>
    </w:p>
    <w:p>
      <w:pPr>
        <w:spacing w:after="0" w:line="15" w:lineRule="exact"/>
        <w:rPr>
          <w:sz w:val="20"/>
          <w:szCs w:val="20"/>
          <w:color w:val="auto"/>
        </w:rPr>
      </w:pPr>
    </w:p>
    <w:p>
      <w:pPr>
        <w:jc w:val="both"/>
        <w:ind w:left="340"/>
        <w:spacing w:after="0" w:line="291" w:lineRule="auto"/>
        <w:rPr>
          <w:sz w:val="20"/>
          <w:szCs w:val="20"/>
          <w:color w:val="auto"/>
        </w:rPr>
      </w:pPr>
      <w:r>
        <w:rPr>
          <w:rFonts w:ascii="Times New Roman" w:cs="Times New Roman" w:eastAsia="Times New Roman" w:hAnsi="Times New Roman"/>
          <w:sz w:val="20"/>
          <w:szCs w:val="20"/>
          <w:color w:val="auto"/>
        </w:rPr>
        <w:t>Each one (1) RSU shall, if and when it vests in accordance with this Award,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41"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Conversion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85" w:lineRule="auto"/>
        <w:tabs>
          <w:tab w:leader="none" w:pos="66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Plan and this Award, the RSUs shall vest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VERSION 10/18</w:t>
      </w:r>
    </w:p>
    <w:p>
      <w:pPr>
        <w:sectPr>
          <w:pgSz w:w="11900" w:h="16838" w:orient="portrait"/>
          <w:cols w:equalWidth="0" w:num="1">
            <w:col w:w="11420"/>
          </w:cols>
          <w:pgMar w:left="240" w:top="333" w:right="239" w:bottom="1440" w:gutter="0" w:footer="0" w:header="0"/>
          <w:type w:val="continuous"/>
        </w:sectPr>
      </w:pPr>
    </w:p>
    <w:bookmarkStart w:id="109" w:name="page110"/>
    <w:bookmarkEnd w:id="109"/>
    <w:p>
      <w:pPr>
        <w:ind w:left="660"/>
        <w:spacing w:after="0" w:line="339" w:lineRule="auto"/>
        <w:rPr>
          <w:sz w:val="20"/>
          <w:szCs w:val="20"/>
          <w:color w:val="auto"/>
        </w:rPr>
      </w:pPr>
      <w:r>
        <w:rPr>
          <w:rFonts w:ascii="Times New Roman" w:cs="Times New Roman" w:eastAsia="Times New Roman" w:hAnsi="Times New Roman"/>
          <w:sz w:val="20"/>
          <w:szCs w:val="20"/>
          <w:color w:val="auto"/>
        </w:rPr>
        <w:t>requirements including, without limitation, any applicable securities laws and the requirements of any stock exchange upon which shares of Common Stock may then be listed.</w:t>
      </w:r>
    </w:p>
    <w:p>
      <w:pPr>
        <w:spacing w:after="0" w:line="107" w:lineRule="exact"/>
        <w:rPr>
          <w:sz w:val="20"/>
          <w:szCs w:val="20"/>
          <w:color w:val="auto"/>
        </w:rPr>
      </w:pPr>
    </w:p>
    <w:p>
      <w:pPr>
        <w:jc w:val="both"/>
        <w:ind w:left="660" w:hanging="328"/>
        <w:spacing w:after="0" w:line="296" w:lineRule="auto"/>
        <w:tabs>
          <w:tab w:leader="none" w:pos="66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34" w:lineRule="exact"/>
        <w:rPr>
          <w:rFonts w:ascii="Times New Roman" w:cs="Times New Roman" w:eastAsia="Times New Roman" w:hAnsi="Times New Roman"/>
          <w:sz w:val="20"/>
          <w:szCs w:val="20"/>
          <w:color w:val="auto"/>
        </w:rPr>
      </w:pPr>
    </w:p>
    <w:p>
      <w:pPr>
        <w:ind w:left="660" w:hanging="328"/>
        <w:spacing w:after="0" w:line="311" w:lineRule="auto"/>
        <w:tabs>
          <w:tab w:leader="none" w:pos="66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w:t>
      </w:r>
      <w:r>
        <w:rPr>
          <w:rFonts w:ascii="Times New Roman" w:cs="Times New Roman" w:eastAsia="Times New Roman" w:hAnsi="Times New Roman"/>
          <w:sz w:val="20"/>
          <w:szCs w:val="20"/>
          <w:u w:val="single" w:color="auto"/>
          <w:color w:val="auto"/>
        </w:rPr>
        <w:t>dies</w:t>
      </w:r>
      <w:r>
        <w:rPr>
          <w:rFonts w:ascii="Times New Roman" w:cs="Times New Roman" w:eastAsia="Times New Roman" w:hAnsi="Times New Roman"/>
          <w:sz w:val="20"/>
          <w:szCs w:val="20"/>
          <w:color w:val="auto"/>
        </w:rPr>
        <w:t xml:space="preserve"> while a Director of the Company, all Unvested RSUs shall vest in full as of the date of the Participant’s death.</w:t>
      </w:r>
    </w:p>
    <w:p>
      <w:pPr>
        <w:spacing w:after="0" w:line="119"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66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ceases to be a Director by reason of a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the Unvested RSUs as of the date of the Participant ceases to be a Director shall vest in full as of such date. “Disability” with respect to the Participant occurs, when and if, as a result of disease, injury or mental disorder, the Participant is incapable of engaging in regular service with the Company, which has lasted or can be expected to last for a continuous period of not less than 12 months, as determined by the Company.</w:t>
      </w:r>
    </w:p>
    <w:p>
      <w:pPr>
        <w:spacing w:after="0" w:line="140" w:lineRule="exact"/>
        <w:rPr>
          <w:rFonts w:ascii="Times New Roman" w:cs="Times New Roman" w:eastAsia="Times New Roman" w:hAnsi="Times New Roman"/>
          <w:sz w:val="20"/>
          <w:szCs w:val="20"/>
          <w:color w:val="auto"/>
        </w:rPr>
      </w:pPr>
    </w:p>
    <w:p>
      <w:pPr>
        <w:jc w:val="both"/>
        <w:ind w:left="660" w:hanging="328"/>
        <w:spacing w:after="0" w:line="296" w:lineRule="auto"/>
        <w:tabs>
          <w:tab w:leader="none" w:pos="66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Participant becomes an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34" w:lineRule="exact"/>
        <w:rPr>
          <w:rFonts w:ascii="Times New Roman" w:cs="Times New Roman" w:eastAsia="Times New Roman" w:hAnsi="Times New Roman"/>
          <w:sz w:val="20"/>
          <w:szCs w:val="20"/>
          <w:color w:val="auto"/>
        </w:rPr>
      </w:pPr>
    </w:p>
    <w:p>
      <w:pPr>
        <w:ind w:left="660" w:hanging="328"/>
        <w:spacing w:after="0" w:line="311" w:lineRule="auto"/>
        <w:tabs>
          <w:tab w:leader="none" w:pos="66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Plan or herein, all Unvested RSUs shall vest in full as of a Change in Control Event (as defined in the Plan).</w:t>
      </w:r>
    </w:p>
    <w:p>
      <w:pPr>
        <w:spacing w:after="0" w:line="119" w:lineRule="exact"/>
        <w:rPr>
          <w:rFonts w:ascii="Times New Roman" w:cs="Times New Roman" w:eastAsia="Times New Roman" w:hAnsi="Times New Roman"/>
          <w:sz w:val="20"/>
          <w:szCs w:val="20"/>
          <w:color w:val="auto"/>
        </w:rPr>
      </w:pPr>
    </w:p>
    <w:p>
      <w:pPr>
        <w:ind w:left="660" w:hanging="328"/>
        <w:spacing w:after="0" w:line="311" w:lineRule="auto"/>
        <w:tabs>
          <w:tab w:leader="none" w:pos="66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119"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not sell, assign, transfer, pledge or otherwise encumber any RSUs, either voluntarily or by operation of law.</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96" w:lineRule="auto"/>
        <w:tabs>
          <w:tab w:leader="none" w:pos="66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34" w:lineRule="exact"/>
        <w:rPr>
          <w:rFonts w:ascii="Times New Roman" w:cs="Times New Roman" w:eastAsia="Times New Roman" w:hAnsi="Times New Roman"/>
          <w:sz w:val="20"/>
          <w:szCs w:val="20"/>
          <w:color w:val="auto"/>
        </w:rPr>
      </w:pPr>
    </w:p>
    <w:p>
      <w:pPr>
        <w:jc w:val="both"/>
        <w:ind w:left="340" w:hanging="332"/>
        <w:spacing w:after="0" w:line="289" w:lineRule="auto"/>
        <w:tabs>
          <w:tab w:leader="none" w:pos="3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a Shareholder</w:t>
      </w:r>
      <w:r>
        <w:rPr>
          <w:rFonts w:ascii="Times New Roman" w:cs="Times New Roman" w:eastAsia="Times New Roman" w:hAnsi="Times New Roman"/>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4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the Plan</w:t>
      </w:r>
      <w:r>
        <w:rPr>
          <w:rFonts w:ascii="Times New Roman" w:cs="Times New Roman" w:eastAsia="Times New Roman" w:hAnsi="Times New Roman"/>
          <w:sz w:val="20"/>
          <w:szCs w:val="20"/>
          <w:color w:val="auto"/>
        </w:rPr>
        <w:t>. The RSUs and Shares, including the grant and issuance thereof, are subject to the provisions of the Plan.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VERSION 10/18</w:t>
      </w:r>
    </w:p>
    <w:p>
      <w:pPr>
        <w:sectPr>
          <w:pgSz w:w="11900" w:h="16838" w:orient="portrait"/>
          <w:cols w:equalWidth="0" w:num="1">
            <w:col w:w="11420"/>
          </w:cols>
          <w:pgMar w:left="240" w:top="400" w:right="239" w:bottom="1440" w:gutter="0" w:footer="0" w:header="0"/>
        </w:sectPr>
      </w:pPr>
    </w:p>
    <w:bookmarkStart w:id="110" w:name="page111"/>
    <w:bookmarkEnd w:id="110"/>
    <w:p>
      <w:pPr>
        <w:jc w:val="both"/>
        <w:ind w:left="340" w:hanging="332"/>
        <w:spacing w:after="0" w:line="296" w:lineRule="auto"/>
        <w:tabs>
          <w:tab w:leader="none" w:pos="3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Any Shares that are issued and any cash payment that is delivered, in either case upon settlement of the RSUs pursuant to this Award, will be in consideration of the Participant’s service as a member of the Board of Directors of the Company and/or the Participant’s continued employment with the Company, which consideration is deemed sufficient.</w:t>
      </w:r>
    </w:p>
    <w:p>
      <w:pPr>
        <w:spacing w:after="0" w:line="134"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w:t>
      </w:r>
    </w:p>
    <w:p>
      <w:pPr>
        <w:spacing w:after="0" w:line="310" w:lineRule="exact"/>
        <w:rPr>
          <w:rFonts w:ascii="Times New Roman" w:cs="Times New Roman" w:eastAsia="Times New Roman" w:hAnsi="Times New Roman"/>
          <w:sz w:val="20"/>
          <w:szCs w:val="20"/>
          <w:color w:val="auto"/>
        </w:rPr>
      </w:pPr>
    </w:p>
    <w:p>
      <w:pPr>
        <w:jc w:val="both"/>
        <w:ind w:left="660" w:hanging="328"/>
        <w:spacing w:after="0" w:line="286" w:lineRule="auto"/>
        <w:tabs>
          <w:tab w:leader="none" w:pos="66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that the Company (i) makes no representations or undertakings regarding the treatment of any Tax-Related Items in connection with any aspect of the RSUs, including the grant or vesting of the RSUs, the subsequent sale of any Shares acquired pursuant to the RSUs and the receipt of any dividends; and (ii) does not commit to structure the terms of the grant or any aspect of the RSUs to reduce or eliminate the Participant’s liability for Tax-Related Items.</w:t>
      </w:r>
    </w:p>
    <w:p>
      <w:pPr>
        <w:spacing w:after="0" w:line="147" w:lineRule="exact"/>
        <w:rPr>
          <w:rFonts w:ascii="Times New Roman" w:cs="Times New Roman" w:eastAsia="Times New Roman" w:hAnsi="Times New Roman"/>
          <w:sz w:val="20"/>
          <w:szCs w:val="20"/>
          <w:color w:val="auto"/>
        </w:rPr>
      </w:pPr>
    </w:p>
    <w:p>
      <w:pPr>
        <w:jc w:val="both"/>
        <w:ind w:left="660" w:hanging="328"/>
        <w:spacing w:after="0" w:line="296" w:lineRule="auto"/>
        <w:tabs>
          <w:tab w:leader="none" w:pos="66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delivery of Shares upon vesting of the RSUs, if any taxing jurisdiction requires withholding of Tax-Related Items, the Participant authorizes the Company to satisfy the obligations with regard to all Tax-Related Items by one or a combination of methods set forth below:</w:t>
      </w:r>
    </w:p>
    <w:p>
      <w:pPr>
        <w:spacing w:after="0" w:line="134" w:lineRule="exact"/>
        <w:rPr>
          <w:rFonts w:ascii="Times New Roman" w:cs="Times New Roman" w:eastAsia="Times New Roman" w:hAnsi="Times New Roman"/>
          <w:sz w:val="20"/>
          <w:szCs w:val="20"/>
          <w:color w:val="auto"/>
        </w:rPr>
      </w:pPr>
    </w:p>
    <w:p>
      <w:pPr>
        <w:jc w:val="both"/>
        <w:ind w:left="1300" w:hanging="320"/>
        <w:spacing w:after="0" w:line="287" w:lineRule="auto"/>
        <w:tabs>
          <w:tab w:leader="none" w:pos="1300" w:val="left"/>
        </w:tabs>
        <w:numPr>
          <w:ilvl w:val="2"/>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a number of whole Shares otherwise issuable upon vesting of the RSUs that have an aggregate Fair Market Value (as defined under the Plan)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No fractional Shares will be withheld or issued pursuant to the grant of the RSUs and the issuance of Shares hereunder.</w:t>
      </w:r>
    </w:p>
    <w:p>
      <w:pPr>
        <w:spacing w:after="0" w:line="146" w:lineRule="exact"/>
        <w:rPr>
          <w:rFonts w:ascii="Times New Roman" w:cs="Times New Roman" w:eastAsia="Times New Roman" w:hAnsi="Times New Roman"/>
          <w:sz w:val="20"/>
          <w:szCs w:val="20"/>
          <w:color w:val="auto"/>
        </w:rPr>
      </w:pPr>
    </w:p>
    <w:p>
      <w:pPr>
        <w:ind w:left="1300" w:hanging="320"/>
        <w:spacing w:after="0" w:line="311" w:lineRule="auto"/>
        <w:tabs>
          <w:tab w:leader="none" w:pos="1300" w:val="left"/>
        </w:tabs>
        <w:numPr>
          <w:ilvl w:val="2"/>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 its discretion, withhold any amount necessary to pay the Tax-Related Items from the Participant’s salary or other amounts payable to the Participant.</w:t>
      </w:r>
    </w:p>
    <w:p>
      <w:pPr>
        <w:spacing w:after="0" w:line="119" w:lineRule="exact"/>
        <w:rPr>
          <w:rFonts w:ascii="Times New Roman" w:cs="Times New Roman" w:eastAsia="Times New Roman" w:hAnsi="Times New Roman"/>
          <w:sz w:val="20"/>
          <w:szCs w:val="20"/>
          <w:color w:val="auto"/>
        </w:rPr>
      </w:pPr>
    </w:p>
    <w:p>
      <w:pPr>
        <w:ind w:left="1300" w:hanging="320"/>
        <w:spacing w:after="0" w:line="311" w:lineRule="auto"/>
        <w:tabs>
          <w:tab w:leader="none" w:pos="1300" w:val="left"/>
        </w:tabs>
        <w:numPr>
          <w:ilvl w:val="2"/>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19" w:lineRule="exact"/>
        <w:rPr>
          <w:rFonts w:ascii="Times New Roman" w:cs="Times New Roman" w:eastAsia="Times New Roman" w:hAnsi="Times New Roman"/>
          <w:sz w:val="20"/>
          <w:szCs w:val="20"/>
          <w:color w:val="auto"/>
        </w:rPr>
      </w:pPr>
    </w:p>
    <w:p>
      <w:pPr>
        <w:jc w:val="both"/>
        <w:ind w:left="1300"/>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or account for Tax-Related Items by considering applicable statutory withholding amounts or other applicable withholding rates, including maximum applicable rates in the Participant’s jurisdiction(s). If the obligation for Tax-Related Items is satisfied by withholding in Shares, for tax purposes, the Participant is deemed to have been issued the full number of Shares subject to the vested RSU, notwithstanding that a number of the Shares is held back solely for the purpose of paying the Tax-Related Items.</w:t>
      </w:r>
    </w:p>
    <w:p>
      <w:pPr>
        <w:spacing w:after="0" w:line="141" w:lineRule="exact"/>
        <w:rPr>
          <w:rFonts w:ascii="Times New Roman" w:cs="Times New Roman" w:eastAsia="Times New Roman" w:hAnsi="Times New Roman"/>
          <w:sz w:val="20"/>
          <w:szCs w:val="20"/>
          <w:color w:val="auto"/>
        </w:rPr>
      </w:pPr>
    </w:p>
    <w:p>
      <w:pPr>
        <w:ind w:left="1300" w:right="2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withholding requirements are not satisfied through the withholding of Shares or through the Participant’s salary or other amounts payable to the Participant, no Shares will be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VERSION 10/18</w:t>
      </w:r>
    </w:p>
    <w:p>
      <w:pPr>
        <w:sectPr>
          <w:pgSz w:w="11900" w:h="16838" w:orient="portrait"/>
          <w:cols w:equalWidth="0" w:num="1">
            <w:col w:w="11420"/>
          </w:cols>
          <w:pgMar w:left="240" w:top="387" w:right="239" w:bottom="1440" w:gutter="0" w:footer="0" w:header="0"/>
        </w:sectPr>
      </w:pPr>
    </w:p>
    <w:bookmarkStart w:id="111" w:name="page112"/>
    <w:bookmarkEnd w:id="111"/>
    <w:p>
      <w:pPr>
        <w:jc w:val="both"/>
        <w:ind w:left="1300"/>
        <w:spacing w:after="0" w:line="289" w:lineRule="auto"/>
        <w:rPr>
          <w:sz w:val="20"/>
          <w:szCs w:val="20"/>
          <w:color w:val="auto"/>
        </w:rPr>
      </w:pPr>
      <w:r>
        <w:rPr>
          <w:rFonts w:ascii="Times New Roman" w:cs="Times New Roman" w:eastAsia="Times New Roman" w:hAnsi="Times New Roman"/>
          <w:sz w:val="20"/>
          <w:szCs w:val="20"/>
          <w:color w:val="auto"/>
        </w:rPr>
        <w:t>issued upon vesting of the RSUs unless and until satisfactory arrangements (as determined by the Compensation Committee of the Board)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41" w:lineRule="exact"/>
        <w:rPr>
          <w:sz w:val="20"/>
          <w:szCs w:val="20"/>
          <w:color w:val="auto"/>
        </w:rPr>
      </w:pPr>
    </w:p>
    <w:p>
      <w:pPr>
        <w:jc w:val="both"/>
        <w:ind w:left="340" w:hanging="332"/>
        <w:spacing w:after="0" w:line="286" w:lineRule="auto"/>
        <w:tabs>
          <w:tab w:leader="none" w:pos="3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of Company to Deliver Cash</w:t>
      </w:r>
      <w:r>
        <w:rPr>
          <w:rFonts w:ascii="Times New Roman" w:cs="Times New Roman" w:eastAsia="Times New Roman" w:hAnsi="Times New Roman"/>
          <w:sz w:val="20"/>
          <w:szCs w:val="20"/>
          <w:color w:val="auto"/>
        </w:rPr>
        <w:t>. Notwithstanding any of the other provisions of this Award, where share settlement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47" w:lineRule="exact"/>
        <w:rPr>
          <w:rFonts w:ascii="Times New Roman" w:cs="Times New Roman" w:eastAsia="Times New Roman" w:hAnsi="Times New Roman"/>
          <w:sz w:val="20"/>
          <w:szCs w:val="20"/>
          <w:color w:val="auto"/>
        </w:rPr>
      </w:pPr>
    </w:p>
    <w:p>
      <w:pPr>
        <w:jc w:val="both"/>
        <w:ind w:left="340" w:hanging="332"/>
        <w:spacing w:after="0" w:line="291" w:lineRule="auto"/>
        <w:tabs>
          <w:tab w:leader="none" w:pos="3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the underlying Shares. The Participant is encouraged to consult with his or her own personal tax, legal and financial advisors regarding his or her participation in the Plan before taking any action related to the Plan.</w:t>
      </w:r>
    </w:p>
    <w:p>
      <w:pPr>
        <w:spacing w:after="0" w:line="140" w:lineRule="exact"/>
        <w:rPr>
          <w:rFonts w:ascii="Times New Roman" w:cs="Times New Roman" w:eastAsia="Times New Roman" w:hAnsi="Times New Roman"/>
          <w:sz w:val="20"/>
          <w:szCs w:val="20"/>
          <w:color w:val="auto"/>
        </w:rPr>
      </w:pPr>
    </w:p>
    <w:p>
      <w:pPr>
        <w:jc w:val="both"/>
        <w:ind w:left="340" w:hanging="332"/>
        <w:spacing w:after="0" w:line="286" w:lineRule="auto"/>
        <w:tabs>
          <w:tab w:leader="none" w:pos="3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147" w:lineRule="exact"/>
        <w:rPr>
          <w:rFonts w:ascii="Times New Roman" w:cs="Times New Roman" w:eastAsia="Times New Roman" w:hAnsi="Times New Roman"/>
          <w:sz w:val="20"/>
          <w:szCs w:val="20"/>
          <w:color w:val="auto"/>
        </w:rPr>
      </w:pPr>
    </w:p>
    <w:p>
      <w:pPr>
        <w:jc w:val="both"/>
        <w:ind w:left="340"/>
        <w:spacing w:after="0" w:line="28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holds certain personal information about the Participant, including the Participant’s name, home address, email address and telephone number, date of birth, social security number, passport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VERSION 10/18</w:t>
      </w:r>
    </w:p>
    <w:p>
      <w:pPr>
        <w:sectPr>
          <w:pgSz w:w="11900" w:h="16838" w:orient="portrait"/>
          <w:cols w:equalWidth="0" w:num="1">
            <w:col w:w="11420"/>
          </w:cols>
          <w:pgMar w:left="240" w:top="387" w:right="239" w:bottom="1440" w:gutter="0" w:footer="0" w:header="0"/>
        </w:sectPr>
      </w:pPr>
    </w:p>
    <w:bookmarkStart w:id="112" w:name="page113"/>
    <w:bookmarkEnd w:id="112"/>
    <w:p>
      <w:pPr>
        <w:jc w:val="both"/>
        <w:ind w:left="340"/>
        <w:spacing w:after="0" w:line="311" w:lineRule="auto"/>
        <w:rPr>
          <w:sz w:val="20"/>
          <w:szCs w:val="20"/>
          <w:color w:val="auto"/>
        </w:rPr>
      </w:pPr>
      <w:r>
        <w:rPr>
          <w:rFonts w:ascii="Times New Roman" w:cs="Times New Roman" w:eastAsia="Times New Roman" w:hAnsi="Times New Roman"/>
          <w:sz w:val="20"/>
          <w:szCs w:val="20"/>
          <w:color w:val="auto"/>
        </w:rPr>
        <w:t>be accessible within the Company’s organization only by those persons requiring access for purposes of the implementation, administration and operation of the Plan and for the Participant’s participation in the Plan.</w:t>
      </w:r>
    </w:p>
    <w:p>
      <w:pPr>
        <w:spacing w:after="0" w:line="120"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20"/>
          <w:szCs w:val="20"/>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European Economic Area, the United States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44" w:lineRule="exact"/>
        <w:rPr>
          <w:sz w:val="20"/>
          <w:szCs w:val="20"/>
          <w:color w:val="auto"/>
        </w:rPr>
      </w:pPr>
    </w:p>
    <w:p>
      <w:pPr>
        <w:jc w:val="both"/>
        <w:ind w:left="340"/>
        <w:spacing w:after="0" w:line="287" w:lineRule="auto"/>
        <w:rPr>
          <w:sz w:val="20"/>
          <w:szCs w:val="20"/>
          <w:color w:val="auto"/>
        </w:rPr>
      </w:pPr>
      <w:r>
        <w:rPr>
          <w:rFonts w:ascii="Times New Roman" w:cs="Times New Roman" w:eastAsia="Times New Roman" w:hAnsi="Times New Roman"/>
          <w:sz w:val="20"/>
          <w:szCs w:val="20"/>
          <w:color w:val="auto"/>
        </w:rPr>
        <w:t>The Participant may, at any time, exercise the Participant’s rights provided under applicable personal data protection laws, which may include the right to (a) 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Company at Analog Devices, Inc., One Technology Way, Norwood, Massachusetts, 02062 U.S.A., Attention: Stock Plan Administrator.</w:t>
      </w:r>
    </w:p>
    <w:p>
      <w:pPr>
        <w:spacing w:after="0" w:line="146" w:lineRule="exact"/>
        <w:rPr>
          <w:sz w:val="20"/>
          <w:szCs w:val="20"/>
          <w:color w:val="auto"/>
        </w:rPr>
      </w:pPr>
    </w:p>
    <w:p>
      <w:pPr>
        <w:jc w:val="both"/>
        <w:ind w:left="340" w:hanging="332"/>
        <w:spacing w:after="0" w:line="286" w:lineRule="auto"/>
        <w:tabs>
          <w:tab w:leader="none" w:pos="3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Repatriation: Compliance with Laws</w:t>
      </w:r>
      <w:r>
        <w:rPr>
          <w:rFonts w:ascii="Times New Roman" w:cs="Times New Roman" w:eastAsia="Times New Roman" w:hAnsi="Times New Roman"/>
          <w:sz w:val="20"/>
          <w:szCs w:val="20"/>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4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87" w:lineRule="auto"/>
        <w:tabs>
          <w:tab w:leader="none" w:pos="66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Board Service</w:t>
      </w:r>
      <w:r>
        <w:rPr>
          <w:rFonts w:ascii="Times New Roman" w:cs="Times New Roman" w:eastAsia="Times New Roman" w:hAnsi="Times New Roman"/>
          <w:sz w:val="20"/>
          <w:szCs w:val="20"/>
          <w:color w:val="auto"/>
        </w:rPr>
        <w:t>. The grant of the RSUs shall not confer upon the Participant any right to continue to serve on the Board of Directors of the Company or, if applicable, as an employee of the Company or its subsidiaries, nor limit in any way the terms of the Participant’s service on the Board of Directors, including for removal therefrom. Except in the event of a termination of employment due to death or Disability, the vesting of the RSUs pursuant to Section 2 hereof is earned only by satisfaction of the performance conditions, if any, and continuing service on the Board of Directors or as otherwise set forth in Section 2 (not through the act of being elected, hired or engaged or being granted the RSUs hereunder).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VERSION 10/18</w:t>
      </w:r>
    </w:p>
    <w:p>
      <w:pPr>
        <w:sectPr>
          <w:pgSz w:w="11900" w:h="16838" w:orient="portrait"/>
          <w:cols w:equalWidth="0" w:num="1">
            <w:col w:w="11420"/>
          </w:cols>
          <w:pgMar w:left="240" w:top="387" w:right="239" w:bottom="1440" w:gutter="0" w:footer="0" w:header="0"/>
        </w:sectPr>
      </w:pPr>
    </w:p>
    <w:bookmarkStart w:id="113" w:name="page114"/>
    <w:bookmarkEnd w:id="113"/>
    <w:p>
      <w:pPr>
        <w:jc w:val="both"/>
        <w:ind w:left="660" w:hanging="328"/>
        <w:spacing w:after="0" w:line="286"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Discretionary Nature</w:t>
      </w:r>
      <w:r>
        <w:rPr>
          <w:rFonts w:ascii="Times New Roman" w:cs="Times New Roman" w:eastAsia="Times New Roman" w:hAnsi="Times New Roman"/>
          <w:sz w:val="20"/>
          <w:szCs w:val="20"/>
          <w:color w:val="auto"/>
        </w:rPr>
        <w:t>. The Participant acknowledges and agrees that the Plan is discretionary in nature and may be amended, cancelled, or terminated by the Company at any time, to the extent permitted under the Plan.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service with the Company.</w:t>
      </w:r>
    </w:p>
    <w:p>
      <w:pPr>
        <w:spacing w:after="0" w:line="147" w:lineRule="exact"/>
        <w:rPr>
          <w:rFonts w:ascii="Times New Roman" w:cs="Times New Roman" w:eastAsia="Times New Roman" w:hAnsi="Times New Roman"/>
          <w:sz w:val="20"/>
          <w:szCs w:val="20"/>
          <w:color w:val="auto"/>
        </w:rPr>
      </w:pPr>
    </w:p>
    <w:p>
      <w:pPr>
        <w:jc w:val="both"/>
        <w:ind w:left="660" w:hanging="328"/>
        <w:spacing w:after="0" w:line="287"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Exclusion from Termination Indemnities and Other Benefits</w:t>
      </w:r>
      <w:r>
        <w:rPr>
          <w:rFonts w:ascii="Times New Roman" w:cs="Times New Roman" w:eastAsia="Times New Roman" w:hAnsi="Times New Roman"/>
          <w:sz w:val="20"/>
          <w:szCs w:val="20"/>
          <w:color w:val="auto"/>
        </w:rPr>
        <w:t>. The Participant’s participation in the Plan is voluntary. The value of the RSUs and any other awards granted under the Plan is an extraordinary item of compensation outside the scope of the Participant’s service on the Board of Directors of the Company. Any grant under the Plan, including the grant of the RSUs and the income and value of same, is not part of normal or expected compensation for purposes of calculating any severance, resignation, redundancy, end of service payments, bonuses, long-service awards, pension, or retirement benefits or similar payments. The grant of RSUs should in no event be considered as compensation for, or in any way related to, past services for the Company.</w:t>
      </w:r>
    </w:p>
    <w:p>
      <w:pPr>
        <w:spacing w:after="0" w:line="146" w:lineRule="exact"/>
        <w:rPr>
          <w:rFonts w:ascii="Times New Roman" w:cs="Times New Roman" w:eastAsia="Times New Roman" w:hAnsi="Times New Roman"/>
          <w:sz w:val="20"/>
          <w:szCs w:val="20"/>
          <w:color w:val="auto"/>
        </w:rPr>
      </w:pPr>
    </w:p>
    <w:p>
      <w:pPr>
        <w:ind w:left="660" w:hanging="328"/>
        <w:spacing w:after="0" w:line="340" w:lineRule="auto"/>
        <w:tabs>
          <w:tab w:leader="none" w:pos="66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96" w:lineRule="exact"/>
        <w:rPr>
          <w:rFonts w:ascii="Times New Roman" w:cs="Times New Roman" w:eastAsia="Times New Roman" w:hAnsi="Times New Roman"/>
          <w:sz w:val="19"/>
          <w:szCs w:val="19"/>
          <w:color w:val="auto"/>
        </w:rPr>
      </w:pPr>
    </w:p>
    <w:p>
      <w:pPr>
        <w:jc w:val="both"/>
        <w:ind w:left="660" w:hanging="328"/>
        <w:spacing w:after="0" w:line="296"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134"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U.S.A., Attention: Stock Plan Administrator. Each notice to the Participant shall be addressed to the Participant at the Participant’s last known mailing or email address, as applicable, on the records of the Company.</w:t>
      </w:r>
    </w:p>
    <w:p>
      <w:pPr>
        <w:spacing w:after="0" w:line="141" w:lineRule="exact"/>
        <w:rPr>
          <w:rFonts w:ascii="Times New Roman" w:cs="Times New Roman" w:eastAsia="Times New Roman" w:hAnsi="Times New Roman"/>
          <w:sz w:val="20"/>
          <w:szCs w:val="20"/>
          <w:color w:val="auto"/>
        </w:rPr>
      </w:pPr>
    </w:p>
    <w:p>
      <w:pPr>
        <w:ind w:left="660" w:hanging="328"/>
        <w:spacing w:after="0" w:line="311"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19" w:lineRule="exact"/>
        <w:rPr>
          <w:rFonts w:ascii="Times New Roman" w:cs="Times New Roman" w:eastAsia="Times New Roman" w:hAnsi="Times New Roman"/>
          <w:sz w:val="20"/>
          <w:szCs w:val="20"/>
          <w:color w:val="auto"/>
        </w:rPr>
      </w:pPr>
    </w:p>
    <w:p>
      <w:pPr>
        <w:ind w:left="660" w:hanging="328"/>
        <w:spacing w:after="0" w:line="311"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Award and the Plan constitute the entire understanding between the parties, and supersede all prior agreements and understandings, relating to the subject matter of these documents.</w:t>
      </w:r>
    </w:p>
    <w:p>
      <w:pPr>
        <w:spacing w:after="0" w:line="119" w:lineRule="exact"/>
        <w:rPr>
          <w:rFonts w:ascii="Times New Roman" w:cs="Times New Roman" w:eastAsia="Times New Roman" w:hAnsi="Times New Roman"/>
          <w:sz w:val="20"/>
          <w:szCs w:val="20"/>
          <w:color w:val="auto"/>
        </w:rPr>
      </w:pPr>
    </w:p>
    <w:p>
      <w:pPr>
        <w:ind w:left="660" w:hanging="328"/>
        <w:spacing w:after="0" w:line="311"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shall be construed, interpreted and enforced in accordance with the internal laws of the Commonwealth of Massachusetts without regard to any applicable conflicts of laws.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VERSION 10/18</w:t>
      </w:r>
    </w:p>
    <w:p>
      <w:pPr>
        <w:sectPr>
          <w:pgSz w:w="11900" w:h="16838" w:orient="portrait"/>
          <w:cols w:equalWidth="0" w:num="1">
            <w:col w:w="11420"/>
          </w:cols>
          <w:pgMar w:left="240" w:top="387" w:right="239" w:bottom="1440" w:gutter="0" w:footer="0" w:header="0"/>
        </w:sectPr>
      </w:pPr>
    </w:p>
    <w:bookmarkStart w:id="114" w:name="page115"/>
    <w:bookmarkEnd w:id="114"/>
    <w:p>
      <w:pPr>
        <w:ind w:left="660" w:hanging="328"/>
        <w:spacing w:after="0" w:line="311" w:lineRule="auto"/>
        <w:tabs>
          <w:tab w:leader="none" w:pos="6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interpretation and construction of any terms or conditions of this Award or the Plan, or other matters related to the Plan, by the Compensation Committee of the Board of the Company shall be final and conclusive.</w:t>
      </w:r>
    </w:p>
    <w:p>
      <w:pPr>
        <w:spacing w:after="0" w:line="119"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6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Acceptance</w:t>
      </w:r>
      <w:r>
        <w:rPr>
          <w:rFonts w:ascii="Times New Roman" w:cs="Times New Roman" w:eastAsia="Times New Roman" w:hAnsi="Times New Roman"/>
          <w:sz w:val="20"/>
          <w:szCs w:val="20"/>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40"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6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0"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67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Requirements</w:t>
      </w:r>
      <w:r>
        <w:rPr>
          <w:rFonts w:ascii="Times New Roman" w:cs="Times New Roman" w:eastAsia="Times New Roman" w:hAnsi="Times New Roman"/>
          <w:sz w:val="20"/>
          <w:szCs w:val="20"/>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40"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6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Placement</w:t>
      </w:r>
      <w:r>
        <w:rPr>
          <w:rFonts w:ascii="Times New Roman" w:cs="Times New Roman" w:eastAsia="Times New Roman" w:hAnsi="Times New Roman"/>
          <w:sz w:val="20"/>
          <w:szCs w:val="20"/>
          <w:color w:val="auto"/>
        </w:rPr>
        <w:t>. The Company has submitted regulatory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40"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6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4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This Award may be amended or modified only by a written instrument executed by both the Company and the Participant.</w:t>
      </w:r>
    </w:p>
    <w:p>
      <w:pPr>
        <w:spacing w:after="0" w:line="227" w:lineRule="exact"/>
        <w:rPr>
          <w:rFonts w:ascii="Times New Roman" w:cs="Times New Roman" w:eastAsia="Times New Roman" w:hAnsi="Times New Roman"/>
          <w:sz w:val="19"/>
          <w:szCs w:val="19"/>
          <w:color w:val="auto"/>
        </w:rPr>
      </w:pPr>
    </w:p>
    <w:p>
      <w:pPr>
        <w:jc w:val="both"/>
        <w:ind w:left="660" w:hanging="328"/>
        <w:spacing w:after="0" w:line="296" w:lineRule="auto"/>
        <w:tabs>
          <w:tab w:leader="none" w:pos="6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34" w:lineRule="exact"/>
        <w:rPr>
          <w:rFonts w:ascii="Times New Roman" w:cs="Times New Roman" w:eastAsia="Times New Roman" w:hAnsi="Times New Roman"/>
          <w:sz w:val="20"/>
          <w:szCs w:val="20"/>
          <w:color w:val="auto"/>
        </w:rPr>
      </w:pPr>
    </w:p>
    <w:p>
      <w:pPr>
        <w:jc w:val="both"/>
        <w:ind w:left="660" w:hanging="328"/>
        <w:spacing w:after="0" w:line="311" w:lineRule="auto"/>
        <w:tabs>
          <w:tab w:leader="none" w:pos="66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 Restrictions/Market Abuse Laws</w:t>
      </w:r>
      <w:r>
        <w:rPr>
          <w:rFonts w:ascii="Times New Roman" w:cs="Times New Roman" w:eastAsia="Times New Roman" w:hAnsi="Times New Roman"/>
          <w:sz w:val="19"/>
          <w:szCs w:val="19"/>
          <w:color w:val="auto"/>
        </w:rPr>
        <w:t>. The Participant acknowledges that, depending on the Participant’s or the Participant’s broker’s country of residence or where the Common Stock is listed,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RSUs) or rights linked to the value of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phantom awards, futures) during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VERSION 10/18</w:t>
      </w:r>
    </w:p>
    <w:p>
      <w:pPr>
        <w:sectPr>
          <w:pgSz w:w="11900" w:h="16838" w:orient="portrait"/>
          <w:cols w:equalWidth="0" w:num="1">
            <w:col w:w="11420"/>
          </w:cols>
          <w:pgMar w:left="240" w:top="387" w:right="239" w:bottom="1440" w:gutter="0" w:footer="0" w:header="0"/>
        </w:sectPr>
      </w:pPr>
    </w:p>
    <w:bookmarkStart w:id="115" w:name="page116"/>
    <w:bookmarkEnd w:id="115"/>
    <w:p>
      <w:pPr>
        <w:jc w:val="both"/>
        <w:ind w:left="660"/>
        <w:spacing w:after="0" w:line="315" w:lineRule="auto"/>
        <w:rPr>
          <w:sz w:val="20"/>
          <w:szCs w:val="20"/>
          <w:color w:val="auto"/>
        </w:rPr>
      </w:pPr>
      <w:r>
        <w:rPr>
          <w:rFonts w:ascii="Times New Roman" w:cs="Times New Roman" w:eastAsia="Times New Roman" w:hAnsi="Times New Roman"/>
          <w:sz w:val="20"/>
          <w:szCs w:val="20"/>
          <w:color w:val="auto"/>
        </w:rPr>
        <w:t>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02"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700" w:type="dxa"/>
        <w:tblCellMar>
          <w:top w:w="0" w:type="dxa"/>
          <w:left w:w="0" w:type="dxa"/>
          <w:bottom w:w="0" w:type="dxa"/>
          <w:right w:w="0" w:type="dxa"/>
        </w:tblCellMar>
      </w:tblPr>
      <w:tr>
        <w:trPr>
          <w:trHeight w:val="258"/>
        </w:trPr>
        <w:tc>
          <w:tcPr>
            <w:tcW w:w="51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 Ray Stata</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Vincent Roche</w:t>
            </w:r>
          </w:p>
        </w:tc>
      </w:tr>
      <w:tr>
        <w:trPr>
          <w:trHeight w:val="21"/>
        </w:trPr>
        <w:tc>
          <w:tcPr>
            <w:tcW w:w="242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5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Ray Stata</w:t>
            </w:r>
          </w:p>
        </w:tc>
        <w:tc>
          <w:tcPr>
            <w:tcW w:w="2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Vincent Roche</w:t>
            </w:r>
          </w:p>
        </w:tc>
      </w:tr>
      <w:tr>
        <w:trPr>
          <w:trHeight w:val="255"/>
        </w:trPr>
        <w:tc>
          <w:tcPr>
            <w:tcW w:w="24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President &amp; Chief Executive</w:t>
            </w:r>
          </w:p>
        </w:tc>
      </w:tr>
      <w:tr>
        <w:trPr>
          <w:trHeight w:val="258"/>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Chairman of the Board</w:t>
            </w:r>
          </w:p>
        </w:tc>
        <w:tc>
          <w:tcPr>
            <w:tcW w:w="2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VERSION 10/18</w:t>
      </w:r>
    </w:p>
    <w:p>
      <w:pPr>
        <w:sectPr>
          <w:pgSz w:w="11900" w:h="16838" w:orient="portrait"/>
          <w:cols w:equalWidth="0" w:num="1">
            <w:col w:w="11420"/>
          </w:cols>
          <w:pgMar w:left="240" w:top="400"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Amended &amp; Restated 2019 Executive Performance Incentive Plan</w:t>
      </w:r>
    </w:p>
    <w:p>
      <w:pPr>
        <w:spacing w:after="0" w:line="233" w:lineRule="exact"/>
        <w:rPr>
          <w:sz w:val="20"/>
          <w:szCs w:val="20"/>
          <w:color w:val="auto"/>
        </w:rPr>
      </w:pPr>
    </w:p>
    <w:p>
      <w:pPr>
        <w:jc w:val="both"/>
        <w:ind w:right="140" w:firstLine="878"/>
        <w:spacing w:after="0" w:line="263" w:lineRule="auto"/>
        <w:rPr>
          <w:sz w:val="20"/>
          <w:szCs w:val="20"/>
          <w:color w:val="auto"/>
        </w:rPr>
      </w:pPr>
      <w:r>
        <w:rPr>
          <w:rFonts w:ascii="Times New Roman" w:cs="Times New Roman" w:eastAsia="Times New Roman" w:hAnsi="Times New Roman"/>
          <w:sz w:val="19"/>
          <w:szCs w:val="19"/>
          <w:color w:val="auto"/>
        </w:rPr>
        <w:t>On February 19, 2019, the Compensation Committee of the Board of Directors of Analog Devices, Inc. (the “Company”) approved the terms of the Amended &amp; Restated 2019 Executive Performance Incentive Plan (the “A&amp;R 2019 Executive Performance Incentive Plan”), which amends and restates the 2019 Executive Performance Incentive Plan approved by the Compensation Committee on September 11, 2018 solely for purposes of clarifying that the operating profit before tax (OPBT) as a percentage of revenue measure for each bonus period will be the adjusted OPBT as a percentage of revenue reported by the Company in its quarterly earnings results for the applicable quarter.</w:t>
      </w:r>
    </w:p>
    <w:p>
      <w:pPr>
        <w:spacing w:after="0" w:line="180" w:lineRule="exact"/>
        <w:rPr>
          <w:sz w:val="20"/>
          <w:szCs w:val="20"/>
          <w:color w:val="auto"/>
        </w:rPr>
      </w:pPr>
    </w:p>
    <w:p>
      <w:pPr>
        <w:ind w:right="80" w:firstLine="878"/>
        <w:spacing w:after="0" w:line="254" w:lineRule="auto"/>
        <w:rPr>
          <w:sz w:val="20"/>
          <w:szCs w:val="20"/>
          <w:color w:val="auto"/>
        </w:rPr>
      </w:pPr>
      <w:r>
        <w:rPr>
          <w:rFonts w:ascii="Times New Roman" w:cs="Times New Roman" w:eastAsia="Times New Roman" w:hAnsi="Times New Roman"/>
          <w:sz w:val="20"/>
          <w:szCs w:val="20"/>
          <w:color w:val="auto"/>
        </w:rPr>
        <w:t>All executive officers and other senior management selected by the Chief Executive Officer will participate in the A&amp;R 2019 Executive Performance Incentive Plan. Bonus payments under the A&amp;R 2019 Executive Performance Incentive Plan are calculated and paid as follows:</w:t>
      </w:r>
    </w:p>
    <w:p>
      <w:pPr>
        <w:spacing w:after="0" w:line="188" w:lineRule="exact"/>
        <w:rPr>
          <w:sz w:val="20"/>
          <w:szCs w:val="20"/>
          <w:color w:val="auto"/>
        </w:rPr>
      </w:pPr>
    </w:p>
    <w:p>
      <w:pPr>
        <w:ind w:left="660" w:hanging="206"/>
        <w:spacing w:after="0"/>
        <w:tabs>
          <w:tab w:leader="none" w:pos="6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participant’s Bonus Target is obtained by multiplying his or her Base Salary by his or her Individual Target Bonus Percentage:</w:t>
      </w:r>
    </w:p>
    <w:p>
      <w:pPr>
        <w:spacing w:after="0" w:line="242" w:lineRule="exact"/>
        <w:rPr>
          <w:rFonts w:ascii="Times New Roman" w:cs="Times New Roman" w:eastAsia="Times New Roman" w:hAnsi="Times New Roman"/>
          <w:sz w:val="20"/>
          <w:szCs w:val="20"/>
          <w:color w:val="auto"/>
        </w:rPr>
      </w:pPr>
    </w:p>
    <w:p>
      <w:pPr>
        <w:ind w:left="1100" w:hanging="322"/>
        <w:spacing w:after="0"/>
        <w:tabs>
          <w:tab w:leader="none" w:pos="110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Base Salary – the individual’s base pay during the applicable bonus period.</w:t>
      </w:r>
    </w:p>
    <w:p>
      <w:pPr>
        <w:spacing w:after="0" w:line="233" w:lineRule="exact"/>
        <w:rPr>
          <w:rFonts w:ascii="Times New Roman" w:cs="Times New Roman" w:eastAsia="Times New Roman" w:hAnsi="Times New Roman"/>
          <w:sz w:val="22"/>
          <w:szCs w:val="22"/>
          <w:color w:val="auto"/>
        </w:rPr>
      </w:pPr>
    </w:p>
    <w:p>
      <w:pPr>
        <w:ind w:left="1100" w:right="140" w:hanging="322"/>
        <w:spacing w:after="0" w:line="273" w:lineRule="auto"/>
        <w:tabs>
          <w:tab w:leader="none" w:pos="110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Individual Target Bonus Percentage — a percentage of the individual’s Base Salary, determined individually for each participant by the Compensation Committee and ranging from 50% to 160%.</w:t>
      </w:r>
    </w:p>
    <w:p>
      <w:pPr>
        <w:spacing w:after="0" w:line="206" w:lineRule="exact"/>
        <w:rPr>
          <w:rFonts w:ascii="Times New Roman" w:cs="Times New Roman" w:eastAsia="Times New Roman" w:hAnsi="Times New Roman"/>
          <w:sz w:val="22"/>
          <w:szCs w:val="22"/>
          <w:color w:val="auto"/>
        </w:rPr>
      </w:pPr>
    </w:p>
    <w:p>
      <w:pPr>
        <w:ind w:firstLine="454"/>
        <w:spacing w:after="0" w:line="236" w:lineRule="auto"/>
        <w:tabs>
          <w:tab w:leader="none" w:pos="64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participant’s Bonus Target is then multiplied by the Bonus Payout Factor. The Bonus Payout Factor is equal to (A) 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For purposes of the A&amp;R 2019 Executive Performance Incentive Plan, revenue will be measured on a sell-through basis (commonly referred to as POS) and OPBT as a percentage of revenue will be the adjusted OPBT as a percentage of revenue reported by the Company in its quarterly earnings results for the applicable quarter. Notwithstanding the foregoing,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equal to or less than 36% of revenue for the applicable quarter, the Bonus Payout Factor shall be zero for that quarter, even if the Company has revenue growth for that quarter. The Bonus Payout Factor can range from 0% to 300%.</w:t>
      </w:r>
    </w:p>
    <w:p>
      <w:pPr>
        <w:spacing w:after="0" w:line="2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following Bonus Payout Factor tables apply under the A&amp;R 2019 Executive Performance Incentive Plan:</w:t>
      </w:r>
    </w:p>
    <w:p>
      <w:pPr>
        <w:sectPr>
          <w:pgSz w:w="11900" w:h="16838" w:orient="portrait"/>
          <w:cols w:equalWidth="0" w:num="1">
            <w:col w:w="11420"/>
          </w:cols>
          <w:pgMar w:left="240" w:top="333" w:right="239" w:bottom="1440" w:gutter="0" w:footer="0" w:header="0"/>
        </w:sectPr>
      </w:pPr>
    </w:p>
    <w:bookmarkStart w:id="117" w:name="page118"/>
    <w:bookmarkEnd w:id="117"/>
    <w:tbl>
      <w:tblPr>
        <w:tblLayout w:type="fixed"/>
        <w:tblInd w:w="1620" w:type="dxa"/>
        <w:tblCellMar>
          <w:top w:w="0" w:type="dxa"/>
          <w:left w:w="0" w:type="dxa"/>
          <w:bottom w:w="0" w:type="dxa"/>
          <w:right w:w="0" w:type="dxa"/>
        </w:tblCellMar>
      </w:tblPr>
      <w:tr>
        <w:trPr>
          <w:trHeight w:val="230"/>
        </w:trPr>
        <w:tc>
          <w:tcPr>
            <w:tcW w:w="3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50% of Bonus Based on</w:t>
            </w:r>
          </w:p>
        </w:tc>
        <w:tc>
          <w:tcPr>
            <w:tcW w:w="17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58"/>
        </w:trPr>
        <w:tc>
          <w:tcPr>
            <w:tcW w:w="3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OPBT/Revenue</w:t>
            </w:r>
          </w:p>
        </w:tc>
        <w:tc>
          <w:tcPr>
            <w:tcW w:w="1720" w:type="dxa"/>
            <w:vAlign w:val="bottom"/>
          </w:tcPr>
          <w:p>
            <w:pPr>
              <w:spacing w:after="0"/>
              <w:rPr>
                <w:sz w:val="22"/>
                <w:szCs w:val="22"/>
                <w:color w:val="auto"/>
              </w:rPr>
            </w:pPr>
          </w:p>
        </w:tc>
        <w:tc>
          <w:tcPr>
            <w:tcW w:w="31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Bonus Payout Factor</w:t>
            </w: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311"/>
        </w:trPr>
        <w:tc>
          <w:tcPr>
            <w:tcW w:w="3200" w:type="dxa"/>
            <w:vAlign w:val="bottom"/>
            <w:tcBorders>
              <w:bottom w:val="single" w:sz="8" w:color="CCEEFF"/>
            </w:tcBorders>
            <w:shd w:val="clear" w:color="auto" w:fill="CCEEFF"/>
          </w:tcPr>
          <w:p>
            <w:pPr>
              <w:jc w:val="center"/>
              <w:ind w:left="61"/>
              <w:spacing w:after="0"/>
              <w:rPr>
                <w:sz w:val="20"/>
                <w:szCs w:val="20"/>
                <w:color w:val="auto"/>
              </w:rPr>
            </w:pPr>
            <w:r>
              <w:rPr>
                <w:rFonts w:ascii="Times New Roman" w:cs="Times New Roman" w:eastAsia="Times New Roman" w:hAnsi="Times New Roman"/>
                <w:sz w:val="20"/>
                <w:szCs w:val="20"/>
                <w:color w:val="auto"/>
              </w:rPr>
              <w:t>≤36%</w:t>
            </w:r>
          </w:p>
        </w:tc>
        <w:tc>
          <w:tcPr>
            <w:tcW w:w="172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0%</w:t>
            </w:r>
          </w:p>
        </w:tc>
      </w:tr>
      <w:tr>
        <w:trPr>
          <w:trHeight w:val="317"/>
        </w:trPr>
        <w:tc>
          <w:tcPr>
            <w:tcW w:w="320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8"/>
              </w:rPr>
              <w:t>39%</w:t>
            </w:r>
          </w:p>
        </w:tc>
        <w:tc>
          <w:tcPr>
            <w:tcW w:w="4900" w:type="dxa"/>
            <w:vAlign w:val="bottom"/>
            <w:gridSpan w:val="2"/>
          </w:tcPr>
          <w:p>
            <w:pPr>
              <w:jc w:val="center"/>
              <w:ind w:left="1621"/>
              <w:spacing w:after="0"/>
              <w:rPr>
                <w:sz w:val="20"/>
                <w:szCs w:val="20"/>
                <w:color w:val="auto"/>
              </w:rPr>
            </w:pPr>
            <w:r>
              <w:rPr>
                <w:rFonts w:ascii="Times New Roman" w:cs="Times New Roman" w:eastAsia="Times New Roman" w:hAnsi="Times New Roman"/>
                <w:sz w:val="20"/>
                <w:szCs w:val="20"/>
                <w:color w:val="auto"/>
                <w:w w:val="98"/>
              </w:rPr>
              <w:t>100%</w:t>
            </w:r>
          </w:p>
        </w:tc>
      </w:tr>
      <w:tr>
        <w:trPr>
          <w:trHeight w:val="21"/>
        </w:trPr>
        <w:tc>
          <w:tcPr>
            <w:tcW w:w="32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r>
      <w:tr>
        <w:trPr>
          <w:trHeight w:val="318"/>
        </w:trPr>
        <w:tc>
          <w:tcPr>
            <w:tcW w:w="3200" w:type="dxa"/>
            <w:vAlign w:val="bottom"/>
            <w:tcBorders>
              <w:bottom w:val="single" w:sz="8" w:color="CCEEFF"/>
            </w:tcBorders>
            <w:shd w:val="clear" w:color="auto" w:fill="CCEEFF"/>
          </w:tcPr>
          <w:p>
            <w:pPr>
              <w:jc w:val="center"/>
              <w:ind w:left="61"/>
              <w:spacing w:after="0"/>
              <w:rPr>
                <w:sz w:val="20"/>
                <w:szCs w:val="20"/>
                <w:color w:val="auto"/>
              </w:rPr>
            </w:pPr>
            <w:r>
              <w:rPr>
                <w:rFonts w:ascii="Times New Roman" w:cs="Times New Roman" w:eastAsia="Times New Roman" w:hAnsi="Times New Roman"/>
                <w:sz w:val="20"/>
                <w:szCs w:val="20"/>
                <w:color w:val="auto"/>
                <w:w w:val="98"/>
              </w:rPr>
              <w:t>42%</w:t>
            </w:r>
          </w:p>
        </w:tc>
        <w:tc>
          <w:tcPr>
            <w:tcW w:w="172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r>
      <w:tr>
        <w:trPr>
          <w:trHeight w:val="317"/>
        </w:trPr>
        <w:tc>
          <w:tcPr>
            <w:tcW w:w="320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rPr>
              <w:t>≥45%</w:t>
            </w:r>
          </w:p>
        </w:tc>
        <w:tc>
          <w:tcPr>
            <w:tcW w:w="4900" w:type="dxa"/>
            <w:vAlign w:val="bottom"/>
            <w:gridSpan w:val="2"/>
          </w:tcPr>
          <w:p>
            <w:pPr>
              <w:jc w:val="center"/>
              <w:ind w:left="1621"/>
              <w:spacing w:after="0"/>
              <w:rPr>
                <w:sz w:val="20"/>
                <w:szCs w:val="20"/>
                <w:color w:val="auto"/>
              </w:rPr>
            </w:pPr>
            <w:r>
              <w:rPr>
                <w:rFonts w:ascii="Times New Roman" w:cs="Times New Roman" w:eastAsia="Times New Roman" w:hAnsi="Times New Roman"/>
                <w:sz w:val="20"/>
                <w:szCs w:val="20"/>
                <w:color w:val="auto"/>
                <w:w w:val="98"/>
              </w:rPr>
              <w:t>300%</w:t>
            </w:r>
          </w:p>
        </w:tc>
      </w:tr>
      <w:tr>
        <w:trPr>
          <w:trHeight w:val="552"/>
        </w:trPr>
        <w:tc>
          <w:tcPr>
            <w:tcW w:w="3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50% of Bonus Based on Revenue</w:t>
            </w:r>
          </w:p>
        </w:tc>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58"/>
        </w:trPr>
        <w:tc>
          <w:tcPr>
            <w:tcW w:w="3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Growth</w:t>
            </w:r>
          </w:p>
        </w:tc>
        <w:tc>
          <w:tcPr>
            <w:tcW w:w="1720" w:type="dxa"/>
            <w:vAlign w:val="bottom"/>
          </w:tcPr>
          <w:p>
            <w:pPr>
              <w:spacing w:after="0"/>
              <w:rPr>
                <w:sz w:val="22"/>
                <w:szCs w:val="22"/>
                <w:color w:val="auto"/>
              </w:rPr>
            </w:pPr>
          </w:p>
        </w:tc>
        <w:tc>
          <w:tcPr>
            <w:tcW w:w="31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Bonus Payout Factor</w:t>
            </w:r>
          </w:p>
        </w:tc>
      </w:tr>
      <w:tr>
        <w:trPr>
          <w:trHeight w:val="21"/>
        </w:trPr>
        <w:tc>
          <w:tcPr>
            <w:tcW w:w="32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r>
      <w:tr>
        <w:trPr>
          <w:trHeight w:val="311"/>
        </w:trPr>
        <w:tc>
          <w:tcPr>
            <w:tcW w:w="3200" w:type="dxa"/>
            <w:vAlign w:val="bottom"/>
            <w:tcBorders>
              <w:top w:val="single" w:sz="8" w:color="auto"/>
              <w:bottom w:val="single" w:sz="8" w:color="CCEEFF"/>
            </w:tcBorders>
            <w:shd w:val="clear" w:color="auto" w:fill="CCEEFF"/>
          </w:tcPr>
          <w:p>
            <w:pPr>
              <w:jc w:val="center"/>
              <w:ind w:left="61"/>
              <w:spacing w:after="0"/>
              <w:rPr>
                <w:sz w:val="20"/>
                <w:szCs w:val="20"/>
                <w:color w:val="auto"/>
              </w:rPr>
            </w:pPr>
            <w:r>
              <w:rPr>
                <w:rFonts w:ascii="Times New Roman" w:cs="Times New Roman" w:eastAsia="Times New Roman" w:hAnsi="Times New Roman"/>
                <w:sz w:val="20"/>
                <w:szCs w:val="20"/>
                <w:color w:val="auto"/>
                <w:w w:val="95"/>
              </w:rPr>
              <w:t>≤0%</w:t>
            </w:r>
          </w:p>
        </w:tc>
        <w:tc>
          <w:tcPr>
            <w:tcW w:w="1720" w:type="dxa"/>
            <w:vAlign w:val="bottom"/>
          </w:tcPr>
          <w:p>
            <w:pPr>
              <w:spacing w:after="0"/>
              <w:rPr>
                <w:sz w:val="24"/>
                <w:szCs w:val="24"/>
                <w:color w:val="auto"/>
              </w:rPr>
            </w:pPr>
          </w:p>
        </w:tc>
        <w:tc>
          <w:tcPr>
            <w:tcW w:w="3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0%</w:t>
            </w:r>
          </w:p>
        </w:tc>
      </w:tr>
      <w:tr>
        <w:trPr>
          <w:trHeight w:val="317"/>
        </w:trPr>
        <w:tc>
          <w:tcPr>
            <w:tcW w:w="320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5%</w:t>
            </w:r>
          </w:p>
        </w:tc>
        <w:tc>
          <w:tcPr>
            <w:tcW w:w="4900" w:type="dxa"/>
            <w:vAlign w:val="bottom"/>
            <w:gridSpan w:val="2"/>
          </w:tcPr>
          <w:p>
            <w:pPr>
              <w:jc w:val="center"/>
              <w:ind w:left="1621"/>
              <w:spacing w:after="0"/>
              <w:rPr>
                <w:sz w:val="20"/>
                <w:szCs w:val="20"/>
                <w:color w:val="auto"/>
              </w:rPr>
            </w:pPr>
            <w:r>
              <w:rPr>
                <w:rFonts w:ascii="Times New Roman" w:cs="Times New Roman" w:eastAsia="Times New Roman" w:hAnsi="Times New Roman"/>
                <w:sz w:val="20"/>
                <w:szCs w:val="20"/>
                <w:color w:val="auto"/>
                <w:w w:val="98"/>
              </w:rPr>
              <w:t>100%</w:t>
            </w:r>
          </w:p>
        </w:tc>
      </w:tr>
      <w:tr>
        <w:trPr>
          <w:trHeight w:val="21"/>
        </w:trPr>
        <w:tc>
          <w:tcPr>
            <w:tcW w:w="320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r>
      <w:tr>
        <w:trPr>
          <w:trHeight w:val="318"/>
        </w:trPr>
        <w:tc>
          <w:tcPr>
            <w:tcW w:w="3200" w:type="dxa"/>
            <w:vAlign w:val="bottom"/>
            <w:tcBorders>
              <w:bottom w:val="single" w:sz="8" w:color="CCEEFF"/>
            </w:tcBorders>
            <w:shd w:val="clear" w:color="auto" w:fill="CCEEFF"/>
          </w:tcPr>
          <w:p>
            <w:pPr>
              <w:jc w:val="center"/>
              <w:ind w:left="61"/>
              <w:spacing w:after="0"/>
              <w:rPr>
                <w:sz w:val="20"/>
                <w:szCs w:val="20"/>
                <w:color w:val="auto"/>
              </w:rPr>
            </w:pPr>
            <w:r>
              <w:rPr>
                <w:rFonts w:ascii="Times New Roman" w:cs="Times New Roman" w:eastAsia="Times New Roman" w:hAnsi="Times New Roman"/>
                <w:sz w:val="20"/>
                <w:szCs w:val="20"/>
                <w:color w:val="auto"/>
                <w:w w:val="98"/>
              </w:rPr>
              <w:t>10%</w:t>
            </w:r>
          </w:p>
        </w:tc>
        <w:tc>
          <w:tcPr>
            <w:tcW w:w="172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r>
      <w:tr>
        <w:trPr>
          <w:trHeight w:val="317"/>
        </w:trPr>
        <w:tc>
          <w:tcPr>
            <w:tcW w:w="320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rPr>
              <w:t>≥15%</w:t>
            </w:r>
          </w:p>
        </w:tc>
        <w:tc>
          <w:tcPr>
            <w:tcW w:w="4900" w:type="dxa"/>
            <w:vAlign w:val="bottom"/>
            <w:gridSpan w:val="2"/>
          </w:tcPr>
          <w:p>
            <w:pPr>
              <w:jc w:val="center"/>
              <w:ind w:left="1621"/>
              <w:spacing w:after="0"/>
              <w:rPr>
                <w:sz w:val="20"/>
                <w:szCs w:val="20"/>
                <w:color w:val="auto"/>
              </w:rPr>
            </w:pPr>
            <w:r>
              <w:rPr>
                <w:rFonts w:ascii="Times New Roman" w:cs="Times New Roman" w:eastAsia="Times New Roman" w:hAnsi="Times New Roman"/>
                <w:sz w:val="20"/>
                <w:szCs w:val="20"/>
                <w:color w:val="auto"/>
                <w:w w:val="98"/>
              </w:rPr>
              <w:t>300%</w:t>
            </w:r>
          </w:p>
        </w:tc>
      </w:tr>
    </w:tbl>
    <w:p>
      <w:pPr>
        <w:ind w:right="180" w:firstLine="886"/>
        <w:spacing w:after="0" w:line="225" w:lineRule="auto"/>
        <w:tabs>
          <w:tab w:leader="none" w:pos="972" w:val="left"/>
        </w:tabs>
        <w:numPr>
          <w:ilvl w:val="0"/>
          <w:numId w:val="1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 order to facilitate a comparison of fiscal quarters for purposes of the revenue growth element of the plan, all 14-week quarters will be normalized to a 13-week quarter.</w:t>
      </w:r>
    </w:p>
    <w:p>
      <w:pPr>
        <w:spacing w:after="0" w:line="202" w:lineRule="exact"/>
        <w:rPr>
          <w:sz w:val="20"/>
          <w:szCs w:val="20"/>
          <w:color w:val="auto"/>
        </w:rPr>
      </w:pPr>
    </w:p>
    <w:p>
      <w:pPr>
        <w:ind w:firstLine="878"/>
        <w:spacing w:after="0" w:line="245" w:lineRule="auto"/>
        <w:rPr>
          <w:sz w:val="20"/>
          <w:szCs w:val="20"/>
          <w:color w:val="auto"/>
        </w:rPr>
      </w:pPr>
      <w:r>
        <w:rPr>
          <w:rFonts w:ascii="Times New Roman" w:cs="Times New Roman" w:eastAsia="Times New Roman" w:hAnsi="Times New Roman"/>
          <w:sz w:val="20"/>
          <w:szCs w:val="20"/>
          <w:color w:val="auto"/>
        </w:rPr>
        <w:t>The Bonus Payout Factor is determined quarterly and will be linearly interpolated between the values specified in the tables above. For example, if OPBT for a quarter is 40.5% of revenue (which would result in a Bonus Payout Factor of 150% for that element) and revenue growth for the quarter compared to the same quarter in the prior fiscal year was 2.5% (which would result in a Bonus Payout Factor of 50% for that element), then the Bonus Payout Factor for the quarter would be 100% which is the sum of 50% of the OPBT factor of 150% and 50% of the revenue growth factor of 50%. The Bonus Payout Factor is also used to determine the bonuses paid to all eligible employees under the Company’s 2019 Analog Devices Performance Incentive Plan.</w:t>
      </w:r>
    </w:p>
    <w:p>
      <w:pPr>
        <w:spacing w:after="0" w:line="199" w:lineRule="exact"/>
        <w:rPr>
          <w:sz w:val="20"/>
          <w:szCs w:val="20"/>
          <w:color w:val="auto"/>
        </w:rPr>
      </w:pPr>
    </w:p>
    <w:p>
      <w:pPr>
        <w:ind w:right="40" w:firstLine="878"/>
        <w:spacing w:after="0" w:line="296" w:lineRule="auto"/>
        <w:rPr>
          <w:sz w:val="20"/>
          <w:szCs w:val="20"/>
          <w:color w:val="auto"/>
        </w:rPr>
      </w:pPr>
      <w:r>
        <w:rPr>
          <w:rFonts w:ascii="Times New Roman" w:cs="Times New Roman" w:eastAsia="Times New Roman" w:hAnsi="Times New Roman"/>
          <w:sz w:val="19"/>
          <w:szCs w:val="19"/>
          <w:color w:val="auto"/>
        </w:rPr>
        <w:t>A participant’s bonus for a quarter shall be equal to the product obtained by multiplying a participant’s Bonus Target for the quarter by the Bonus Payout Factor for that quarter. Each participant’s Bonus Payment can range from zero to three times his or her Bonus Target.</w:t>
      </w:r>
    </w:p>
    <w:p>
      <w:pPr>
        <w:spacing w:after="0" w:line="150" w:lineRule="exact"/>
        <w:rPr>
          <w:sz w:val="20"/>
          <w:szCs w:val="20"/>
          <w:color w:val="auto"/>
        </w:rPr>
      </w:pPr>
    </w:p>
    <w:p>
      <w:pPr>
        <w:jc w:val="both"/>
        <w:ind w:right="120" w:firstLine="454"/>
        <w:spacing w:after="0" w:line="274" w:lineRule="auto"/>
        <w:tabs>
          <w:tab w:leader="none" w:pos="64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Fiscal 2019 bonus payments, if any, under the A&amp;R 2019 Executive Performance Incentive Plan will be calculated at the end of each fiscal quarter and distributed after the first half and second half of fiscal year 2019. The bonus payment for the first half of fiscal 2019 will be paid on or before June 30, 2019 and the bonus payment for the second half of fiscal 2019 will be paid on or before December 31, 2019.</w:t>
      </w:r>
    </w:p>
    <w:p>
      <w:pPr>
        <w:spacing w:after="0" w:line="170" w:lineRule="exact"/>
        <w:rPr>
          <w:rFonts w:ascii="Times New Roman" w:cs="Times New Roman" w:eastAsia="Times New Roman" w:hAnsi="Times New Roman"/>
          <w:sz w:val="19"/>
          <w:szCs w:val="19"/>
          <w:color w:val="auto"/>
        </w:rPr>
      </w:pPr>
    </w:p>
    <w:p>
      <w:pPr>
        <w:ind w:right="720" w:firstLine="454"/>
        <w:spacing w:after="0" w:line="269" w:lineRule="auto"/>
        <w:tabs>
          <w:tab w:leader="none" w:pos="6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are eligible for a bonus payment beginning with their first full day of employment, so long as they remain actively employed by the Company on the applicable bonus payment date.</w:t>
      </w:r>
    </w:p>
    <w:p>
      <w:pPr>
        <w:spacing w:after="0" w:line="173" w:lineRule="exact"/>
        <w:rPr>
          <w:rFonts w:ascii="Times New Roman" w:cs="Times New Roman" w:eastAsia="Times New Roman" w:hAnsi="Times New Roman"/>
          <w:sz w:val="20"/>
          <w:szCs w:val="20"/>
          <w:color w:val="auto"/>
        </w:rPr>
      </w:pPr>
    </w:p>
    <w:p>
      <w:pPr>
        <w:ind w:right="20" w:firstLine="454"/>
        <w:spacing w:after="0" w:line="249" w:lineRule="auto"/>
        <w:tabs>
          <w:tab w:leader="none" w:pos="6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required pursuant to the listing standards of any national securities exchange or association on which the Company's securities are listed or otherwise by applicable law or regulation to develop and implement a policy providing for the recovery from a participant of any payment under the A&amp;R 2019 Executive Performance Incentive Plan, the payment will be subject to recovery in accordance with such clawback policy.</w:t>
      </w:r>
    </w:p>
    <w:p>
      <w:pPr>
        <w:sectPr>
          <w:pgSz w:w="11900" w:h="16838" w:orient="portrait"/>
          <w:cols w:equalWidth="0" w:num="1">
            <w:col w:w="11340"/>
          </w:cols>
          <w:pgMar w:left="240" w:top="521"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300" w:right="380" w:hanging="320"/>
        <w:spacing w:after="0" w:line="281"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620" w:hanging="320"/>
        <w:spacing w:after="0" w:line="281"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6240" w:val="left"/>
        </w:tabs>
        <w:rPr>
          <w:sz w:val="20"/>
          <w:szCs w:val="20"/>
          <w:color w:val="auto"/>
        </w:rPr>
      </w:pPr>
      <w:r>
        <w:rPr>
          <w:rFonts w:ascii="Times New Roman" w:cs="Times New Roman" w:eastAsia="Times New Roman" w:hAnsi="Times New Roman"/>
          <w:sz w:val="18"/>
          <w:szCs w:val="18"/>
          <w:color w:val="auto"/>
        </w:rPr>
        <w:t>Dated: February 20, 2019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INCENT</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51435</wp:posOffset>
            </wp:positionV>
            <wp:extent cx="332740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Vincent Roche</w:t>
      </w:r>
    </w:p>
    <w:p>
      <w:pPr>
        <w:spacing w:after="0" w:line="9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48"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300" w:right="380" w:hanging="320"/>
        <w:spacing w:after="0" w:line="281"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620" w:hanging="320"/>
        <w:spacing w:after="0" w:line="281"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tabs>
          <w:tab w:leader="none" w:pos="6240" w:val="left"/>
        </w:tabs>
        <w:rPr>
          <w:sz w:val="20"/>
          <w:szCs w:val="20"/>
          <w:color w:val="auto"/>
        </w:rPr>
      </w:pPr>
      <w:r>
        <w:rPr>
          <w:rFonts w:ascii="Times New Roman" w:cs="Times New Roman" w:eastAsia="Times New Roman" w:hAnsi="Times New Roman"/>
          <w:sz w:val="18"/>
          <w:szCs w:val="18"/>
          <w:color w:val="auto"/>
        </w:rPr>
        <w:t>Dated: February 20, 2019</w:t>
      </w:r>
      <w:r>
        <w:rPr>
          <w:sz w:val="20"/>
          <w:szCs w:val="20"/>
          <w:color w:val="auto"/>
        </w:rPr>
        <w:tab/>
      </w:r>
      <w:r>
        <w:rPr>
          <w:rFonts w:ascii="Times New Roman" w:cs="Times New Roman" w:eastAsia="Times New Roman" w:hAnsi="Times New Roman"/>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51435</wp:posOffset>
            </wp:positionV>
            <wp:extent cx="332740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9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9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648"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February 2, 2019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80"/>
        <w:spacing w:after="0"/>
        <w:tabs>
          <w:tab w:leader="none" w:pos="6240" w:val="left"/>
        </w:tabs>
        <w:rPr>
          <w:sz w:val="20"/>
          <w:szCs w:val="20"/>
          <w:color w:val="auto"/>
        </w:rPr>
      </w:pPr>
      <w:r>
        <w:rPr>
          <w:rFonts w:ascii="Times New Roman" w:cs="Times New Roman" w:eastAsia="Times New Roman" w:hAnsi="Times New Roman"/>
          <w:sz w:val="18"/>
          <w:szCs w:val="18"/>
          <w:color w:val="auto"/>
        </w:rPr>
        <w:t>Dated: February 20, 2019</w:t>
      </w:r>
      <w:r>
        <w:rPr>
          <w:sz w:val="20"/>
          <w:szCs w:val="20"/>
          <w:color w:val="auto"/>
        </w:rPr>
        <w:tab/>
      </w:r>
      <w:r>
        <w:rPr>
          <w:rFonts w:ascii="Times New Roman" w:cs="Times New Roman" w:eastAsia="Times New Roman" w:hAnsi="Times New Roman"/>
          <w:sz w:val="18"/>
          <w:szCs w:val="18"/>
          <w:color w:val="auto"/>
        </w:rPr>
        <w:t>/S/ V</w:t>
      </w:r>
      <w:r>
        <w:rPr>
          <w:rFonts w:ascii="Times New Roman" w:cs="Times New Roman" w:eastAsia="Times New Roman" w:hAnsi="Times New Roman"/>
          <w:sz w:val="14"/>
          <w:szCs w:val="14"/>
          <w:color w:val="auto"/>
        </w:rPr>
        <w:t>INCENT</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51435</wp:posOffset>
            </wp:positionV>
            <wp:extent cx="332740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Vincent Roche</w:t>
      </w:r>
    </w:p>
    <w:p>
      <w:pPr>
        <w:spacing w:after="0" w:line="9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648"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February 2, 2019 as filed with the Securities and Exchange Commission on the date hereof (the “Report”), the undersigned, Prashanth Mahendra-Rajah,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80"/>
        <w:spacing w:after="0"/>
        <w:tabs>
          <w:tab w:leader="none" w:pos="6240" w:val="left"/>
        </w:tabs>
        <w:rPr>
          <w:sz w:val="20"/>
          <w:szCs w:val="20"/>
          <w:color w:val="auto"/>
        </w:rPr>
      </w:pPr>
      <w:r>
        <w:rPr>
          <w:rFonts w:ascii="Times New Roman" w:cs="Times New Roman" w:eastAsia="Times New Roman" w:hAnsi="Times New Roman"/>
          <w:sz w:val="18"/>
          <w:szCs w:val="18"/>
          <w:color w:val="auto"/>
        </w:rPr>
        <w:t>Dated: February 20, 2019</w:t>
      </w:r>
      <w:r>
        <w:rPr>
          <w:sz w:val="20"/>
          <w:szCs w:val="20"/>
          <w:color w:val="auto"/>
        </w:rPr>
        <w:tab/>
      </w:r>
      <w:r>
        <w:rPr>
          <w:rFonts w:ascii="Times New Roman" w:cs="Times New Roman" w:eastAsia="Times New Roman" w:hAnsi="Times New Roman"/>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51435</wp:posOffset>
            </wp:positionV>
            <wp:extent cx="332740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9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decimal"/>
      <w:start w:val="2"/>
    </w:lvl>
  </w:abstractNum>
  <w:abstractNum w:abstractNumId="3">
    <w:nsid w:val="5DB70AE5"/>
    <w:multiLevelType w:val="hybridMultilevel"/>
    <w:lvl w:ilvl="0">
      <w:lvlJc w:val="left"/>
      <w:lvlText w:val="(%1)"/>
      <w:numFmt w:val="decimal"/>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1)"/>
      <w:numFmt w:val="decimal"/>
      <w:start w:val="1"/>
    </w:lvl>
  </w:abstractNum>
  <w:abstractNum w:abstractNumId="6">
    <w:nsid w:val="15014ACB"/>
    <w:multiLevelType w:val="hybridMultilevel"/>
    <w:lvl w:ilvl="0">
      <w:lvlJc w:val="left"/>
      <w:lvlText w:val="(%1)"/>
      <w:numFmt w:val="decimal"/>
      <w:start w:val="1"/>
    </w:lvl>
  </w:abstractNum>
  <w:abstractNum w:abstractNumId="7">
    <w:nsid w:val="5F5E7FD0"/>
    <w:multiLevelType w:val="hybridMultilevel"/>
    <w:lvl w:ilvl="0">
      <w:lvlJc w:val="left"/>
      <w:lvlText w:val="(%1)"/>
      <w:numFmt w:val="decimal"/>
      <w:start w:val="1"/>
    </w:lvl>
  </w:abstractNum>
  <w:abstractNum w:abstractNumId="8">
    <w:nsid w:val="98A3148"/>
    <w:multiLevelType w:val="hybridMultilevel"/>
    <w:lvl w:ilvl="0">
      <w:lvlJc w:val="left"/>
      <w:lvlText w:val="(%1)"/>
      <w:numFmt w:val="lowerLetter"/>
      <w:start w:val="1"/>
    </w:lvl>
  </w:abstractNum>
  <w:abstractNum w:abstractNumId="9">
    <w:nsid w:val="799D0247"/>
    <w:multiLevelType w:val="hybridMultilevel"/>
    <w:lvl w:ilvl="0">
      <w:lvlJc w:val="left"/>
      <w:lvlText w:val="(%1)"/>
      <w:numFmt w:val="decimal"/>
      <w:start w:val="1"/>
    </w:lvl>
  </w:abstractNum>
  <w:abstractNum w:abstractNumId="10">
    <w:nsid w:val="6B94764"/>
    <w:multiLevelType w:val="hybridMultilevel"/>
    <w:lvl w:ilvl="0">
      <w:lvlJc w:val="left"/>
      <w:lvlText w:val="(%1)"/>
      <w:numFmt w:val="decimal"/>
      <w:start w:val="1"/>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1)"/>
      <w:numFmt w:val="decimal"/>
      <w:start w:val="1"/>
    </w:lvl>
  </w:abstractNum>
  <w:abstractNum w:abstractNumId="13">
    <w:nsid w:val="1EBA5D23"/>
    <w:multiLevelType w:val="hybridMultilevel"/>
    <w:lvl w:ilvl="0">
      <w:lvlJc w:val="left"/>
      <w:lvlText w:val="(%1)"/>
      <w:numFmt w:val="decimal"/>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decimal"/>
      <w:start w:val="1"/>
    </w:lvl>
  </w:abstractNum>
  <w:abstractNum w:abstractNumId="16">
    <w:nsid w:val="540A471C"/>
    <w:multiLevelType w:val="hybridMultilevel"/>
    <w:lvl w:ilvl="0">
      <w:lvlJc w:val="left"/>
      <w:lvlText w:val="(%1)"/>
      <w:numFmt w:val="decimal"/>
      <w:start w:val="1"/>
    </w:lvl>
  </w:abstractNum>
  <w:abstractNum w:abstractNumId="17">
    <w:nsid w:val="7BD3EE7B"/>
    <w:multiLevelType w:val="hybridMultilevel"/>
    <w:lvl w:ilvl="0">
      <w:lvlJc w:val="left"/>
      <w:lvlText w:val="(%1)"/>
      <w:numFmt w:val="decimal"/>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1)"/>
      <w:numFmt w:val="decimal"/>
      <w:start w:val="1"/>
    </w:lvl>
  </w:abstractNum>
  <w:abstractNum w:abstractNumId="20">
    <w:nsid w:val="BF72B14"/>
    <w:multiLevelType w:val="hybridMultilevel"/>
    <w:lvl w:ilvl="0">
      <w:lvlJc w:val="left"/>
      <w:lvlText w:val="(%1)"/>
      <w:numFmt w:val="decimal"/>
      <w:start w:val="1"/>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1)"/>
      <w:numFmt w:val="lowerLetter"/>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1)"/>
      <w:numFmt w:val="lowerLetter"/>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lowerRoman"/>
      <w:start w:val="4"/>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1."/>
      <w:numFmt w:val="decimal"/>
      <w:start w:val="2"/>
    </w:lvl>
  </w:abstractNum>
  <w:abstractNum w:abstractNumId="38">
    <w:nsid w:val="6F6DD9AC"/>
    <w:multiLevelType w:val="hybridMultilevel"/>
    <w:lvl w:ilvl="0">
      <w:lvlJc w:val="left"/>
      <w:lvlText w:val="%1."/>
      <w:numFmt w:val="decimal"/>
      <w:start w:val="3"/>
    </w:lvl>
    <w:lvl w:ilvl="1">
      <w:lvlJc w:val="left"/>
      <w:lvlText w:val="(%2)"/>
      <w:numFmt w:val="lowerLetter"/>
      <w:start w:val="1"/>
    </w:lvl>
  </w:abstractNum>
  <w:abstractNum w:abstractNumId="39">
    <w:nsid w:val="94211F2"/>
    <w:multiLevelType w:val="hybridMultilevel"/>
    <w:lvl w:ilvl="0">
      <w:lvlJc w:val="left"/>
      <w:lvlText w:val="%1"/>
      <w:numFmt w:val="decimal"/>
      <w:start w:val="1"/>
    </w:lvl>
    <w:lvl w:ilvl="1">
      <w:lvlJc w:val="left"/>
      <w:lvlText w:val="(%2)"/>
      <w:numFmt w:val="lowerLetter"/>
      <w:start w:val="5"/>
    </w:lvl>
  </w:abstractNum>
  <w:abstractNum w:abstractNumId="40">
    <w:nsid w:val="885E1B"/>
    <w:multiLevelType w:val="hybridMultilevel"/>
    <w:lvl w:ilvl="0">
      <w:lvlJc w:val="left"/>
      <w:lvlText w:val="%1."/>
      <w:numFmt w:val="decimal"/>
      <w:start w:val="4"/>
    </w:lvl>
    <w:lvl w:ilvl="1">
      <w:lvlJc w:val="left"/>
      <w:lvlText w:val="(%2)"/>
      <w:numFmt w:val="lowerLetter"/>
      <w:start w:val="1"/>
    </w:lvl>
  </w:abstractNum>
  <w:abstractNum w:abstractNumId="41">
    <w:nsid w:val="7627211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2">
    <w:nsid w:val="4C04A8AF"/>
    <w:multiLevelType w:val="hybridMultilevel"/>
    <w:lvl w:ilvl="0">
      <w:lvlJc w:val="left"/>
      <w:lvlText w:val="%1"/>
      <w:numFmt w:val="decimal"/>
      <w:start w:val="1"/>
    </w:lvl>
    <w:lvl w:ilvl="1">
      <w:lvlJc w:val="left"/>
      <w:lvlText w:val="(%2)"/>
      <w:numFmt w:val="lowerRoman"/>
      <w:start w:val="2"/>
    </w:lvl>
  </w:abstractNum>
  <w:abstractNum w:abstractNumId="43">
    <w:nsid w:val="1716703B"/>
    <w:multiLevelType w:val="hybridMultilevel"/>
    <w:lvl w:ilvl="0">
      <w:lvlJc w:val="left"/>
      <w:lvlText w:val="%1."/>
      <w:numFmt w:val="decimal"/>
      <w:start w:val="9"/>
    </w:lvl>
    <w:lvl w:ilvl="1">
      <w:lvlJc w:val="left"/>
      <w:lvlText w:val="%2"/>
      <w:numFmt w:val="lowerRoman"/>
      <w:start w:val="1"/>
    </w:lvl>
  </w:abstractNum>
  <w:abstractNum w:abstractNumId="44">
    <w:nsid w:val="14E17E33"/>
    <w:multiLevelType w:val="hybridMultilevel"/>
    <w:lvl w:ilvl="0">
      <w:lvlJc w:val="left"/>
      <w:lvlText w:val="%1."/>
      <w:numFmt w:val="decimal"/>
      <w:start w:val="16"/>
    </w:lvl>
  </w:abstractNum>
  <w:abstractNum w:abstractNumId="45">
    <w:nsid w:val="3222E7CD"/>
    <w:multiLevelType w:val="hybridMultilevel"/>
    <w:lvl w:ilvl="0">
      <w:lvlJc w:val="left"/>
      <w:lvlText w:val="%1."/>
      <w:numFmt w:val="decimal"/>
      <w:start w:val="26"/>
    </w:lvl>
  </w:abstractNum>
  <w:abstractNum w:abstractNumId="46">
    <w:nsid w:val="74DE0EE3"/>
    <w:multiLevelType w:val="hybridMultilevel"/>
    <w:lvl w:ilvl="0">
      <w:lvlJc w:val="left"/>
      <w:lvlText w:val="(%1)"/>
      <w:numFmt w:val="lowerLetter"/>
      <w:start w:val="1"/>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1."/>
      <w:numFmt w:val="decimal"/>
      <w:start w:val="2"/>
    </w:lvl>
  </w:abstractNum>
  <w:abstractNum w:abstractNumId="49">
    <w:nsid w:val="46B7D447"/>
    <w:multiLevelType w:val="hybridMultilevel"/>
    <w:lvl w:ilvl="0">
      <w:lvlJc w:val="left"/>
      <w:lvlText w:val="%1."/>
      <w:numFmt w:val="decimal"/>
      <w:start w:val="3"/>
    </w:lvl>
  </w:abstractNum>
  <w:abstractNum w:abstractNumId="50">
    <w:nsid w:val="4A2AC315"/>
    <w:multiLevelType w:val="hybridMultilevel"/>
    <w:lvl w:ilvl="0">
      <w:lvlJc w:val="left"/>
      <w:lvlText w:val="%1."/>
      <w:numFmt w:val="decimal"/>
      <w:start w:val="4"/>
    </w:lvl>
  </w:abstractNum>
  <w:abstractNum w:abstractNumId="51">
    <w:nsid w:val="39EE015C"/>
    <w:multiLevelType w:val="hybridMultilevel"/>
    <w:lvl w:ilvl="0">
      <w:lvlJc w:val="left"/>
      <w:lvlText w:val="%1."/>
      <w:numFmt w:val="decimal"/>
      <w:start w:val="5"/>
    </w:lvl>
  </w:abstractNum>
  <w:abstractNum w:abstractNumId="52">
    <w:nsid w:val="57FC4FBB"/>
    <w:multiLevelType w:val="hybridMultilevel"/>
    <w:lvl w:ilvl="0">
      <w:lvlJc w:val="left"/>
      <w:lvlText w:val="%1."/>
      <w:numFmt w:val="decimal"/>
      <w:start w:val="6"/>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decimal"/>
      <w:start w:val="2"/>
    </w:lvl>
  </w:abstractNum>
  <w:abstractNum w:abstractNumId="55">
    <w:nsid w:val="60EF0119"/>
    <w:multiLevelType w:val="hybridMultilevel"/>
    <w:lvl w:ilvl="0">
      <w:lvlJc w:val="left"/>
      <w:lvlText w:val="%1."/>
      <w:numFmt w:val="decimal"/>
      <w:start w:val="3"/>
    </w:lvl>
  </w:abstractNum>
  <w:abstractNum w:abstractNumId="56">
    <w:nsid w:val="26F324BA"/>
    <w:multiLevelType w:val="hybridMultilevel"/>
    <w:lvl w:ilvl="0">
      <w:lvlJc w:val="left"/>
      <w:lvlText w:val="%1."/>
      <w:numFmt w:val="decimal"/>
      <w:start w:val="4"/>
    </w:lvl>
  </w:abstractNum>
  <w:abstractNum w:abstractNumId="57">
    <w:nsid w:val="7F01579B"/>
    <w:multiLevelType w:val="hybridMultilevel"/>
    <w:lvl w:ilvl="0">
      <w:lvlJc w:val="left"/>
      <w:lvlText w:val="%1."/>
      <w:numFmt w:val="decimal"/>
      <w:start w:val="5"/>
    </w:lvl>
  </w:abstractNum>
  <w:abstractNum w:abstractNumId="58">
    <w:nsid w:val="49DA307D"/>
    <w:multiLevelType w:val="hybridMultilevel"/>
    <w:lvl w:ilvl="0">
      <w:lvlJc w:val="left"/>
      <w:lvlText w:val="%1."/>
      <w:numFmt w:val="decimal"/>
      <w:start w:val="6"/>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1."/>
      <w:numFmt w:val="upperLetter"/>
      <w:start w:val="1"/>
    </w:lvl>
  </w:abstractNum>
  <w:abstractNum w:abstractNumId="61">
    <w:nsid w:val="50801EE1"/>
    <w:multiLevelType w:val="hybridMultilevel"/>
    <w:lvl w:ilvl="0">
      <w:lvlJc w:val="left"/>
      <w:lvlText w:val="%1."/>
      <w:numFmt w:val="decimal"/>
      <w:start w:val="1"/>
    </w:lvl>
  </w:abstractNum>
  <w:abstractNum w:abstractNumId="62">
    <w:nsid w:val="488AC1A"/>
    <w:multiLevelType w:val="hybridMultilevel"/>
    <w:lvl w:ilvl="0">
      <w:lvlJc w:val="left"/>
      <w:lvlText w:val="(%1)"/>
      <w:numFmt w:val="lowerLetter"/>
      <w:start w:val="1"/>
    </w:lvl>
    <w:lvl w:ilvl="1">
      <w:lvlJc w:val="left"/>
      <w:lvlText w:val="(%2)"/>
      <w:numFmt w:val="lowerRoman"/>
      <w:start w:val="1"/>
    </w:lvl>
  </w:abstractNum>
  <w:abstractNum w:abstractNumId="63">
    <w:nsid w:val="5FB8011C"/>
    <w:multiLevelType w:val="hybridMultilevel"/>
    <w:lvl w:ilvl="0">
      <w:lvlJc w:val="left"/>
      <w:lvlText w:val="%1."/>
      <w:numFmt w:val="decimal"/>
      <w:start w:val="2"/>
    </w:lvl>
  </w:abstractNum>
  <w:abstractNum w:abstractNumId="64">
    <w:nsid w:val="6AA78F7F"/>
    <w:multiLevelType w:val="hybridMultilevel"/>
    <w:lvl w:ilvl="0">
      <w:lvlJc w:val="left"/>
      <w:lvlText w:val="%1."/>
      <w:numFmt w:val="decimal"/>
      <w:start w:val="3"/>
    </w:lvl>
  </w:abstractNum>
  <w:abstractNum w:abstractNumId="65">
    <w:nsid w:val="7672BD23"/>
    <w:multiLevelType w:val="hybridMultilevel"/>
    <w:lvl w:ilvl="0">
      <w:lvlJc w:val="left"/>
      <w:lvlText w:val="(%1)"/>
      <w:numFmt w:val="lowerRoman"/>
      <w:start w:val="1"/>
    </w:lvl>
  </w:abstractNum>
  <w:abstractNum w:abstractNumId="66">
    <w:nsid w:val="6FC75AF8"/>
    <w:multiLevelType w:val="hybridMultilevel"/>
    <w:lvl w:ilvl="0">
      <w:lvlJc w:val="left"/>
      <w:lvlText w:val="%1."/>
      <w:numFmt w:val="decimal"/>
      <w:start w:val="4"/>
    </w:lvl>
  </w:abstractNum>
  <w:abstractNum w:abstractNumId="67">
    <w:nsid w:val="6A5F7029"/>
    <w:multiLevelType w:val="hybridMultilevel"/>
    <w:lvl w:ilvl="0">
      <w:lvlJc w:val="left"/>
      <w:lvlText w:val="(%1)"/>
      <w:numFmt w:val="lowerRoman"/>
      <w:start w:val="1"/>
    </w:lvl>
  </w:abstractNum>
  <w:abstractNum w:abstractNumId="68">
    <w:nsid w:val="7D5E18F8"/>
    <w:multiLevelType w:val="hybridMultilevel"/>
    <w:lvl w:ilvl="0">
      <w:lvlJc w:val="left"/>
      <w:lvlText w:val="%1."/>
      <w:numFmt w:val="decimal"/>
      <w:start w:val="1"/>
    </w:lvl>
    <w:lvl w:ilvl="1">
      <w:lvlJc w:val="left"/>
      <w:lvlText w:val="(%2)"/>
      <w:numFmt w:val="lowerLetter"/>
      <w:start w:val="1"/>
    </w:lvl>
  </w:abstractNum>
  <w:abstractNum w:abstractNumId="69">
    <w:nsid w:val="5F3534A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0">
    <w:nsid w:val="73A1821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1">
    <w:nsid w:val="7DE67713"/>
    <w:multiLevelType w:val="hybridMultilevel"/>
    <w:lvl w:ilvl="0">
      <w:lvlJc w:val="left"/>
      <w:lvlText w:val="(%1)"/>
      <w:numFmt w:val="lowerRoman"/>
      <w:start w:val="2"/>
    </w:lvl>
  </w:abstractNum>
  <w:abstractNum w:abstractNumId="72">
    <w:nsid w:val="555C55B5"/>
    <w:multiLevelType w:val="hybridMultilevel"/>
    <w:lvl w:ilvl="0">
      <w:lvlJc w:val="left"/>
      <w:lvlText w:val="%1."/>
      <w:numFmt w:val="decimal"/>
      <w:start w:val="7"/>
    </w:lvl>
    <w:lvl w:ilvl="1">
      <w:lvlJc w:val="left"/>
      <w:lvlText w:val="(%2)"/>
      <w:numFmt w:val="lowerLetter"/>
      <w:start w:val="1"/>
    </w:lvl>
  </w:abstractNum>
  <w:abstractNum w:abstractNumId="73">
    <w:nsid w:val="3FA62ACA"/>
    <w:multiLevelType w:val="hybridMultilevel"/>
    <w:lvl w:ilvl="0">
      <w:lvlJc w:val="left"/>
      <w:lvlText w:val="(%1)"/>
      <w:numFmt w:val="lowerLetter"/>
      <w:start w:val="3"/>
    </w:lvl>
  </w:abstractNum>
  <w:abstractNum w:abstractNumId="74">
    <w:nsid w:val="14FCE74E"/>
    <w:multiLevelType w:val="hybridMultilevel"/>
    <w:lvl w:ilvl="0">
      <w:lvlJc w:val="left"/>
      <w:lvlText w:val="(%1)"/>
      <w:numFmt w:val="lowerLetter"/>
      <w:start w:val="14"/>
    </w:lvl>
  </w:abstractNum>
  <w:abstractNum w:abstractNumId="75">
    <w:nsid w:val="6A3DD3E8"/>
    <w:multiLevelType w:val="hybridMultilevel"/>
    <w:lvl w:ilvl="0">
      <w:lvlJc w:val="left"/>
      <w:lvlText w:val="(%1)"/>
      <w:numFmt w:val="lowerLetter"/>
      <w:start w:val="24"/>
    </w:lvl>
  </w:abstractNum>
  <w:abstractNum w:abstractNumId="76">
    <w:nsid w:val="71C91298"/>
    <w:multiLevelType w:val="hybridMultilevel"/>
    <w:lvl w:ilvl="0">
      <w:lvlJc w:val="left"/>
      <w:lvlText w:val="(%1)"/>
      <w:numFmt w:val="lowerLetter"/>
      <w:start w:val="1"/>
    </w:lvl>
  </w:abstractNum>
  <w:abstractNum w:abstractNumId="77">
    <w:nsid w:val="9DAF632"/>
    <w:multiLevelType w:val="hybridMultilevel"/>
    <w:lvl w:ilvl="0">
      <w:lvlJc w:val="left"/>
      <w:lvlText w:val="(%1)"/>
      <w:numFmt w:val="lowerLetter"/>
      <w:start w:val="2"/>
    </w:lvl>
  </w:abstractNum>
  <w:abstractNum w:abstractNumId="78">
    <w:nsid w:val="53299938"/>
    <w:multiLevelType w:val="hybridMultilevel"/>
    <w:lvl w:ilvl="0">
      <w:lvlJc w:val="left"/>
      <w:lvlText w:val="(%1)"/>
      <w:numFmt w:val="decimal"/>
      <w:start w:val="2"/>
    </w:lvl>
  </w:abstractNum>
  <w:abstractNum w:abstractNumId="79">
    <w:nsid w:val="1FBFE8E0"/>
    <w:multiLevelType w:val="hybridMultilevel"/>
    <w:lvl w:ilvl="0">
      <w:lvlJc w:val="left"/>
      <w:lvlText w:val="%1."/>
      <w:numFmt w:val="decimal"/>
      <w:start w:val="1"/>
    </w:lvl>
  </w:abstractNum>
  <w:abstractNum w:abstractNumId="80">
    <w:nsid w:val="5092CA79"/>
    <w:multiLevelType w:val="hybridMultilevel"/>
    <w:lvl w:ilvl="0">
      <w:lvlJc w:val="left"/>
      <w:lvlText w:val="%1."/>
      <w:numFmt w:val="decimal"/>
      <w:start w:val="2"/>
    </w:lvl>
  </w:abstractNum>
  <w:abstractNum w:abstractNumId="81">
    <w:nsid w:val="1D545C4D"/>
    <w:multiLevelType w:val="hybridMultilevel"/>
    <w:lvl w:ilvl="0">
      <w:lvlJc w:val="left"/>
      <w:lvlText w:val="%1."/>
      <w:numFmt w:val="decimal"/>
      <w:start w:val="3"/>
    </w:lvl>
  </w:abstractNum>
  <w:abstractNum w:abstractNumId="82">
    <w:nsid w:val="59ADEA3D"/>
    <w:multiLevelType w:val="hybridMultilevel"/>
    <w:lvl w:ilvl="0">
      <w:lvlJc w:val="left"/>
      <w:lvlText w:val="(%1)"/>
      <w:numFmt w:val="lowerLetter"/>
      <w:start w:val="1"/>
    </w:lvl>
  </w:abstractNum>
  <w:abstractNum w:abstractNumId="83">
    <w:nsid w:val="288F1A34"/>
    <w:multiLevelType w:val="hybridMultilevel"/>
    <w:lvl w:ilvl="0">
      <w:lvlJc w:val="left"/>
      <w:lvlText w:val="%1."/>
      <w:numFmt w:val="decimal"/>
      <w:start w:val="4"/>
    </w:lvl>
  </w:abstractNum>
  <w:abstractNum w:abstractNumId="84">
    <w:nsid w:val="2A155DBC"/>
    <w:multiLevelType w:val="hybridMultilevel"/>
    <w:lvl w:ilvl="0">
      <w:lvlJc w:val="left"/>
      <w:lvlText w:val="%1."/>
      <w:numFmt w:val="decimal"/>
      <w:start w:val="5"/>
    </w:lvl>
  </w:abstractNum>
  <w:abstractNum w:abstractNumId="85">
    <w:nsid w:val="1D9F6E5F"/>
    <w:multiLevelType w:val="hybridMultilevel"/>
    <w:lvl w:ilvl="0">
      <w:lvlJc w:val="left"/>
      <w:lvlText w:val="%1."/>
      <w:numFmt w:val="decimal"/>
      <w:start w:val="6"/>
    </w:lvl>
  </w:abstractNum>
  <w:abstractNum w:abstractNumId="86">
    <w:nsid w:val="97E1B4E"/>
    <w:multiLevelType w:val="hybridMultilevel"/>
    <w:lvl w:ilvl="0">
      <w:lvlJc w:val="left"/>
      <w:lvlText w:val="%1."/>
      <w:numFmt w:val="decimal"/>
      <w:start w:val="7"/>
    </w:lvl>
  </w:abstractNum>
  <w:abstractNum w:abstractNumId="87">
    <w:nsid w:val="51088277"/>
    <w:multiLevelType w:val="hybridMultilevel"/>
    <w:lvl w:ilvl="0">
      <w:lvlJc w:val="left"/>
      <w:lvlText w:val="(%1)"/>
      <w:numFmt w:val="lowerLetter"/>
      <w:start w:val="1"/>
    </w:lvl>
  </w:abstractNum>
  <w:abstractNum w:abstractNumId="88">
    <w:nsid w:val="1CA0C5FA"/>
    <w:multiLevelType w:val="hybridMultilevel"/>
    <w:lvl w:ilvl="0">
      <w:lvlJc w:val="left"/>
      <w:lvlText w:val="(%1)"/>
      <w:numFmt w:val="lowerLetter"/>
      <w:start w:val="2"/>
    </w:lvl>
  </w:abstractNum>
  <w:abstractNum w:abstractNumId="89">
    <w:nsid w:val="53584BCB"/>
    <w:multiLevelType w:val="hybridMultilevel"/>
    <w:lvl w:ilvl="0">
      <w:lvlJc w:val="left"/>
      <w:lvlText w:val="(%1)"/>
      <w:numFmt w:val="lowerLetter"/>
      <w:start w:val="3"/>
    </w:lvl>
  </w:abstractNum>
  <w:abstractNum w:abstractNumId="90">
    <w:nsid w:val="415E286C"/>
    <w:multiLevelType w:val="hybridMultilevel"/>
    <w:lvl w:ilvl="0">
      <w:lvlJc w:val="left"/>
      <w:lvlText w:val="(%1)"/>
      <w:numFmt w:val="lowerLetter"/>
      <w:start w:val="6"/>
    </w:lvl>
  </w:abstractNum>
  <w:abstractNum w:abstractNumId="91">
    <w:nsid w:val="7C58FD05"/>
    <w:multiLevelType w:val="hybridMultilevel"/>
    <w:lvl w:ilvl="0">
      <w:lvlJc w:val="left"/>
      <w:lvlText w:val="%1."/>
      <w:numFmt w:val="decimal"/>
      <w:start w:val="8"/>
    </w:lvl>
  </w:abstractNum>
  <w:abstractNum w:abstractNumId="92">
    <w:nsid w:val="23D86AAC"/>
    <w:multiLevelType w:val="hybridMultilevel"/>
    <w:lvl w:ilvl="0">
      <w:lvlJc w:val="left"/>
      <w:lvlText w:val="%1."/>
      <w:numFmt w:val="decimal"/>
      <w:start w:val="9"/>
    </w:lvl>
  </w:abstractNum>
  <w:abstractNum w:abstractNumId="93">
    <w:nsid w:val="45E6D486"/>
    <w:multiLevelType w:val="hybridMultilevel"/>
    <w:lvl w:ilvl="0">
      <w:lvlJc w:val="left"/>
      <w:lvlText w:val="%1."/>
      <w:numFmt w:val="decimal"/>
      <w:start w:val="10"/>
    </w:lvl>
  </w:abstractNum>
  <w:abstractNum w:abstractNumId="94">
    <w:nsid w:val="5C10FE21"/>
    <w:multiLevelType w:val="hybridMultilevel"/>
    <w:lvl w:ilvl="0">
      <w:lvlJc w:val="left"/>
      <w:lvlText w:val="%1."/>
      <w:numFmt w:val="decimal"/>
      <w:start w:val="11"/>
    </w:lvl>
  </w:abstractNum>
  <w:abstractNum w:abstractNumId="95">
    <w:nsid w:val="E7FFA2B"/>
    <w:multiLevelType w:val="hybridMultilevel"/>
    <w:lvl w:ilvl="0">
      <w:lvlJc w:val="left"/>
      <w:lvlText w:val="%1."/>
      <w:numFmt w:val="decimal"/>
      <w:start w:val="12"/>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1)"/>
      <w:numFmt w:val="lowerRoman"/>
      <w:start w:val="1"/>
    </w:lvl>
  </w:abstractNum>
  <w:abstractNum w:abstractNumId="98">
    <w:nsid w:val="78DF6A55"/>
    <w:multiLevelType w:val="hybridMultilevel"/>
    <w:lvl w:ilvl="0">
      <w:lvlJc w:val="left"/>
      <w:lvlText w:val="(%1)"/>
      <w:numFmt w:val="lowerLetter"/>
      <w:start w:val="2"/>
    </w:lvl>
  </w:abstractNum>
  <w:abstractNum w:abstractNumId="99">
    <w:nsid w:val="39B7AAA2"/>
    <w:multiLevelType w:val="hybridMultilevel"/>
    <w:lvl w:ilvl="0">
      <w:lvlJc w:val="left"/>
      <w:lvlText w:val="(%1)"/>
      <w:numFmt w:val="lowerRoman"/>
      <w:start w:val="1"/>
    </w:lvl>
  </w:abstractNum>
  <w:abstractNum w:abstractNumId="100">
    <w:nsid w:val="2B0D8DBE"/>
    <w:multiLevelType w:val="hybridMultilevel"/>
    <w:lvl w:ilvl="0">
      <w:lvlJc w:val="left"/>
      <w:lvlText w:val="(%1)"/>
      <w:numFmt w:val="lowerLetter"/>
      <w:start w:val="3"/>
    </w:lvl>
  </w:abstractNum>
  <w:abstractNum w:abstractNumId="101">
    <w:nsid w:val="6C80EC70"/>
    <w:multiLevelType w:val="hybridMultilevel"/>
    <w:lvl w:ilvl="0">
      <w:lvlJc w:val="left"/>
      <w:lvlText w:val="(%1)"/>
      <w:numFmt w:val="lowerLetter"/>
      <w:start w:val="4"/>
    </w:lvl>
  </w:abstractNum>
  <w:abstractNum w:abstractNumId="102">
    <w:nsid w:val="379E21B5"/>
    <w:multiLevelType w:val="hybridMultilevel"/>
    <w:lvl w:ilvl="0">
      <w:lvlJc w:val="left"/>
      <w:lvlText w:val="(%1)"/>
      <w:numFmt w:val="lowerLetter"/>
      <w:start w:val="5"/>
    </w:lvl>
  </w:abstractNum>
  <w:abstractNum w:abstractNumId="103">
    <w:nsid w:val="69E373"/>
    <w:multiLevelType w:val="hybridMultilevel"/>
    <w:lvl w:ilvl="0">
      <w:lvlJc w:val="left"/>
      <w:lvlText w:val="(%1)"/>
      <w:numFmt w:val="lowerLetter"/>
      <w:start w:val="6"/>
    </w:lvl>
  </w:abstractNum>
  <w:abstractNum w:abstractNumId="104">
    <w:nsid w:val="2C27173B"/>
    <w:multiLevelType w:val="hybridMultilevel"/>
    <w:lvl w:ilvl="0">
      <w:lvlJc w:val="left"/>
      <w:lvlText w:val="(%1)"/>
      <w:numFmt w:val="lowerLetter"/>
      <w:start w:val="7"/>
    </w:lvl>
  </w:abstractNum>
  <w:abstractNum w:abstractNumId="105">
    <w:nsid w:val="4C9B0904"/>
    <w:multiLevelType w:val="hybridMultilevel"/>
    <w:lvl w:ilvl="0">
      <w:lvlJc w:val="left"/>
      <w:lvlText w:val="(%1)"/>
      <w:numFmt w:val="lowerLetter"/>
      <w:start w:val="8"/>
    </w:lvl>
  </w:abstractNum>
  <w:abstractNum w:abstractNumId="106">
    <w:nsid w:val="6AA7B75C"/>
    <w:multiLevelType w:val="hybridMultilevel"/>
    <w:lvl w:ilvl="0">
      <w:lvlJc w:val="left"/>
      <w:lvlText w:val="%1."/>
      <w:numFmt w:val="decimal"/>
      <w:start w:val="13"/>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1."/>
      <w:numFmt w:val="upperLetter"/>
      <w:start w:val="1"/>
    </w:lvl>
  </w:abstractNum>
  <w:abstractNum w:abstractNumId="109">
    <w:nsid w:val="3DD15094"/>
    <w:multiLevelType w:val="hybridMultilevel"/>
    <w:lvl w:ilvl="0">
      <w:lvlJc w:val="left"/>
      <w:lvlText w:val="%1."/>
      <w:numFmt w:val="decimal"/>
      <w:start w:val="1"/>
    </w:lvl>
  </w:abstractNum>
  <w:abstractNum w:abstractNumId="110">
    <w:nsid w:val="3DB012B3"/>
    <w:multiLevelType w:val="hybridMultilevel"/>
    <w:lvl w:ilvl="0">
      <w:lvlJc w:val="left"/>
      <w:lvlText w:val="(%1)"/>
      <w:numFmt w:val="lowerLetter"/>
      <w:start w:val="1"/>
    </w:lvl>
    <w:lvl w:ilvl="1">
      <w:lvlJc w:val="left"/>
      <w:lvlText w:val="(%2)"/>
      <w:numFmt w:val="lowerRoman"/>
      <w:start w:val="1"/>
    </w:lvl>
  </w:abstractNum>
  <w:abstractNum w:abstractNumId="111">
    <w:nsid w:val="2708C9AF"/>
    <w:multiLevelType w:val="hybridMultilevel"/>
    <w:lvl w:ilvl="0">
      <w:lvlJc w:val="left"/>
      <w:lvlText w:val="%1."/>
      <w:numFmt w:val="decimal"/>
      <w:start w:val="2"/>
    </w:lvl>
  </w:abstractNum>
  <w:abstractNum w:abstractNumId="112">
    <w:nsid w:val="5B25ACE2"/>
    <w:multiLevelType w:val="hybridMultilevel"/>
    <w:lvl w:ilvl="0">
      <w:lvlJc w:val="left"/>
      <w:lvlText w:val="%1."/>
      <w:numFmt w:val="decimal"/>
      <w:start w:val="3"/>
    </w:lvl>
  </w:abstractNum>
  <w:abstractNum w:abstractNumId="113">
    <w:nsid w:val="175DFCF0"/>
    <w:multiLevelType w:val="hybridMultilevel"/>
    <w:lvl w:ilvl="0">
      <w:lvlJc w:val="left"/>
      <w:lvlText w:val="(%1)"/>
      <w:numFmt w:val="lowerRoman"/>
      <w:start w:val="1"/>
    </w:lvl>
  </w:abstractNum>
  <w:abstractNum w:abstractNumId="114">
    <w:nsid w:val="4F97E3E4"/>
    <w:multiLevelType w:val="hybridMultilevel"/>
    <w:lvl w:ilvl="0">
      <w:lvlJc w:val="left"/>
      <w:lvlText w:val="%1."/>
      <w:numFmt w:val="decimal"/>
      <w:start w:val="4"/>
    </w:lvl>
  </w:abstractNum>
  <w:abstractNum w:abstractNumId="115">
    <w:nsid w:val="53B0A9E"/>
    <w:multiLevelType w:val="hybridMultilevel"/>
    <w:lvl w:ilvl="0">
      <w:lvlJc w:val="left"/>
      <w:lvlText w:val="(%1)"/>
      <w:numFmt w:val="lowerRoman"/>
      <w:start w:val="1"/>
    </w:lvl>
  </w:abstractNum>
  <w:abstractNum w:abstractNumId="116">
    <w:nsid w:val="34FD6B4F"/>
    <w:multiLevelType w:val="hybridMultilevel"/>
    <w:lvl w:ilvl="0">
      <w:lvlJc w:val="left"/>
      <w:lvlText w:val="%1."/>
      <w:numFmt w:val="decimal"/>
      <w:start w:val="1"/>
    </w:lvl>
  </w:abstractNum>
  <w:abstractNum w:abstractNumId="117">
    <w:nsid w:val="5915FF32"/>
    <w:multiLevelType w:val="hybridMultilevel"/>
    <w:lvl w:ilvl="0">
      <w:lvlJc w:val="left"/>
      <w:lvlText w:val="%1."/>
      <w:numFmt w:val="decimal"/>
      <w:start w:val="2"/>
    </w:lvl>
    <w:lvl w:ilvl="1">
      <w:lvlJc w:val="left"/>
      <w:lvlText w:val="(%2)"/>
      <w:numFmt w:val="lowerLetter"/>
      <w:start w:val="1"/>
    </w:lvl>
  </w:abstractNum>
  <w:abstractNum w:abstractNumId="118">
    <w:nsid w:val="56438D15"/>
    <w:multiLevelType w:val="hybridMultilevel"/>
    <w:lvl w:ilvl="0">
      <w:lvlJc w:val="left"/>
      <w:lvlText w:val="%1"/>
      <w:numFmt w:val="decimal"/>
      <w:start w:val="1"/>
    </w:lvl>
    <w:lvl w:ilvl="1">
      <w:lvlJc w:val="left"/>
      <w:lvlText w:val="(%2)"/>
      <w:numFmt w:val="lowerLetter"/>
      <w:start w:val="2"/>
    </w:lvl>
  </w:abstractNum>
  <w:abstractNum w:abstractNumId="119">
    <w:nsid w:val="519E3149"/>
    <w:multiLevelType w:val="hybridMultilevel"/>
    <w:lvl w:ilvl="0">
      <w:lvlJc w:val="left"/>
      <w:lvlText w:val="%1."/>
      <w:numFmt w:val="decimal"/>
      <w:start w:val="3"/>
    </w:lvl>
    <w:lvl w:ilvl="1">
      <w:lvlJc w:val="left"/>
      <w:lvlText w:val="(%2)"/>
      <w:numFmt w:val="lowerLetter"/>
      <w:start w:val="1"/>
    </w:lvl>
  </w:abstractNum>
  <w:abstractNum w:abstractNumId="120">
    <w:nsid w:val="2C6E4AF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1">
    <w:nsid w:val="17A1B582"/>
    <w:multiLevelType w:val="hybridMultilevel"/>
    <w:lvl w:ilvl="0">
      <w:lvlJc w:val="left"/>
      <w:lvlText w:val="%1."/>
      <w:numFmt w:val="decimal"/>
      <w:start w:val="8"/>
    </w:lvl>
  </w:abstractNum>
  <w:abstractNum w:abstractNumId="122">
    <w:nsid w:val="4DF72E4E"/>
    <w:multiLevelType w:val="hybridMultilevel"/>
    <w:lvl w:ilvl="0">
      <w:lvlJc w:val="left"/>
      <w:lvlText w:val="%1."/>
      <w:numFmt w:val="decimal"/>
      <w:start w:val="11"/>
    </w:lvl>
    <w:lvl w:ilvl="1">
      <w:lvlJc w:val="left"/>
      <w:lvlText w:val="(%2)"/>
      <w:numFmt w:val="lowerLetter"/>
      <w:start w:val="1"/>
    </w:lvl>
  </w:abstractNum>
  <w:abstractNum w:abstractNumId="123">
    <w:nsid w:val="5046B5A9"/>
    <w:multiLevelType w:val="hybridMultilevel"/>
    <w:lvl w:ilvl="0">
      <w:lvlJc w:val="left"/>
      <w:lvlText w:val="(%1)"/>
      <w:numFmt w:val="lowerLetter"/>
      <w:start w:val="2"/>
    </w:lvl>
  </w:abstractNum>
  <w:abstractNum w:abstractNumId="124">
    <w:nsid w:val="5D888A08"/>
    <w:multiLevelType w:val="hybridMultilevel"/>
    <w:lvl w:ilvl="0">
      <w:lvlJc w:val="left"/>
      <w:lvlText w:val="(%1)"/>
      <w:numFmt w:val="lowerLetter"/>
      <w:start w:val="10"/>
    </w:lvl>
  </w:abstractNum>
  <w:abstractNum w:abstractNumId="125">
    <w:nsid w:val="2A082C70"/>
    <w:multiLevelType w:val="hybridMultilevel"/>
    <w:lvl w:ilvl="0">
      <w:lvlJc w:val="left"/>
      <w:lvlText w:val="%1."/>
      <w:numFmt w:val="decimal"/>
      <w:start w:val="1"/>
    </w:lvl>
    <w:lvl w:ilvl="1">
      <w:lvlJc w:val="left"/>
      <w:lvlText w:val="•"/>
      <w:numFmt w:val="bullet"/>
      <w:start w:val="1"/>
    </w:lvl>
  </w:abstractNum>
  <w:abstractNum w:abstractNumId="126">
    <w:nsid w:val="5EC6AFD4"/>
    <w:multiLevelType w:val="hybridMultilevel"/>
    <w:lvl w:ilvl="0">
      <w:lvlJc w:val="left"/>
      <w:lvlText w:val="1"/>
      <w:numFmt w:val="bullet"/>
      <w:start w:val="1"/>
    </w:lvl>
  </w:abstractNum>
  <w:abstractNum w:abstractNumId="127">
    <w:nsid w:val="19E21BB2"/>
    <w:multiLevelType w:val="hybridMultilevel"/>
    <w:lvl w:ilvl="0">
      <w:lvlJc w:val="left"/>
      <w:lvlText w:val="%1."/>
      <w:numFmt w:val="decimal"/>
      <w:start w:val="3"/>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854" Type="http://schemas.openxmlformats.org/officeDocument/2006/relationships/image" Target="media/image846.png"/><Relationship Id="rId855" Type="http://schemas.openxmlformats.org/officeDocument/2006/relationships/image" Target="media/image847.png"/><Relationship Id="rId856" Type="http://schemas.openxmlformats.org/officeDocument/2006/relationships/image" Target="media/image848.png"/><Relationship Id="rId857" Type="http://schemas.openxmlformats.org/officeDocument/2006/relationships/image" Target="media/image849.png"/><Relationship Id="rId858" Type="http://schemas.openxmlformats.org/officeDocument/2006/relationships/image" Target="media/image850.png"/><Relationship Id="rId859" Type="http://schemas.openxmlformats.org/officeDocument/2006/relationships/image" Target="media/image851.png"/><Relationship Id="rId860" Type="http://schemas.openxmlformats.org/officeDocument/2006/relationships/image" Target="media/image852.png"/><Relationship Id="rId861" Type="http://schemas.openxmlformats.org/officeDocument/2006/relationships/image" Target="media/image853.png"/><Relationship Id="rId862" Type="http://schemas.openxmlformats.org/officeDocument/2006/relationships/image" Target="media/image854.png"/><Relationship Id="rId863" Type="http://schemas.openxmlformats.org/officeDocument/2006/relationships/image" Target="media/image855.png"/><Relationship Id="rId864" Type="http://schemas.openxmlformats.org/officeDocument/2006/relationships/image" Target="media/image856.png"/><Relationship Id="rId865" Type="http://schemas.openxmlformats.org/officeDocument/2006/relationships/image" Target="media/image857.png"/><Relationship Id="rId866"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78" Type="http://schemas.openxmlformats.org/officeDocument/2006/relationships/image" Target="media/image870.png"/><Relationship Id="rId879" Type="http://schemas.openxmlformats.org/officeDocument/2006/relationships/image" Target="media/image871.png"/><Relationship Id="rId880" Type="http://schemas.openxmlformats.org/officeDocument/2006/relationships/image" Target="media/image872.png"/><Relationship Id="rId881"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93" Type="http://schemas.openxmlformats.org/officeDocument/2006/relationships/image" Target="media/image885.png"/><Relationship Id="rId894" Type="http://schemas.openxmlformats.org/officeDocument/2006/relationships/image" Target="media/image886.png"/><Relationship Id="rId895" Type="http://schemas.openxmlformats.org/officeDocument/2006/relationships/image" Target="media/image887.png"/><Relationship Id="rId896" Type="http://schemas.openxmlformats.org/officeDocument/2006/relationships/image" Target="media/image888.png"/><Relationship Id="rId897" Type="http://schemas.openxmlformats.org/officeDocument/2006/relationships/image" Target="media/image889.png"/><Relationship Id="rId898" Type="http://schemas.openxmlformats.org/officeDocument/2006/relationships/image" Target="media/image890.png"/><Relationship Id="rId899" Type="http://schemas.openxmlformats.org/officeDocument/2006/relationships/image" Target="media/image891.png"/><Relationship Id="rId900" Type="http://schemas.openxmlformats.org/officeDocument/2006/relationships/image" Target="media/image892.png"/><Relationship Id="rId901" Type="http://schemas.openxmlformats.org/officeDocument/2006/relationships/image" Target="media/image893.png"/><Relationship Id="rId902" Type="http://schemas.openxmlformats.org/officeDocument/2006/relationships/image" Target="media/image894.png"/><Relationship Id="rId903" Type="http://schemas.openxmlformats.org/officeDocument/2006/relationships/image" Target="media/image895.png"/><Relationship Id="rId904" Type="http://schemas.openxmlformats.org/officeDocument/2006/relationships/image" Target="media/image896.png"/><Relationship Id="rId905" Type="http://schemas.openxmlformats.org/officeDocument/2006/relationships/image" Target="media/image897.png"/><Relationship Id="rId906" Type="http://schemas.openxmlformats.org/officeDocument/2006/relationships/image" Target="media/image898.png"/><Relationship Id="rId907" Type="http://schemas.openxmlformats.org/officeDocument/2006/relationships/image" Target="media/image899.png"/><Relationship Id="rId908" Type="http://schemas.openxmlformats.org/officeDocument/2006/relationships/image" Target="media/image900.png"/><Relationship Id="rId909" Type="http://schemas.openxmlformats.org/officeDocument/2006/relationships/image" Target="media/image901.png"/><Relationship Id="rId910" Type="http://schemas.openxmlformats.org/officeDocument/2006/relationships/image" Target="media/image902.png"/><Relationship Id="rId911" Type="http://schemas.openxmlformats.org/officeDocument/2006/relationships/image" Target="media/image903.png"/><Relationship Id="rId912" Type="http://schemas.openxmlformats.org/officeDocument/2006/relationships/image" Target="media/image904.png"/><Relationship Id="rId913" Type="http://schemas.openxmlformats.org/officeDocument/2006/relationships/image" Target="media/image905.png"/><Relationship Id="rId914" Type="http://schemas.openxmlformats.org/officeDocument/2006/relationships/image" Target="media/image906.png"/><Relationship Id="rId915" Type="http://schemas.openxmlformats.org/officeDocument/2006/relationships/image" Target="media/image907.png"/><Relationship Id="rId916" Type="http://schemas.openxmlformats.org/officeDocument/2006/relationships/image" Target="media/image908.png"/><Relationship Id="rId917" Type="http://schemas.openxmlformats.org/officeDocument/2006/relationships/image" Target="media/image909.png"/><Relationship Id="rId918" Type="http://schemas.openxmlformats.org/officeDocument/2006/relationships/image" Target="media/image910.png"/><Relationship Id="rId919" Type="http://schemas.openxmlformats.org/officeDocument/2006/relationships/image" Target="media/image911.png"/><Relationship Id="rId920" Type="http://schemas.openxmlformats.org/officeDocument/2006/relationships/image" Target="media/image912.png"/><Relationship Id="rId921" Type="http://schemas.openxmlformats.org/officeDocument/2006/relationships/image" Target="media/image913.png"/><Relationship Id="rId922" Type="http://schemas.openxmlformats.org/officeDocument/2006/relationships/image" Target="media/image914.png"/><Relationship Id="rId923" Type="http://schemas.openxmlformats.org/officeDocument/2006/relationships/image" Target="media/image915.png"/><Relationship Id="rId924" Type="http://schemas.openxmlformats.org/officeDocument/2006/relationships/image" Target="media/image916.png"/><Relationship Id="rId925" Type="http://schemas.openxmlformats.org/officeDocument/2006/relationships/image" Target="media/image917.png"/><Relationship Id="rId926" Type="http://schemas.openxmlformats.org/officeDocument/2006/relationships/image" Target="media/image918.png"/><Relationship Id="rId927" Type="http://schemas.openxmlformats.org/officeDocument/2006/relationships/image" Target="media/image919.png"/><Relationship Id="rId928" Type="http://schemas.openxmlformats.org/officeDocument/2006/relationships/image" Target="media/image920.png"/><Relationship Id="rId929" Type="http://schemas.openxmlformats.org/officeDocument/2006/relationships/image" Target="media/image921.png"/><Relationship Id="rId930" Type="http://schemas.openxmlformats.org/officeDocument/2006/relationships/image" Target="media/image922.png"/><Relationship Id="rId931" Type="http://schemas.openxmlformats.org/officeDocument/2006/relationships/image" Target="media/image923.png"/><Relationship Id="rId932" Type="http://schemas.openxmlformats.org/officeDocument/2006/relationships/image" Target="media/image924.png"/><Relationship Id="rId933" Type="http://schemas.openxmlformats.org/officeDocument/2006/relationships/image" Target="media/image925.png"/><Relationship Id="rId934" Type="http://schemas.openxmlformats.org/officeDocument/2006/relationships/image" Target="media/image926.png"/><Relationship Id="rId935" Type="http://schemas.openxmlformats.org/officeDocument/2006/relationships/image" Target="media/image927.png"/><Relationship Id="rId936" Type="http://schemas.openxmlformats.org/officeDocument/2006/relationships/image" Target="media/image928.png"/><Relationship Id="rId937" Type="http://schemas.openxmlformats.org/officeDocument/2006/relationships/image" Target="media/image929.png"/><Relationship Id="rId938" Type="http://schemas.openxmlformats.org/officeDocument/2006/relationships/image" Target="media/image930.png"/><Relationship Id="rId939" Type="http://schemas.openxmlformats.org/officeDocument/2006/relationships/image" Target="media/image931.png"/><Relationship Id="rId940" Type="http://schemas.openxmlformats.org/officeDocument/2006/relationships/image" Target="media/image932.png"/><Relationship Id="rId941" Type="http://schemas.openxmlformats.org/officeDocument/2006/relationships/image" Target="media/image933.png"/><Relationship Id="rId942" Type="http://schemas.openxmlformats.org/officeDocument/2006/relationships/image" Target="media/image934.png"/><Relationship Id="rId943" Type="http://schemas.openxmlformats.org/officeDocument/2006/relationships/image" Target="media/image935.png"/><Relationship Id="rId944" Type="http://schemas.openxmlformats.org/officeDocument/2006/relationships/image" Target="media/image936.png"/><Relationship Id="rId945" Type="http://schemas.openxmlformats.org/officeDocument/2006/relationships/image" Target="media/image937.png"/><Relationship Id="rId946" Type="http://schemas.openxmlformats.org/officeDocument/2006/relationships/image" Target="media/image938.png"/><Relationship Id="rId947" Type="http://schemas.openxmlformats.org/officeDocument/2006/relationships/image" Target="media/image939.png"/><Relationship Id="rId948" Type="http://schemas.openxmlformats.org/officeDocument/2006/relationships/image" Target="media/image940.png"/><Relationship Id="rId949" Type="http://schemas.openxmlformats.org/officeDocument/2006/relationships/image" Target="media/image941.png"/><Relationship Id="rId950" Type="http://schemas.openxmlformats.org/officeDocument/2006/relationships/image" Target="media/image942.png"/><Relationship Id="rId951" Type="http://schemas.openxmlformats.org/officeDocument/2006/relationships/image" Target="media/image943.png"/><Relationship Id="rId952" Type="http://schemas.openxmlformats.org/officeDocument/2006/relationships/image" Target="media/image944.png"/><Relationship Id="rId953" Type="http://schemas.openxmlformats.org/officeDocument/2006/relationships/image" Target="media/image945.png"/><Relationship Id="rId954" Type="http://schemas.openxmlformats.org/officeDocument/2006/relationships/image" Target="media/image946.png"/><Relationship Id="rId955" Type="http://schemas.openxmlformats.org/officeDocument/2006/relationships/image" Target="media/image947.png"/><Relationship Id="rId956" Type="http://schemas.openxmlformats.org/officeDocument/2006/relationships/image" Target="media/image948.png"/><Relationship Id="rId957" Type="http://schemas.openxmlformats.org/officeDocument/2006/relationships/image" Target="media/image949.png"/><Relationship Id="rId958" Type="http://schemas.openxmlformats.org/officeDocument/2006/relationships/image" Target="media/image950.png"/><Relationship Id="rId959" Type="http://schemas.openxmlformats.org/officeDocument/2006/relationships/image" Target="media/image951.png"/><Relationship Id="rId960" Type="http://schemas.openxmlformats.org/officeDocument/2006/relationships/image" Target="media/image952.png"/><Relationship Id="rId961" Type="http://schemas.openxmlformats.org/officeDocument/2006/relationships/image" Target="media/image953.png"/><Relationship Id="rId962" Type="http://schemas.openxmlformats.org/officeDocument/2006/relationships/image" Target="media/image954.png"/><Relationship Id="rId963" Type="http://schemas.openxmlformats.org/officeDocument/2006/relationships/image" Target="media/image955.png"/><Relationship Id="rId964" Type="http://schemas.openxmlformats.org/officeDocument/2006/relationships/image" Target="media/image956.png"/><Relationship Id="rId965" Type="http://schemas.openxmlformats.org/officeDocument/2006/relationships/image" Target="media/image957.png"/><Relationship Id="rId966" Type="http://schemas.openxmlformats.org/officeDocument/2006/relationships/image" Target="media/image958.png"/><Relationship Id="rId967" Type="http://schemas.openxmlformats.org/officeDocument/2006/relationships/image" Target="media/image959.png"/><Relationship Id="rId968" Type="http://schemas.openxmlformats.org/officeDocument/2006/relationships/image" Target="media/image960.png"/><Relationship Id="rId969" Type="http://schemas.openxmlformats.org/officeDocument/2006/relationships/image" Target="media/image961.png"/><Relationship Id="rId970" Type="http://schemas.openxmlformats.org/officeDocument/2006/relationships/image" Target="media/image962.png"/><Relationship Id="rId971" Type="http://schemas.openxmlformats.org/officeDocument/2006/relationships/image" Target="media/image963.png"/><Relationship Id="rId972" Type="http://schemas.openxmlformats.org/officeDocument/2006/relationships/image" Target="media/image964.png"/><Relationship Id="rId973" Type="http://schemas.openxmlformats.org/officeDocument/2006/relationships/image" Target="media/image965.png"/><Relationship Id="rId974" Type="http://schemas.openxmlformats.org/officeDocument/2006/relationships/image" Target="media/image966.png"/><Relationship Id="rId975" Type="http://schemas.openxmlformats.org/officeDocument/2006/relationships/image" Target="media/image967.png"/><Relationship Id="rId976" Type="http://schemas.openxmlformats.org/officeDocument/2006/relationships/image" Target="media/image968.png"/><Relationship Id="rId977" Type="http://schemas.openxmlformats.org/officeDocument/2006/relationships/image" Target="media/image969.png"/><Relationship Id="rId978" Type="http://schemas.openxmlformats.org/officeDocument/2006/relationships/image" Target="media/image970.png"/><Relationship Id="rId979" Type="http://schemas.openxmlformats.org/officeDocument/2006/relationships/image" Target="media/image971.png"/><Relationship Id="rId980" Type="http://schemas.openxmlformats.org/officeDocument/2006/relationships/image" Target="media/image972.png"/><Relationship Id="rId981" Type="http://schemas.openxmlformats.org/officeDocument/2006/relationships/image" Target="media/image973.png"/><Relationship Id="rId982" Type="http://schemas.openxmlformats.org/officeDocument/2006/relationships/image" Target="media/image974.png"/><Relationship Id="rId983" Type="http://schemas.openxmlformats.org/officeDocument/2006/relationships/image" Target="media/image975.png"/><Relationship Id="rId984" Type="http://schemas.openxmlformats.org/officeDocument/2006/relationships/image" Target="media/image976.png"/><Relationship Id="rId985" Type="http://schemas.openxmlformats.org/officeDocument/2006/relationships/image" Target="media/image977.png"/><Relationship Id="rId986" Type="http://schemas.openxmlformats.org/officeDocument/2006/relationships/image" Target="media/image978.png"/><Relationship Id="rId987" Type="http://schemas.openxmlformats.org/officeDocument/2006/relationships/image" Target="media/image979.png"/><Relationship Id="rId988" Type="http://schemas.openxmlformats.org/officeDocument/2006/relationships/image" Target="media/image980.png"/><Relationship Id="rId989" Type="http://schemas.openxmlformats.org/officeDocument/2006/relationships/image" Target="media/image981.png"/><Relationship Id="rId990" Type="http://schemas.openxmlformats.org/officeDocument/2006/relationships/image" Target="media/image982.png"/><Relationship Id="rId991" Type="http://schemas.openxmlformats.org/officeDocument/2006/relationships/image" Target="media/image983.png"/><Relationship Id="rId992" Type="http://schemas.openxmlformats.org/officeDocument/2006/relationships/image" Target="media/image984.png"/><Relationship Id="rId993" Type="http://schemas.openxmlformats.org/officeDocument/2006/relationships/image" Target="media/image985.png"/><Relationship Id="rId994" Type="http://schemas.openxmlformats.org/officeDocument/2006/relationships/image" Target="media/image986.png"/><Relationship Id="rId995" Type="http://schemas.openxmlformats.org/officeDocument/2006/relationships/image" Target="media/image987.png"/><Relationship Id="rId996" Type="http://schemas.openxmlformats.org/officeDocument/2006/relationships/image" Target="media/image988.png"/><Relationship Id="rId997" Type="http://schemas.openxmlformats.org/officeDocument/2006/relationships/image" Target="media/image989.png"/><Relationship Id="rId998" Type="http://schemas.openxmlformats.org/officeDocument/2006/relationships/image" Target="media/image990.png"/><Relationship Id="rId999" Type="http://schemas.openxmlformats.org/officeDocument/2006/relationships/image" Target="media/image991.png"/><Relationship Id="rId1000" Type="http://schemas.openxmlformats.org/officeDocument/2006/relationships/image" Target="media/image992.png"/><Relationship Id="rId1001" Type="http://schemas.openxmlformats.org/officeDocument/2006/relationships/image" Target="media/image993.png"/><Relationship Id="rId1002" Type="http://schemas.openxmlformats.org/officeDocument/2006/relationships/image" Target="media/image994.png"/><Relationship Id="rId1003" Type="http://schemas.openxmlformats.org/officeDocument/2006/relationships/image" Target="media/image995.png"/><Relationship Id="rId1004" Type="http://schemas.openxmlformats.org/officeDocument/2006/relationships/image" Target="media/image996.png"/><Relationship Id="rId1005" Type="http://schemas.openxmlformats.org/officeDocument/2006/relationships/image" Target="media/image997.png"/><Relationship Id="rId1006" Type="http://schemas.openxmlformats.org/officeDocument/2006/relationships/image" Target="media/image998.png"/><Relationship Id="rId1007" Type="http://schemas.openxmlformats.org/officeDocument/2006/relationships/image" Target="media/image999.png"/><Relationship Id="rId1008" Type="http://schemas.openxmlformats.org/officeDocument/2006/relationships/image" Target="media/image1000.png"/><Relationship Id="rId1009" Type="http://schemas.openxmlformats.org/officeDocument/2006/relationships/image" Target="media/image1001.png"/><Relationship Id="rId1010" Type="http://schemas.openxmlformats.org/officeDocument/2006/relationships/image" Target="media/image1002.png"/><Relationship Id="rId1011" Type="http://schemas.openxmlformats.org/officeDocument/2006/relationships/image" Target="media/image1003.png"/><Relationship Id="rId1012" Type="http://schemas.openxmlformats.org/officeDocument/2006/relationships/image" Target="media/image1004.png"/><Relationship Id="rId1013" Type="http://schemas.openxmlformats.org/officeDocument/2006/relationships/image" Target="media/image1005.png"/><Relationship Id="rId1014" Type="http://schemas.openxmlformats.org/officeDocument/2006/relationships/image" Target="media/image1006.png"/><Relationship Id="rId1015" Type="http://schemas.openxmlformats.org/officeDocument/2006/relationships/image" Target="media/image1007.png"/><Relationship Id="rId1016" Type="http://schemas.openxmlformats.org/officeDocument/2006/relationships/image" Target="media/image1008.png"/><Relationship Id="rId1017" Type="http://schemas.openxmlformats.org/officeDocument/2006/relationships/image" Target="media/image1009.png"/><Relationship Id="rId1018" Type="http://schemas.openxmlformats.org/officeDocument/2006/relationships/image" Target="media/image1010.png"/><Relationship Id="rId1019" Type="http://schemas.openxmlformats.org/officeDocument/2006/relationships/image" Target="media/image1011.png"/><Relationship Id="rId1020" Type="http://schemas.openxmlformats.org/officeDocument/2006/relationships/image" Target="media/image1012.png"/><Relationship Id="rId1021" Type="http://schemas.openxmlformats.org/officeDocument/2006/relationships/image" Target="media/image1013.png"/><Relationship Id="rId1022" Type="http://schemas.openxmlformats.org/officeDocument/2006/relationships/image" Target="media/image1014.png"/><Relationship Id="rId1023" Type="http://schemas.openxmlformats.org/officeDocument/2006/relationships/image" Target="media/image1015.png"/><Relationship Id="rId1024" Type="http://schemas.openxmlformats.org/officeDocument/2006/relationships/image" Target="media/image1016.png"/><Relationship Id="rId1025" Type="http://schemas.openxmlformats.org/officeDocument/2006/relationships/image" Target="media/image1017.png"/><Relationship Id="rId1026" Type="http://schemas.openxmlformats.org/officeDocument/2006/relationships/image" Target="media/image1018.png"/><Relationship Id="rId1027" Type="http://schemas.openxmlformats.org/officeDocument/2006/relationships/image" Target="media/image1019.png"/><Relationship Id="rId1028" Type="http://schemas.openxmlformats.org/officeDocument/2006/relationships/image" Target="media/image1020.png"/><Relationship Id="rId1029" Type="http://schemas.openxmlformats.org/officeDocument/2006/relationships/image" Target="media/image1021.png"/><Relationship Id="rId1030" Type="http://schemas.openxmlformats.org/officeDocument/2006/relationships/image" Target="media/image1022.png"/><Relationship Id="rId1031" Type="http://schemas.openxmlformats.org/officeDocument/2006/relationships/image" Target="media/image1023.png"/><Relationship Id="rId1032" Type="http://schemas.openxmlformats.org/officeDocument/2006/relationships/image" Target="media/image1024.png"/><Relationship Id="rId1033" Type="http://schemas.openxmlformats.org/officeDocument/2006/relationships/image" Target="media/image1025.png"/><Relationship Id="rId1034" Type="http://schemas.openxmlformats.org/officeDocument/2006/relationships/image" Target="media/image1026.png"/><Relationship Id="rId1035" Type="http://schemas.openxmlformats.org/officeDocument/2006/relationships/image" Target="media/image1027.png"/><Relationship Id="rId1036" Type="http://schemas.openxmlformats.org/officeDocument/2006/relationships/image" Target="media/image1028.png"/><Relationship Id="rId1037" Type="http://schemas.openxmlformats.org/officeDocument/2006/relationships/image" Target="media/image1029.png"/><Relationship Id="rId1038" Type="http://schemas.openxmlformats.org/officeDocument/2006/relationships/image" Target="media/image1030.png"/><Relationship Id="rId1039" Type="http://schemas.openxmlformats.org/officeDocument/2006/relationships/image" Target="media/image1031.png"/><Relationship Id="rId1040" Type="http://schemas.openxmlformats.org/officeDocument/2006/relationships/image" Target="media/image1032.png"/><Relationship Id="rId1041" Type="http://schemas.openxmlformats.org/officeDocument/2006/relationships/image" Target="media/image1033.png"/><Relationship Id="rId1042" Type="http://schemas.openxmlformats.org/officeDocument/2006/relationships/image" Target="media/image1034.png"/><Relationship Id="rId1043" Type="http://schemas.openxmlformats.org/officeDocument/2006/relationships/image" Target="media/image1035.png"/><Relationship Id="rId1044" Type="http://schemas.openxmlformats.org/officeDocument/2006/relationships/image" Target="media/image1036.png"/><Relationship Id="rId1045" Type="http://schemas.openxmlformats.org/officeDocument/2006/relationships/image" Target="media/image1037.png"/><Relationship Id="rId1046" Type="http://schemas.openxmlformats.org/officeDocument/2006/relationships/image" Target="media/image1038.png"/><Relationship Id="rId1047" Type="http://schemas.openxmlformats.org/officeDocument/2006/relationships/image" Target="media/image1039.png"/><Relationship Id="rId1048" Type="http://schemas.openxmlformats.org/officeDocument/2006/relationships/image" Target="media/image1040.png"/><Relationship Id="rId1049" Type="http://schemas.openxmlformats.org/officeDocument/2006/relationships/image" Target="media/image1041.png"/><Relationship Id="rId1050" Type="http://schemas.openxmlformats.org/officeDocument/2006/relationships/image" Target="media/image1042.png"/><Relationship Id="rId1051" Type="http://schemas.openxmlformats.org/officeDocument/2006/relationships/image" Target="media/image1043.png"/><Relationship Id="rId1052" Type="http://schemas.openxmlformats.org/officeDocument/2006/relationships/image" Target="media/image1044.png"/><Relationship Id="rId1053" Type="http://schemas.openxmlformats.org/officeDocument/2006/relationships/image" Target="media/image1045.png"/><Relationship Id="rId1054" Type="http://schemas.openxmlformats.org/officeDocument/2006/relationships/image" Target="media/image1046.png"/><Relationship Id="rId1055" Type="http://schemas.openxmlformats.org/officeDocument/2006/relationships/image" Target="media/image1047.png"/><Relationship Id="rId1056" Type="http://schemas.openxmlformats.org/officeDocument/2006/relationships/image" Target="media/image1048.png"/><Relationship Id="rId1057" Type="http://schemas.openxmlformats.org/officeDocument/2006/relationships/image" Target="media/image1049.png"/><Relationship Id="rId1058" Type="http://schemas.openxmlformats.org/officeDocument/2006/relationships/image" Target="media/image1050.png"/><Relationship Id="rId1059" Type="http://schemas.openxmlformats.org/officeDocument/2006/relationships/image" Target="media/image1051.png"/><Relationship Id="rId1060" Type="http://schemas.openxmlformats.org/officeDocument/2006/relationships/image" Target="media/image1052.png"/><Relationship Id="rId1061" Type="http://schemas.openxmlformats.org/officeDocument/2006/relationships/image" Target="media/image1053.png"/><Relationship Id="rId1062" Type="http://schemas.openxmlformats.org/officeDocument/2006/relationships/image" Target="media/image1054.png"/><Relationship Id="rId1063" Type="http://schemas.openxmlformats.org/officeDocument/2006/relationships/image" Target="media/image1055.png"/><Relationship Id="rId1064" Type="http://schemas.openxmlformats.org/officeDocument/2006/relationships/image" Target="media/image1056.png"/><Relationship Id="rId1065" Type="http://schemas.openxmlformats.org/officeDocument/2006/relationships/image" Target="media/image1057.png"/><Relationship Id="rId1066" Type="http://schemas.openxmlformats.org/officeDocument/2006/relationships/image" Target="media/image1058.png"/><Relationship Id="rId1067" Type="http://schemas.openxmlformats.org/officeDocument/2006/relationships/image" Target="media/image1059.png"/><Relationship Id="rId1068" Type="http://schemas.openxmlformats.org/officeDocument/2006/relationships/image" Target="media/image1060.png"/><Relationship Id="rId1069" Type="http://schemas.openxmlformats.org/officeDocument/2006/relationships/image" Target="media/image1061.png"/><Relationship Id="rId1070" Type="http://schemas.openxmlformats.org/officeDocument/2006/relationships/image" Target="media/image1062.png"/><Relationship Id="rId1071" Type="http://schemas.openxmlformats.org/officeDocument/2006/relationships/image" Target="media/image1063.png"/><Relationship Id="rId1072" Type="http://schemas.openxmlformats.org/officeDocument/2006/relationships/image" Target="media/image1064.png"/><Relationship Id="rId1073" Type="http://schemas.openxmlformats.org/officeDocument/2006/relationships/image" Target="media/image1065.png"/><Relationship Id="rId1074" Type="http://schemas.openxmlformats.org/officeDocument/2006/relationships/image" Target="media/image1066.png"/><Relationship Id="rId1075" Type="http://schemas.openxmlformats.org/officeDocument/2006/relationships/image" Target="media/image1067.png"/><Relationship Id="rId1076" Type="http://schemas.openxmlformats.org/officeDocument/2006/relationships/image" Target="media/image1068.png"/><Relationship Id="rId1077" Type="http://schemas.openxmlformats.org/officeDocument/2006/relationships/image" Target="media/image1069.png"/><Relationship Id="rId1078" Type="http://schemas.openxmlformats.org/officeDocument/2006/relationships/image" Target="media/image1070.png"/><Relationship Id="rId1079" Type="http://schemas.openxmlformats.org/officeDocument/2006/relationships/image" Target="media/image1071.png"/><Relationship Id="rId1080" Type="http://schemas.openxmlformats.org/officeDocument/2006/relationships/image" Target="media/image1072.png"/><Relationship Id="rId1081" Type="http://schemas.openxmlformats.org/officeDocument/2006/relationships/image" Target="media/image1073.png"/><Relationship Id="rId1082" Type="http://schemas.openxmlformats.org/officeDocument/2006/relationships/image" Target="media/image1074.png"/><Relationship Id="rId1083" Type="http://schemas.openxmlformats.org/officeDocument/2006/relationships/image" Target="media/image1075.png"/><Relationship Id="rId1084" Type="http://schemas.openxmlformats.org/officeDocument/2006/relationships/image" Target="media/image1076.png"/><Relationship Id="rId1085" Type="http://schemas.openxmlformats.org/officeDocument/2006/relationships/image" Target="media/image1077.png"/><Relationship Id="rId1086" Type="http://schemas.openxmlformats.org/officeDocument/2006/relationships/image" Target="media/image1078.png"/><Relationship Id="rId1087" Type="http://schemas.openxmlformats.org/officeDocument/2006/relationships/image" Target="media/image1079.png"/><Relationship Id="rId1088" Type="http://schemas.openxmlformats.org/officeDocument/2006/relationships/image" Target="media/image1080.png"/><Relationship Id="rId1089" Type="http://schemas.openxmlformats.org/officeDocument/2006/relationships/image" Target="media/image1081.png"/><Relationship Id="rId1090" Type="http://schemas.openxmlformats.org/officeDocument/2006/relationships/image" Target="media/image1082.png"/><Relationship Id="rId1091" Type="http://schemas.openxmlformats.org/officeDocument/2006/relationships/image" Target="media/image1083.png"/><Relationship Id="rId1092" Type="http://schemas.openxmlformats.org/officeDocument/2006/relationships/image" Target="media/image1084.png"/><Relationship Id="rId1093" Type="http://schemas.openxmlformats.org/officeDocument/2006/relationships/image" Target="media/image1085.png"/><Relationship Id="rId1094" Type="http://schemas.openxmlformats.org/officeDocument/2006/relationships/image" Target="media/image1086.png"/><Relationship Id="rId1095" Type="http://schemas.openxmlformats.org/officeDocument/2006/relationships/image" Target="media/image1087.png"/><Relationship Id="rId1096" Type="http://schemas.openxmlformats.org/officeDocument/2006/relationships/image" Target="media/image1088.png"/><Relationship Id="rId1097" Type="http://schemas.openxmlformats.org/officeDocument/2006/relationships/image" Target="media/image1089.png"/><Relationship Id="rId1098" Type="http://schemas.openxmlformats.org/officeDocument/2006/relationships/image" Target="media/image1090.png"/><Relationship Id="rId1099" Type="http://schemas.openxmlformats.org/officeDocument/2006/relationships/image" Target="media/image1091.png"/><Relationship Id="rId1100" Type="http://schemas.openxmlformats.org/officeDocument/2006/relationships/image" Target="media/image1092.png"/><Relationship Id="rId1101" Type="http://schemas.openxmlformats.org/officeDocument/2006/relationships/image" Target="media/image1093.png"/><Relationship Id="rId1102" Type="http://schemas.openxmlformats.org/officeDocument/2006/relationships/image" Target="media/image1094.png"/><Relationship Id="rId1103" Type="http://schemas.openxmlformats.org/officeDocument/2006/relationships/image" Target="media/image1095.png"/><Relationship Id="rId1104" Type="http://schemas.openxmlformats.org/officeDocument/2006/relationships/image" Target="media/image1096.png"/><Relationship Id="rId1105" Type="http://schemas.openxmlformats.org/officeDocument/2006/relationships/image" Target="media/image1097.png"/><Relationship Id="rId1106" Type="http://schemas.openxmlformats.org/officeDocument/2006/relationships/image" Target="media/image1098.png"/><Relationship Id="rId1107" Type="http://schemas.openxmlformats.org/officeDocument/2006/relationships/image" Target="media/image1099.png"/><Relationship Id="rId1108" Type="http://schemas.openxmlformats.org/officeDocument/2006/relationships/image" Target="media/image1100.png"/><Relationship Id="rId1109" Type="http://schemas.openxmlformats.org/officeDocument/2006/relationships/image" Target="media/image1101.png"/><Relationship Id="rId1110" Type="http://schemas.openxmlformats.org/officeDocument/2006/relationships/image" Target="media/image1102.png"/><Relationship Id="rId1111" Type="http://schemas.openxmlformats.org/officeDocument/2006/relationships/image" Target="media/image1103.png"/><Relationship Id="rId1112" Type="http://schemas.openxmlformats.org/officeDocument/2006/relationships/image" Target="media/image1104.png"/><Relationship Id="rId1113" Type="http://schemas.openxmlformats.org/officeDocument/2006/relationships/image" Target="media/image1105.png"/><Relationship Id="rId1114" Type="http://schemas.openxmlformats.org/officeDocument/2006/relationships/image" Target="media/image1106.png"/><Relationship Id="rId1115" Type="http://schemas.openxmlformats.org/officeDocument/2006/relationships/image" Target="media/image1107.png"/><Relationship Id="rId1116" Type="http://schemas.openxmlformats.org/officeDocument/2006/relationships/image" Target="media/image1108.png"/><Relationship Id="rId1117" Type="http://schemas.openxmlformats.org/officeDocument/2006/relationships/image" Target="media/image1109.png"/><Relationship Id="rId1118" Type="http://schemas.openxmlformats.org/officeDocument/2006/relationships/image" Target="media/image1110.png"/><Relationship Id="rId1119" Type="http://schemas.openxmlformats.org/officeDocument/2006/relationships/image" Target="media/image1111.png"/><Relationship Id="rId1120" Type="http://schemas.openxmlformats.org/officeDocument/2006/relationships/image" Target="media/image1112.png"/><Relationship Id="rId1121" Type="http://schemas.openxmlformats.org/officeDocument/2006/relationships/image" Target="media/image1113.png"/><Relationship Id="rId1122" Type="http://schemas.openxmlformats.org/officeDocument/2006/relationships/image" Target="media/image1114.png"/><Relationship Id="rId1123" Type="http://schemas.openxmlformats.org/officeDocument/2006/relationships/image" Target="media/image1115.png"/><Relationship Id="rId1124" Type="http://schemas.openxmlformats.org/officeDocument/2006/relationships/image" Target="media/image1116.png"/><Relationship Id="rId1125" Type="http://schemas.openxmlformats.org/officeDocument/2006/relationships/image" Target="media/image1117.png"/><Relationship Id="rId1126" Type="http://schemas.openxmlformats.org/officeDocument/2006/relationships/image" Target="media/image1118.png"/><Relationship Id="rId1127" Type="http://schemas.openxmlformats.org/officeDocument/2006/relationships/image" Target="media/image1119.png"/><Relationship Id="rId1128" Type="http://schemas.openxmlformats.org/officeDocument/2006/relationships/image" Target="media/image1120.png"/><Relationship Id="rId1129" Type="http://schemas.openxmlformats.org/officeDocument/2006/relationships/image" Target="media/image1121.png"/><Relationship Id="rId1130" Type="http://schemas.openxmlformats.org/officeDocument/2006/relationships/image" Target="media/image1122.png"/><Relationship Id="rId1131" Type="http://schemas.openxmlformats.org/officeDocument/2006/relationships/image" Target="media/image1123.png"/><Relationship Id="rId1132" Type="http://schemas.openxmlformats.org/officeDocument/2006/relationships/image" Target="media/image1124.png"/><Relationship Id="rId1133" Type="http://schemas.openxmlformats.org/officeDocument/2006/relationships/image" Target="media/image1125.png"/><Relationship Id="rId1134" Type="http://schemas.openxmlformats.org/officeDocument/2006/relationships/image" Target="media/image1126.png"/><Relationship Id="rId1135" Type="http://schemas.openxmlformats.org/officeDocument/2006/relationships/image" Target="media/image1127.png"/><Relationship Id="rId1136" Type="http://schemas.openxmlformats.org/officeDocument/2006/relationships/image" Target="media/image1128.png"/><Relationship Id="rId1137" Type="http://schemas.openxmlformats.org/officeDocument/2006/relationships/image" Target="media/image1129.png"/><Relationship Id="rId1138" Type="http://schemas.openxmlformats.org/officeDocument/2006/relationships/image" Target="media/image1130.png"/><Relationship Id="rId1139" Type="http://schemas.openxmlformats.org/officeDocument/2006/relationships/image" Target="media/image1131.png"/><Relationship Id="rId1140" Type="http://schemas.openxmlformats.org/officeDocument/2006/relationships/image" Target="media/image1132.png"/><Relationship Id="rId1141" Type="http://schemas.openxmlformats.org/officeDocument/2006/relationships/image" Target="media/image1133.png"/><Relationship Id="rId1142" Type="http://schemas.openxmlformats.org/officeDocument/2006/relationships/image" Target="media/image1134.png"/><Relationship Id="rId1143" Type="http://schemas.openxmlformats.org/officeDocument/2006/relationships/image" Target="media/image1135.png"/><Relationship Id="rId1144" Type="http://schemas.openxmlformats.org/officeDocument/2006/relationships/image" Target="media/image1136.png"/><Relationship Id="rId1145" Type="http://schemas.openxmlformats.org/officeDocument/2006/relationships/image" Target="media/image1137.png"/><Relationship Id="rId1146" Type="http://schemas.openxmlformats.org/officeDocument/2006/relationships/image" Target="media/image1138.png"/><Relationship Id="rId1147" Type="http://schemas.openxmlformats.org/officeDocument/2006/relationships/image" Target="media/image1139.png"/><Relationship Id="rId1148" Type="http://schemas.openxmlformats.org/officeDocument/2006/relationships/image" Target="media/image1140.png"/><Relationship Id="rId1149" Type="http://schemas.openxmlformats.org/officeDocument/2006/relationships/image" Target="media/image1141.png"/><Relationship Id="rId1150" Type="http://schemas.openxmlformats.org/officeDocument/2006/relationships/image" Target="media/image1142.png"/><Relationship Id="rId1151" Type="http://schemas.openxmlformats.org/officeDocument/2006/relationships/image" Target="media/image1143.png"/><Relationship Id="rId1152" Type="http://schemas.openxmlformats.org/officeDocument/2006/relationships/image" Target="media/image1144.png"/><Relationship Id="rId1153" Type="http://schemas.openxmlformats.org/officeDocument/2006/relationships/image" Target="media/image1145.png"/><Relationship Id="rId1154" Type="http://schemas.openxmlformats.org/officeDocument/2006/relationships/image" Target="media/image1146.png"/><Relationship Id="rId1155" Type="http://schemas.openxmlformats.org/officeDocument/2006/relationships/image" Target="media/image1147.png"/><Relationship Id="rId1156" Type="http://schemas.openxmlformats.org/officeDocument/2006/relationships/image" Target="media/image1148.png"/><Relationship Id="rId1157" Type="http://schemas.openxmlformats.org/officeDocument/2006/relationships/image" Target="media/image1149.png"/><Relationship Id="rId1158" Type="http://schemas.openxmlformats.org/officeDocument/2006/relationships/image" Target="media/image1150.png"/><Relationship Id="rId1159" Type="http://schemas.openxmlformats.org/officeDocument/2006/relationships/image" Target="media/image1151.png"/><Relationship Id="rId1160" Type="http://schemas.openxmlformats.org/officeDocument/2006/relationships/image" Target="media/image1152.png"/><Relationship Id="rId1161" Type="http://schemas.openxmlformats.org/officeDocument/2006/relationships/image" Target="media/image1153.png"/><Relationship Id="rId1162" Type="http://schemas.openxmlformats.org/officeDocument/2006/relationships/image" Target="media/image1154.png"/><Relationship Id="rId1163" Type="http://schemas.openxmlformats.org/officeDocument/2006/relationships/image" Target="media/image1155.png"/><Relationship Id="rId1164" Type="http://schemas.openxmlformats.org/officeDocument/2006/relationships/image" Target="media/image1156.png"/><Relationship Id="rId1165" Type="http://schemas.openxmlformats.org/officeDocument/2006/relationships/image" Target="media/image1157.png"/><Relationship Id="rId1166" Type="http://schemas.openxmlformats.org/officeDocument/2006/relationships/image" Target="media/image1158.png"/><Relationship Id="rId1167" Type="http://schemas.openxmlformats.org/officeDocument/2006/relationships/image" Target="media/image1159.png"/><Relationship Id="rId1168" Type="http://schemas.openxmlformats.org/officeDocument/2006/relationships/image" Target="media/image1160.png"/><Relationship Id="rId1169" Type="http://schemas.openxmlformats.org/officeDocument/2006/relationships/image" Target="media/image1161.png"/><Relationship Id="rId1170" Type="http://schemas.openxmlformats.org/officeDocument/2006/relationships/image" Target="media/image1162.png"/><Relationship Id="rId1171" Type="http://schemas.openxmlformats.org/officeDocument/2006/relationships/image" Target="media/image1163.png"/><Relationship Id="rId1172" Type="http://schemas.openxmlformats.org/officeDocument/2006/relationships/image" Target="media/image1164.png"/><Relationship Id="rId1173" Type="http://schemas.openxmlformats.org/officeDocument/2006/relationships/image" Target="media/image1165.png"/><Relationship Id="rId1174" Type="http://schemas.openxmlformats.org/officeDocument/2006/relationships/image" Target="media/image1166.png"/><Relationship Id="rId1175" Type="http://schemas.openxmlformats.org/officeDocument/2006/relationships/image" Target="media/image1167.png"/><Relationship Id="rId1176" Type="http://schemas.openxmlformats.org/officeDocument/2006/relationships/image" Target="media/image1168.png"/><Relationship Id="rId1177" Type="http://schemas.openxmlformats.org/officeDocument/2006/relationships/image" Target="media/image1169.png"/><Relationship Id="rId1178" Type="http://schemas.openxmlformats.org/officeDocument/2006/relationships/image" Target="media/image1170.png"/><Relationship Id="rId1179" Type="http://schemas.openxmlformats.org/officeDocument/2006/relationships/image" Target="media/image1171.png"/><Relationship Id="rId1180" Type="http://schemas.openxmlformats.org/officeDocument/2006/relationships/image" Target="media/image1172.png"/><Relationship Id="rId1181" Type="http://schemas.openxmlformats.org/officeDocument/2006/relationships/image" Target="media/image1173.png"/><Relationship Id="rId1182" Type="http://schemas.openxmlformats.org/officeDocument/2006/relationships/image" Target="media/image1174.png"/><Relationship Id="rId1183" Type="http://schemas.openxmlformats.org/officeDocument/2006/relationships/image" Target="media/image1175.png"/><Relationship Id="rId1184" Type="http://schemas.openxmlformats.org/officeDocument/2006/relationships/image" Target="media/image1176.png"/><Relationship Id="rId1185" Type="http://schemas.openxmlformats.org/officeDocument/2006/relationships/image" Target="media/image1177.png"/><Relationship Id="rId1186" Type="http://schemas.openxmlformats.org/officeDocument/2006/relationships/image" Target="media/image1178.png"/><Relationship Id="rId1187" Type="http://schemas.openxmlformats.org/officeDocument/2006/relationships/image" Target="media/image1179.png"/><Relationship Id="rId1188" Type="http://schemas.openxmlformats.org/officeDocument/2006/relationships/image" Target="media/image1180.png"/><Relationship Id="rId1189" Type="http://schemas.openxmlformats.org/officeDocument/2006/relationships/image" Target="media/image1181.png"/><Relationship Id="rId1190" Type="http://schemas.openxmlformats.org/officeDocument/2006/relationships/image" Target="media/image1182.png"/><Relationship Id="rId1191" Type="http://schemas.openxmlformats.org/officeDocument/2006/relationships/image" Target="media/image1183.png"/><Relationship Id="rId1192" Type="http://schemas.openxmlformats.org/officeDocument/2006/relationships/image" Target="media/image1184.png"/><Relationship Id="rId1193" Type="http://schemas.openxmlformats.org/officeDocument/2006/relationships/image" Target="media/image1185.png"/><Relationship Id="rId1194" Type="http://schemas.openxmlformats.org/officeDocument/2006/relationships/image" Target="media/image1186.png"/><Relationship Id="rId1195" Type="http://schemas.openxmlformats.org/officeDocument/2006/relationships/image" Target="media/image1187.png"/><Relationship Id="rId1196" Type="http://schemas.openxmlformats.org/officeDocument/2006/relationships/image" Target="media/image1188.png"/><Relationship Id="rId1197" Type="http://schemas.openxmlformats.org/officeDocument/2006/relationships/image" Target="media/image1189.png"/><Relationship Id="rId1198" Type="http://schemas.openxmlformats.org/officeDocument/2006/relationships/image" Target="media/image1190.png"/><Relationship Id="rId1199" Type="http://schemas.openxmlformats.org/officeDocument/2006/relationships/image" Target="media/image1191.png"/><Relationship Id="rId1200" Type="http://schemas.openxmlformats.org/officeDocument/2006/relationships/image" Target="media/image1192.png"/><Relationship Id="rId1201" Type="http://schemas.openxmlformats.org/officeDocument/2006/relationships/image" Target="media/image1193.png"/><Relationship Id="rId1202" Type="http://schemas.openxmlformats.org/officeDocument/2006/relationships/image" Target="media/image1194.png"/><Relationship Id="rId1203" Type="http://schemas.openxmlformats.org/officeDocument/2006/relationships/image" Target="media/image1195.png"/><Relationship Id="rId1204" Type="http://schemas.openxmlformats.org/officeDocument/2006/relationships/image" Target="media/image1196.png"/><Relationship Id="rId1205" Type="http://schemas.openxmlformats.org/officeDocument/2006/relationships/image" Target="media/image1197.png"/><Relationship Id="rId1206" Type="http://schemas.openxmlformats.org/officeDocument/2006/relationships/image" Target="media/image1198.png"/><Relationship Id="rId1207" Type="http://schemas.openxmlformats.org/officeDocument/2006/relationships/image" Target="media/image1199.png"/><Relationship Id="rId1208" Type="http://schemas.openxmlformats.org/officeDocument/2006/relationships/image" Target="media/image1200.png"/><Relationship Id="rId1209" Type="http://schemas.openxmlformats.org/officeDocument/2006/relationships/image" Target="media/image1201.png"/><Relationship Id="rId1210" Type="http://schemas.openxmlformats.org/officeDocument/2006/relationships/image" Target="media/image1202.png"/><Relationship Id="rId1211" Type="http://schemas.openxmlformats.org/officeDocument/2006/relationships/image" Target="media/image1203.png"/><Relationship Id="rId1212" Type="http://schemas.openxmlformats.org/officeDocument/2006/relationships/image" Target="media/image1204.png"/><Relationship Id="rId1213" Type="http://schemas.openxmlformats.org/officeDocument/2006/relationships/image" Target="media/image1205.png"/><Relationship Id="rId1214" Type="http://schemas.openxmlformats.org/officeDocument/2006/relationships/image" Target="media/image1206.png"/><Relationship Id="rId1215" Type="http://schemas.openxmlformats.org/officeDocument/2006/relationships/image" Target="media/image1207.png"/><Relationship Id="rId1216" Type="http://schemas.openxmlformats.org/officeDocument/2006/relationships/image" Target="media/image1208.png"/><Relationship Id="rId1217" Type="http://schemas.openxmlformats.org/officeDocument/2006/relationships/image" Target="media/image1209.png"/><Relationship Id="rId1218" Type="http://schemas.openxmlformats.org/officeDocument/2006/relationships/image" Target="media/image1210.png"/><Relationship Id="rId1219" Type="http://schemas.openxmlformats.org/officeDocument/2006/relationships/image" Target="media/image1211.png"/><Relationship Id="rId1220" Type="http://schemas.openxmlformats.org/officeDocument/2006/relationships/image" Target="media/image1212.png"/><Relationship Id="rId1221" Type="http://schemas.openxmlformats.org/officeDocument/2006/relationships/image" Target="media/image1213.png"/><Relationship Id="rId1222" Type="http://schemas.openxmlformats.org/officeDocument/2006/relationships/image" Target="media/image1214.png"/><Relationship Id="rId1223" Type="http://schemas.openxmlformats.org/officeDocument/2006/relationships/image" Target="media/image1215.png"/><Relationship Id="rId1224" Type="http://schemas.openxmlformats.org/officeDocument/2006/relationships/image" Target="media/image1216.png"/><Relationship Id="rId1225" Type="http://schemas.openxmlformats.org/officeDocument/2006/relationships/image" Target="media/image1217.png"/><Relationship Id="rId1226" Type="http://schemas.openxmlformats.org/officeDocument/2006/relationships/image" Target="media/image1218.png"/><Relationship Id="rId1227" Type="http://schemas.openxmlformats.org/officeDocument/2006/relationships/image" Target="media/image1219.png"/><Relationship Id="rId1228" Type="http://schemas.openxmlformats.org/officeDocument/2006/relationships/image" Target="media/image1220.png"/><Relationship Id="rId1229" Type="http://schemas.openxmlformats.org/officeDocument/2006/relationships/image" Target="media/image1221.png"/><Relationship Id="rId1230" Type="http://schemas.openxmlformats.org/officeDocument/2006/relationships/image" Target="media/image1222.png"/><Relationship Id="rId1231" Type="http://schemas.openxmlformats.org/officeDocument/2006/relationships/image" Target="media/image1223.png"/><Relationship Id="rId1232" Type="http://schemas.openxmlformats.org/officeDocument/2006/relationships/image" Target="media/image1224.png"/><Relationship Id="rId1233" Type="http://schemas.openxmlformats.org/officeDocument/2006/relationships/image" Target="media/image1225.png"/><Relationship Id="rId1234" Type="http://schemas.openxmlformats.org/officeDocument/2006/relationships/image" Target="media/image1226.png"/><Relationship Id="rId1235" Type="http://schemas.openxmlformats.org/officeDocument/2006/relationships/image" Target="media/image1227.png"/><Relationship Id="rId1236" Type="http://schemas.openxmlformats.org/officeDocument/2006/relationships/image" Target="media/image1228.png"/><Relationship Id="rId1237" Type="http://schemas.openxmlformats.org/officeDocument/2006/relationships/image" Target="media/image1229.png"/><Relationship Id="rId1238" Type="http://schemas.openxmlformats.org/officeDocument/2006/relationships/image" Target="media/image1230.png"/><Relationship Id="rId1239" Type="http://schemas.openxmlformats.org/officeDocument/2006/relationships/image" Target="media/image1231.png"/><Relationship Id="rId1240" Type="http://schemas.openxmlformats.org/officeDocument/2006/relationships/image" Target="media/image1232.png"/><Relationship Id="rId1241" Type="http://schemas.openxmlformats.org/officeDocument/2006/relationships/image" Target="media/image1233.png"/><Relationship Id="rId1242" Type="http://schemas.openxmlformats.org/officeDocument/2006/relationships/image" Target="media/image1234.png"/><Relationship Id="rId1243" Type="http://schemas.openxmlformats.org/officeDocument/2006/relationships/image" Target="media/image1235.png"/><Relationship Id="rId1244" Type="http://schemas.openxmlformats.org/officeDocument/2006/relationships/image" Target="media/image1236.png"/><Relationship Id="rId1245" Type="http://schemas.openxmlformats.org/officeDocument/2006/relationships/image" Target="media/image1237.png"/><Relationship Id="rId1246" Type="http://schemas.openxmlformats.org/officeDocument/2006/relationships/image" Target="media/image1238.png"/><Relationship Id="rId1247" Type="http://schemas.openxmlformats.org/officeDocument/2006/relationships/image" Target="media/image1239.png"/><Relationship Id="rId1248" Type="http://schemas.openxmlformats.org/officeDocument/2006/relationships/image" Target="media/image1240.png"/><Relationship Id="rId1249" Type="http://schemas.openxmlformats.org/officeDocument/2006/relationships/image" Target="media/image1241.png"/><Relationship Id="rId1250" Type="http://schemas.openxmlformats.org/officeDocument/2006/relationships/image" Target="media/image1242.png"/><Relationship Id="rId1251" Type="http://schemas.openxmlformats.org/officeDocument/2006/relationships/image" Target="media/image1243.png"/><Relationship Id="rId1252" Type="http://schemas.openxmlformats.org/officeDocument/2006/relationships/image" Target="media/image1244.png"/><Relationship Id="rId1253" Type="http://schemas.openxmlformats.org/officeDocument/2006/relationships/image" Target="media/image1245.png"/><Relationship Id="rId1254" Type="http://schemas.openxmlformats.org/officeDocument/2006/relationships/image" Target="media/image1246.png"/><Relationship Id="rId1255" Type="http://schemas.openxmlformats.org/officeDocument/2006/relationships/image" Target="media/image1247.png"/><Relationship Id="rId1256" Type="http://schemas.openxmlformats.org/officeDocument/2006/relationships/image" Target="media/image1248.png"/><Relationship Id="rId1257" Type="http://schemas.openxmlformats.org/officeDocument/2006/relationships/image" Target="media/image1249.png"/><Relationship Id="rId1258" Type="http://schemas.openxmlformats.org/officeDocument/2006/relationships/image" Target="media/image1250.png"/><Relationship Id="rId1259" Type="http://schemas.openxmlformats.org/officeDocument/2006/relationships/image" Target="media/image1251.png"/><Relationship Id="rId1260" Type="http://schemas.openxmlformats.org/officeDocument/2006/relationships/image" Target="media/image1252.png"/><Relationship Id="rId1261" Type="http://schemas.openxmlformats.org/officeDocument/2006/relationships/image" Target="media/image1253.png"/><Relationship Id="rId1262" Type="http://schemas.openxmlformats.org/officeDocument/2006/relationships/image" Target="media/image1254.png"/><Relationship Id="rId1263" Type="http://schemas.openxmlformats.org/officeDocument/2006/relationships/image" Target="media/image1255.png"/><Relationship Id="rId1264" Type="http://schemas.openxmlformats.org/officeDocument/2006/relationships/image" Target="media/image1256.png"/><Relationship Id="rId1265" Type="http://schemas.openxmlformats.org/officeDocument/2006/relationships/image" Target="media/image1257.png"/><Relationship Id="rId1266" Type="http://schemas.openxmlformats.org/officeDocument/2006/relationships/image" Target="media/image1258.png"/><Relationship Id="rId1267" Type="http://schemas.openxmlformats.org/officeDocument/2006/relationships/image" Target="media/image1259.png"/><Relationship Id="rId1268" Type="http://schemas.openxmlformats.org/officeDocument/2006/relationships/image" Target="media/image1260.png"/><Relationship Id="rId1269" Type="http://schemas.openxmlformats.org/officeDocument/2006/relationships/image" Target="media/image1261.png"/><Relationship Id="rId1270" Type="http://schemas.openxmlformats.org/officeDocument/2006/relationships/image" Target="media/image1262.png"/><Relationship Id="rId1271" Type="http://schemas.openxmlformats.org/officeDocument/2006/relationships/image" Target="media/image1263.png"/><Relationship Id="rId1272" Type="http://schemas.openxmlformats.org/officeDocument/2006/relationships/image" Target="media/image1264.png"/><Relationship Id="rId1273" Type="http://schemas.openxmlformats.org/officeDocument/2006/relationships/image" Target="media/image1265.png"/><Relationship Id="rId1274" Type="http://schemas.openxmlformats.org/officeDocument/2006/relationships/image" Target="media/image1266.png"/><Relationship Id="rId1275" Type="http://schemas.openxmlformats.org/officeDocument/2006/relationships/image" Target="media/image1267.png"/><Relationship Id="rId1276" Type="http://schemas.openxmlformats.org/officeDocument/2006/relationships/image" Target="media/image1268.png"/><Relationship Id="rId1277" Type="http://schemas.openxmlformats.org/officeDocument/2006/relationships/image" Target="media/image1269.png"/><Relationship Id="rId1278" Type="http://schemas.openxmlformats.org/officeDocument/2006/relationships/image" Target="media/image1270.png"/><Relationship Id="rId1279" Type="http://schemas.openxmlformats.org/officeDocument/2006/relationships/image" Target="media/image1271.png"/><Relationship Id="rId1280" Type="http://schemas.openxmlformats.org/officeDocument/2006/relationships/image" Target="media/image1272.png"/><Relationship Id="rId1281" Type="http://schemas.openxmlformats.org/officeDocument/2006/relationships/image" Target="media/image1273.png"/><Relationship Id="rId1282" Type="http://schemas.openxmlformats.org/officeDocument/2006/relationships/image" Target="media/image1274.png"/><Relationship Id="rId1283" Type="http://schemas.openxmlformats.org/officeDocument/2006/relationships/image" Target="media/image1275.png"/><Relationship Id="rId1284" Type="http://schemas.openxmlformats.org/officeDocument/2006/relationships/image" Target="media/image1276.png"/><Relationship Id="rId1285" Type="http://schemas.openxmlformats.org/officeDocument/2006/relationships/image" Target="media/image1277.png"/><Relationship Id="rId1286" Type="http://schemas.openxmlformats.org/officeDocument/2006/relationships/image" Target="media/image1278.png"/><Relationship Id="rId1287" Type="http://schemas.openxmlformats.org/officeDocument/2006/relationships/image" Target="media/image1279.png"/><Relationship Id="rId1288" Type="http://schemas.openxmlformats.org/officeDocument/2006/relationships/image" Target="media/image1280.png"/><Relationship Id="rId1289" Type="http://schemas.openxmlformats.org/officeDocument/2006/relationships/image" Target="media/image1281.png"/><Relationship Id="rId1290" Type="http://schemas.openxmlformats.org/officeDocument/2006/relationships/image" Target="media/image1282.png"/><Relationship Id="rId1291" Type="http://schemas.openxmlformats.org/officeDocument/2006/relationships/image" Target="media/image1283.png"/><Relationship Id="rId1292" Type="http://schemas.openxmlformats.org/officeDocument/2006/relationships/image" Target="media/image1284.png"/><Relationship Id="rId1293" Type="http://schemas.openxmlformats.org/officeDocument/2006/relationships/image" Target="media/image1285.png"/><Relationship Id="rId1294" Type="http://schemas.openxmlformats.org/officeDocument/2006/relationships/image" Target="media/image1286.png"/><Relationship Id="rId1295" Type="http://schemas.openxmlformats.org/officeDocument/2006/relationships/image" Target="media/image1287.png"/><Relationship Id="rId1296" Type="http://schemas.openxmlformats.org/officeDocument/2006/relationships/image" Target="media/image1288.png"/><Relationship Id="rId1297" Type="http://schemas.openxmlformats.org/officeDocument/2006/relationships/image" Target="media/image1289.png"/><Relationship Id="rId1298" Type="http://schemas.openxmlformats.org/officeDocument/2006/relationships/image" Target="media/image1290.png"/><Relationship Id="rId1299" Type="http://schemas.openxmlformats.org/officeDocument/2006/relationships/image" Target="media/image1291.png"/><Relationship Id="rId1300" Type="http://schemas.openxmlformats.org/officeDocument/2006/relationships/image" Target="media/image1292.png"/><Relationship Id="rId1301" Type="http://schemas.openxmlformats.org/officeDocument/2006/relationships/image" Target="media/image1293.png"/><Relationship Id="rId1302" Type="http://schemas.openxmlformats.org/officeDocument/2006/relationships/image" Target="media/image1294.png"/><Relationship Id="rId1303" Type="http://schemas.openxmlformats.org/officeDocument/2006/relationships/image" Target="media/image1295.png"/><Relationship Id="rId1304" Type="http://schemas.openxmlformats.org/officeDocument/2006/relationships/image" Target="media/image1296.png"/><Relationship Id="rId1305" Type="http://schemas.openxmlformats.org/officeDocument/2006/relationships/image" Target="media/image1297.png"/><Relationship Id="rId1306" Type="http://schemas.openxmlformats.org/officeDocument/2006/relationships/image" Target="media/image1298.png"/><Relationship Id="rId1307" Type="http://schemas.openxmlformats.org/officeDocument/2006/relationships/image" Target="media/image1299.png"/><Relationship Id="rId1308" Type="http://schemas.openxmlformats.org/officeDocument/2006/relationships/image" Target="media/image1300.png"/><Relationship Id="rId1309" Type="http://schemas.openxmlformats.org/officeDocument/2006/relationships/image" Target="media/image1301.png"/><Relationship Id="rId1310" Type="http://schemas.openxmlformats.org/officeDocument/2006/relationships/image" Target="media/image1302.png"/><Relationship Id="rId1311" Type="http://schemas.openxmlformats.org/officeDocument/2006/relationships/image" Target="media/image1303.png"/><Relationship Id="rId1312" Type="http://schemas.openxmlformats.org/officeDocument/2006/relationships/image" Target="media/image1304.png"/><Relationship Id="rId1313" Type="http://schemas.openxmlformats.org/officeDocument/2006/relationships/image" Target="media/image1305.png"/><Relationship Id="rId1314" Type="http://schemas.openxmlformats.org/officeDocument/2006/relationships/image" Target="media/image1306.png"/><Relationship Id="rId1315" Type="http://schemas.openxmlformats.org/officeDocument/2006/relationships/image" Target="media/image1307.png"/><Relationship Id="rId1316" Type="http://schemas.openxmlformats.org/officeDocument/2006/relationships/image" Target="media/image1308.png"/><Relationship Id="rId1317" Type="http://schemas.openxmlformats.org/officeDocument/2006/relationships/image" Target="media/image1309.png"/><Relationship Id="rId1318" Type="http://schemas.openxmlformats.org/officeDocument/2006/relationships/image" Target="media/image1310.png"/><Relationship Id="rId1319" Type="http://schemas.openxmlformats.org/officeDocument/2006/relationships/image" Target="media/image1311.png"/><Relationship Id="rId1320" Type="http://schemas.openxmlformats.org/officeDocument/2006/relationships/image" Target="media/image1312.png"/><Relationship Id="rId1321" Type="http://schemas.openxmlformats.org/officeDocument/2006/relationships/image" Target="media/image1313.png"/><Relationship Id="rId1322" Type="http://schemas.openxmlformats.org/officeDocument/2006/relationships/image" Target="media/image1314.png"/><Relationship Id="rId1323" Type="http://schemas.openxmlformats.org/officeDocument/2006/relationships/image" Target="media/image1315.png"/><Relationship Id="rId1324" Type="http://schemas.openxmlformats.org/officeDocument/2006/relationships/image" Target="media/image1316.png"/><Relationship Id="rId1325" Type="http://schemas.openxmlformats.org/officeDocument/2006/relationships/image" Target="media/image1317.png"/><Relationship Id="rId1326" Type="http://schemas.openxmlformats.org/officeDocument/2006/relationships/image" Target="media/image1318.png"/><Relationship Id="rId1327" Type="http://schemas.openxmlformats.org/officeDocument/2006/relationships/image" Target="media/image1319.png"/><Relationship Id="rId1328" Type="http://schemas.openxmlformats.org/officeDocument/2006/relationships/image" Target="media/image1320.png"/><Relationship Id="rId1329" Type="http://schemas.openxmlformats.org/officeDocument/2006/relationships/image" Target="media/image1321.png"/><Relationship Id="rId1330" Type="http://schemas.openxmlformats.org/officeDocument/2006/relationships/image" Target="media/image1322.png"/><Relationship Id="rId1331" Type="http://schemas.openxmlformats.org/officeDocument/2006/relationships/image" Target="media/image1323.png"/><Relationship Id="rId1332" Type="http://schemas.openxmlformats.org/officeDocument/2006/relationships/image" Target="media/image1324.png"/><Relationship Id="rId1333" Type="http://schemas.openxmlformats.org/officeDocument/2006/relationships/image" Target="media/image1325.png"/><Relationship Id="rId1334" Type="http://schemas.openxmlformats.org/officeDocument/2006/relationships/image" Target="media/image1326.png"/><Relationship Id="rId1335" Type="http://schemas.openxmlformats.org/officeDocument/2006/relationships/image" Target="media/image1327.png"/><Relationship Id="rId1336" Type="http://schemas.openxmlformats.org/officeDocument/2006/relationships/image" Target="media/image1328.png"/><Relationship Id="rId1337" Type="http://schemas.openxmlformats.org/officeDocument/2006/relationships/image" Target="media/image1329.png"/><Relationship Id="rId1338" Type="http://schemas.openxmlformats.org/officeDocument/2006/relationships/image" Target="media/image1330.png"/><Relationship Id="rId1339" Type="http://schemas.openxmlformats.org/officeDocument/2006/relationships/image" Target="media/image1331.png"/><Relationship Id="rId1340" Type="http://schemas.openxmlformats.org/officeDocument/2006/relationships/image" Target="media/image1332.png"/><Relationship Id="rId1341" Type="http://schemas.openxmlformats.org/officeDocument/2006/relationships/image" Target="media/image1333.png"/><Relationship Id="rId1342" Type="http://schemas.openxmlformats.org/officeDocument/2006/relationships/image" Target="media/image1334.png"/><Relationship Id="rId1343" Type="http://schemas.openxmlformats.org/officeDocument/2006/relationships/image" Target="media/image1335.png"/><Relationship Id="rId1344" Type="http://schemas.openxmlformats.org/officeDocument/2006/relationships/image" Target="media/image1336.png"/><Relationship Id="rId1345" Type="http://schemas.openxmlformats.org/officeDocument/2006/relationships/image" Target="media/image1337.png"/><Relationship Id="rId1346" Type="http://schemas.openxmlformats.org/officeDocument/2006/relationships/image" Target="media/image1338.png"/><Relationship Id="rId1347" Type="http://schemas.openxmlformats.org/officeDocument/2006/relationships/image" Target="media/image1339.png"/><Relationship Id="rId1348" Type="http://schemas.openxmlformats.org/officeDocument/2006/relationships/image" Target="media/image1340.png"/><Relationship Id="rId1349" Type="http://schemas.openxmlformats.org/officeDocument/2006/relationships/image" Target="media/image1341.png"/><Relationship Id="rId1350" Type="http://schemas.openxmlformats.org/officeDocument/2006/relationships/image" Target="media/image1342.png"/><Relationship Id="rId1351" Type="http://schemas.openxmlformats.org/officeDocument/2006/relationships/image" Target="media/image1343.png"/><Relationship Id="rId1352" Type="http://schemas.openxmlformats.org/officeDocument/2006/relationships/image" Target="media/image1344.png"/><Relationship Id="rId1353" Type="http://schemas.openxmlformats.org/officeDocument/2006/relationships/image" Target="media/image1345.png"/><Relationship Id="rId1354" Type="http://schemas.openxmlformats.org/officeDocument/2006/relationships/image" Target="media/image1346.png"/><Relationship Id="rId1355" Type="http://schemas.openxmlformats.org/officeDocument/2006/relationships/image" Target="media/image1347.png"/><Relationship Id="rId1356" Type="http://schemas.openxmlformats.org/officeDocument/2006/relationships/image" Target="media/image1348.png"/><Relationship Id="rId1357" Type="http://schemas.openxmlformats.org/officeDocument/2006/relationships/image" Target="media/image1349.png"/><Relationship Id="rId1358" Type="http://schemas.openxmlformats.org/officeDocument/2006/relationships/image" Target="media/image1350.png"/><Relationship Id="rId1359" Type="http://schemas.openxmlformats.org/officeDocument/2006/relationships/image" Target="media/image1351.png"/><Relationship Id="rId1360" Type="http://schemas.openxmlformats.org/officeDocument/2006/relationships/image" Target="media/image1352.png"/><Relationship Id="rId1361" Type="http://schemas.openxmlformats.org/officeDocument/2006/relationships/image" Target="media/image1353.png"/><Relationship Id="rId1362" Type="http://schemas.openxmlformats.org/officeDocument/2006/relationships/image" Target="media/image1354.png"/><Relationship Id="rId1363" Type="http://schemas.openxmlformats.org/officeDocument/2006/relationships/image" Target="media/image1355.png"/><Relationship Id="rId1364" Type="http://schemas.openxmlformats.org/officeDocument/2006/relationships/image" Target="media/image1356.png"/><Relationship Id="rId1365" Type="http://schemas.openxmlformats.org/officeDocument/2006/relationships/image" Target="media/image1357.png"/><Relationship Id="rId1366" Type="http://schemas.openxmlformats.org/officeDocument/2006/relationships/image" Target="media/image1358.png"/><Relationship Id="rId1367" Type="http://schemas.openxmlformats.org/officeDocument/2006/relationships/image" Target="media/image1359.png"/><Relationship Id="rId1368" Type="http://schemas.openxmlformats.org/officeDocument/2006/relationships/image" Target="media/image1360.png"/><Relationship Id="rId1369" Type="http://schemas.openxmlformats.org/officeDocument/2006/relationships/image" Target="media/image1361.png"/><Relationship Id="rId1370" Type="http://schemas.openxmlformats.org/officeDocument/2006/relationships/image" Target="media/image1362.png"/><Relationship Id="rId1371" Type="http://schemas.openxmlformats.org/officeDocument/2006/relationships/image" Target="media/image1363.png"/><Relationship Id="rId1372" Type="http://schemas.openxmlformats.org/officeDocument/2006/relationships/image" Target="media/image1364.png"/><Relationship Id="rId1373" Type="http://schemas.openxmlformats.org/officeDocument/2006/relationships/image" Target="media/image1365.png"/><Relationship Id="rId1374" Type="http://schemas.openxmlformats.org/officeDocument/2006/relationships/image" Target="media/image1366.png"/><Relationship Id="rId1375" Type="http://schemas.openxmlformats.org/officeDocument/2006/relationships/image" Target="media/image1367.png"/><Relationship Id="rId1376" Type="http://schemas.openxmlformats.org/officeDocument/2006/relationships/image" Target="media/image1368.png"/><Relationship Id="rId1377" Type="http://schemas.openxmlformats.org/officeDocument/2006/relationships/image" Target="media/image1369.png"/><Relationship Id="rId1378" Type="http://schemas.openxmlformats.org/officeDocument/2006/relationships/image" Target="media/image1370.png"/><Relationship Id="rId1379" Type="http://schemas.openxmlformats.org/officeDocument/2006/relationships/image" Target="media/image1371.png"/><Relationship Id="rId1380" Type="http://schemas.openxmlformats.org/officeDocument/2006/relationships/image" Target="media/image1372.png"/><Relationship Id="rId1381" Type="http://schemas.openxmlformats.org/officeDocument/2006/relationships/image" Target="media/image1373.png"/><Relationship Id="rId1382" Type="http://schemas.openxmlformats.org/officeDocument/2006/relationships/image" Target="media/image1374.png"/><Relationship Id="rId1383" Type="http://schemas.openxmlformats.org/officeDocument/2006/relationships/image" Target="media/image1375.png"/><Relationship Id="rId1384" Type="http://schemas.openxmlformats.org/officeDocument/2006/relationships/image" Target="media/image1376.png"/><Relationship Id="rId1385" Type="http://schemas.openxmlformats.org/officeDocument/2006/relationships/image" Target="media/image1377.png"/><Relationship Id="rId1386" Type="http://schemas.openxmlformats.org/officeDocument/2006/relationships/image" Target="media/image1378.png"/><Relationship Id="rId1387" Type="http://schemas.openxmlformats.org/officeDocument/2006/relationships/image" Target="media/image1379.png"/><Relationship Id="rId1388" Type="http://schemas.openxmlformats.org/officeDocument/2006/relationships/image" Target="media/image1380.png"/><Relationship Id="rId1389" Type="http://schemas.openxmlformats.org/officeDocument/2006/relationships/image" Target="media/image1381.png"/><Relationship Id="rId1390" Type="http://schemas.openxmlformats.org/officeDocument/2006/relationships/image" Target="media/image1382.png"/><Relationship Id="rId1391" Type="http://schemas.openxmlformats.org/officeDocument/2006/relationships/image" Target="media/image1383.png"/><Relationship Id="rId1392" Type="http://schemas.openxmlformats.org/officeDocument/2006/relationships/image" Target="media/image1384.png"/><Relationship Id="rId1393" Type="http://schemas.openxmlformats.org/officeDocument/2006/relationships/image" Target="media/image1385.png"/><Relationship Id="rId1394" Type="http://schemas.openxmlformats.org/officeDocument/2006/relationships/image" Target="media/image1386.png"/><Relationship Id="rId1395" Type="http://schemas.openxmlformats.org/officeDocument/2006/relationships/image" Target="media/image1387.png"/><Relationship Id="rId1396" Type="http://schemas.openxmlformats.org/officeDocument/2006/relationships/image" Target="media/image1388.png"/><Relationship Id="rId1397" Type="http://schemas.openxmlformats.org/officeDocument/2006/relationships/image" Target="media/image1389.png"/><Relationship Id="rId1398" Type="http://schemas.openxmlformats.org/officeDocument/2006/relationships/image" Target="media/image1390.png"/><Relationship Id="rId1399" Type="http://schemas.openxmlformats.org/officeDocument/2006/relationships/image" Target="media/image1391.png"/><Relationship Id="rId1400" Type="http://schemas.openxmlformats.org/officeDocument/2006/relationships/image" Target="media/image1392.png"/><Relationship Id="rId1401" Type="http://schemas.openxmlformats.org/officeDocument/2006/relationships/image" Target="media/image1393.png"/><Relationship Id="rId1402" Type="http://schemas.openxmlformats.org/officeDocument/2006/relationships/image" Target="media/image1394.png"/><Relationship Id="rId1403" Type="http://schemas.openxmlformats.org/officeDocument/2006/relationships/image" Target="media/image1395.png"/><Relationship Id="rId1404" Type="http://schemas.openxmlformats.org/officeDocument/2006/relationships/image" Target="media/image1396.png"/><Relationship Id="rId1405" Type="http://schemas.openxmlformats.org/officeDocument/2006/relationships/image" Target="media/image1397.png"/><Relationship Id="rId1406" Type="http://schemas.openxmlformats.org/officeDocument/2006/relationships/image" Target="media/image1398.png"/><Relationship Id="rId1407" Type="http://schemas.openxmlformats.org/officeDocument/2006/relationships/image" Target="media/image1399.png"/><Relationship Id="rId1408" Type="http://schemas.openxmlformats.org/officeDocument/2006/relationships/image" Target="media/image1400.png"/><Relationship Id="rId1409" Type="http://schemas.openxmlformats.org/officeDocument/2006/relationships/image" Target="media/image1401.png"/><Relationship Id="rId1410" Type="http://schemas.openxmlformats.org/officeDocument/2006/relationships/image" Target="media/image1402.png"/><Relationship Id="rId1411" Type="http://schemas.openxmlformats.org/officeDocument/2006/relationships/image" Target="media/image1403.png"/><Relationship Id="rId1412" Type="http://schemas.openxmlformats.org/officeDocument/2006/relationships/image" Target="media/image1404.png"/><Relationship Id="rId1413" Type="http://schemas.openxmlformats.org/officeDocument/2006/relationships/image" Target="media/image1405.png"/><Relationship Id="rId1414" Type="http://schemas.openxmlformats.org/officeDocument/2006/relationships/image" Target="media/image1406.png"/><Relationship Id="rId1415" Type="http://schemas.openxmlformats.org/officeDocument/2006/relationships/image" Target="media/image1407.png"/><Relationship Id="rId1416" Type="http://schemas.openxmlformats.org/officeDocument/2006/relationships/image" Target="media/image1408.png"/><Relationship Id="rId1417" Type="http://schemas.openxmlformats.org/officeDocument/2006/relationships/image" Target="media/image1409.png"/><Relationship Id="rId1418" Type="http://schemas.openxmlformats.org/officeDocument/2006/relationships/image" Target="media/image1410.png"/><Relationship Id="rId1419" Type="http://schemas.openxmlformats.org/officeDocument/2006/relationships/image" Target="media/image1411.png"/><Relationship Id="rId1420" Type="http://schemas.openxmlformats.org/officeDocument/2006/relationships/image" Target="media/image1412.png"/><Relationship Id="rId1421" Type="http://schemas.openxmlformats.org/officeDocument/2006/relationships/image" Target="media/image1413.png"/><Relationship Id="rId1422" Type="http://schemas.openxmlformats.org/officeDocument/2006/relationships/image" Target="media/image1414.png"/><Relationship Id="rId1423" Type="http://schemas.openxmlformats.org/officeDocument/2006/relationships/image" Target="media/image1415.png"/><Relationship Id="rId1424" Type="http://schemas.openxmlformats.org/officeDocument/2006/relationships/image" Target="media/image1416.png"/><Relationship Id="rId1425" Type="http://schemas.openxmlformats.org/officeDocument/2006/relationships/image" Target="media/image1417.png"/><Relationship Id="rId1426" Type="http://schemas.openxmlformats.org/officeDocument/2006/relationships/image" Target="media/image1418.png"/><Relationship Id="rId1427" Type="http://schemas.openxmlformats.org/officeDocument/2006/relationships/image" Target="media/image1419.png"/><Relationship Id="rId1428" Type="http://schemas.openxmlformats.org/officeDocument/2006/relationships/image" Target="media/image1420.png"/><Relationship Id="rId1429" Type="http://schemas.openxmlformats.org/officeDocument/2006/relationships/image" Target="media/image1421.png"/><Relationship Id="rId1430" Type="http://schemas.openxmlformats.org/officeDocument/2006/relationships/image" Target="media/image1422.png"/><Relationship Id="rId1431" Type="http://schemas.openxmlformats.org/officeDocument/2006/relationships/image" Target="media/image1423.png"/><Relationship Id="rId1432" Type="http://schemas.openxmlformats.org/officeDocument/2006/relationships/image" Target="media/image1424.png"/><Relationship Id="rId1433" Type="http://schemas.openxmlformats.org/officeDocument/2006/relationships/image" Target="media/image1425.png"/><Relationship Id="rId1434" Type="http://schemas.openxmlformats.org/officeDocument/2006/relationships/image" Target="media/image1426.png"/><Relationship Id="rId1435" Type="http://schemas.openxmlformats.org/officeDocument/2006/relationships/image" Target="media/image1427.png"/><Relationship Id="rId1436" Type="http://schemas.openxmlformats.org/officeDocument/2006/relationships/image" Target="media/image1428.png"/><Relationship Id="rId1437" Type="http://schemas.openxmlformats.org/officeDocument/2006/relationships/image" Target="media/image1429.png"/><Relationship Id="rId1438" Type="http://schemas.openxmlformats.org/officeDocument/2006/relationships/image" Target="media/image1430.png"/><Relationship Id="rId1439" Type="http://schemas.openxmlformats.org/officeDocument/2006/relationships/image" Target="media/image1431.png"/><Relationship Id="rId1440" Type="http://schemas.openxmlformats.org/officeDocument/2006/relationships/image" Target="media/image1432.png"/><Relationship Id="rId1441" Type="http://schemas.openxmlformats.org/officeDocument/2006/relationships/image" Target="media/image1433.png"/><Relationship Id="rId1442" Type="http://schemas.openxmlformats.org/officeDocument/2006/relationships/image" Target="media/image1434.png"/><Relationship Id="rId1443" Type="http://schemas.openxmlformats.org/officeDocument/2006/relationships/image" Target="media/image1435.png"/><Relationship Id="rId1444" Type="http://schemas.openxmlformats.org/officeDocument/2006/relationships/image" Target="media/image1436.png"/><Relationship Id="rId1445" Type="http://schemas.openxmlformats.org/officeDocument/2006/relationships/image" Target="media/image1437.png"/><Relationship Id="rId1446" Type="http://schemas.openxmlformats.org/officeDocument/2006/relationships/image" Target="media/image1438.png"/><Relationship Id="rId1447" Type="http://schemas.openxmlformats.org/officeDocument/2006/relationships/image" Target="media/image1439.png"/><Relationship Id="rId1448" Type="http://schemas.openxmlformats.org/officeDocument/2006/relationships/image" Target="media/image1440.png"/><Relationship Id="rId1449" Type="http://schemas.openxmlformats.org/officeDocument/2006/relationships/image" Target="media/image1441.png"/><Relationship Id="rId1450" Type="http://schemas.openxmlformats.org/officeDocument/2006/relationships/image" Target="media/image1442.png"/><Relationship Id="rId1451" Type="http://schemas.openxmlformats.org/officeDocument/2006/relationships/image" Target="media/image1443.png"/><Relationship Id="rId1452" Type="http://schemas.openxmlformats.org/officeDocument/2006/relationships/image" Target="media/image1444.png"/><Relationship Id="rId1453" Type="http://schemas.openxmlformats.org/officeDocument/2006/relationships/image" Target="media/image1445.png"/><Relationship Id="rId1454" Type="http://schemas.openxmlformats.org/officeDocument/2006/relationships/image" Target="media/image1446.png"/><Relationship Id="rId1455" Type="http://schemas.openxmlformats.org/officeDocument/2006/relationships/image" Target="media/image1447.png"/><Relationship Id="rId1456" Type="http://schemas.openxmlformats.org/officeDocument/2006/relationships/image" Target="media/image1448.png"/><Relationship Id="rId1457" Type="http://schemas.openxmlformats.org/officeDocument/2006/relationships/image" Target="media/image1449.png"/><Relationship Id="rId1458" Type="http://schemas.openxmlformats.org/officeDocument/2006/relationships/image" Target="media/image1450.png"/><Relationship Id="rId1459" Type="http://schemas.openxmlformats.org/officeDocument/2006/relationships/image" Target="media/image1451.png"/><Relationship Id="rId1460" Type="http://schemas.openxmlformats.org/officeDocument/2006/relationships/image" Target="media/image1452.png"/><Relationship Id="rId1461" Type="http://schemas.openxmlformats.org/officeDocument/2006/relationships/image" Target="media/image1453.png"/><Relationship Id="rId1462" Type="http://schemas.openxmlformats.org/officeDocument/2006/relationships/image" Target="media/image1454.png"/><Relationship Id="rId1463" Type="http://schemas.openxmlformats.org/officeDocument/2006/relationships/image" Target="media/image1455.png"/><Relationship Id="rId1464" Type="http://schemas.openxmlformats.org/officeDocument/2006/relationships/image" Target="media/image1456.png"/><Relationship Id="rId1465" Type="http://schemas.openxmlformats.org/officeDocument/2006/relationships/image" Target="media/image1457.png"/><Relationship Id="rId1466" Type="http://schemas.openxmlformats.org/officeDocument/2006/relationships/image" Target="media/image1458.png"/><Relationship Id="rId1467" Type="http://schemas.openxmlformats.org/officeDocument/2006/relationships/image" Target="media/image1459.png"/><Relationship Id="rId1468" Type="http://schemas.openxmlformats.org/officeDocument/2006/relationships/image" Target="media/image1460.png"/><Relationship Id="rId1469" Type="http://schemas.openxmlformats.org/officeDocument/2006/relationships/image" Target="media/image1461.png"/><Relationship Id="rId1470" Type="http://schemas.openxmlformats.org/officeDocument/2006/relationships/image" Target="media/image1462.png"/><Relationship Id="rId1471" Type="http://schemas.openxmlformats.org/officeDocument/2006/relationships/image" Target="media/image1463.png"/><Relationship Id="rId1472" Type="http://schemas.openxmlformats.org/officeDocument/2006/relationships/image" Target="media/image1464.png"/><Relationship Id="rId1473" Type="http://schemas.openxmlformats.org/officeDocument/2006/relationships/image" Target="media/image1465.png"/><Relationship Id="rId1474" Type="http://schemas.openxmlformats.org/officeDocument/2006/relationships/image" Target="media/image1466.png"/><Relationship Id="rId1475" Type="http://schemas.openxmlformats.org/officeDocument/2006/relationships/image" Target="media/image1467.png"/><Relationship Id="rId1476" Type="http://schemas.openxmlformats.org/officeDocument/2006/relationships/image" Target="media/image1468.png"/><Relationship Id="rId1477" Type="http://schemas.openxmlformats.org/officeDocument/2006/relationships/image" Target="media/image1469.png"/><Relationship Id="rId1478" Type="http://schemas.openxmlformats.org/officeDocument/2006/relationships/image" Target="media/image1470.png"/><Relationship Id="rId1479" Type="http://schemas.openxmlformats.org/officeDocument/2006/relationships/image" Target="media/image1471.png"/><Relationship Id="rId1480" Type="http://schemas.openxmlformats.org/officeDocument/2006/relationships/image" Target="media/image1472.png"/><Relationship Id="rId1481" Type="http://schemas.openxmlformats.org/officeDocument/2006/relationships/image" Target="media/image1473.png"/><Relationship Id="rId1482" Type="http://schemas.openxmlformats.org/officeDocument/2006/relationships/image" Target="media/image1474.png"/><Relationship Id="rId1483" Type="http://schemas.openxmlformats.org/officeDocument/2006/relationships/image" Target="media/image1475.png"/><Relationship Id="rId1484" Type="http://schemas.openxmlformats.org/officeDocument/2006/relationships/image" Target="media/image1476.png"/><Relationship Id="rId1485" Type="http://schemas.openxmlformats.org/officeDocument/2006/relationships/image" Target="media/image1477.png"/><Relationship Id="rId1486" Type="http://schemas.openxmlformats.org/officeDocument/2006/relationships/image" Target="media/image1478.png"/><Relationship Id="rId1487" Type="http://schemas.openxmlformats.org/officeDocument/2006/relationships/image" Target="media/image1479.png"/><Relationship Id="rId1488" Type="http://schemas.openxmlformats.org/officeDocument/2006/relationships/image" Target="media/image1480.png"/><Relationship Id="rId1489" Type="http://schemas.openxmlformats.org/officeDocument/2006/relationships/image" Target="media/image1481.png"/><Relationship Id="rId1490" Type="http://schemas.openxmlformats.org/officeDocument/2006/relationships/image" Target="media/image1482.png"/><Relationship Id="rId1491" Type="http://schemas.openxmlformats.org/officeDocument/2006/relationships/image" Target="media/image1483.png"/><Relationship Id="rId1492" Type="http://schemas.openxmlformats.org/officeDocument/2006/relationships/image" Target="media/image1484.png"/><Relationship Id="rId1493" Type="http://schemas.openxmlformats.org/officeDocument/2006/relationships/image" Target="media/image1485.png"/><Relationship Id="rId1494" Type="http://schemas.openxmlformats.org/officeDocument/2006/relationships/image" Target="media/image1486.png"/><Relationship Id="rId1495" Type="http://schemas.openxmlformats.org/officeDocument/2006/relationships/image" Target="media/image1487.png"/><Relationship Id="rId1496" Type="http://schemas.openxmlformats.org/officeDocument/2006/relationships/image" Target="media/image1488.png"/><Relationship Id="rId1497" Type="http://schemas.openxmlformats.org/officeDocument/2006/relationships/image" Target="media/image1489.png"/><Relationship Id="rId1498" Type="http://schemas.openxmlformats.org/officeDocument/2006/relationships/image" Target="media/image1490.png"/><Relationship Id="rId1499" Type="http://schemas.openxmlformats.org/officeDocument/2006/relationships/image" Target="media/image1491.png"/><Relationship Id="rId1500" Type="http://schemas.openxmlformats.org/officeDocument/2006/relationships/image" Target="media/image1492.png"/><Relationship Id="rId1501" Type="http://schemas.openxmlformats.org/officeDocument/2006/relationships/image" Target="media/image1493.png"/><Relationship Id="rId1502" Type="http://schemas.openxmlformats.org/officeDocument/2006/relationships/image" Target="media/image1494.png"/><Relationship Id="rId1503" Type="http://schemas.openxmlformats.org/officeDocument/2006/relationships/image" Target="media/image1495.png"/><Relationship Id="rId1504" Type="http://schemas.openxmlformats.org/officeDocument/2006/relationships/image" Target="media/image1496.png"/><Relationship Id="rId1505" Type="http://schemas.openxmlformats.org/officeDocument/2006/relationships/image" Target="media/image1497.png"/><Relationship Id="rId1506" Type="http://schemas.openxmlformats.org/officeDocument/2006/relationships/image" Target="media/image1498.png"/><Relationship Id="rId1507" Type="http://schemas.openxmlformats.org/officeDocument/2006/relationships/image" Target="media/image1499.png"/><Relationship Id="rId1508" Type="http://schemas.openxmlformats.org/officeDocument/2006/relationships/image" Target="media/image1500.png"/><Relationship Id="rId1509" Type="http://schemas.openxmlformats.org/officeDocument/2006/relationships/image" Target="media/image1501.png"/><Relationship Id="rId1510" Type="http://schemas.openxmlformats.org/officeDocument/2006/relationships/image" Target="media/image1502.png"/><Relationship Id="rId1511" Type="http://schemas.openxmlformats.org/officeDocument/2006/relationships/image" Target="media/image1503.png"/><Relationship Id="rId1512" Type="http://schemas.openxmlformats.org/officeDocument/2006/relationships/image" Target="media/image1504.png"/><Relationship Id="rId1513" Type="http://schemas.openxmlformats.org/officeDocument/2006/relationships/image" Target="media/image1505.png"/><Relationship Id="rId1514" Type="http://schemas.openxmlformats.org/officeDocument/2006/relationships/image" Target="media/image1506.png"/><Relationship Id="rId1515" Type="http://schemas.openxmlformats.org/officeDocument/2006/relationships/image" Target="media/image1507.png"/><Relationship Id="rId1516" Type="http://schemas.openxmlformats.org/officeDocument/2006/relationships/image" Target="media/image1508.png"/><Relationship Id="rId1517" Type="http://schemas.openxmlformats.org/officeDocument/2006/relationships/image" Target="media/image1509.png"/><Relationship Id="rId1518" Type="http://schemas.openxmlformats.org/officeDocument/2006/relationships/image" Target="media/image1510.png"/><Relationship Id="rId1519" Type="http://schemas.openxmlformats.org/officeDocument/2006/relationships/image" Target="media/image1511.png"/><Relationship Id="rId1520" Type="http://schemas.openxmlformats.org/officeDocument/2006/relationships/image" Target="media/image1512.png"/><Relationship Id="rId1521" Type="http://schemas.openxmlformats.org/officeDocument/2006/relationships/image" Target="media/image1513.png"/><Relationship Id="rId1522" Type="http://schemas.openxmlformats.org/officeDocument/2006/relationships/image" Target="media/image1514.png"/><Relationship Id="rId1523" Type="http://schemas.openxmlformats.org/officeDocument/2006/relationships/image" Target="media/image1515.png"/><Relationship Id="rId1524" Type="http://schemas.openxmlformats.org/officeDocument/2006/relationships/image" Target="media/image1516.png"/><Relationship Id="rId1525" Type="http://schemas.openxmlformats.org/officeDocument/2006/relationships/image" Target="media/image1517.png"/><Relationship Id="rId1526" Type="http://schemas.openxmlformats.org/officeDocument/2006/relationships/image" Target="media/image1518.png"/><Relationship Id="rId1527" Type="http://schemas.openxmlformats.org/officeDocument/2006/relationships/image" Target="media/image1519.png"/><Relationship Id="rId1528" Type="http://schemas.openxmlformats.org/officeDocument/2006/relationships/image" Target="media/image1520.png"/><Relationship Id="rId1529" Type="http://schemas.openxmlformats.org/officeDocument/2006/relationships/image" Target="media/image1521.png"/><Relationship Id="rId1530" Type="http://schemas.openxmlformats.org/officeDocument/2006/relationships/image" Target="media/image1522.png"/><Relationship Id="rId1531" Type="http://schemas.openxmlformats.org/officeDocument/2006/relationships/image" Target="media/image1523.png"/><Relationship Id="rId1532" Type="http://schemas.openxmlformats.org/officeDocument/2006/relationships/image" Target="media/image1524.png"/><Relationship Id="rId1533" Type="http://schemas.openxmlformats.org/officeDocument/2006/relationships/image" Target="media/image1525.png"/><Relationship Id="rId1534" Type="http://schemas.openxmlformats.org/officeDocument/2006/relationships/image" Target="media/image1526.png"/><Relationship Id="rId1535" Type="http://schemas.openxmlformats.org/officeDocument/2006/relationships/image" Target="media/image1527.png"/><Relationship Id="rId1536" Type="http://schemas.openxmlformats.org/officeDocument/2006/relationships/image" Target="media/image1528.png"/><Relationship Id="rId1537" Type="http://schemas.openxmlformats.org/officeDocument/2006/relationships/image" Target="media/image1529.png"/><Relationship Id="rId1538" Type="http://schemas.openxmlformats.org/officeDocument/2006/relationships/image" Target="media/image1530.png"/><Relationship Id="rId1539" Type="http://schemas.openxmlformats.org/officeDocument/2006/relationships/image" Target="media/image1531.png"/><Relationship Id="rId1540" Type="http://schemas.openxmlformats.org/officeDocument/2006/relationships/image" Target="media/image1532.png"/><Relationship Id="rId1541" Type="http://schemas.openxmlformats.org/officeDocument/2006/relationships/image" Target="media/image1533.png"/><Relationship Id="rId1542" Type="http://schemas.openxmlformats.org/officeDocument/2006/relationships/image" Target="media/image1534.png"/><Relationship Id="rId1543" Type="http://schemas.openxmlformats.org/officeDocument/2006/relationships/image" Target="media/image1535.png"/><Relationship Id="rId1544" Type="http://schemas.openxmlformats.org/officeDocument/2006/relationships/image" Target="media/image1536.png"/><Relationship Id="rId1545" Type="http://schemas.openxmlformats.org/officeDocument/2006/relationships/image" Target="media/image1537.png"/><Relationship Id="rId1546" Type="http://schemas.openxmlformats.org/officeDocument/2006/relationships/image" Target="media/image1538.png"/><Relationship Id="rId1547" Type="http://schemas.openxmlformats.org/officeDocument/2006/relationships/image" Target="media/image1539.png"/><Relationship Id="rId1548" Type="http://schemas.openxmlformats.org/officeDocument/2006/relationships/image" Target="media/image1540.png"/><Relationship Id="rId1549" Type="http://schemas.openxmlformats.org/officeDocument/2006/relationships/image" Target="media/image1541.png"/><Relationship Id="rId1550" Type="http://schemas.openxmlformats.org/officeDocument/2006/relationships/image" Target="media/image1542.png"/><Relationship Id="rId1551" Type="http://schemas.openxmlformats.org/officeDocument/2006/relationships/image" Target="media/image1543.png"/><Relationship Id="rId1552" Type="http://schemas.openxmlformats.org/officeDocument/2006/relationships/image" Target="media/image1544.png"/><Relationship Id="rId1553" Type="http://schemas.openxmlformats.org/officeDocument/2006/relationships/image" Target="media/image1545.png"/><Relationship Id="rId1554" Type="http://schemas.openxmlformats.org/officeDocument/2006/relationships/image" Target="media/image1546.png"/><Relationship Id="rId1555" Type="http://schemas.openxmlformats.org/officeDocument/2006/relationships/image" Target="media/image1547.png"/><Relationship Id="rId1556" Type="http://schemas.openxmlformats.org/officeDocument/2006/relationships/image" Target="media/image1548.png"/><Relationship Id="rId1557" Type="http://schemas.openxmlformats.org/officeDocument/2006/relationships/image" Target="media/image1549.png"/><Relationship Id="rId1558" Type="http://schemas.openxmlformats.org/officeDocument/2006/relationships/image" Target="media/image1550.png"/><Relationship Id="rId1559" Type="http://schemas.openxmlformats.org/officeDocument/2006/relationships/image" Target="media/image1551.png"/><Relationship Id="rId1560" Type="http://schemas.openxmlformats.org/officeDocument/2006/relationships/image" Target="media/image1552.png"/><Relationship Id="rId1561" Type="http://schemas.openxmlformats.org/officeDocument/2006/relationships/image" Target="media/image1553.png"/><Relationship Id="rId1562" Type="http://schemas.openxmlformats.org/officeDocument/2006/relationships/image" Target="media/image1554.png"/><Relationship Id="rId1563" Type="http://schemas.openxmlformats.org/officeDocument/2006/relationships/image" Target="media/image1555.png"/><Relationship Id="rId1564" Type="http://schemas.openxmlformats.org/officeDocument/2006/relationships/image" Target="media/image1556.png"/><Relationship Id="rId1565" Type="http://schemas.openxmlformats.org/officeDocument/2006/relationships/image" Target="media/image1557.png"/><Relationship Id="rId1566" Type="http://schemas.openxmlformats.org/officeDocument/2006/relationships/image" Target="media/image1558.png"/><Relationship Id="rId1567" Type="http://schemas.openxmlformats.org/officeDocument/2006/relationships/image" Target="media/image1559.png"/><Relationship Id="rId1568" Type="http://schemas.openxmlformats.org/officeDocument/2006/relationships/image" Target="media/image1560.png"/><Relationship Id="rId1569" Type="http://schemas.openxmlformats.org/officeDocument/2006/relationships/image" Target="media/image1561.png"/><Relationship Id="rId1570" Type="http://schemas.openxmlformats.org/officeDocument/2006/relationships/image" Target="media/image1562.png"/><Relationship Id="rId1571" Type="http://schemas.openxmlformats.org/officeDocument/2006/relationships/image" Target="media/image1563.png"/><Relationship Id="rId1572" Type="http://schemas.openxmlformats.org/officeDocument/2006/relationships/image" Target="media/image1564.png"/><Relationship Id="rId1573" Type="http://schemas.openxmlformats.org/officeDocument/2006/relationships/image" Target="media/image1565.png"/><Relationship Id="rId1574" Type="http://schemas.openxmlformats.org/officeDocument/2006/relationships/image" Target="media/image1566.png"/><Relationship Id="rId1575" Type="http://schemas.openxmlformats.org/officeDocument/2006/relationships/image" Target="media/image1567.png"/><Relationship Id="rId1576" Type="http://schemas.openxmlformats.org/officeDocument/2006/relationships/image" Target="media/image1568.png"/><Relationship Id="rId1577" Type="http://schemas.openxmlformats.org/officeDocument/2006/relationships/image" Target="media/image1569.png"/><Relationship Id="rId1578" Type="http://schemas.openxmlformats.org/officeDocument/2006/relationships/image" Target="media/image1570.png"/><Relationship Id="rId1579" Type="http://schemas.openxmlformats.org/officeDocument/2006/relationships/image" Target="media/image1571.png"/><Relationship Id="rId1580" Type="http://schemas.openxmlformats.org/officeDocument/2006/relationships/image" Target="media/image1572.png"/><Relationship Id="rId1581" Type="http://schemas.openxmlformats.org/officeDocument/2006/relationships/image" Target="media/image1573.png"/><Relationship Id="rId1582" Type="http://schemas.openxmlformats.org/officeDocument/2006/relationships/image" Target="media/image1574.png"/><Relationship Id="rId1583" Type="http://schemas.openxmlformats.org/officeDocument/2006/relationships/image" Target="media/image1575.png"/><Relationship Id="rId1584" Type="http://schemas.openxmlformats.org/officeDocument/2006/relationships/image" Target="media/image1576.png"/><Relationship Id="rId1585" Type="http://schemas.openxmlformats.org/officeDocument/2006/relationships/image" Target="media/image1577.png"/><Relationship Id="rId1586" Type="http://schemas.openxmlformats.org/officeDocument/2006/relationships/image" Target="media/image1578.png"/><Relationship Id="rId1587" Type="http://schemas.openxmlformats.org/officeDocument/2006/relationships/image" Target="media/image1579.png"/><Relationship Id="rId1588" Type="http://schemas.openxmlformats.org/officeDocument/2006/relationships/image" Target="media/image1580.png"/><Relationship Id="rId1589" Type="http://schemas.openxmlformats.org/officeDocument/2006/relationships/image" Target="media/image1581.png"/><Relationship Id="rId1590" Type="http://schemas.openxmlformats.org/officeDocument/2006/relationships/image" Target="media/image1582.png"/><Relationship Id="rId1591" Type="http://schemas.openxmlformats.org/officeDocument/2006/relationships/image" Target="media/image1583.png"/><Relationship Id="rId1592" Type="http://schemas.openxmlformats.org/officeDocument/2006/relationships/image" Target="media/image1584.png"/><Relationship Id="rId1593" Type="http://schemas.openxmlformats.org/officeDocument/2006/relationships/image" Target="media/image1585.png"/><Relationship Id="rId1594" Type="http://schemas.openxmlformats.org/officeDocument/2006/relationships/image" Target="media/image1586.png"/><Relationship Id="rId1595" Type="http://schemas.openxmlformats.org/officeDocument/2006/relationships/image" Target="media/image1587.png"/><Relationship Id="rId1596" Type="http://schemas.openxmlformats.org/officeDocument/2006/relationships/image" Target="media/image1588.png"/><Relationship Id="rId1597" Type="http://schemas.openxmlformats.org/officeDocument/2006/relationships/image" Target="media/image1589.png"/><Relationship Id="rId1598" Type="http://schemas.openxmlformats.org/officeDocument/2006/relationships/image" Target="media/image1590.png"/><Relationship Id="rId1599" Type="http://schemas.openxmlformats.org/officeDocument/2006/relationships/image" Target="media/image1591.png"/><Relationship Id="rId1600" Type="http://schemas.openxmlformats.org/officeDocument/2006/relationships/image" Target="media/image1592.png"/><Relationship Id="rId1601" Type="http://schemas.openxmlformats.org/officeDocument/2006/relationships/image" Target="media/image1593.png"/><Relationship Id="rId1602" Type="http://schemas.openxmlformats.org/officeDocument/2006/relationships/image" Target="media/image1594.png"/><Relationship Id="rId1603" Type="http://schemas.openxmlformats.org/officeDocument/2006/relationships/image" Target="media/image1595.png"/><Relationship Id="rId1604" Type="http://schemas.openxmlformats.org/officeDocument/2006/relationships/image" Target="media/image1596.png"/><Relationship Id="rId1605" Type="http://schemas.openxmlformats.org/officeDocument/2006/relationships/image" Target="media/image1597.png"/><Relationship Id="rId1606" Type="http://schemas.openxmlformats.org/officeDocument/2006/relationships/image" Target="media/image1598.png"/><Relationship Id="rId1607" Type="http://schemas.openxmlformats.org/officeDocument/2006/relationships/image" Target="media/image1599.png"/><Relationship Id="rId1608" Type="http://schemas.openxmlformats.org/officeDocument/2006/relationships/image" Target="media/image1600.png"/><Relationship Id="rId1609" Type="http://schemas.openxmlformats.org/officeDocument/2006/relationships/image" Target="media/image1601.png"/><Relationship Id="rId1610" Type="http://schemas.openxmlformats.org/officeDocument/2006/relationships/image" Target="media/image1602.png"/><Relationship Id="rId1611" Type="http://schemas.openxmlformats.org/officeDocument/2006/relationships/image" Target="media/image1603.png"/><Relationship Id="rId1612" Type="http://schemas.openxmlformats.org/officeDocument/2006/relationships/image" Target="media/image1604.png"/><Relationship Id="rId1613" Type="http://schemas.openxmlformats.org/officeDocument/2006/relationships/image" Target="media/image1605.png"/><Relationship Id="rId1614" Type="http://schemas.openxmlformats.org/officeDocument/2006/relationships/image" Target="media/image1606.png"/><Relationship Id="rId1615" Type="http://schemas.openxmlformats.org/officeDocument/2006/relationships/image" Target="media/image1607.png"/><Relationship Id="rId1616" Type="http://schemas.openxmlformats.org/officeDocument/2006/relationships/image" Target="media/image1608.png"/><Relationship Id="rId1617" Type="http://schemas.openxmlformats.org/officeDocument/2006/relationships/image" Target="media/image1609.png"/><Relationship Id="rId1618" Type="http://schemas.openxmlformats.org/officeDocument/2006/relationships/image" Target="media/image1610.png"/><Relationship Id="rId1619" Type="http://schemas.openxmlformats.org/officeDocument/2006/relationships/image" Target="media/image1611.png"/><Relationship Id="rId1620" Type="http://schemas.openxmlformats.org/officeDocument/2006/relationships/image" Target="media/image1612.png"/><Relationship Id="rId1621" Type="http://schemas.openxmlformats.org/officeDocument/2006/relationships/image" Target="media/image1613.png"/><Relationship Id="rId1622" Type="http://schemas.openxmlformats.org/officeDocument/2006/relationships/image" Target="media/image1614.png"/><Relationship Id="rId1623" Type="http://schemas.openxmlformats.org/officeDocument/2006/relationships/image" Target="media/image1615.png"/><Relationship Id="rId1624" Type="http://schemas.openxmlformats.org/officeDocument/2006/relationships/image" Target="media/image1616.png"/><Relationship Id="rId1625" Type="http://schemas.openxmlformats.org/officeDocument/2006/relationships/image" Target="media/image1617.png"/><Relationship Id="rId1626" Type="http://schemas.openxmlformats.org/officeDocument/2006/relationships/image" Target="media/image1618.png"/><Relationship Id="rId1627" Type="http://schemas.openxmlformats.org/officeDocument/2006/relationships/image" Target="media/image1619.png"/><Relationship Id="rId1628" Type="http://schemas.openxmlformats.org/officeDocument/2006/relationships/image" Target="media/image1620.png"/><Relationship Id="rId1629" Type="http://schemas.openxmlformats.org/officeDocument/2006/relationships/image" Target="media/image1621.png"/><Relationship Id="rId1630" Type="http://schemas.openxmlformats.org/officeDocument/2006/relationships/image" Target="media/image1622.png"/><Relationship Id="rId1631" Type="http://schemas.openxmlformats.org/officeDocument/2006/relationships/image" Target="media/image1623.png"/><Relationship Id="rId1632" Type="http://schemas.openxmlformats.org/officeDocument/2006/relationships/image" Target="media/image1624.png"/><Relationship Id="rId1633" Type="http://schemas.openxmlformats.org/officeDocument/2006/relationships/image" Target="media/image1625.png"/><Relationship Id="rId1634" Type="http://schemas.openxmlformats.org/officeDocument/2006/relationships/image" Target="media/image1626.png"/><Relationship Id="rId1635" Type="http://schemas.openxmlformats.org/officeDocument/2006/relationships/image" Target="media/image1627.png"/><Relationship Id="rId1636" Type="http://schemas.openxmlformats.org/officeDocument/2006/relationships/image" Target="media/image1628.png"/><Relationship Id="rId1637" Type="http://schemas.openxmlformats.org/officeDocument/2006/relationships/image" Target="media/image1629.png"/><Relationship Id="rId1638" Type="http://schemas.openxmlformats.org/officeDocument/2006/relationships/image" Target="media/image1630.png"/><Relationship Id="rId1639" Type="http://schemas.openxmlformats.org/officeDocument/2006/relationships/image" Target="media/image1631.png"/><Relationship Id="rId1640" Type="http://schemas.openxmlformats.org/officeDocument/2006/relationships/image" Target="media/image1632.png"/><Relationship Id="rId1641" Type="http://schemas.openxmlformats.org/officeDocument/2006/relationships/image" Target="media/image1633.png"/><Relationship Id="rId1642" Type="http://schemas.openxmlformats.org/officeDocument/2006/relationships/image" Target="media/image1634.png"/><Relationship Id="rId1643" Type="http://schemas.openxmlformats.org/officeDocument/2006/relationships/image" Target="media/image1635.png"/><Relationship Id="rId1644" Type="http://schemas.openxmlformats.org/officeDocument/2006/relationships/image" Target="media/image1636.png"/><Relationship Id="rId1645" Type="http://schemas.openxmlformats.org/officeDocument/2006/relationships/image" Target="media/image1637.png"/><Relationship Id="rId1646" Type="http://schemas.openxmlformats.org/officeDocument/2006/relationships/image" Target="media/image1638.png"/><Relationship Id="rId1647" Type="http://schemas.openxmlformats.org/officeDocument/2006/relationships/image" Target="media/image1639.png"/><Relationship Id="rId1648" Type="http://schemas.openxmlformats.org/officeDocument/2006/relationships/image" Target="media/image1640.png"/><Relationship Id="rId1649" Type="http://schemas.openxmlformats.org/officeDocument/2006/relationships/image" Target="media/image1641.png"/><Relationship Id="rId1650" Type="http://schemas.openxmlformats.org/officeDocument/2006/relationships/image" Target="media/image1642.png"/><Relationship Id="rId1651" Type="http://schemas.openxmlformats.org/officeDocument/2006/relationships/image" Target="media/image1643.png"/><Relationship Id="rId1652" Type="http://schemas.openxmlformats.org/officeDocument/2006/relationships/image" Target="media/image1644.png"/><Relationship Id="rId1653" Type="http://schemas.openxmlformats.org/officeDocument/2006/relationships/image" Target="media/image1645.png"/><Relationship Id="rId1654" Type="http://schemas.openxmlformats.org/officeDocument/2006/relationships/image" Target="media/image1646.png"/><Relationship Id="rId1655" Type="http://schemas.openxmlformats.org/officeDocument/2006/relationships/image" Target="media/image1647.png"/><Relationship Id="rId1656" Type="http://schemas.openxmlformats.org/officeDocument/2006/relationships/image" Target="media/image1648.png"/><Relationship Id="rId1657" Type="http://schemas.openxmlformats.org/officeDocument/2006/relationships/image" Target="media/image1649.png"/><Relationship Id="rId1658" Type="http://schemas.openxmlformats.org/officeDocument/2006/relationships/image" Target="media/image1650.png"/><Relationship Id="rId1659" Type="http://schemas.openxmlformats.org/officeDocument/2006/relationships/image" Target="media/image1651.png"/><Relationship Id="rId1660" Type="http://schemas.openxmlformats.org/officeDocument/2006/relationships/image" Target="media/image1652.png"/><Relationship Id="rId1661" Type="http://schemas.openxmlformats.org/officeDocument/2006/relationships/image" Target="media/image1653.png"/><Relationship Id="rId1662" Type="http://schemas.openxmlformats.org/officeDocument/2006/relationships/image" Target="media/image1654.png"/><Relationship Id="rId1663" Type="http://schemas.openxmlformats.org/officeDocument/2006/relationships/image" Target="media/image1655.png"/><Relationship Id="rId1664" Type="http://schemas.openxmlformats.org/officeDocument/2006/relationships/image" Target="media/image1656.png"/><Relationship Id="rId1665" Type="http://schemas.openxmlformats.org/officeDocument/2006/relationships/image" Target="media/image1657.png"/><Relationship Id="rId1666" Type="http://schemas.openxmlformats.org/officeDocument/2006/relationships/image" Target="media/image1658.png"/><Relationship Id="rId1667" Type="http://schemas.openxmlformats.org/officeDocument/2006/relationships/image" Target="media/image1659.png"/><Relationship Id="rId1668" Type="http://schemas.openxmlformats.org/officeDocument/2006/relationships/image" Target="media/image1660.png"/><Relationship Id="rId1669" Type="http://schemas.openxmlformats.org/officeDocument/2006/relationships/image" Target="media/image1661.png"/><Relationship Id="rId1670" Type="http://schemas.openxmlformats.org/officeDocument/2006/relationships/image" Target="media/image1662.png"/><Relationship Id="rId1671" Type="http://schemas.openxmlformats.org/officeDocument/2006/relationships/image" Target="media/image1663.png"/><Relationship Id="rId1672" Type="http://schemas.openxmlformats.org/officeDocument/2006/relationships/image" Target="media/image1664.png"/><Relationship Id="rId1673" Type="http://schemas.openxmlformats.org/officeDocument/2006/relationships/image" Target="media/image1665.png"/><Relationship Id="rId1674" Type="http://schemas.openxmlformats.org/officeDocument/2006/relationships/image" Target="media/image1666.png"/><Relationship Id="rId1675" Type="http://schemas.openxmlformats.org/officeDocument/2006/relationships/image" Target="media/image1667.png"/><Relationship Id="rId1676" Type="http://schemas.openxmlformats.org/officeDocument/2006/relationships/image" Target="media/image1668.png"/><Relationship Id="rId1677" Type="http://schemas.openxmlformats.org/officeDocument/2006/relationships/image" Target="media/image1669.png"/><Relationship Id="rId1678" Type="http://schemas.openxmlformats.org/officeDocument/2006/relationships/image" Target="media/image1670.png"/><Relationship Id="rId1679" Type="http://schemas.openxmlformats.org/officeDocument/2006/relationships/image" Target="media/image1671.png"/><Relationship Id="rId1680" Type="http://schemas.openxmlformats.org/officeDocument/2006/relationships/image" Target="media/image1672.png"/><Relationship Id="rId1681" Type="http://schemas.openxmlformats.org/officeDocument/2006/relationships/image" Target="media/image1673.png"/><Relationship Id="rId1682" Type="http://schemas.openxmlformats.org/officeDocument/2006/relationships/image" Target="media/image1674.png"/><Relationship Id="rId1683" Type="http://schemas.openxmlformats.org/officeDocument/2006/relationships/image" Target="media/image1675.png"/><Relationship Id="rId1684" Type="http://schemas.openxmlformats.org/officeDocument/2006/relationships/image" Target="media/image1676.png"/><Relationship Id="rId1685" Type="http://schemas.openxmlformats.org/officeDocument/2006/relationships/image" Target="media/image1677.png"/><Relationship Id="rId1686" Type="http://schemas.openxmlformats.org/officeDocument/2006/relationships/image" Target="media/image1678.png"/><Relationship Id="rId1687" Type="http://schemas.openxmlformats.org/officeDocument/2006/relationships/image" Target="media/image1679.png"/><Relationship Id="rId1688" Type="http://schemas.openxmlformats.org/officeDocument/2006/relationships/image" Target="media/image1680.png"/><Relationship Id="rId1689" Type="http://schemas.openxmlformats.org/officeDocument/2006/relationships/image" Target="media/image1681.png"/><Relationship Id="rId1690" Type="http://schemas.openxmlformats.org/officeDocument/2006/relationships/image" Target="media/image1682.png"/><Relationship Id="rId1691" Type="http://schemas.openxmlformats.org/officeDocument/2006/relationships/image" Target="media/image1683.png"/><Relationship Id="rId1692" Type="http://schemas.openxmlformats.org/officeDocument/2006/relationships/image" Target="media/image1684.png"/><Relationship Id="rId1693" Type="http://schemas.openxmlformats.org/officeDocument/2006/relationships/image" Target="media/image1685.png"/><Relationship Id="rId1694" Type="http://schemas.openxmlformats.org/officeDocument/2006/relationships/image" Target="media/image1686.png"/><Relationship Id="rId1695" Type="http://schemas.openxmlformats.org/officeDocument/2006/relationships/image" Target="media/image1687.png"/><Relationship Id="rId1696" Type="http://schemas.openxmlformats.org/officeDocument/2006/relationships/image" Target="media/image1688.png"/><Relationship Id="rId1697" Type="http://schemas.openxmlformats.org/officeDocument/2006/relationships/image" Target="media/image1689.png"/><Relationship Id="rId1698" Type="http://schemas.openxmlformats.org/officeDocument/2006/relationships/image" Target="media/image1690.png"/><Relationship Id="rId1699" Type="http://schemas.openxmlformats.org/officeDocument/2006/relationships/image" Target="media/image1691.png"/><Relationship Id="rId1700" Type="http://schemas.openxmlformats.org/officeDocument/2006/relationships/image" Target="media/image1692.png"/><Relationship Id="rId1701" Type="http://schemas.openxmlformats.org/officeDocument/2006/relationships/image" Target="media/image1693.png"/><Relationship Id="rId1702" Type="http://schemas.openxmlformats.org/officeDocument/2006/relationships/image" Target="media/image1694.png"/><Relationship Id="rId1703" Type="http://schemas.openxmlformats.org/officeDocument/2006/relationships/image" Target="media/image1695.png"/><Relationship Id="rId1704" Type="http://schemas.openxmlformats.org/officeDocument/2006/relationships/image" Target="media/image1696.png"/><Relationship Id="rId1705" Type="http://schemas.openxmlformats.org/officeDocument/2006/relationships/image" Target="media/image1697.png"/><Relationship Id="rId1706" Type="http://schemas.openxmlformats.org/officeDocument/2006/relationships/image" Target="media/image1698.png"/><Relationship Id="rId1707" Type="http://schemas.openxmlformats.org/officeDocument/2006/relationships/image" Target="media/image1699.png"/><Relationship Id="rId1708" Type="http://schemas.openxmlformats.org/officeDocument/2006/relationships/image" Target="media/image1700.png"/><Relationship Id="rId1709" Type="http://schemas.openxmlformats.org/officeDocument/2006/relationships/image" Target="media/image1701.png"/><Relationship Id="rId1710" Type="http://schemas.openxmlformats.org/officeDocument/2006/relationships/image" Target="media/image1702.png"/><Relationship Id="rId1711" Type="http://schemas.openxmlformats.org/officeDocument/2006/relationships/image" Target="media/image1703.png"/><Relationship Id="rId1712" Type="http://schemas.openxmlformats.org/officeDocument/2006/relationships/image" Target="media/image1704.png"/><Relationship Id="rId1713" Type="http://schemas.openxmlformats.org/officeDocument/2006/relationships/image" Target="media/image1705.png"/><Relationship Id="rId1714" Type="http://schemas.openxmlformats.org/officeDocument/2006/relationships/image" Target="media/image1706.png"/><Relationship Id="rId1715" Type="http://schemas.openxmlformats.org/officeDocument/2006/relationships/image" Target="media/image1707.png"/><Relationship Id="rId1716" Type="http://schemas.openxmlformats.org/officeDocument/2006/relationships/image" Target="media/image1708.png"/><Relationship Id="rId1717" Type="http://schemas.openxmlformats.org/officeDocument/2006/relationships/image" Target="media/image1709.png"/><Relationship Id="rId1718" Type="http://schemas.openxmlformats.org/officeDocument/2006/relationships/image" Target="media/image1710.png"/><Relationship Id="rId1719" Type="http://schemas.openxmlformats.org/officeDocument/2006/relationships/image" Target="media/image1711.png"/><Relationship Id="rId1720" Type="http://schemas.openxmlformats.org/officeDocument/2006/relationships/image" Target="media/image1712.png"/><Relationship Id="rId1721" Type="http://schemas.openxmlformats.org/officeDocument/2006/relationships/image" Target="media/image1713.png"/><Relationship Id="rId1722" Type="http://schemas.openxmlformats.org/officeDocument/2006/relationships/image" Target="media/image1714.png"/><Relationship Id="rId1723" Type="http://schemas.openxmlformats.org/officeDocument/2006/relationships/image" Target="media/image1715.png"/><Relationship Id="rId1724" Type="http://schemas.openxmlformats.org/officeDocument/2006/relationships/image" Target="media/image1716.png"/><Relationship Id="rId1725" Type="http://schemas.openxmlformats.org/officeDocument/2006/relationships/image" Target="media/image1717.png"/><Relationship Id="rId1726" Type="http://schemas.openxmlformats.org/officeDocument/2006/relationships/image" Target="media/image1718.png"/><Relationship Id="rId1727" Type="http://schemas.openxmlformats.org/officeDocument/2006/relationships/image" Target="media/image1719.png"/><Relationship Id="rId1728" Type="http://schemas.openxmlformats.org/officeDocument/2006/relationships/image" Target="media/image1720.png"/><Relationship Id="rId1729" Type="http://schemas.openxmlformats.org/officeDocument/2006/relationships/image" Target="media/image1721.png"/><Relationship Id="rId1730" Type="http://schemas.openxmlformats.org/officeDocument/2006/relationships/image" Target="media/image1722.png"/><Relationship Id="rId1731" Type="http://schemas.openxmlformats.org/officeDocument/2006/relationships/image" Target="media/image1723.png"/><Relationship Id="rId1732" Type="http://schemas.openxmlformats.org/officeDocument/2006/relationships/image" Target="media/image1724.png"/><Relationship Id="rId1733" Type="http://schemas.openxmlformats.org/officeDocument/2006/relationships/image" Target="media/image1725.png"/><Relationship Id="rId1734" Type="http://schemas.openxmlformats.org/officeDocument/2006/relationships/image" Target="media/image1726.png"/><Relationship Id="rId1735" Type="http://schemas.openxmlformats.org/officeDocument/2006/relationships/image" Target="media/image1727.png"/><Relationship Id="rId1736" Type="http://schemas.openxmlformats.org/officeDocument/2006/relationships/image" Target="media/image1728.png"/><Relationship Id="rId1737" Type="http://schemas.openxmlformats.org/officeDocument/2006/relationships/image" Target="media/image1729.png"/><Relationship Id="rId1738" Type="http://schemas.openxmlformats.org/officeDocument/2006/relationships/image" Target="media/image1730.png"/><Relationship Id="rId1739" Type="http://schemas.openxmlformats.org/officeDocument/2006/relationships/image" Target="media/image1731.png"/><Relationship Id="rId1740" Type="http://schemas.openxmlformats.org/officeDocument/2006/relationships/image" Target="media/image1732.png"/><Relationship Id="rId1741" Type="http://schemas.openxmlformats.org/officeDocument/2006/relationships/image" Target="media/image1733.png"/><Relationship Id="rId1742" Type="http://schemas.openxmlformats.org/officeDocument/2006/relationships/image" Target="media/image1734.png"/><Relationship Id="rId1743" Type="http://schemas.openxmlformats.org/officeDocument/2006/relationships/image" Target="media/image1735.png"/><Relationship Id="rId1744" Type="http://schemas.openxmlformats.org/officeDocument/2006/relationships/image" Target="media/image1736.png"/><Relationship Id="rId1745" Type="http://schemas.openxmlformats.org/officeDocument/2006/relationships/image" Target="media/image1737.png"/><Relationship Id="rId1746" Type="http://schemas.openxmlformats.org/officeDocument/2006/relationships/image" Target="media/image1738.png"/><Relationship Id="rId1747" Type="http://schemas.openxmlformats.org/officeDocument/2006/relationships/image" Target="media/image1739.png"/><Relationship Id="rId1748" Type="http://schemas.openxmlformats.org/officeDocument/2006/relationships/image" Target="media/image1740.png"/><Relationship Id="rId1749" Type="http://schemas.openxmlformats.org/officeDocument/2006/relationships/image" Target="media/image1741.png"/><Relationship Id="rId1750" Type="http://schemas.openxmlformats.org/officeDocument/2006/relationships/image" Target="media/image1742.png"/><Relationship Id="rId1751" Type="http://schemas.openxmlformats.org/officeDocument/2006/relationships/image" Target="media/image1743.png"/><Relationship Id="rId1752" Type="http://schemas.openxmlformats.org/officeDocument/2006/relationships/image" Target="media/image1744.png"/><Relationship Id="rId1753" Type="http://schemas.openxmlformats.org/officeDocument/2006/relationships/image" Target="media/image1745.png"/><Relationship Id="rId1754" Type="http://schemas.openxmlformats.org/officeDocument/2006/relationships/image" Target="media/image1746.png"/><Relationship Id="rId1755" Type="http://schemas.openxmlformats.org/officeDocument/2006/relationships/image" Target="media/image1747.png"/><Relationship Id="rId1756" Type="http://schemas.openxmlformats.org/officeDocument/2006/relationships/image" Target="media/image1748.png"/><Relationship Id="rId1757" Type="http://schemas.openxmlformats.org/officeDocument/2006/relationships/image" Target="media/image1749.png"/><Relationship Id="rId1758" Type="http://schemas.openxmlformats.org/officeDocument/2006/relationships/image" Target="media/image1750.png"/><Relationship Id="rId1759" Type="http://schemas.openxmlformats.org/officeDocument/2006/relationships/image" Target="media/image1751.png"/><Relationship Id="rId1760" Type="http://schemas.openxmlformats.org/officeDocument/2006/relationships/image" Target="media/image1752.png"/><Relationship Id="rId1761" Type="http://schemas.openxmlformats.org/officeDocument/2006/relationships/image" Target="media/image1753.png"/><Relationship Id="rId1762" Type="http://schemas.openxmlformats.org/officeDocument/2006/relationships/image" Target="media/image1754.png"/><Relationship Id="rId1763" Type="http://schemas.openxmlformats.org/officeDocument/2006/relationships/image" Target="media/image1755.png"/><Relationship Id="rId1764" Type="http://schemas.openxmlformats.org/officeDocument/2006/relationships/image" Target="media/image1756.png"/><Relationship Id="rId1765" Type="http://schemas.openxmlformats.org/officeDocument/2006/relationships/image" Target="media/image1757.png"/><Relationship Id="rId1766" Type="http://schemas.openxmlformats.org/officeDocument/2006/relationships/image" Target="media/image1758.png"/><Relationship Id="rId1767" Type="http://schemas.openxmlformats.org/officeDocument/2006/relationships/image" Target="media/image1759.png"/><Relationship Id="rId1768" Type="http://schemas.openxmlformats.org/officeDocument/2006/relationships/image" Target="media/image1760.png"/><Relationship Id="rId1769" Type="http://schemas.openxmlformats.org/officeDocument/2006/relationships/image" Target="media/image1761.png"/><Relationship Id="rId1770" Type="http://schemas.openxmlformats.org/officeDocument/2006/relationships/image" Target="media/image1762.png"/><Relationship Id="rId1771" Type="http://schemas.openxmlformats.org/officeDocument/2006/relationships/image" Target="media/image1763.png"/><Relationship Id="rId1772" Type="http://schemas.openxmlformats.org/officeDocument/2006/relationships/image" Target="media/image1764.png"/><Relationship Id="rId1773" Type="http://schemas.openxmlformats.org/officeDocument/2006/relationships/image" Target="media/image1765.png"/><Relationship Id="rId1774" Type="http://schemas.openxmlformats.org/officeDocument/2006/relationships/image" Target="media/image1766.png"/><Relationship Id="rId1775" Type="http://schemas.openxmlformats.org/officeDocument/2006/relationships/image" Target="media/image1767.png"/><Relationship Id="rId1776" Type="http://schemas.openxmlformats.org/officeDocument/2006/relationships/image" Target="media/image1768.png"/><Relationship Id="rId1777" Type="http://schemas.openxmlformats.org/officeDocument/2006/relationships/image" Target="media/image1769.png"/><Relationship Id="rId1778" Type="http://schemas.openxmlformats.org/officeDocument/2006/relationships/image" Target="media/image1770.png"/><Relationship Id="rId1779" Type="http://schemas.openxmlformats.org/officeDocument/2006/relationships/image" Target="media/image1771.png"/><Relationship Id="rId1780" Type="http://schemas.openxmlformats.org/officeDocument/2006/relationships/image" Target="media/image1772.png"/><Relationship Id="rId1781" Type="http://schemas.openxmlformats.org/officeDocument/2006/relationships/image" Target="media/image1773.png"/><Relationship Id="rId1782" Type="http://schemas.openxmlformats.org/officeDocument/2006/relationships/image" Target="media/image1774.png"/><Relationship Id="rId1783" Type="http://schemas.openxmlformats.org/officeDocument/2006/relationships/image" Target="media/image1775.png"/><Relationship Id="rId1784" Type="http://schemas.openxmlformats.org/officeDocument/2006/relationships/image" Target="media/image1776.png"/><Relationship Id="rId1785" Type="http://schemas.openxmlformats.org/officeDocument/2006/relationships/image" Target="media/image1777.png"/><Relationship Id="rId1786" Type="http://schemas.openxmlformats.org/officeDocument/2006/relationships/image" Target="media/image1778.png"/><Relationship Id="rId1787" Type="http://schemas.openxmlformats.org/officeDocument/2006/relationships/image" Target="media/image1779.png"/><Relationship Id="rId1788" Type="http://schemas.openxmlformats.org/officeDocument/2006/relationships/image" Target="media/image1780.png"/><Relationship Id="rId1789" Type="http://schemas.openxmlformats.org/officeDocument/2006/relationships/image" Target="media/image1781.png"/><Relationship Id="rId1790" Type="http://schemas.openxmlformats.org/officeDocument/2006/relationships/image" Target="media/image1782.png"/><Relationship Id="rId1791" Type="http://schemas.openxmlformats.org/officeDocument/2006/relationships/image" Target="media/image1783.png"/><Relationship Id="rId1792" Type="http://schemas.openxmlformats.org/officeDocument/2006/relationships/image" Target="media/image1784.png"/><Relationship Id="rId1793" Type="http://schemas.openxmlformats.org/officeDocument/2006/relationships/image" Target="media/image1785.png"/><Relationship Id="rId1794" Type="http://schemas.openxmlformats.org/officeDocument/2006/relationships/image" Target="media/image1786.png"/><Relationship Id="rId1795" Type="http://schemas.openxmlformats.org/officeDocument/2006/relationships/image" Target="media/image1787.png"/><Relationship Id="rId1796" Type="http://schemas.openxmlformats.org/officeDocument/2006/relationships/image" Target="media/image1788.png"/><Relationship Id="rId1797" Type="http://schemas.openxmlformats.org/officeDocument/2006/relationships/image" Target="media/image1789.png"/><Relationship Id="rId1798" Type="http://schemas.openxmlformats.org/officeDocument/2006/relationships/image" Target="media/image1790.png"/><Relationship Id="rId1799" Type="http://schemas.openxmlformats.org/officeDocument/2006/relationships/image" Target="media/image1791.png"/><Relationship Id="rId1800" Type="http://schemas.openxmlformats.org/officeDocument/2006/relationships/image" Target="media/image1792.png"/><Relationship Id="rId1801" Type="http://schemas.openxmlformats.org/officeDocument/2006/relationships/image" Target="media/image1793.png"/><Relationship Id="rId1802" Type="http://schemas.openxmlformats.org/officeDocument/2006/relationships/image" Target="media/image1794.png"/><Relationship Id="rId1803" Type="http://schemas.openxmlformats.org/officeDocument/2006/relationships/image" Target="media/image1795.png"/><Relationship Id="rId1804" Type="http://schemas.openxmlformats.org/officeDocument/2006/relationships/image" Target="media/image1796.png"/><Relationship Id="rId1805" Type="http://schemas.openxmlformats.org/officeDocument/2006/relationships/image" Target="media/image1797.png"/><Relationship Id="rId1806" Type="http://schemas.openxmlformats.org/officeDocument/2006/relationships/image" Target="media/image1798.png"/><Relationship Id="rId1807" Type="http://schemas.openxmlformats.org/officeDocument/2006/relationships/image" Target="media/image1799.png"/><Relationship Id="rId1808" Type="http://schemas.openxmlformats.org/officeDocument/2006/relationships/image" Target="media/image1800.png"/><Relationship Id="rId1809" Type="http://schemas.openxmlformats.org/officeDocument/2006/relationships/image" Target="media/image1801.png"/><Relationship Id="rId1810" Type="http://schemas.openxmlformats.org/officeDocument/2006/relationships/image" Target="media/image1802.png"/><Relationship Id="rId1811" Type="http://schemas.openxmlformats.org/officeDocument/2006/relationships/image" Target="media/image1803.png"/><Relationship Id="rId1812" Type="http://schemas.openxmlformats.org/officeDocument/2006/relationships/image" Target="media/image1804.png"/><Relationship Id="rId1813" Type="http://schemas.openxmlformats.org/officeDocument/2006/relationships/image" Target="media/image1805.png"/><Relationship Id="rId1814" Type="http://schemas.openxmlformats.org/officeDocument/2006/relationships/image" Target="media/image1806.png"/><Relationship Id="rId1815" Type="http://schemas.openxmlformats.org/officeDocument/2006/relationships/image" Target="media/image1807.png"/><Relationship Id="rId1816" Type="http://schemas.openxmlformats.org/officeDocument/2006/relationships/image" Target="media/image1808.png"/><Relationship Id="rId1817" Type="http://schemas.openxmlformats.org/officeDocument/2006/relationships/image" Target="media/image1809.png"/><Relationship Id="rId1818" Type="http://schemas.openxmlformats.org/officeDocument/2006/relationships/image" Target="media/image1810.png"/><Relationship Id="rId1819" Type="http://schemas.openxmlformats.org/officeDocument/2006/relationships/image" Target="media/image1811.png"/><Relationship Id="rId1820" Type="http://schemas.openxmlformats.org/officeDocument/2006/relationships/image" Target="media/image1812.png"/><Relationship Id="rId1821" Type="http://schemas.openxmlformats.org/officeDocument/2006/relationships/image" Target="media/image1813.png"/><Relationship Id="rId1822" Type="http://schemas.openxmlformats.org/officeDocument/2006/relationships/image" Target="media/image1814.png"/><Relationship Id="rId1823" Type="http://schemas.openxmlformats.org/officeDocument/2006/relationships/image" Target="media/image1815.png"/><Relationship Id="rId1824" Type="http://schemas.openxmlformats.org/officeDocument/2006/relationships/image" Target="media/image1816.png"/><Relationship Id="rId1825" Type="http://schemas.openxmlformats.org/officeDocument/2006/relationships/image" Target="media/image1817.png"/><Relationship Id="rId1826" Type="http://schemas.openxmlformats.org/officeDocument/2006/relationships/image" Target="media/image1818.png"/><Relationship Id="rId1827" Type="http://schemas.openxmlformats.org/officeDocument/2006/relationships/image" Target="media/image1819.png"/><Relationship Id="rId1828" Type="http://schemas.openxmlformats.org/officeDocument/2006/relationships/image" Target="media/image1820.png"/><Relationship Id="rId1829" Type="http://schemas.openxmlformats.org/officeDocument/2006/relationships/image" Target="media/image1821.png"/><Relationship Id="rId1830" Type="http://schemas.openxmlformats.org/officeDocument/2006/relationships/image" Target="media/image1822.png"/><Relationship Id="rId1831" Type="http://schemas.openxmlformats.org/officeDocument/2006/relationships/image" Target="media/image1823.png"/><Relationship Id="rId1832" Type="http://schemas.openxmlformats.org/officeDocument/2006/relationships/image" Target="media/image1824.png"/><Relationship Id="rId1833" Type="http://schemas.openxmlformats.org/officeDocument/2006/relationships/image" Target="media/image1825.png"/><Relationship Id="rId1834" Type="http://schemas.openxmlformats.org/officeDocument/2006/relationships/image" Target="media/image1826.png"/><Relationship Id="rId1835" Type="http://schemas.openxmlformats.org/officeDocument/2006/relationships/image" Target="media/image1827.png"/><Relationship Id="rId1836" Type="http://schemas.openxmlformats.org/officeDocument/2006/relationships/image" Target="media/image1828.png"/><Relationship Id="rId1837" Type="http://schemas.openxmlformats.org/officeDocument/2006/relationships/image" Target="media/image1829.png"/><Relationship Id="rId1838" Type="http://schemas.openxmlformats.org/officeDocument/2006/relationships/image" Target="media/image1830.png"/><Relationship Id="rId1839" Type="http://schemas.openxmlformats.org/officeDocument/2006/relationships/image" Target="media/image1831.png"/><Relationship Id="rId1840" Type="http://schemas.openxmlformats.org/officeDocument/2006/relationships/image" Target="media/image1832.png"/><Relationship Id="rId1841" Type="http://schemas.openxmlformats.org/officeDocument/2006/relationships/image" Target="media/image1833.png"/><Relationship Id="rId1842" Type="http://schemas.openxmlformats.org/officeDocument/2006/relationships/image" Target="media/image1834.png"/><Relationship Id="rId1843" Type="http://schemas.openxmlformats.org/officeDocument/2006/relationships/image" Target="media/image1835.png"/><Relationship Id="rId1844" Type="http://schemas.openxmlformats.org/officeDocument/2006/relationships/image" Target="media/image1836.png"/><Relationship Id="rId1845" Type="http://schemas.openxmlformats.org/officeDocument/2006/relationships/image" Target="media/image1837.png"/><Relationship Id="rId1846" Type="http://schemas.openxmlformats.org/officeDocument/2006/relationships/image" Target="media/image1838.png"/><Relationship Id="rId1847" Type="http://schemas.openxmlformats.org/officeDocument/2006/relationships/image" Target="media/image1839.png"/><Relationship Id="rId1848" Type="http://schemas.openxmlformats.org/officeDocument/2006/relationships/image" Target="media/image1840.png"/><Relationship Id="rId1849" Type="http://schemas.openxmlformats.org/officeDocument/2006/relationships/image" Target="media/image1841.png"/><Relationship Id="rId1850" Type="http://schemas.openxmlformats.org/officeDocument/2006/relationships/image" Target="media/image1842.png"/><Relationship Id="rId1851" Type="http://schemas.openxmlformats.org/officeDocument/2006/relationships/image" Target="media/image1843.png"/><Relationship Id="rId1852" Type="http://schemas.openxmlformats.org/officeDocument/2006/relationships/image" Target="media/image1844.png"/><Relationship Id="rId1853" Type="http://schemas.openxmlformats.org/officeDocument/2006/relationships/image" Target="media/image1845.png"/><Relationship Id="rId1854" Type="http://schemas.openxmlformats.org/officeDocument/2006/relationships/image" Target="media/image1846.png"/><Relationship Id="rId1855" Type="http://schemas.openxmlformats.org/officeDocument/2006/relationships/image" Target="media/image1847.png"/><Relationship Id="rId1856" Type="http://schemas.openxmlformats.org/officeDocument/2006/relationships/image" Target="media/image1848.png"/><Relationship Id="rId1857" Type="http://schemas.openxmlformats.org/officeDocument/2006/relationships/image" Target="media/image1849.png"/><Relationship Id="rId1858" Type="http://schemas.openxmlformats.org/officeDocument/2006/relationships/image" Target="media/image1850.png"/><Relationship Id="rId1859" Type="http://schemas.openxmlformats.org/officeDocument/2006/relationships/image" Target="media/image1851.png"/><Relationship Id="rId1860" Type="http://schemas.openxmlformats.org/officeDocument/2006/relationships/image" Target="media/image1852.png"/><Relationship Id="rId1861" Type="http://schemas.openxmlformats.org/officeDocument/2006/relationships/image" Target="media/image1853.png"/><Relationship Id="rId1862" Type="http://schemas.openxmlformats.org/officeDocument/2006/relationships/image" Target="media/image1854.png"/><Relationship Id="rId1863" Type="http://schemas.openxmlformats.org/officeDocument/2006/relationships/image" Target="media/image1855.png"/><Relationship Id="rId1864" Type="http://schemas.openxmlformats.org/officeDocument/2006/relationships/image" Target="media/image1856.png"/><Relationship Id="rId1865" Type="http://schemas.openxmlformats.org/officeDocument/2006/relationships/image" Target="media/image1857.png"/><Relationship Id="rId1866" Type="http://schemas.openxmlformats.org/officeDocument/2006/relationships/image" Target="media/image1858.png"/><Relationship Id="rId1867" Type="http://schemas.openxmlformats.org/officeDocument/2006/relationships/image" Target="media/image1859.png"/><Relationship Id="rId1868" Type="http://schemas.openxmlformats.org/officeDocument/2006/relationships/image" Target="media/image1860.png"/><Relationship Id="rId1869" Type="http://schemas.openxmlformats.org/officeDocument/2006/relationships/image" Target="media/image1861.png"/><Relationship Id="rId1870" Type="http://schemas.openxmlformats.org/officeDocument/2006/relationships/image" Target="media/image1862.png"/><Relationship Id="rId1871" Type="http://schemas.openxmlformats.org/officeDocument/2006/relationships/image" Target="media/image1863.png"/><Relationship Id="rId1872" Type="http://schemas.openxmlformats.org/officeDocument/2006/relationships/image" Target="media/image1864.png"/><Relationship Id="rId1873" Type="http://schemas.openxmlformats.org/officeDocument/2006/relationships/image" Target="media/image1865.png"/><Relationship Id="rId1874" Type="http://schemas.openxmlformats.org/officeDocument/2006/relationships/image" Target="media/image1866.png"/><Relationship Id="rId1875" Type="http://schemas.openxmlformats.org/officeDocument/2006/relationships/image" Target="media/image1867.png"/><Relationship Id="rId1876" Type="http://schemas.openxmlformats.org/officeDocument/2006/relationships/image" Target="media/image1868.png"/><Relationship Id="rId1877" Type="http://schemas.openxmlformats.org/officeDocument/2006/relationships/image" Target="media/image1869.png"/><Relationship Id="rId1878" Type="http://schemas.openxmlformats.org/officeDocument/2006/relationships/image" Target="media/image1870.png"/><Relationship Id="rId1879" Type="http://schemas.openxmlformats.org/officeDocument/2006/relationships/image" Target="media/image1871.png"/><Relationship Id="rId1880" Type="http://schemas.openxmlformats.org/officeDocument/2006/relationships/image" Target="media/image1872.png"/><Relationship Id="rId1881" Type="http://schemas.openxmlformats.org/officeDocument/2006/relationships/image" Target="media/image1873.png"/><Relationship Id="rId1882" Type="http://schemas.openxmlformats.org/officeDocument/2006/relationships/image" Target="media/image1874.png"/><Relationship Id="rId1883" Type="http://schemas.openxmlformats.org/officeDocument/2006/relationships/image" Target="media/image1875.png"/><Relationship Id="rId1884" Type="http://schemas.openxmlformats.org/officeDocument/2006/relationships/image" Target="media/image1876.png"/><Relationship Id="rId1885" Type="http://schemas.openxmlformats.org/officeDocument/2006/relationships/image" Target="media/image1877.png"/><Relationship Id="rId1886" Type="http://schemas.openxmlformats.org/officeDocument/2006/relationships/image" Target="media/image1878.png"/><Relationship Id="rId1887" Type="http://schemas.openxmlformats.org/officeDocument/2006/relationships/image" Target="media/image1879.png"/><Relationship Id="rId1888" Type="http://schemas.openxmlformats.org/officeDocument/2006/relationships/image" Target="media/image1880.png"/><Relationship Id="rId1889" Type="http://schemas.openxmlformats.org/officeDocument/2006/relationships/image" Target="media/image1881.png"/><Relationship Id="rId1890" Type="http://schemas.openxmlformats.org/officeDocument/2006/relationships/image" Target="media/image1882.png"/><Relationship Id="rId1891" Type="http://schemas.openxmlformats.org/officeDocument/2006/relationships/image" Target="media/image1883.png"/><Relationship Id="rId1892" Type="http://schemas.openxmlformats.org/officeDocument/2006/relationships/image" Target="media/image1884.png"/><Relationship Id="rId1893" Type="http://schemas.openxmlformats.org/officeDocument/2006/relationships/image" Target="media/image1885.png"/><Relationship Id="rId1894" Type="http://schemas.openxmlformats.org/officeDocument/2006/relationships/image" Target="media/image1886.png"/><Relationship Id="rId1895" Type="http://schemas.openxmlformats.org/officeDocument/2006/relationships/image" Target="media/image1887.png"/><Relationship Id="rId1896" Type="http://schemas.openxmlformats.org/officeDocument/2006/relationships/image" Target="media/image1888.png"/><Relationship Id="rId1897" Type="http://schemas.openxmlformats.org/officeDocument/2006/relationships/image" Target="media/image1889.png"/><Relationship Id="rId1898" Type="http://schemas.openxmlformats.org/officeDocument/2006/relationships/image" Target="media/image1890.png"/><Relationship Id="rId1899" Type="http://schemas.openxmlformats.org/officeDocument/2006/relationships/image" Target="media/image1891.png"/><Relationship Id="rId1900" Type="http://schemas.openxmlformats.org/officeDocument/2006/relationships/image" Target="media/image1892.png"/><Relationship Id="rId1901" Type="http://schemas.openxmlformats.org/officeDocument/2006/relationships/image" Target="media/image1893.png"/><Relationship Id="rId1902" Type="http://schemas.openxmlformats.org/officeDocument/2006/relationships/image" Target="media/image1894.png"/><Relationship Id="rId1903" Type="http://schemas.openxmlformats.org/officeDocument/2006/relationships/image" Target="media/image1895.png"/><Relationship Id="rId1904" Type="http://schemas.openxmlformats.org/officeDocument/2006/relationships/image" Target="media/image1896.png"/><Relationship Id="rId1905" Type="http://schemas.openxmlformats.org/officeDocument/2006/relationships/image" Target="media/image1897.png"/><Relationship Id="rId1906" Type="http://schemas.openxmlformats.org/officeDocument/2006/relationships/image" Target="media/image1898.png"/><Relationship Id="rId1907" Type="http://schemas.openxmlformats.org/officeDocument/2006/relationships/image" Target="media/image1899.png"/><Relationship Id="rId1908" Type="http://schemas.openxmlformats.org/officeDocument/2006/relationships/image" Target="media/image1900.png"/><Relationship Id="rId1909" Type="http://schemas.openxmlformats.org/officeDocument/2006/relationships/image" Target="media/image1901.png"/><Relationship Id="rId1910" Type="http://schemas.openxmlformats.org/officeDocument/2006/relationships/image" Target="media/image1902.png"/><Relationship Id="rId1911" Type="http://schemas.openxmlformats.org/officeDocument/2006/relationships/image" Target="media/image1903.png"/><Relationship Id="rId1912" Type="http://schemas.openxmlformats.org/officeDocument/2006/relationships/image" Target="media/image1904.png"/><Relationship Id="rId1913" Type="http://schemas.openxmlformats.org/officeDocument/2006/relationships/image" Target="media/image1905.png"/><Relationship Id="rId1914" Type="http://schemas.openxmlformats.org/officeDocument/2006/relationships/image" Target="media/image1906.png"/><Relationship Id="rId1915" Type="http://schemas.openxmlformats.org/officeDocument/2006/relationships/image" Target="media/image1907.png"/><Relationship Id="rId1916" Type="http://schemas.openxmlformats.org/officeDocument/2006/relationships/image" Target="media/image1908.png"/><Relationship Id="rId1917" Type="http://schemas.openxmlformats.org/officeDocument/2006/relationships/image" Target="media/image1909.png"/><Relationship Id="rId1918" Type="http://schemas.openxmlformats.org/officeDocument/2006/relationships/image" Target="media/image1910.png"/><Relationship Id="rId1919" Type="http://schemas.openxmlformats.org/officeDocument/2006/relationships/image" Target="media/image1911.png"/><Relationship Id="rId1920" Type="http://schemas.openxmlformats.org/officeDocument/2006/relationships/image" Target="media/image1912.png"/><Relationship Id="rId1921" Type="http://schemas.openxmlformats.org/officeDocument/2006/relationships/image" Target="media/image1913.png"/><Relationship Id="rId1922" Type="http://schemas.openxmlformats.org/officeDocument/2006/relationships/image" Target="media/image1914.png"/><Relationship Id="rId1923" Type="http://schemas.openxmlformats.org/officeDocument/2006/relationships/image" Target="media/image1915.png"/><Relationship Id="rId1924" Type="http://schemas.openxmlformats.org/officeDocument/2006/relationships/image" Target="media/image1916.png"/><Relationship Id="rId1925" Type="http://schemas.openxmlformats.org/officeDocument/2006/relationships/image" Target="media/image1917.png"/><Relationship Id="rId1926" Type="http://schemas.openxmlformats.org/officeDocument/2006/relationships/image" Target="media/image1918.png"/><Relationship Id="rId1927" Type="http://schemas.openxmlformats.org/officeDocument/2006/relationships/image" Target="media/image1919.png"/><Relationship Id="rId1928" Type="http://schemas.openxmlformats.org/officeDocument/2006/relationships/image" Target="media/image1920.png"/><Relationship Id="rId1929" Type="http://schemas.openxmlformats.org/officeDocument/2006/relationships/image" Target="media/image1921.png"/><Relationship Id="rId1930" Type="http://schemas.openxmlformats.org/officeDocument/2006/relationships/image" Target="media/image1922.png"/><Relationship Id="rId1931" Type="http://schemas.openxmlformats.org/officeDocument/2006/relationships/image" Target="media/image1923.png"/><Relationship Id="rId1932" Type="http://schemas.openxmlformats.org/officeDocument/2006/relationships/image" Target="media/image1924.png"/><Relationship Id="rId1933" Type="http://schemas.openxmlformats.org/officeDocument/2006/relationships/image" Target="media/image1925.png"/><Relationship Id="rId1934" Type="http://schemas.openxmlformats.org/officeDocument/2006/relationships/image" Target="media/image1926.png"/><Relationship Id="rId1935" Type="http://schemas.openxmlformats.org/officeDocument/2006/relationships/image" Target="media/image1927.png"/><Relationship Id="rId1936" Type="http://schemas.openxmlformats.org/officeDocument/2006/relationships/image" Target="media/image1928.png"/><Relationship Id="rId1937" Type="http://schemas.openxmlformats.org/officeDocument/2006/relationships/image" Target="media/image1929.png"/><Relationship Id="rId1938" Type="http://schemas.openxmlformats.org/officeDocument/2006/relationships/image" Target="media/image1930.png"/><Relationship Id="rId1939" Type="http://schemas.openxmlformats.org/officeDocument/2006/relationships/image" Target="media/image1931.png"/><Relationship Id="rId1940" Type="http://schemas.openxmlformats.org/officeDocument/2006/relationships/image" Target="media/image1932.png"/><Relationship Id="rId1941" Type="http://schemas.openxmlformats.org/officeDocument/2006/relationships/image" Target="media/image1933.png"/><Relationship Id="rId1942" Type="http://schemas.openxmlformats.org/officeDocument/2006/relationships/image" Target="media/image1934.png"/><Relationship Id="rId1943" Type="http://schemas.openxmlformats.org/officeDocument/2006/relationships/image" Target="media/image1935.png"/><Relationship Id="rId1944" Type="http://schemas.openxmlformats.org/officeDocument/2006/relationships/image" Target="media/image1936.png"/><Relationship Id="rId1945" Type="http://schemas.openxmlformats.org/officeDocument/2006/relationships/image" Target="media/image1937.png"/><Relationship Id="rId1946" Type="http://schemas.openxmlformats.org/officeDocument/2006/relationships/image" Target="media/image1938.png"/><Relationship Id="rId1947" Type="http://schemas.openxmlformats.org/officeDocument/2006/relationships/image" Target="media/image1939.png"/><Relationship Id="rId1948" Type="http://schemas.openxmlformats.org/officeDocument/2006/relationships/image" Target="media/image1940.png"/><Relationship Id="rId1949" Type="http://schemas.openxmlformats.org/officeDocument/2006/relationships/image" Target="media/image1941.png"/><Relationship Id="rId1950" Type="http://schemas.openxmlformats.org/officeDocument/2006/relationships/image" Target="media/image1942.png"/><Relationship Id="rId1951" Type="http://schemas.openxmlformats.org/officeDocument/2006/relationships/image" Target="media/image1943.png"/><Relationship Id="rId1952" Type="http://schemas.openxmlformats.org/officeDocument/2006/relationships/image" Target="media/image1944.png"/><Relationship Id="rId1953" Type="http://schemas.openxmlformats.org/officeDocument/2006/relationships/image" Target="media/image1945.png"/><Relationship Id="rId1954" Type="http://schemas.openxmlformats.org/officeDocument/2006/relationships/image" Target="media/image1946.png"/><Relationship Id="rId1955" Type="http://schemas.openxmlformats.org/officeDocument/2006/relationships/image" Target="media/image1947.png"/><Relationship Id="rId1956" Type="http://schemas.openxmlformats.org/officeDocument/2006/relationships/image" Target="media/image1948.png"/><Relationship Id="rId1957" Type="http://schemas.openxmlformats.org/officeDocument/2006/relationships/image" Target="media/image1949.png"/><Relationship Id="rId1958" Type="http://schemas.openxmlformats.org/officeDocument/2006/relationships/image" Target="media/image1950.png"/><Relationship Id="rId1959" Type="http://schemas.openxmlformats.org/officeDocument/2006/relationships/image" Target="media/image1951.png"/><Relationship Id="rId1960" Type="http://schemas.openxmlformats.org/officeDocument/2006/relationships/image" Target="media/image1952.png"/><Relationship Id="rId1961" Type="http://schemas.openxmlformats.org/officeDocument/2006/relationships/image" Target="media/image1953.png"/><Relationship Id="rId1962" Type="http://schemas.openxmlformats.org/officeDocument/2006/relationships/image" Target="media/image1954.png"/><Relationship Id="rId1963" Type="http://schemas.openxmlformats.org/officeDocument/2006/relationships/image" Target="media/image1955.png"/><Relationship Id="rId1964" Type="http://schemas.openxmlformats.org/officeDocument/2006/relationships/image" Target="media/image1956.png"/><Relationship Id="rId1965" Type="http://schemas.openxmlformats.org/officeDocument/2006/relationships/image" Target="media/image1957.png"/><Relationship Id="rId1966" Type="http://schemas.openxmlformats.org/officeDocument/2006/relationships/image" Target="media/image1958.png"/><Relationship Id="rId1967" Type="http://schemas.openxmlformats.org/officeDocument/2006/relationships/image" Target="media/image1959.png"/><Relationship Id="rId1968" Type="http://schemas.openxmlformats.org/officeDocument/2006/relationships/image" Target="media/image1960.png"/><Relationship Id="rId1969" Type="http://schemas.openxmlformats.org/officeDocument/2006/relationships/image" Target="media/image1961.png"/><Relationship Id="rId1970" Type="http://schemas.openxmlformats.org/officeDocument/2006/relationships/image" Target="media/image1962.png"/><Relationship Id="rId1971" Type="http://schemas.openxmlformats.org/officeDocument/2006/relationships/image" Target="media/image1963.png"/><Relationship Id="rId1972" Type="http://schemas.openxmlformats.org/officeDocument/2006/relationships/image" Target="media/image1964.png"/><Relationship Id="rId1973" Type="http://schemas.openxmlformats.org/officeDocument/2006/relationships/image" Target="media/image1965.png"/><Relationship Id="rId1974" Type="http://schemas.openxmlformats.org/officeDocument/2006/relationships/image" Target="media/image1966.png"/><Relationship Id="rId1975" Type="http://schemas.openxmlformats.org/officeDocument/2006/relationships/image" Target="media/image1967.png"/><Relationship Id="rId1976" Type="http://schemas.openxmlformats.org/officeDocument/2006/relationships/image" Target="media/image1968.png"/><Relationship Id="rId1977" Type="http://schemas.openxmlformats.org/officeDocument/2006/relationships/image" Target="media/image1969.png"/><Relationship Id="rId1978" Type="http://schemas.openxmlformats.org/officeDocument/2006/relationships/image" Target="media/image1970.png"/><Relationship Id="rId1979" Type="http://schemas.openxmlformats.org/officeDocument/2006/relationships/image" Target="media/image1971.png"/><Relationship Id="rId1980" Type="http://schemas.openxmlformats.org/officeDocument/2006/relationships/image" Target="media/image1972.png"/><Relationship Id="rId1981" Type="http://schemas.openxmlformats.org/officeDocument/2006/relationships/image" Target="media/image1973.png"/><Relationship Id="rId1982" Type="http://schemas.openxmlformats.org/officeDocument/2006/relationships/image" Target="media/image1974.png"/><Relationship Id="rId1983" Type="http://schemas.openxmlformats.org/officeDocument/2006/relationships/image" Target="media/image1975.png"/><Relationship Id="rId1984" Type="http://schemas.openxmlformats.org/officeDocument/2006/relationships/image" Target="media/image1976.png"/><Relationship Id="rId1985" Type="http://schemas.openxmlformats.org/officeDocument/2006/relationships/image" Target="media/image1977.png"/><Relationship Id="rId1986" Type="http://schemas.openxmlformats.org/officeDocument/2006/relationships/image" Target="media/image1978.png"/><Relationship Id="rId1987" Type="http://schemas.openxmlformats.org/officeDocument/2006/relationships/image" Target="media/image1979.png"/><Relationship Id="rId1988" Type="http://schemas.openxmlformats.org/officeDocument/2006/relationships/image" Target="media/image1980.png"/><Relationship Id="rId1989" Type="http://schemas.openxmlformats.org/officeDocument/2006/relationships/image" Target="media/image1981.png"/><Relationship Id="rId1990" Type="http://schemas.openxmlformats.org/officeDocument/2006/relationships/image" Target="media/image1982.png"/><Relationship Id="rId1991" Type="http://schemas.openxmlformats.org/officeDocument/2006/relationships/image" Target="media/image1983.png"/><Relationship Id="rId1992" Type="http://schemas.openxmlformats.org/officeDocument/2006/relationships/image" Target="media/image1984.png"/><Relationship Id="rId1993" Type="http://schemas.openxmlformats.org/officeDocument/2006/relationships/image" Target="media/image1985.png"/><Relationship Id="rId1994" Type="http://schemas.openxmlformats.org/officeDocument/2006/relationships/image" Target="media/image1986.png"/><Relationship Id="rId1995" Type="http://schemas.openxmlformats.org/officeDocument/2006/relationships/image" Target="media/image1987.png"/><Relationship Id="rId1996" Type="http://schemas.openxmlformats.org/officeDocument/2006/relationships/image" Target="media/image1988.png"/><Relationship Id="rId1997" Type="http://schemas.openxmlformats.org/officeDocument/2006/relationships/image" Target="media/image1989.png"/><Relationship Id="rId1998" Type="http://schemas.openxmlformats.org/officeDocument/2006/relationships/image" Target="media/image1990.png"/><Relationship Id="rId1999" Type="http://schemas.openxmlformats.org/officeDocument/2006/relationships/image" Target="media/image1991.png"/><Relationship Id="rId2000" Type="http://schemas.openxmlformats.org/officeDocument/2006/relationships/image" Target="media/image1992.png"/><Relationship Id="rId2001" Type="http://schemas.openxmlformats.org/officeDocument/2006/relationships/image" Target="media/image1993.png"/><Relationship Id="rId2002" Type="http://schemas.openxmlformats.org/officeDocument/2006/relationships/image" Target="media/image1994.png"/><Relationship Id="rId2003" Type="http://schemas.openxmlformats.org/officeDocument/2006/relationships/image" Target="media/image1995.png"/><Relationship Id="rId2004" Type="http://schemas.openxmlformats.org/officeDocument/2006/relationships/image" Target="media/image1996.png"/><Relationship Id="rId2005" Type="http://schemas.openxmlformats.org/officeDocument/2006/relationships/image" Target="media/image1997.png"/><Relationship Id="rId2006" Type="http://schemas.openxmlformats.org/officeDocument/2006/relationships/image" Target="media/image1998.png"/><Relationship Id="rId2007" Type="http://schemas.openxmlformats.org/officeDocument/2006/relationships/image" Target="media/image1999.png"/><Relationship Id="rId2008" Type="http://schemas.openxmlformats.org/officeDocument/2006/relationships/image" Target="media/image2000.png"/><Relationship Id="rId2009" Type="http://schemas.openxmlformats.org/officeDocument/2006/relationships/image" Target="media/image2001.png"/><Relationship Id="rId2010" Type="http://schemas.openxmlformats.org/officeDocument/2006/relationships/image" Target="media/image2002.png"/><Relationship Id="rId2011" Type="http://schemas.openxmlformats.org/officeDocument/2006/relationships/image" Target="media/image2003.png"/><Relationship Id="rId2012" Type="http://schemas.openxmlformats.org/officeDocument/2006/relationships/image" Target="media/image2004.png"/><Relationship Id="rId2013" Type="http://schemas.openxmlformats.org/officeDocument/2006/relationships/image" Target="media/image2005.png"/><Relationship Id="rId2014" Type="http://schemas.openxmlformats.org/officeDocument/2006/relationships/image" Target="media/image2006.png"/><Relationship Id="rId2015" Type="http://schemas.openxmlformats.org/officeDocument/2006/relationships/image" Target="media/image2007.png"/><Relationship Id="rId2016" Type="http://schemas.openxmlformats.org/officeDocument/2006/relationships/image" Target="media/image2008.png"/><Relationship Id="rId2017" Type="http://schemas.openxmlformats.org/officeDocument/2006/relationships/image" Target="media/image2009.png"/><Relationship Id="rId2018" Type="http://schemas.openxmlformats.org/officeDocument/2006/relationships/image" Target="media/image2010.png"/><Relationship Id="rId2019" Type="http://schemas.openxmlformats.org/officeDocument/2006/relationships/image" Target="media/image2011.png"/><Relationship Id="rId2020" Type="http://schemas.openxmlformats.org/officeDocument/2006/relationships/image" Target="media/image2012.png"/><Relationship Id="rId2021" Type="http://schemas.openxmlformats.org/officeDocument/2006/relationships/image" Target="media/image2013.png"/><Relationship Id="rId2022" Type="http://schemas.openxmlformats.org/officeDocument/2006/relationships/image" Target="media/image2014.png"/><Relationship Id="rId2023" Type="http://schemas.openxmlformats.org/officeDocument/2006/relationships/image" Target="media/image2015.png"/><Relationship Id="rId2024" Type="http://schemas.openxmlformats.org/officeDocument/2006/relationships/image" Target="media/image2016.png"/><Relationship Id="rId2025" Type="http://schemas.openxmlformats.org/officeDocument/2006/relationships/image" Target="media/image2017.png"/><Relationship Id="rId2026" Type="http://schemas.openxmlformats.org/officeDocument/2006/relationships/image" Target="media/image2018.png"/><Relationship Id="rId2027" Type="http://schemas.openxmlformats.org/officeDocument/2006/relationships/image" Target="media/image2019.png"/><Relationship Id="rId2028" Type="http://schemas.openxmlformats.org/officeDocument/2006/relationships/image" Target="media/image2020.png"/><Relationship Id="rId2029" Type="http://schemas.openxmlformats.org/officeDocument/2006/relationships/image" Target="media/image2021.png"/><Relationship Id="rId2030" Type="http://schemas.openxmlformats.org/officeDocument/2006/relationships/image" Target="media/image2022.png"/><Relationship Id="rId2031" Type="http://schemas.openxmlformats.org/officeDocument/2006/relationships/image" Target="media/image2023.png"/><Relationship Id="rId2032" Type="http://schemas.openxmlformats.org/officeDocument/2006/relationships/image" Target="media/image2024.png"/><Relationship Id="rId2033" Type="http://schemas.openxmlformats.org/officeDocument/2006/relationships/image" Target="media/image2025.png"/><Relationship Id="rId2034" Type="http://schemas.openxmlformats.org/officeDocument/2006/relationships/image" Target="media/image2026.png"/><Relationship Id="rId2035" Type="http://schemas.openxmlformats.org/officeDocument/2006/relationships/image" Target="media/image2027.png"/><Relationship Id="rId2036" Type="http://schemas.openxmlformats.org/officeDocument/2006/relationships/image" Target="media/image2028.png"/><Relationship Id="rId2037" Type="http://schemas.openxmlformats.org/officeDocument/2006/relationships/image" Target="media/image2029.png"/><Relationship Id="rId2038" Type="http://schemas.openxmlformats.org/officeDocument/2006/relationships/image" Target="media/image2030.png"/><Relationship Id="rId2039" Type="http://schemas.openxmlformats.org/officeDocument/2006/relationships/image" Target="media/image2031.png"/><Relationship Id="rId2040" Type="http://schemas.openxmlformats.org/officeDocument/2006/relationships/image" Target="media/image2032.png"/><Relationship Id="rId2041" Type="http://schemas.openxmlformats.org/officeDocument/2006/relationships/image" Target="media/image2033.png"/><Relationship Id="rId2042" Type="http://schemas.openxmlformats.org/officeDocument/2006/relationships/image" Target="media/image2034.png"/><Relationship Id="rId2043" Type="http://schemas.openxmlformats.org/officeDocument/2006/relationships/image" Target="media/image2035.png"/><Relationship Id="rId2044" Type="http://schemas.openxmlformats.org/officeDocument/2006/relationships/image" Target="media/image2036.png"/><Relationship Id="rId2045" Type="http://schemas.openxmlformats.org/officeDocument/2006/relationships/image" Target="media/image2037.png"/><Relationship Id="rId2046" Type="http://schemas.openxmlformats.org/officeDocument/2006/relationships/image" Target="media/image2038.png"/><Relationship Id="rId2047" Type="http://schemas.openxmlformats.org/officeDocument/2006/relationships/image" Target="media/image2039.png"/><Relationship Id="rId2048" Type="http://schemas.openxmlformats.org/officeDocument/2006/relationships/image" Target="media/image2040.png"/><Relationship Id="rId2049" Type="http://schemas.openxmlformats.org/officeDocument/2006/relationships/image" Target="media/image2041.png"/><Relationship Id="rId2050" Type="http://schemas.openxmlformats.org/officeDocument/2006/relationships/image" Target="media/image2042.png"/><Relationship Id="rId2051" Type="http://schemas.openxmlformats.org/officeDocument/2006/relationships/image" Target="media/image2043.png"/><Relationship Id="rId2052" Type="http://schemas.openxmlformats.org/officeDocument/2006/relationships/image" Target="media/image2044.png"/><Relationship Id="rId2053" Type="http://schemas.openxmlformats.org/officeDocument/2006/relationships/image" Target="media/image2045.png"/><Relationship Id="rId2054" Type="http://schemas.openxmlformats.org/officeDocument/2006/relationships/image" Target="media/image2046.png"/><Relationship Id="rId2055" Type="http://schemas.openxmlformats.org/officeDocument/2006/relationships/image" Target="media/image2047.png"/><Relationship Id="rId2056" Type="http://schemas.openxmlformats.org/officeDocument/2006/relationships/image" Target="media/image2048.png"/><Relationship Id="rId2057" Type="http://schemas.openxmlformats.org/officeDocument/2006/relationships/image" Target="media/image2049.png"/><Relationship Id="rId2058" Type="http://schemas.openxmlformats.org/officeDocument/2006/relationships/image" Target="media/image2050.png"/><Relationship Id="rId2059" Type="http://schemas.openxmlformats.org/officeDocument/2006/relationships/image" Target="media/image2051.png"/><Relationship Id="rId2060" Type="http://schemas.openxmlformats.org/officeDocument/2006/relationships/image" Target="media/image2052.png"/><Relationship Id="rId2061" Type="http://schemas.openxmlformats.org/officeDocument/2006/relationships/image" Target="media/image2053.png"/><Relationship Id="rId2062" Type="http://schemas.openxmlformats.org/officeDocument/2006/relationships/image" Target="media/image2054.png"/><Relationship Id="rId2063" Type="http://schemas.openxmlformats.org/officeDocument/2006/relationships/image" Target="media/image2055.png"/><Relationship Id="rId2064" Type="http://schemas.openxmlformats.org/officeDocument/2006/relationships/image" Target="media/image2056.png"/><Relationship Id="rId2065" Type="http://schemas.openxmlformats.org/officeDocument/2006/relationships/image" Target="media/image2057.png"/><Relationship Id="rId2066" Type="http://schemas.openxmlformats.org/officeDocument/2006/relationships/image" Target="media/image2058.png"/><Relationship Id="rId2067" Type="http://schemas.openxmlformats.org/officeDocument/2006/relationships/image" Target="media/image2059.png"/><Relationship Id="rId2068" Type="http://schemas.openxmlformats.org/officeDocument/2006/relationships/image" Target="media/image2060.png"/><Relationship Id="rId2069" Type="http://schemas.openxmlformats.org/officeDocument/2006/relationships/image" Target="media/image2061.png"/><Relationship Id="rId2070" Type="http://schemas.openxmlformats.org/officeDocument/2006/relationships/image" Target="media/image2062.png"/><Relationship Id="rId2071" Type="http://schemas.openxmlformats.org/officeDocument/2006/relationships/image" Target="media/image2063.png"/><Relationship Id="rId2072" Type="http://schemas.openxmlformats.org/officeDocument/2006/relationships/image" Target="media/image2064.png"/><Relationship Id="rId2073" Type="http://schemas.openxmlformats.org/officeDocument/2006/relationships/image" Target="media/image2065.png"/><Relationship Id="rId2074" Type="http://schemas.openxmlformats.org/officeDocument/2006/relationships/image" Target="media/image2066.png"/><Relationship Id="rId2075" Type="http://schemas.openxmlformats.org/officeDocument/2006/relationships/image" Target="media/image2067.png"/><Relationship Id="rId2076" Type="http://schemas.openxmlformats.org/officeDocument/2006/relationships/image" Target="media/image2068.png"/><Relationship Id="rId2077" Type="http://schemas.openxmlformats.org/officeDocument/2006/relationships/image" Target="media/image2069.png"/><Relationship Id="rId2078" Type="http://schemas.openxmlformats.org/officeDocument/2006/relationships/image" Target="media/image2070.png"/><Relationship Id="rId2079" Type="http://schemas.openxmlformats.org/officeDocument/2006/relationships/image" Target="media/image2071.png"/><Relationship Id="rId2080" Type="http://schemas.openxmlformats.org/officeDocument/2006/relationships/image" Target="media/image2072.png"/><Relationship Id="rId2081" Type="http://schemas.openxmlformats.org/officeDocument/2006/relationships/image" Target="media/image2073.png"/><Relationship Id="rId2082" Type="http://schemas.openxmlformats.org/officeDocument/2006/relationships/image" Target="media/image2074.png"/><Relationship Id="rId2083" Type="http://schemas.openxmlformats.org/officeDocument/2006/relationships/image" Target="media/image2075.png"/><Relationship Id="rId2084" Type="http://schemas.openxmlformats.org/officeDocument/2006/relationships/image" Target="media/image2076.png"/><Relationship Id="rId2085" Type="http://schemas.openxmlformats.org/officeDocument/2006/relationships/image" Target="media/image2077.png"/><Relationship Id="rId2086" Type="http://schemas.openxmlformats.org/officeDocument/2006/relationships/image" Target="media/image2078.png"/><Relationship Id="rId2087" Type="http://schemas.openxmlformats.org/officeDocument/2006/relationships/image" Target="media/image2079.png"/><Relationship Id="rId2088" Type="http://schemas.openxmlformats.org/officeDocument/2006/relationships/image" Target="media/image2080.png"/><Relationship Id="rId2089" Type="http://schemas.openxmlformats.org/officeDocument/2006/relationships/image" Target="media/image2081.png"/><Relationship Id="rId2090" Type="http://schemas.openxmlformats.org/officeDocument/2006/relationships/image" Target="media/image2082.png"/><Relationship Id="rId2091" Type="http://schemas.openxmlformats.org/officeDocument/2006/relationships/image" Target="media/image2083.png"/><Relationship Id="rId2092" Type="http://schemas.openxmlformats.org/officeDocument/2006/relationships/image" Target="media/image2084.png"/><Relationship Id="rId2093" Type="http://schemas.openxmlformats.org/officeDocument/2006/relationships/image" Target="media/image2085.png"/><Relationship Id="rId2094" Type="http://schemas.openxmlformats.org/officeDocument/2006/relationships/image" Target="media/image2086.png"/><Relationship Id="rId2095" Type="http://schemas.openxmlformats.org/officeDocument/2006/relationships/image" Target="media/image2087.png"/><Relationship Id="rId2096" Type="http://schemas.openxmlformats.org/officeDocument/2006/relationships/image" Target="media/image2088.png"/><Relationship Id="rId2097" Type="http://schemas.openxmlformats.org/officeDocument/2006/relationships/image" Target="media/image2089.png"/><Relationship Id="rId2098" Type="http://schemas.openxmlformats.org/officeDocument/2006/relationships/image" Target="media/image2090.png"/><Relationship Id="rId2099" Type="http://schemas.openxmlformats.org/officeDocument/2006/relationships/image" Target="media/image2091.png"/><Relationship Id="rId2100" Type="http://schemas.openxmlformats.org/officeDocument/2006/relationships/image" Target="media/image2092.png"/><Relationship Id="rId2101" Type="http://schemas.openxmlformats.org/officeDocument/2006/relationships/image" Target="media/image2093.png"/><Relationship Id="rId2102" Type="http://schemas.openxmlformats.org/officeDocument/2006/relationships/image" Target="media/image2094.png"/><Relationship Id="rId2103" Type="http://schemas.openxmlformats.org/officeDocument/2006/relationships/image" Target="media/image2095.png"/><Relationship Id="rId2104" Type="http://schemas.openxmlformats.org/officeDocument/2006/relationships/image" Target="media/image2096.png"/><Relationship Id="rId2105" Type="http://schemas.openxmlformats.org/officeDocument/2006/relationships/image" Target="media/image2097.png"/><Relationship Id="rId2106" Type="http://schemas.openxmlformats.org/officeDocument/2006/relationships/image" Target="media/image2098.png"/><Relationship Id="rId2107" Type="http://schemas.openxmlformats.org/officeDocument/2006/relationships/image" Target="media/image2099.png"/><Relationship Id="rId2108" Type="http://schemas.openxmlformats.org/officeDocument/2006/relationships/image" Target="media/image2100.png"/><Relationship Id="rId2109" Type="http://schemas.openxmlformats.org/officeDocument/2006/relationships/image" Target="media/image2101.png"/><Relationship Id="rId2110" Type="http://schemas.openxmlformats.org/officeDocument/2006/relationships/image" Target="media/image2102.png"/><Relationship Id="rId2111" Type="http://schemas.openxmlformats.org/officeDocument/2006/relationships/image" Target="media/image2103.png"/><Relationship Id="rId2112" Type="http://schemas.openxmlformats.org/officeDocument/2006/relationships/image" Target="media/image2104.png"/><Relationship Id="rId2113" Type="http://schemas.openxmlformats.org/officeDocument/2006/relationships/image" Target="media/image2105.png"/><Relationship Id="rId2114" Type="http://schemas.openxmlformats.org/officeDocument/2006/relationships/image" Target="media/image2106.png"/><Relationship Id="rId2115" Type="http://schemas.openxmlformats.org/officeDocument/2006/relationships/image" Target="media/image2107.png"/><Relationship Id="rId2116" Type="http://schemas.openxmlformats.org/officeDocument/2006/relationships/image" Target="media/image2108.png"/><Relationship Id="rId2117" Type="http://schemas.openxmlformats.org/officeDocument/2006/relationships/image" Target="media/image2109.png"/><Relationship Id="rId2118" Type="http://schemas.openxmlformats.org/officeDocument/2006/relationships/image" Target="media/image2110.png"/><Relationship Id="rId2119" Type="http://schemas.openxmlformats.org/officeDocument/2006/relationships/image" Target="media/image2111.png"/><Relationship Id="rId2120" Type="http://schemas.openxmlformats.org/officeDocument/2006/relationships/image" Target="media/image2112.png"/><Relationship Id="rId2121" Type="http://schemas.openxmlformats.org/officeDocument/2006/relationships/image" Target="media/image2113.png"/><Relationship Id="rId2122" Type="http://schemas.openxmlformats.org/officeDocument/2006/relationships/image" Target="media/image2114.png"/><Relationship Id="rId2123" Type="http://schemas.openxmlformats.org/officeDocument/2006/relationships/image" Target="media/image2115.png"/><Relationship Id="rId2124" Type="http://schemas.openxmlformats.org/officeDocument/2006/relationships/image" Target="media/image2116.png"/><Relationship Id="rId2125" Type="http://schemas.openxmlformats.org/officeDocument/2006/relationships/image" Target="media/image2117.png"/><Relationship Id="rId2126" Type="http://schemas.openxmlformats.org/officeDocument/2006/relationships/image" Target="media/image2118.png"/><Relationship Id="rId2127" Type="http://schemas.openxmlformats.org/officeDocument/2006/relationships/image" Target="media/image2119.png"/><Relationship Id="rId2128" Type="http://schemas.openxmlformats.org/officeDocument/2006/relationships/image" Target="media/image2120.png"/><Relationship Id="rId2129" Type="http://schemas.openxmlformats.org/officeDocument/2006/relationships/image" Target="media/image2121.png"/><Relationship Id="rId2130" Type="http://schemas.openxmlformats.org/officeDocument/2006/relationships/image" Target="media/image2122.png"/><Relationship Id="rId2131" Type="http://schemas.openxmlformats.org/officeDocument/2006/relationships/image" Target="media/image2123.png"/><Relationship Id="rId2132" Type="http://schemas.openxmlformats.org/officeDocument/2006/relationships/image" Target="media/image2124.png"/><Relationship Id="rId2133" Type="http://schemas.openxmlformats.org/officeDocument/2006/relationships/image" Target="media/image2125.png"/><Relationship Id="rId2134" Type="http://schemas.openxmlformats.org/officeDocument/2006/relationships/image" Target="media/image2126.png"/><Relationship Id="rId2135" Type="http://schemas.openxmlformats.org/officeDocument/2006/relationships/image" Target="media/image2127.png"/><Relationship Id="rId2136" Type="http://schemas.openxmlformats.org/officeDocument/2006/relationships/image" Target="media/image2128.png"/><Relationship Id="rId2137" Type="http://schemas.openxmlformats.org/officeDocument/2006/relationships/image" Target="media/image2129.png"/><Relationship Id="rId2138" Type="http://schemas.openxmlformats.org/officeDocument/2006/relationships/image" Target="media/image2130.png"/><Relationship Id="rId2139" Type="http://schemas.openxmlformats.org/officeDocument/2006/relationships/image" Target="media/image2131.png"/><Relationship Id="rId2140" Type="http://schemas.openxmlformats.org/officeDocument/2006/relationships/image" Target="media/image2132.png"/><Relationship Id="rId2141" Type="http://schemas.openxmlformats.org/officeDocument/2006/relationships/image" Target="media/image2133.png"/><Relationship Id="rId2142" Type="http://schemas.openxmlformats.org/officeDocument/2006/relationships/image" Target="media/image2134.png"/><Relationship Id="rId2143" Type="http://schemas.openxmlformats.org/officeDocument/2006/relationships/image" Target="media/image2135.png"/><Relationship Id="rId2144" Type="http://schemas.openxmlformats.org/officeDocument/2006/relationships/image" Target="media/image2136.png"/><Relationship Id="rId2145" Type="http://schemas.openxmlformats.org/officeDocument/2006/relationships/image" Target="media/image2137.png"/><Relationship Id="rId2146" Type="http://schemas.openxmlformats.org/officeDocument/2006/relationships/image" Target="media/image2138.png"/><Relationship Id="rId2147" Type="http://schemas.openxmlformats.org/officeDocument/2006/relationships/image" Target="media/image2139.png"/><Relationship Id="rId2148" Type="http://schemas.openxmlformats.org/officeDocument/2006/relationships/image" Target="media/image2140.png"/><Relationship Id="rId2149" Type="http://schemas.openxmlformats.org/officeDocument/2006/relationships/image" Target="media/image2141.png"/><Relationship Id="rId2150" Type="http://schemas.openxmlformats.org/officeDocument/2006/relationships/image" Target="media/image2142.png"/><Relationship Id="rId2151" Type="http://schemas.openxmlformats.org/officeDocument/2006/relationships/image" Target="media/image2143.png"/><Relationship Id="rId2152" Type="http://schemas.openxmlformats.org/officeDocument/2006/relationships/image" Target="media/image2144.png"/><Relationship Id="rId2153" Type="http://schemas.openxmlformats.org/officeDocument/2006/relationships/image" Target="media/image2145.png"/><Relationship Id="rId2154" Type="http://schemas.openxmlformats.org/officeDocument/2006/relationships/image" Target="media/image2146.png"/><Relationship Id="rId2155" Type="http://schemas.openxmlformats.org/officeDocument/2006/relationships/image" Target="media/image2147.png"/><Relationship Id="rId2156" Type="http://schemas.openxmlformats.org/officeDocument/2006/relationships/image" Target="media/image2148.png"/><Relationship Id="rId2157" Type="http://schemas.openxmlformats.org/officeDocument/2006/relationships/image" Target="media/image2149.png"/><Relationship Id="rId2158" Type="http://schemas.openxmlformats.org/officeDocument/2006/relationships/image" Target="media/image2150.png"/><Relationship Id="rId2159" Type="http://schemas.openxmlformats.org/officeDocument/2006/relationships/image" Target="media/image2151.png"/><Relationship Id="rId2160" Type="http://schemas.openxmlformats.org/officeDocument/2006/relationships/image" Target="media/image2152.png"/><Relationship Id="rId2161" Type="http://schemas.openxmlformats.org/officeDocument/2006/relationships/image" Target="media/image2153.png"/><Relationship Id="rId2162" Type="http://schemas.openxmlformats.org/officeDocument/2006/relationships/image" Target="media/image2154.png"/><Relationship Id="rId2163" Type="http://schemas.openxmlformats.org/officeDocument/2006/relationships/image" Target="media/image2155.png"/><Relationship Id="rId2164" Type="http://schemas.openxmlformats.org/officeDocument/2006/relationships/image" Target="media/image2156.png"/><Relationship Id="rId2165" Type="http://schemas.openxmlformats.org/officeDocument/2006/relationships/image" Target="media/image2157.png"/><Relationship Id="rId2166" Type="http://schemas.openxmlformats.org/officeDocument/2006/relationships/image" Target="media/image2158.png"/><Relationship Id="rId2167" Type="http://schemas.openxmlformats.org/officeDocument/2006/relationships/image" Target="media/image2159.png"/><Relationship Id="rId2168" Type="http://schemas.openxmlformats.org/officeDocument/2006/relationships/image" Target="media/image2160.png"/><Relationship Id="rId2169" Type="http://schemas.openxmlformats.org/officeDocument/2006/relationships/image" Target="media/image2161.png"/><Relationship Id="rId2170" Type="http://schemas.openxmlformats.org/officeDocument/2006/relationships/image" Target="media/image2162.png"/><Relationship Id="rId2171" Type="http://schemas.openxmlformats.org/officeDocument/2006/relationships/image" Target="media/image2163.png"/><Relationship Id="rId2172" Type="http://schemas.openxmlformats.org/officeDocument/2006/relationships/image" Target="media/image2164.png"/><Relationship Id="rId2173" Type="http://schemas.openxmlformats.org/officeDocument/2006/relationships/image" Target="media/image2165.png"/><Relationship Id="rId2174" Type="http://schemas.openxmlformats.org/officeDocument/2006/relationships/image" Target="media/image2166.png"/><Relationship Id="rId2175" Type="http://schemas.openxmlformats.org/officeDocument/2006/relationships/image" Target="media/image2167.png"/><Relationship Id="rId2176" Type="http://schemas.openxmlformats.org/officeDocument/2006/relationships/image" Target="media/image2168.png"/><Relationship Id="rId2177" Type="http://schemas.openxmlformats.org/officeDocument/2006/relationships/image" Target="media/image2169.png"/><Relationship Id="rId2178" Type="http://schemas.openxmlformats.org/officeDocument/2006/relationships/image" Target="media/image2170.png"/><Relationship Id="rId2179" Type="http://schemas.openxmlformats.org/officeDocument/2006/relationships/image" Target="media/image2171.png"/><Relationship Id="rId2180" Type="http://schemas.openxmlformats.org/officeDocument/2006/relationships/image" Target="media/image2172.png"/><Relationship Id="rId2181" Type="http://schemas.openxmlformats.org/officeDocument/2006/relationships/image" Target="media/image2173.png"/><Relationship Id="rId2182" Type="http://schemas.openxmlformats.org/officeDocument/2006/relationships/image" Target="media/image2174.png"/><Relationship Id="rId2183" Type="http://schemas.openxmlformats.org/officeDocument/2006/relationships/image" Target="media/image2175.png"/><Relationship Id="rId2184" Type="http://schemas.openxmlformats.org/officeDocument/2006/relationships/image" Target="media/image2176.png"/><Relationship Id="rId2185" Type="http://schemas.openxmlformats.org/officeDocument/2006/relationships/image" Target="media/image2177.png"/><Relationship Id="rId2186" Type="http://schemas.openxmlformats.org/officeDocument/2006/relationships/image" Target="media/image2178.png"/><Relationship Id="rId2187" Type="http://schemas.openxmlformats.org/officeDocument/2006/relationships/image" Target="media/image2179.png"/><Relationship Id="rId2188" Type="http://schemas.openxmlformats.org/officeDocument/2006/relationships/image" Target="media/image2180.png"/><Relationship Id="rId2189" Type="http://schemas.openxmlformats.org/officeDocument/2006/relationships/image" Target="media/image2181.png"/><Relationship Id="rId2190" Type="http://schemas.openxmlformats.org/officeDocument/2006/relationships/image" Target="media/image2182.png"/><Relationship Id="rId2191" Type="http://schemas.openxmlformats.org/officeDocument/2006/relationships/image" Target="media/image2183.png"/><Relationship Id="rId2192" Type="http://schemas.openxmlformats.org/officeDocument/2006/relationships/image" Target="media/image2184.png"/><Relationship Id="rId2193" Type="http://schemas.openxmlformats.org/officeDocument/2006/relationships/image" Target="media/image2185.png"/><Relationship Id="rId2194" Type="http://schemas.openxmlformats.org/officeDocument/2006/relationships/image" Target="media/image2186.png"/><Relationship Id="rId2195" Type="http://schemas.openxmlformats.org/officeDocument/2006/relationships/image" Target="media/image2187.png"/><Relationship Id="rId2196" Type="http://schemas.openxmlformats.org/officeDocument/2006/relationships/image" Target="media/image2188.png"/><Relationship Id="rId2197" Type="http://schemas.openxmlformats.org/officeDocument/2006/relationships/image" Target="media/image2189.png"/><Relationship Id="rId2198" Type="http://schemas.openxmlformats.org/officeDocument/2006/relationships/image" Target="media/image2190.png"/><Relationship Id="rId2199" Type="http://schemas.openxmlformats.org/officeDocument/2006/relationships/image" Target="media/image2191.png"/><Relationship Id="rId2200" Type="http://schemas.openxmlformats.org/officeDocument/2006/relationships/image" Target="media/image2192.png"/><Relationship Id="rId2201" Type="http://schemas.openxmlformats.org/officeDocument/2006/relationships/image" Target="media/image2193.png"/><Relationship Id="rId2202" Type="http://schemas.openxmlformats.org/officeDocument/2006/relationships/image" Target="media/image2194.png"/><Relationship Id="rId2203" Type="http://schemas.openxmlformats.org/officeDocument/2006/relationships/image" Target="media/image2195.png"/><Relationship Id="rId2204" Type="http://schemas.openxmlformats.org/officeDocument/2006/relationships/image" Target="media/image2196.png"/><Relationship Id="rId2205" Type="http://schemas.openxmlformats.org/officeDocument/2006/relationships/image" Target="media/image2197.png"/><Relationship Id="rId2206" Type="http://schemas.openxmlformats.org/officeDocument/2006/relationships/image" Target="media/image2198.png"/><Relationship Id="rId2207" Type="http://schemas.openxmlformats.org/officeDocument/2006/relationships/image" Target="media/image2199.png"/><Relationship Id="rId2208" Type="http://schemas.openxmlformats.org/officeDocument/2006/relationships/image" Target="media/image2200.png"/><Relationship Id="rId2209" Type="http://schemas.openxmlformats.org/officeDocument/2006/relationships/image" Target="media/image2201.png"/><Relationship Id="rId2210" Type="http://schemas.openxmlformats.org/officeDocument/2006/relationships/image" Target="media/image2202.png"/><Relationship Id="rId2211" Type="http://schemas.openxmlformats.org/officeDocument/2006/relationships/image" Target="media/image2203.png"/><Relationship Id="rId2212" Type="http://schemas.openxmlformats.org/officeDocument/2006/relationships/image" Target="media/image2204.png"/><Relationship Id="rId2213" Type="http://schemas.openxmlformats.org/officeDocument/2006/relationships/image" Target="media/image2205.png"/><Relationship Id="rId2214" Type="http://schemas.openxmlformats.org/officeDocument/2006/relationships/image" Target="media/image2206.png"/><Relationship Id="rId2215" Type="http://schemas.openxmlformats.org/officeDocument/2006/relationships/image" Target="media/image2207.png"/><Relationship Id="rId2216" Type="http://schemas.openxmlformats.org/officeDocument/2006/relationships/image" Target="media/image2208.png"/><Relationship Id="rId2217" Type="http://schemas.openxmlformats.org/officeDocument/2006/relationships/image" Target="media/image2209.png"/><Relationship Id="rId2218" Type="http://schemas.openxmlformats.org/officeDocument/2006/relationships/image" Target="media/image2210.png"/><Relationship Id="rId2219" Type="http://schemas.openxmlformats.org/officeDocument/2006/relationships/image" Target="media/image2211.png"/><Relationship Id="rId2220" Type="http://schemas.openxmlformats.org/officeDocument/2006/relationships/image" Target="media/image2212.png"/><Relationship Id="rId2221" Type="http://schemas.openxmlformats.org/officeDocument/2006/relationships/image" Target="media/image2213.png"/><Relationship Id="rId2222" Type="http://schemas.openxmlformats.org/officeDocument/2006/relationships/image" Target="media/image2214.png"/><Relationship Id="rId2223" Type="http://schemas.openxmlformats.org/officeDocument/2006/relationships/image" Target="media/image2215.png"/><Relationship Id="rId2224" Type="http://schemas.openxmlformats.org/officeDocument/2006/relationships/image" Target="media/image2216.png"/><Relationship Id="rId2225" Type="http://schemas.openxmlformats.org/officeDocument/2006/relationships/image" Target="media/image2217.png"/><Relationship Id="rId2226" Type="http://schemas.openxmlformats.org/officeDocument/2006/relationships/image" Target="media/image2218.png"/><Relationship Id="rId2227" Type="http://schemas.openxmlformats.org/officeDocument/2006/relationships/image" Target="media/image2219.png"/><Relationship Id="rId2228" Type="http://schemas.openxmlformats.org/officeDocument/2006/relationships/image" Target="media/image2220.png"/><Relationship Id="rId2229" Type="http://schemas.openxmlformats.org/officeDocument/2006/relationships/image" Target="media/image2221.png"/><Relationship Id="rId2230" Type="http://schemas.openxmlformats.org/officeDocument/2006/relationships/image" Target="media/image2222.png"/><Relationship Id="rId2231" Type="http://schemas.openxmlformats.org/officeDocument/2006/relationships/image" Target="media/image2223.png"/><Relationship Id="rId2232" Type="http://schemas.openxmlformats.org/officeDocument/2006/relationships/image" Target="media/image2224.png"/><Relationship Id="rId2233" Type="http://schemas.openxmlformats.org/officeDocument/2006/relationships/image" Target="media/image2225.png"/><Relationship Id="rId2234" Type="http://schemas.openxmlformats.org/officeDocument/2006/relationships/image" Target="media/image2226.png"/><Relationship Id="rId2235" Type="http://schemas.openxmlformats.org/officeDocument/2006/relationships/image" Target="media/image2227.png"/><Relationship Id="rId2236" Type="http://schemas.openxmlformats.org/officeDocument/2006/relationships/image" Target="media/image2228.png"/><Relationship Id="rId2237" Type="http://schemas.openxmlformats.org/officeDocument/2006/relationships/image" Target="media/image2229.png"/><Relationship Id="rId2238" Type="http://schemas.openxmlformats.org/officeDocument/2006/relationships/image" Target="media/image2230.png"/><Relationship Id="rId2239" Type="http://schemas.openxmlformats.org/officeDocument/2006/relationships/image" Target="media/image2231.png"/><Relationship Id="rId2240" Type="http://schemas.openxmlformats.org/officeDocument/2006/relationships/image" Target="media/image2232.png"/><Relationship Id="rId2241" Type="http://schemas.openxmlformats.org/officeDocument/2006/relationships/image" Target="media/image2233.png"/><Relationship Id="rId2242" Type="http://schemas.openxmlformats.org/officeDocument/2006/relationships/image" Target="media/image2234.png"/><Relationship Id="rId2243" Type="http://schemas.openxmlformats.org/officeDocument/2006/relationships/image" Target="media/image2235.png"/><Relationship Id="rId2244" Type="http://schemas.openxmlformats.org/officeDocument/2006/relationships/image" Target="media/image2236.png"/><Relationship Id="rId2245" Type="http://schemas.openxmlformats.org/officeDocument/2006/relationships/image" Target="media/image2237.png"/><Relationship Id="rId2246" Type="http://schemas.openxmlformats.org/officeDocument/2006/relationships/image" Target="media/image2238.png"/><Relationship Id="rId2247" Type="http://schemas.openxmlformats.org/officeDocument/2006/relationships/image" Target="media/image2239.png"/><Relationship Id="rId2248" Type="http://schemas.openxmlformats.org/officeDocument/2006/relationships/image" Target="media/image2240.png"/><Relationship Id="rId2249" Type="http://schemas.openxmlformats.org/officeDocument/2006/relationships/image" Target="media/image2241.png"/><Relationship Id="rId2250" Type="http://schemas.openxmlformats.org/officeDocument/2006/relationships/image" Target="media/image2242.png"/><Relationship Id="rId2251" Type="http://schemas.openxmlformats.org/officeDocument/2006/relationships/image" Target="media/image2243.png"/><Relationship Id="rId2252" Type="http://schemas.openxmlformats.org/officeDocument/2006/relationships/image" Target="media/image2244.png"/><Relationship Id="rId2253" Type="http://schemas.openxmlformats.org/officeDocument/2006/relationships/image" Target="media/image2245.png"/><Relationship Id="rId2254" Type="http://schemas.openxmlformats.org/officeDocument/2006/relationships/image" Target="media/image2246.png"/><Relationship Id="rId2255" Type="http://schemas.openxmlformats.org/officeDocument/2006/relationships/image" Target="media/image2247.png"/><Relationship Id="rId2256" Type="http://schemas.openxmlformats.org/officeDocument/2006/relationships/image" Target="media/image2248.png"/><Relationship Id="rId2257" Type="http://schemas.openxmlformats.org/officeDocument/2006/relationships/image" Target="media/image2249.png"/><Relationship Id="rId2258" Type="http://schemas.openxmlformats.org/officeDocument/2006/relationships/image" Target="media/image2250.png"/><Relationship Id="rId2259" Type="http://schemas.openxmlformats.org/officeDocument/2006/relationships/image" Target="media/image2251.png"/><Relationship Id="rId2260" Type="http://schemas.openxmlformats.org/officeDocument/2006/relationships/image" Target="media/image2252.png"/><Relationship Id="rId2261" Type="http://schemas.openxmlformats.org/officeDocument/2006/relationships/image" Target="media/image2253.png"/><Relationship Id="rId2262" Type="http://schemas.openxmlformats.org/officeDocument/2006/relationships/image" Target="media/image2254.png"/><Relationship Id="rId2263" Type="http://schemas.openxmlformats.org/officeDocument/2006/relationships/image" Target="media/image2255.png"/><Relationship Id="rId2264" Type="http://schemas.openxmlformats.org/officeDocument/2006/relationships/image" Target="media/image2256.png"/><Relationship Id="rId2265" Type="http://schemas.openxmlformats.org/officeDocument/2006/relationships/image" Target="media/image2257.png"/><Relationship Id="rId2266" Type="http://schemas.openxmlformats.org/officeDocument/2006/relationships/image" Target="media/image2258.png"/><Relationship Id="rId2267" Type="http://schemas.openxmlformats.org/officeDocument/2006/relationships/image" Target="media/image2259.png"/><Relationship Id="rId2268" Type="http://schemas.openxmlformats.org/officeDocument/2006/relationships/image" Target="media/image2260.png"/><Relationship Id="rId2269" Type="http://schemas.openxmlformats.org/officeDocument/2006/relationships/image" Target="media/image2261.png"/><Relationship Id="rId2270" Type="http://schemas.openxmlformats.org/officeDocument/2006/relationships/image" Target="media/image2262.png"/><Relationship Id="rId2271" Type="http://schemas.openxmlformats.org/officeDocument/2006/relationships/image" Target="media/image2263.png"/><Relationship Id="rId2272" Type="http://schemas.openxmlformats.org/officeDocument/2006/relationships/image" Target="media/image2264.png"/><Relationship Id="rId2273" Type="http://schemas.openxmlformats.org/officeDocument/2006/relationships/image" Target="media/image2265.png"/><Relationship Id="rId2274" Type="http://schemas.openxmlformats.org/officeDocument/2006/relationships/image" Target="media/image2266.png"/><Relationship Id="rId2275" Type="http://schemas.openxmlformats.org/officeDocument/2006/relationships/image" Target="media/image2267.png"/><Relationship Id="rId2276" Type="http://schemas.openxmlformats.org/officeDocument/2006/relationships/image" Target="media/image2268.png"/><Relationship Id="rId2277" Type="http://schemas.openxmlformats.org/officeDocument/2006/relationships/image" Target="media/image2269.png"/><Relationship Id="rId2278" Type="http://schemas.openxmlformats.org/officeDocument/2006/relationships/image" Target="media/image2270.png"/><Relationship Id="rId2279" Type="http://schemas.openxmlformats.org/officeDocument/2006/relationships/image" Target="media/image2271.png"/><Relationship Id="rId2280" Type="http://schemas.openxmlformats.org/officeDocument/2006/relationships/image" Target="media/image2272.png"/><Relationship Id="rId2281" Type="http://schemas.openxmlformats.org/officeDocument/2006/relationships/image" Target="media/image2273.png"/><Relationship Id="rId2282" Type="http://schemas.openxmlformats.org/officeDocument/2006/relationships/image" Target="media/image2274.png"/><Relationship Id="rId2283" Type="http://schemas.openxmlformats.org/officeDocument/2006/relationships/image" Target="media/image2275.png"/><Relationship Id="rId2284" Type="http://schemas.openxmlformats.org/officeDocument/2006/relationships/image" Target="media/image2276.png"/><Relationship Id="rId2285" Type="http://schemas.openxmlformats.org/officeDocument/2006/relationships/image" Target="media/image2277.png"/><Relationship Id="rId2286" Type="http://schemas.openxmlformats.org/officeDocument/2006/relationships/image" Target="media/image2278.png"/><Relationship Id="rId2287" Type="http://schemas.openxmlformats.org/officeDocument/2006/relationships/image" Target="media/image2279.png"/><Relationship Id="rId2288" Type="http://schemas.openxmlformats.org/officeDocument/2006/relationships/image" Target="media/image2280.png"/><Relationship Id="rId2289" Type="http://schemas.openxmlformats.org/officeDocument/2006/relationships/image" Target="media/image2281.png"/><Relationship Id="rId2290" Type="http://schemas.openxmlformats.org/officeDocument/2006/relationships/image" Target="media/image2282.png"/><Relationship Id="rId2291" Type="http://schemas.openxmlformats.org/officeDocument/2006/relationships/image" Target="media/image2283.png"/><Relationship Id="rId2292" Type="http://schemas.openxmlformats.org/officeDocument/2006/relationships/image" Target="media/image2284.png"/><Relationship Id="rId2293" Type="http://schemas.openxmlformats.org/officeDocument/2006/relationships/image" Target="media/image2285.png"/><Relationship Id="rId2294" Type="http://schemas.openxmlformats.org/officeDocument/2006/relationships/image" Target="media/image2286.png"/><Relationship Id="rId2295" Type="http://schemas.openxmlformats.org/officeDocument/2006/relationships/image" Target="media/image2287.png"/><Relationship Id="rId2296" Type="http://schemas.openxmlformats.org/officeDocument/2006/relationships/image" Target="media/image2288.png"/><Relationship Id="rId2297" Type="http://schemas.openxmlformats.org/officeDocument/2006/relationships/image" Target="media/image2289.png"/><Relationship Id="rId2298" Type="http://schemas.openxmlformats.org/officeDocument/2006/relationships/image" Target="media/image2290.png"/><Relationship Id="rId2299" Type="http://schemas.openxmlformats.org/officeDocument/2006/relationships/image" Target="media/image2291.png"/><Relationship Id="rId2300" Type="http://schemas.openxmlformats.org/officeDocument/2006/relationships/image" Target="media/image2292.png"/><Relationship Id="rId2301" Type="http://schemas.openxmlformats.org/officeDocument/2006/relationships/image" Target="media/image2293.png"/><Relationship Id="rId2302" Type="http://schemas.openxmlformats.org/officeDocument/2006/relationships/image" Target="media/image2294.png"/><Relationship Id="rId2303" Type="http://schemas.openxmlformats.org/officeDocument/2006/relationships/image" Target="media/image2295.png"/><Relationship Id="rId2304" Type="http://schemas.openxmlformats.org/officeDocument/2006/relationships/image" Target="media/image2296.png"/><Relationship Id="rId2305" Type="http://schemas.openxmlformats.org/officeDocument/2006/relationships/image" Target="media/image2297.png"/><Relationship Id="rId2306" Type="http://schemas.openxmlformats.org/officeDocument/2006/relationships/image" Target="media/image2298.png"/><Relationship Id="rId2307" Type="http://schemas.openxmlformats.org/officeDocument/2006/relationships/image" Target="media/image2299.png"/><Relationship Id="rId2308" Type="http://schemas.openxmlformats.org/officeDocument/2006/relationships/image" Target="media/image2300.png"/><Relationship Id="rId2309" Type="http://schemas.openxmlformats.org/officeDocument/2006/relationships/image" Target="media/image2301.png"/><Relationship Id="rId33" Type="http://schemas.openxmlformats.org/officeDocument/2006/relationships/hyperlink" Target="http://www.sec.gov/Archives/edgar/data/6281/000000628118000132/exhibit31-restatedbylawsx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2019-12-28T16:10:55Z</dcterms:created>
  <dcterms:modified xsi:type="dcterms:W3CDTF">2019-12-28T16:10:55Z</dcterms:modified>
</cp:coreProperties>
</file>