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8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28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32"/>
          <w:szCs w:val="32"/>
          <w:b w:val="1"/>
          <w:bCs w:val="1"/>
          <w:color w:val="auto"/>
        </w:rPr>
        <w:t>Form SD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22"/>
          <w:szCs w:val="22"/>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43"/>
          <w:szCs w:val="43"/>
          <w:b w:val="1"/>
          <w:bCs w:val="1"/>
          <w:color w:val="auto"/>
        </w:rPr>
        <w:t>Analog Devices, Inc.</w:t>
      </w:r>
    </w:p>
    <w:p>
      <w:pPr>
        <w:spacing w:after="0" w:line="58"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424" w:type="dxa"/>
        <w:tblCellMar>
          <w:top w:w="0" w:type="dxa"/>
          <w:left w:w="0" w:type="dxa"/>
          <w:bottom w:w="0" w:type="dxa"/>
          <w:right w:w="0" w:type="dxa"/>
        </w:tblCellMar>
      </w:tblPr>
      <w:tr>
        <w:trPr>
          <w:trHeight w:val="214"/>
        </w:trPr>
        <w:tc>
          <w:tcPr>
            <w:tcW w:w="4460" w:type="dxa"/>
            <w:vAlign w:val="bottom"/>
          </w:tcPr>
          <w:p>
            <w:pPr>
              <w:jc w:val="center"/>
              <w:ind w:right="1659"/>
              <w:spacing w:after="0"/>
              <w:rPr>
                <w:sz w:val="20"/>
                <w:szCs w:val="20"/>
                <w:color w:val="auto"/>
              </w:rPr>
            </w:pPr>
            <w:r>
              <w:rPr>
                <w:rFonts w:ascii="Times New Roman" w:cs="Times New Roman" w:eastAsia="Times New Roman" w:hAnsi="Times New Roman"/>
                <w:sz w:val="18"/>
                <w:szCs w:val="18"/>
                <w:b w:val="1"/>
                <w:bCs w:val="1"/>
                <w:color w:val="auto"/>
              </w:rPr>
              <w:t>Massachusetts</w:t>
            </w:r>
          </w:p>
        </w:tc>
        <w:tc>
          <w:tcPr>
            <w:tcW w:w="3140" w:type="dxa"/>
            <w:vAlign w:val="bottom"/>
          </w:tcPr>
          <w:p>
            <w:pPr>
              <w:jc w:val="center"/>
              <w:ind w:left="1697"/>
              <w:spacing w:after="0"/>
              <w:rPr>
                <w:sz w:val="20"/>
                <w:szCs w:val="20"/>
                <w:color w:val="auto"/>
              </w:rPr>
            </w:pPr>
            <w:r>
              <w:rPr>
                <w:rFonts w:ascii="Times New Roman" w:cs="Times New Roman" w:eastAsia="Times New Roman" w:hAnsi="Times New Roman"/>
                <w:sz w:val="18"/>
                <w:szCs w:val="18"/>
                <w:b w:val="1"/>
                <w:bCs w:val="1"/>
                <w:color w:val="auto"/>
              </w:rPr>
              <w:t>1-7819</w:t>
            </w:r>
          </w:p>
        </w:tc>
      </w:tr>
      <w:tr>
        <w:trPr>
          <w:trHeight w:val="149"/>
        </w:trPr>
        <w:tc>
          <w:tcPr>
            <w:tcW w:w="4460" w:type="dxa"/>
            <w:vAlign w:val="bottom"/>
          </w:tcPr>
          <w:p>
            <w:pPr>
              <w:jc w:val="center"/>
              <w:ind w:right="165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140" w:type="dxa"/>
            <w:vAlign w:val="bottom"/>
          </w:tcPr>
          <w:p>
            <w:pPr>
              <w:jc w:val="center"/>
              <w:ind w:left="1697"/>
              <w:spacing w:after="0" w:line="149" w:lineRule="exact"/>
              <w:rPr>
                <w:sz w:val="20"/>
                <w:szCs w:val="20"/>
                <w:color w:val="auto"/>
              </w:rPr>
            </w:pPr>
            <w:r>
              <w:rPr>
                <w:rFonts w:ascii="Times New Roman" w:cs="Times New Roman" w:eastAsia="Times New Roman" w:hAnsi="Times New Roman"/>
                <w:sz w:val="14"/>
                <w:szCs w:val="14"/>
                <w:b w:val="1"/>
                <w:bCs w:val="1"/>
                <w:color w:val="auto"/>
              </w:rPr>
              <w:t>(Commission File No.)</w:t>
            </w:r>
          </w:p>
        </w:tc>
      </w:tr>
      <w:tr>
        <w:trPr>
          <w:trHeight w:val="190"/>
        </w:trPr>
        <w:tc>
          <w:tcPr>
            <w:tcW w:w="4460" w:type="dxa"/>
            <w:vAlign w:val="bottom"/>
          </w:tcPr>
          <w:p>
            <w:pPr>
              <w:jc w:val="center"/>
              <w:ind w:right="165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140" w:type="dxa"/>
            <w:vAlign w:val="bottom"/>
          </w:tcPr>
          <w:p>
            <w:pPr>
              <w:spacing w:after="0"/>
              <w:rPr>
                <w:sz w:val="16"/>
                <w:szCs w:val="16"/>
                <w:color w:val="auto"/>
              </w:rPr>
            </w:pPr>
          </w:p>
        </w:tc>
      </w:tr>
      <w:tr>
        <w:trPr>
          <w:trHeight w:val="296"/>
        </w:trPr>
        <w:tc>
          <w:tcPr>
            <w:tcW w:w="4460" w:type="dxa"/>
            <w:vAlign w:val="bottom"/>
          </w:tcPr>
          <w:p>
            <w:pPr>
              <w:jc w:val="center"/>
              <w:ind w:right="1679"/>
              <w:spacing w:after="0"/>
              <w:rPr>
                <w:sz w:val="20"/>
                <w:szCs w:val="20"/>
                <w:color w:val="auto"/>
              </w:rPr>
            </w:pPr>
            <w:r>
              <w:rPr>
                <w:rFonts w:ascii="Times New Roman" w:cs="Times New Roman" w:eastAsia="Times New Roman" w:hAnsi="Times New Roman"/>
                <w:sz w:val="18"/>
                <w:szCs w:val="18"/>
                <w:b w:val="1"/>
                <w:bCs w:val="1"/>
                <w:color w:val="auto"/>
                <w:w w:val="99"/>
              </w:rPr>
              <w:t>One Analog Way, Wilmington, MA</w:t>
            </w:r>
          </w:p>
        </w:tc>
        <w:tc>
          <w:tcPr>
            <w:tcW w:w="3140" w:type="dxa"/>
            <w:vAlign w:val="bottom"/>
          </w:tcPr>
          <w:p>
            <w:pPr>
              <w:jc w:val="center"/>
              <w:ind w:left="1697"/>
              <w:spacing w:after="0"/>
              <w:rPr>
                <w:sz w:val="20"/>
                <w:szCs w:val="20"/>
                <w:color w:val="auto"/>
              </w:rPr>
            </w:pPr>
            <w:r>
              <w:rPr>
                <w:rFonts w:ascii="Times New Roman" w:cs="Times New Roman" w:eastAsia="Times New Roman" w:hAnsi="Times New Roman"/>
                <w:sz w:val="18"/>
                <w:szCs w:val="18"/>
                <w:b w:val="1"/>
                <w:bCs w:val="1"/>
                <w:color w:val="auto"/>
                <w:w w:val="97"/>
              </w:rPr>
              <w:t>01887</w:t>
            </w:r>
          </w:p>
        </w:tc>
      </w:tr>
      <w:tr>
        <w:trPr>
          <w:trHeight w:val="190"/>
        </w:trPr>
        <w:tc>
          <w:tcPr>
            <w:tcW w:w="4460" w:type="dxa"/>
            <w:vAlign w:val="bottom"/>
          </w:tcPr>
          <w:p>
            <w:pPr>
              <w:jc w:val="center"/>
              <w:ind w:right="167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140" w:type="dxa"/>
            <w:vAlign w:val="bottom"/>
          </w:tcPr>
          <w:p>
            <w:pPr>
              <w:jc w:val="center"/>
              <w:ind w:left="1697"/>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07"/>
        </w:trPr>
        <w:tc>
          <w:tcPr>
            <w:tcW w:w="4460" w:type="dxa"/>
            <w:vAlign w:val="bottom"/>
          </w:tcPr>
          <w:p>
            <w:pPr>
              <w:jc w:val="center"/>
              <w:ind w:right="1679"/>
              <w:spacing w:after="0"/>
              <w:rPr>
                <w:sz w:val="20"/>
                <w:szCs w:val="20"/>
                <w:color w:val="auto"/>
              </w:rPr>
            </w:pPr>
            <w:r>
              <w:rPr>
                <w:rFonts w:ascii="Times New Roman" w:cs="Times New Roman" w:eastAsia="Times New Roman" w:hAnsi="Times New Roman"/>
                <w:sz w:val="18"/>
                <w:szCs w:val="18"/>
                <w:b w:val="1"/>
                <w:bCs w:val="1"/>
                <w:color w:val="auto"/>
              </w:rPr>
              <w:t>Janene Asgeirsson</w:t>
            </w:r>
          </w:p>
        </w:tc>
        <w:tc>
          <w:tcPr>
            <w:tcW w:w="3140" w:type="dxa"/>
            <w:vAlign w:val="bottom"/>
          </w:tcPr>
          <w:p>
            <w:pPr>
              <w:jc w:val="center"/>
              <w:ind w:left="1677"/>
              <w:spacing w:after="0"/>
              <w:rPr>
                <w:sz w:val="20"/>
                <w:szCs w:val="20"/>
                <w:color w:val="auto"/>
              </w:rPr>
            </w:pPr>
            <w:r>
              <w:rPr>
                <w:rFonts w:ascii="Times New Roman" w:cs="Times New Roman" w:eastAsia="Times New Roman" w:hAnsi="Times New Roman"/>
                <w:sz w:val="18"/>
                <w:szCs w:val="18"/>
                <w:b w:val="1"/>
                <w:bCs w:val="1"/>
                <w:color w:val="auto"/>
                <w:w w:val="99"/>
              </w:rPr>
              <w:t>781-329-4700</w:t>
            </w:r>
          </w:p>
        </w:tc>
      </w:tr>
    </w:tbl>
    <w:p>
      <w:pPr>
        <w:ind w:left="1064"/>
        <w:spacing w:after="0"/>
        <w:rPr>
          <w:sz w:val="20"/>
          <w:szCs w:val="20"/>
          <w:color w:val="auto"/>
        </w:rPr>
      </w:pPr>
      <w:r>
        <w:rPr>
          <w:rFonts w:ascii="Times New Roman" w:cs="Times New Roman" w:eastAsia="Times New Roman" w:hAnsi="Times New Roman"/>
          <w:sz w:val="18"/>
          <w:szCs w:val="18"/>
          <w:b w:val="1"/>
          <w:bCs w:val="1"/>
          <w:color w:val="auto"/>
        </w:rPr>
        <w:t>Chief Legal Officer and Corporate Secretary</w:t>
      </w:r>
    </w:p>
    <w:p>
      <w:pPr>
        <w:spacing w:after="0" w:line="92" w:lineRule="exact"/>
        <w:rPr>
          <w:sz w:val="24"/>
          <w:szCs w:val="24"/>
          <w:color w:val="auto"/>
        </w:rPr>
      </w:pPr>
    </w:p>
    <w:p>
      <w:pPr>
        <w:ind w:left="2244"/>
        <w:spacing w:after="0"/>
        <w:rPr>
          <w:sz w:val="20"/>
          <w:szCs w:val="20"/>
          <w:color w:val="auto"/>
        </w:rPr>
      </w:pPr>
      <w:r>
        <w:rPr>
          <w:rFonts w:ascii="Times New Roman" w:cs="Times New Roman" w:eastAsia="Times New Roman" w:hAnsi="Times New Roman"/>
          <w:sz w:val="14"/>
          <w:szCs w:val="14"/>
          <w:b w:val="1"/>
          <w:bCs w:val="1"/>
          <w:color w:val="auto"/>
        </w:rPr>
        <w:t>(Name and telephone number, including area code, of the person to contact in connection with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230505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left="4"/>
        <w:spacing w:after="0" w:line="282" w:lineRule="auto"/>
        <w:rPr>
          <w:sz w:val="20"/>
          <w:szCs w:val="20"/>
          <w:color w:val="auto"/>
        </w:rPr>
      </w:pPr>
      <w:r>
        <w:rPr>
          <w:rFonts w:ascii="Times New Roman" w:cs="Times New Roman" w:eastAsia="Times New Roman" w:hAnsi="Times New Roman"/>
          <w:sz w:val="18"/>
          <w:szCs w:val="18"/>
          <w:color w:val="auto"/>
        </w:rPr>
        <w:t>Check the appropriate box to indicate the rule pursuant to which this form is being filed, and provide the period to which the information in this form applies:</w:t>
      </w:r>
    </w:p>
    <w:p>
      <w:pPr>
        <w:spacing w:after="0" w:line="189"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13p-1 under the Securities Exchange Act (17 CFR 240.13p-1) for the reporting period from January 1 to December 31, 2025.</w:t>
      </w:r>
    </w:p>
    <w:p>
      <w:pPr>
        <w:spacing w:after="0" w:line="252"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13q-1 under the Securities Exchange Act (17 CFR 240.13q-1) for the fiscal year ended _____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163195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205740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744"/>
          </w:cols>
          <w:pgMar w:left="436" w:top="376" w:right="7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1 – Conflict Minerals Disclosure</w:t>
      </w:r>
    </w:p>
    <w:p>
      <w:pPr>
        <w:spacing w:after="0" w:line="131"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8"/>
          <w:szCs w:val="18"/>
          <w:b w:val="1"/>
          <w:bCs w:val="1"/>
          <w:color w:val="auto"/>
        </w:rPr>
        <w:t>Conflict Minerals Disclosure and Report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Conflict Minerals Disclosure</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Analog Devices, Inc. has filed a Conflict Minerals Report (the Report) as Exhibit 1.01 hereto. The Report is publicly available at www.analog.com under the heading “Investor Relations.” The content of any website referred to in this Form SD and/or the Report is included for general information only and is not incorporated by reference in this Form SD and/or the Report.</w:t>
      </w:r>
    </w:p>
    <w:p>
      <w:pPr>
        <w:spacing w:after="0" w:line="320"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1.02</w:t>
      </w:r>
      <w:r>
        <w:rPr>
          <w:sz w:val="20"/>
          <w:szCs w:val="20"/>
          <w:color w:val="auto"/>
        </w:rPr>
        <w:tab/>
      </w:r>
      <w:r>
        <w:rPr>
          <w:rFonts w:ascii="Times New Roman" w:cs="Times New Roman" w:eastAsia="Times New Roman" w:hAnsi="Times New Roman"/>
          <w:sz w:val="18"/>
          <w:szCs w:val="18"/>
          <w:b w:val="1"/>
          <w:bCs w:val="1"/>
          <w:color w:val="auto"/>
        </w:rPr>
        <w:t>Exhibit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Conflict Minerals Report for the reporting period from January 1 to December 31, 2025 is filed as Exhibit 1.01 to this Form SD.</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 – Resource Extraction Issuer Disclosure</w:t>
      </w:r>
    </w:p>
    <w:p>
      <w:pPr>
        <w:spacing w:after="0" w:line="131"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2.01</w:t>
      </w:r>
      <w:r>
        <w:rPr>
          <w:sz w:val="20"/>
          <w:szCs w:val="20"/>
          <w:color w:val="auto"/>
        </w:rPr>
        <w:tab/>
      </w:r>
      <w:r>
        <w:rPr>
          <w:rFonts w:ascii="Times New Roman" w:cs="Times New Roman" w:eastAsia="Times New Roman" w:hAnsi="Times New Roman"/>
          <w:sz w:val="18"/>
          <w:szCs w:val="18"/>
          <w:b w:val="1"/>
          <w:bCs w:val="1"/>
          <w:color w:val="auto"/>
        </w:rPr>
        <w:t>Resource Extraction Issuer Disclosure and Report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 – Exhibits</w:t>
      </w:r>
    </w:p>
    <w:p>
      <w:pPr>
        <w:spacing w:after="0" w:line="131"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3.01</w:t>
      </w:r>
      <w:r>
        <w:rPr>
          <w:sz w:val="20"/>
          <w:szCs w:val="20"/>
          <w:color w:val="auto"/>
        </w:rPr>
        <w:tab/>
      </w:r>
      <w:r>
        <w:rPr>
          <w:rFonts w:ascii="Times New Roman" w:cs="Times New Roman" w:eastAsia="Times New Roman" w:hAnsi="Times New Roman"/>
          <w:sz w:val="18"/>
          <w:szCs w:val="18"/>
          <w:b w:val="1"/>
          <w:bCs w:val="1"/>
          <w:color w:val="auto"/>
        </w:rPr>
        <w:t>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Exhibit 1.01 – </w:t>
      </w:r>
      <w:r>
        <w:rPr>
          <w:rFonts w:ascii="Times New Roman" w:cs="Times New Roman" w:eastAsia="Times New Roman" w:hAnsi="Times New Roman"/>
          <w:sz w:val="18"/>
          <w:szCs w:val="18"/>
          <w:u w:val="single" w:color="auto"/>
          <w:color w:val="0000EE"/>
        </w:rPr>
        <w:t>Conflict Minerals Report as required by Items 1.01 and 1.02 of this Form SD.</w:t>
      </w:r>
    </w:p>
    <w:p>
      <w:pPr>
        <w:sectPr>
          <w:pgSz w:w="11900" w:h="16838" w:orient="portrait"/>
          <w:cols w:equalWidth="0" w:num="1">
            <w:col w:w="10700"/>
          </w:cols>
          <w:pgMar w:left="440" w:top="266" w:right="7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5"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duly authorized undersigned.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Analog Devices,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328295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(registrant)</w:t>
      </w:r>
    </w:p>
    <w:p>
      <w:pPr>
        <w:spacing w:after="0" w:line="225" w:lineRule="exact"/>
        <w:rPr>
          <w:sz w:val="20"/>
          <w:szCs w:val="20"/>
          <w:color w:val="auto"/>
        </w:rPr>
      </w:pPr>
    </w:p>
    <w:p>
      <w:pPr>
        <w:spacing w:after="0"/>
        <w:tabs>
          <w:tab w:leader="none" w:pos="9460" w:val="left"/>
        </w:tabs>
        <w:rPr>
          <w:sz w:val="20"/>
          <w:szCs w:val="20"/>
          <w:color w:val="auto"/>
        </w:rPr>
      </w:pPr>
      <w:r>
        <w:rPr>
          <w:rFonts w:ascii="Times New Roman" w:cs="Times New Roman" w:eastAsia="Times New Roman" w:hAnsi="Times New Roman"/>
          <w:sz w:val="18"/>
          <w:szCs w:val="18"/>
          <w:color w:val="auto"/>
        </w:rPr>
        <w:t>/s/ Richard C. Puccio, Jr.</w:t>
      </w:r>
      <w:r>
        <w:rPr>
          <w:sz w:val="20"/>
          <w:szCs w:val="20"/>
          <w:color w:val="auto"/>
        </w:rPr>
        <w:tab/>
      </w:r>
      <w:r>
        <w:rPr>
          <w:rFonts w:ascii="Times New Roman" w:cs="Times New Roman" w:eastAsia="Times New Roman" w:hAnsi="Times New Roman"/>
          <w:sz w:val="18"/>
          <w:szCs w:val="18"/>
          <w:color w:val="auto"/>
        </w:rPr>
        <w:t>Dated: May 22,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328295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Richard C. Puccio, Jr.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ectPr>
          <w:pgSz w:w="11900" w:h="16838" w:orient="portrait"/>
          <w:cols w:equalWidth="0" w:num="1">
            <w:col w:w="11020"/>
          </w:cols>
          <w:pgMar w:left="440" w:top="270" w:right="4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41" w:lineRule="exact"/>
        <w:rPr>
          <w:sz w:val="20"/>
          <w:szCs w:val="20"/>
          <w:color w:val="auto"/>
        </w:rPr>
      </w:pPr>
    </w:p>
    <w:p>
      <w:pPr>
        <w:jc w:val="cente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CONFLICT MINERALS REPORT OF ANALOG DEVICES, INC. IN ACCORDANCE WITH RULE 13P-1 UNDER THE SECURITIES EXCHANGE ACT OF 1934 (UNAUDITED)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 Introduction</w:t>
      </w:r>
    </w:p>
    <w:p>
      <w:pPr>
        <w:spacing w:after="0" w:line="121"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This is the Conflict Minerals Report of Analog Devices, Inc. (Analog Devices, ADI, we, our) for calendar year 2025 in accordance with Rule 13p-1 under the Securities Exchange Act of 1934 (Rule 13p-1). Numerous terms in this report are defined in Rule 13p-1 and Form SD and the reader is referred to those sources for such definitions and explanations thereof.</w:t>
      </w:r>
    </w:p>
    <w:p>
      <w:pPr>
        <w:spacing w:after="0" w:line="176"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Products manufactured or contracted to be manufactured by Analog Devices may contain tantalum, tin, tungsten and/or gold (collectively, conflict minerals) that are necessary to the functionality or production of our products. Based on the reasonable country of origin inquiry (RCOI) described below, Analog Devices either knows that necessary conflict minerals originated in the Democratic Republic of the Congo or an adjoining country (collectively, Covered Countries) and are not from recycled or scrap sources, or has reason to believe that necessary conflict minerals may have originated in the Covered Countries and has reason to believe that they may not be from recycled or scrap sources. Accordingly, we undertook due diligence on the source and chain of custody of the necessary conflict minerals in our products, as described below. Analog Devices is many steps removed from the mining of the conflict minerals; we do not purchase raw ore or unrefined conflict minerals, and we do not make direct purchases in the Covered Countries. We either purchase conflict minerals indirectly from a smelter or refiner (SOR) for use in our manufacturing processes or purchase components from suppliers that incorporate conflict minerals. The mine or other point of origin of conflict minerals cannot be determined with any certainty once the raw ores are smelted, refined, and converted to ingots, bullion, or other conflict mineral-containing derivatives.</w:t>
      </w:r>
    </w:p>
    <w:p>
      <w:pPr>
        <w:spacing w:after="0" w:line="19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Analog Devices is a global semiconductor leader dedicated to solving our customers’ most complex engineering challenges. We deliver innovations that connect technology to human breakthroughs and play a critical role at the intersection of the physical and digital worlds by providing the building blocks to sense, measure, interpret, connect, and power.</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 Product Scope</w:t>
      </w:r>
    </w:p>
    <w:p>
      <w:pPr>
        <w:spacing w:after="0" w:line="121"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We design, manufacture, test, and market a broad portfolio of solutions, including integrated circuits (ICs), software and subsystems that leverage high-performance analog, mixed-signal and digital signal processing technologies. Our comprehensive product portfolio, deep domain expertise and advanced manufacturing capabilities extend across high-performance precision and high-speed mixed-signal, power management and processing technologies – including data converters, amplifiers, power management, RF ICs, edge processors and other sensors. The scope of this report applies to semiconductor ICs, monolithic and multi-chip ICs, multi-component ICs, system-in-package modules/hybrid ICs, and other modules and assembled products. Our ICs are designed to address a wide range of real-world signal processing applications. We sell our ICs to customers worldwide, many of whom use products spanning our core technologies in a wide range of applications. Our IC product portfolio includes both general-purpose products used by a broad range of customers and applications, as well as application-specific products designed for specific target markets. By using readily available, high-performance, general-purpose products in their systems, our customers can reduce the time they need to bring new products to market. Given the high cost of developing more customized ICs, our standard products often provide a cost-effective solution for many low to medium volume applications. Our analog ICs monitor, condition, amplify or transform continuous analog signals associated with physical properties, such as temperature, pressure, weight, light, sound, or motion, and play an important role in bridging real world phenomena to a variety of electronic systems. Our analog ICs also provide voltage regulation and power control to electronic systems. We also work with customers to design application-specific solutions. We begin with our existing core technologies, which leverage our analog and mixed signal, power management, RF and microwave, edge processors and other sensors, and devise solutions that more closely meet the needs of a specific customer or group of customers. In certain cases, because we have already developed the core technology platform for our general-purpose products, we can create application-specific solutions quickly and efficiently.</w:t>
      </w:r>
    </w:p>
    <w:p>
      <w:pPr>
        <w:spacing w:after="0" w:line="193"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We produce and market a broad range of ICs and products and operate in one reportable segment based on the aggregation of our operating segments. The ICs sold by each of our operating segments are manufactured using similar semiconductor processes, package manufacturing processes and raw materials in either our own production facilities or by third-party wafer fabricators and package manufacturers.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 Reasonable Country of Origin Inquiry</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Analog Devices engaged with our relevant suppliers to identify SORs in our supply chain. We define relevant suppliers as those who supply materials to Analog Devices that are known to contain any or all of the conflict minerals, where such conflict minerals are necessary to the functionality and/or production of our products. We reach out to our relevant suppliers to request conflict minerals sourcing information using the Responsible Minerals Initiative (RMI)’s Conflict Minerals Reporting Template (RMI CMRT). Information provided by our relevant suppliers is reviewed for completeness and reasonableness, based on our knowledge of the supplier. Further supplier engagement, as necessary, is undertaken for any additional actions regarding their submission, including but not limited to follow-up and escalation on the identified SORs.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117" w:right="439" w:bottom="1440" w:gutter="0" w:footer="0" w:header="0"/>
        </w:sectPr>
      </w:pPr>
    </w:p>
    <w:bookmarkStart w:id="4" w:name="page5"/>
    <w:bookmarkEnd w:id="4"/>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4: Due Diligence Framework</w:t>
      </w:r>
    </w:p>
    <w:p>
      <w:pPr>
        <w:spacing w:after="0" w:line="121" w:lineRule="exact"/>
        <w:rPr>
          <w:sz w:val="20"/>
          <w:szCs w:val="20"/>
          <w:color w:val="auto"/>
        </w:rPr>
      </w:pPr>
    </w:p>
    <w:p>
      <w:pPr>
        <w:ind w:left="4" w:right="80"/>
        <w:spacing w:after="0" w:line="261" w:lineRule="auto"/>
        <w:rPr>
          <w:sz w:val="20"/>
          <w:szCs w:val="20"/>
          <w:color w:val="auto"/>
        </w:rPr>
      </w:pPr>
      <w:r>
        <w:rPr>
          <w:rFonts w:ascii="Times New Roman" w:cs="Times New Roman" w:eastAsia="Times New Roman" w:hAnsi="Times New Roman"/>
          <w:sz w:val="18"/>
          <w:szCs w:val="18"/>
          <w:color w:val="auto"/>
        </w:rPr>
        <w:t>Analog Devices’ due diligence measures are designed to conform, in all material respects, with the internationally recognized due diligence framework set forth in the Organisation for Economic Co-operation and Development (the OECD) Due Diligence Guidance for Responsible Supply Chains of Minerals from Conflict-Affected and High-Risk Areas: Third Edition (OECD 2016) (the OECD Framework), including related supplements for each of the conflict minerals. Below is a description of our due diligence measures pursuant to the OECD Framework:</w:t>
      </w:r>
    </w:p>
    <w:p>
      <w:pPr>
        <w:spacing w:after="0" w:line="18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Step 1. Establish strong company management systems</w:t>
      </w:r>
    </w:p>
    <w:p>
      <w:pPr>
        <w:spacing w:after="0" w:line="131" w:lineRule="exact"/>
        <w:rPr>
          <w:sz w:val="20"/>
          <w:szCs w:val="20"/>
          <w:color w:val="auto"/>
        </w:rPr>
      </w:pPr>
    </w:p>
    <w:p>
      <w:pPr>
        <w:ind w:left="1424" w:right="300" w:hanging="331"/>
        <w:spacing w:after="0" w:line="266" w:lineRule="auto"/>
        <w:tabs>
          <w:tab w:leader="none" w:pos="1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 Devices has adopted a policy regarding conflict minerals (Conflict Minerals Policy). The Conflict Minerals Policy is publicly available on our website and is a key component of our conflict minerals program. The Conflict Minerals Policy reflects ADI’s commitment to ethical practices and compliance with applicable laws and regulations.</w:t>
      </w:r>
    </w:p>
    <w:p>
      <w:pPr>
        <w:spacing w:after="0" w:line="81" w:lineRule="exact"/>
        <w:rPr>
          <w:rFonts w:ascii="Times New Roman" w:cs="Times New Roman" w:eastAsia="Times New Roman" w:hAnsi="Times New Roman"/>
          <w:sz w:val="18"/>
          <w:szCs w:val="18"/>
          <w:color w:val="auto"/>
        </w:rPr>
      </w:pPr>
    </w:p>
    <w:p>
      <w:pPr>
        <w:ind w:left="1424" w:hanging="331"/>
        <w:spacing w:after="0" w:line="261" w:lineRule="auto"/>
        <w:tabs>
          <w:tab w:leader="none" w:pos="1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internal team supported by representatives from different internal groups is tasked to implement our Conflict Minerals Policy and oversee ADI’s conflict minerals program (Conflict Minerals Oversight Committee). The Director of Quality, Product Stewardship, is the assigned team leader who reports through the quality organization to the Vice President, Global Quality and Product Engineering. The Conflict Minerals Oversight Committee reviews our conflict minerals program on a regular basis.</w:t>
      </w:r>
    </w:p>
    <w:p>
      <w:pPr>
        <w:spacing w:after="0" w:line="85" w:lineRule="exact"/>
        <w:rPr>
          <w:rFonts w:ascii="Times New Roman" w:cs="Times New Roman" w:eastAsia="Times New Roman" w:hAnsi="Times New Roman"/>
          <w:sz w:val="18"/>
          <w:szCs w:val="18"/>
          <w:color w:val="auto"/>
        </w:rPr>
      </w:pPr>
    </w:p>
    <w:p>
      <w:pPr>
        <w:ind w:left="1424" w:right="140" w:hanging="331"/>
        <w:spacing w:after="0" w:line="260" w:lineRule="auto"/>
        <w:tabs>
          <w:tab w:leader="none" w:pos="1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adopted a process for identifying suppliers, SORs, or recyclers and scrap supplier sources of conflict minerals within the supply chain. ADI leverages the RMI CMRT to gather information regarding SORs from our first-tier suppliers. We also utilize the RMI and its Responsible Minerals Assurance Process (RMAP) to trace the mine of origin of the conflict minerals when such information is available. The RMI conducts independent audits of smelters and refiners to ensure that all certified smelters and refiners are Conformant</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or actively engaged in the RMAP identification of upstream actors in the supply chain.</w:t>
      </w:r>
    </w:p>
    <w:p>
      <w:pPr>
        <w:ind w:left="1424" w:right="180" w:hanging="331"/>
        <w:spacing w:after="0" w:line="258" w:lineRule="auto"/>
        <w:tabs>
          <w:tab w:leader="none" w:pos="1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our direct suppliers to have policies and procedures in place that are in compliance with our Conflict Minerals Policy to enable transparency and facilitate our compliance with applicable programs and rules.</w:t>
      </w:r>
    </w:p>
    <w:p>
      <w:pPr>
        <w:spacing w:after="0" w:line="88" w:lineRule="exact"/>
        <w:rPr>
          <w:rFonts w:ascii="Times New Roman" w:cs="Times New Roman" w:eastAsia="Times New Roman" w:hAnsi="Times New Roman"/>
          <w:sz w:val="18"/>
          <w:szCs w:val="18"/>
          <w:color w:val="auto"/>
        </w:rPr>
      </w:pPr>
    </w:p>
    <w:p>
      <w:pPr>
        <w:ind w:left="1424" w:right="80" w:hanging="331"/>
        <w:spacing w:after="0" w:line="282" w:lineRule="auto"/>
        <w:tabs>
          <w:tab w:leader="none" w:pos="1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participating member of the Responsible Business Alliance and the RMI, ADI utilizes these industry resources to support early risk awareness of issues that may impact SOR status.</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Step 2. Identify and assess risk in the supply chain</w:t>
      </w:r>
    </w:p>
    <w:p>
      <w:pPr>
        <w:spacing w:after="0" w:line="225" w:lineRule="exact"/>
        <w:rPr>
          <w:sz w:val="20"/>
          <w:szCs w:val="20"/>
          <w:color w:val="auto"/>
        </w:rPr>
      </w:pPr>
    </w:p>
    <w:p>
      <w:pPr>
        <w:ind w:left="984" w:right="20"/>
        <w:spacing w:after="0" w:line="256" w:lineRule="auto"/>
        <w:rPr>
          <w:sz w:val="20"/>
          <w:szCs w:val="20"/>
          <w:color w:val="auto"/>
        </w:rPr>
      </w:pPr>
      <w:r>
        <w:rPr>
          <w:rFonts w:ascii="Times New Roman" w:cs="Times New Roman" w:eastAsia="Times New Roman" w:hAnsi="Times New Roman"/>
          <w:sz w:val="18"/>
          <w:szCs w:val="18"/>
          <w:color w:val="auto"/>
        </w:rPr>
        <w:t>The OECD Framework for managing risk is largely directed towards the upstream portion of the supply chain (SORs and mines of origin). As a downstream company in the supply chain, ADI participates in the RMAP under the RMI to identify and review the due diligence process of SORs in our supply chain. The RMI assesses and audits whether SORs adhere to RMAP standards, which meet the requirements of the OECD Framework. Compliant SORs are then designated as Conformant and listed as such on the RMI website. We request suppliers provide information regarding SORs in our supply chain by using the RMI CMRT. We review supplier responses to identify areas for further follow-up and key risks in our supply chain.</w:t>
      </w:r>
    </w:p>
    <w:p>
      <w:pPr>
        <w:spacing w:after="0" w:line="18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Step 3. Design and implement a strategy to respond to identified risks</w:t>
      </w:r>
    </w:p>
    <w:p>
      <w:pPr>
        <w:spacing w:after="0" w:line="225" w:lineRule="exact"/>
        <w:rPr>
          <w:sz w:val="20"/>
          <w:szCs w:val="20"/>
          <w:color w:val="auto"/>
        </w:rPr>
      </w:pPr>
    </w:p>
    <w:p>
      <w:pPr>
        <w:ind w:left="984" w:right="340"/>
        <w:spacing w:after="0" w:line="266" w:lineRule="auto"/>
        <w:rPr>
          <w:sz w:val="20"/>
          <w:szCs w:val="20"/>
          <w:color w:val="auto"/>
        </w:rPr>
      </w:pPr>
      <w:r>
        <w:rPr>
          <w:rFonts w:ascii="Times New Roman" w:cs="Times New Roman" w:eastAsia="Times New Roman" w:hAnsi="Times New Roman"/>
          <w:sz w:val="18"/>
          <w:szCs w:val="18"/>
          <w:color w:val="auto"/>
        </w:rPr>
        <w:t>We encourage suppliers who are sourcing from non-Conformant SORs to move towards using Conformant SORs (as identified via the RMI and other industry-developed third-party audit mechanisms). We contact SORs directly to support participation in the RMI and respond to the RMI’s requests for information as they relate to SOR operational changes, audit requirements or SOR status.</w:t>
      </w:r>
    </w:p>
    <w:p>
      <w:pPr>
        <w:spacing w:after="0" w:line="176" w:lineRule="exact"/>
        <w:rPr>
          <w:sz w:val="20"/>
          <w:szCs w:val="20"/>
          <w:color w:val="auto"/>
        </w:rPr>
      </w:pPr>
    </w:p>
    <w:p>
      <w:pPr>
        <w:ind w:left="984" w:right="80"/>
        <w:spacing w:after="0" w:line="261" w:lineRule="auto"/>
        <w:rPr>
          <w:sz w:val="20"/>
          <w:szCs w:val="20"/>
          <w:color w:val="auto"/>
        </w:rPr>
      </w:pPr>
      <w:r>
        <w:rPr>
          <w:rFonts w:ascii="Times New Roman" w:cs="Times New Roman" w:eastAsia="Times New Roman" w:hAnsi="Times New Roman"/>
          <w:sz w:val="18"/>
          <w:szCs w:val="18"/>
          <w:color w:val="auto"/>
        </w:rPr>
        <w:t>Depending on the nature and severity of risks identified by review of SORs reported to ADI, ADI will engage with the supplier or SOR to reach a resolution. ADI may temporarily suspend purchases from the supplier during this process. If a supplier fails to remedy the risks, the supplier status will be escalated for review by the Conflict Minerals Oversight Committee to take measures up to and including termination of our relationship with the supplier, if warranted.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82550</wp:posOffset>
            </wp:positionV>
            <wp:extent cx="77152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33" w:lineRule="exact"/>
        <w:rPr>
          <w:sz w:val="20"/>
          <w:szCs w:val="20"/>
          <w:color w:val="auto"/>
        </w:rPr>
      </w:pPr>
    </w:p>
    <w:p>
      <w:pPr>
        <w:jc w:val="both"/>
        <w:ind w:left="424" w:right="640" w:hanging="424"/>
        <w:spacing w:after="0" w:line="220" w:lineRule="auto"/>
        <w:tabs>
          <w:tab w:leader="none" w:pos="424" w:val="left"/>
        </w:tabs>
        <w:numPr>
          <w:ilvl w:val="0"/>
          <w:numId w:val="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“Conformant” means that a SOR has successfully completed an assessment against the applicable RMAP standard or an equivalent cross-recognized assessment. Included smelters and refiners were not necessarily Conformant for all or part of 2025 and may not continue to be Conformant for any future period.</w:t>
      </w:r>
    </w:p>
    <w:p>
      <w:pPr>
        <w:spacing w:after="0" w:line="13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4"/>
          </w:cols>
          <w:pgMar w:left="436" w:top="266" w:right="459" w:bottom="1440" w:gutter="0" w:footer="0" w:header="0"/>
        </w:sectPr>
      </w:pPr>
    </w:p>
    <w:bookmarkStart w:id="5" w:name="page6"/>
    <w:bookmarkEnd w:id="5"/>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Step 4. Carry out independent third-party audit of supply chain due diligence at identified points in the supply chain</w:t>
      </w:r>
    </w:p>
    <w:p>
      <w:pPr>
        <w:spacing w:after="0" w:line="225" w:lineRule="exact"/>
        <w:rPr>
          <w:sz w:val="20"/>
          <w:szCs w:val="20"/>
          <w:color w:val="auto"/>
        </w:rPr>
      </w:pPr>
    </w:p>
    <w:p>
      <w:pPr>
        <w:ind w:left="984"/>
        <w:spacing w:after="0" w:line="266" w:lineRule="auto"/>
        <w:rPr>
          <w:sz w:val="20"/>
          <w:szCs w:val="20"/>
          <w:color w:val="auto"/>
        </w:rPr>
      </w:pPr>
      <w:r>
        <w:rPr>
          <w:rFonts w:ascii="Times New Roman" w:cs="Times New Roman" w:eastAsia="Times New Roman" w:hAnsi="Times New Roman"/>
          <w:sz w:val="18"/>
          <w:szCs w:val="18"/>
          <w:color w:val="auto"/>
        </w:rPr>
        <w:t>We rely on industry efforts, including the RMI, to conduct third-party audits of eligible SORs against the RMAP standards, which meet the OECD Framework for due diligence practices. As a member of the RMI, we utilize information from these RMAP audits as well as other recognized industry audits of SORs to validate SOR conformance.</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Step 5. Report on supply chain due diligence</w:t>
      </w:r>
    </w:p>
    <w:p>
      <w:pPr>
        <w:spacing w:after="0" w:line="225" w:lineRule="exact"/>
        <w:rPr>
          <w:sz w:val="20"/>
          <w:szCs w:val="20"/>
          <w:color w:val="auto"/>
        </w:rPr>
      </w:pPr>
    </w:p>
    <w:p>
      <w:pPr>
        <w:ind w:left="984" w:right="260"/>
        <w:spacing w:after="0" w:line="282" w:lineRule="auto"/>
        <w:rPr>
          <w:sz w:val="20"/>
          <w:szCs w:val="20"/>
          <w:color w:val="auto"/>
        </w:rPr>
      </w:pPr>
      <w:r>
        <w:rPr>
          <w:rFonts w:ascii="Times New Roman" w:cs="Times New Roman" w:eastAsia="Times New Roman" w:hAnsi="Times New Roman"/>
          <w:sz w:val="18"/>
          <w:szCs w:val="18"/>
          <w:color w:val="auto"/>
        </w:rPr>
        <w:t>This report and the associated Form SD have been filed with the U.S. Securities and Exchange Commission (SEC) and are available on our website.</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5: Due Diligence Results</w:t>
      </w:r>
    </w:p>
    <w:p>
      <w:pPr>
        <w:spacing w:after="0" w:line="121" w:lineRule="exact"/>
        <w:rPr>
          <w:sz w:val="20"/>
          <w:szCs w:val="20"/>
          <w:color w:val="auto"/>
        </w:rPr>
      </w:pPr>
    </w:p>
    <w:p>
      <w:pPr>
        <w:ind w:left="4" w:right="240"/>
        <w:spacing w:after="0" w:line="261" w:lineRule="auto"/>
        <w:rPr>
          <w:sz w:val="20"/>
          <w:szCs w:val="20"/>
          <w:color w:val="auto"/>
        </w:rPr>
      </w:pPr>
      <w:r>
        <w:rPr>
          <w:rFonts w:ascii="Times New Roman" w:cs="Times New Roman" w:eastAsia="Times New Roman" w:hAnsi="Times New Roman"/>
          <w:sz w:val="18"/>
          <w:szCs w:val="18"/>
          <w:color w:val="auto"/>
        </w:rPr>
        <w:t>Tracing the conflict minerals to SORs and determining the country of origin of each such mineral is a complex endeavor, but an important aspect of responsible sourcing. To help establish and maintain our supply chain compliance sourcing program, we have followed currently established industry guidelines such as those developed by the RMI under the OECD Framework, which enables companies to source minerals from SORs that have been subjected to a rigorous, independent third-party audit.</w:t>
      </w:r>
    </w:p>
    <w:p>
      <w:pPr>
        <w:spacing w:after="0" w:line="180" w:lineRule="exact"/>
        <w:rPr>
          <w:sz w:val="20"/>
          <w:szCs w:val="20"/>
          <w:color w:val="auto"/>
        </w:rPr>
      </w:pPr>
    </w:p>
    <w:p>
      <w:pPr>
        <w:ind w:left="4" w:right="80"/>
        <w:spacing w:after="0" w:line="258" w:lineRule="auto"/>
        <w:rPr>
          <w:sz w:val="20"/>
          <w:szCs w:val="20"/>
          <w:color w:val="auto"/>
        </w:rPr>
      </w:pPr>
      <w:r>
        <w:rPr>
          <w:rFonts w:ascii="Times New Roman" w:cs="Times New Roman" w:eastAsia="Times New Roman" w:hAnsi="Times New Roman"/>
          <w:sz w:val="18"/>
          <w:szCs w:val="18"/>
          <w:color w:val="auto"/>
        </w:rPr>
        <w:t>To implement our RCOI survey process, we adopted the RMI’s industry approach and leveraged the RMI CMRT to gather information from our first-tier suppliers to help us trace the origin of necessary conflict minerals used in our products by identifying SORs, recyclers and scrap supplier sources of conflict minerals. We also utilized the RMI and its RCOI investigation process and data to trace the country of origin of conflict minerals when such information was available. The RMI conducts independent audits of SORs to ensure that all certified SORs are Conformant or actively engaged in the RMAP.</w:t>
      </w:r>
    </w:p>
    <w:p>
      <w:pPr>
        <w:spacing w:after="0" w:line="183" w:lineRule="exact"/>
        <w:rPr>
          <w:sz w:val="20"/>
          <w:szCs w:val="20"/>
          <w:color w:val="auto"/>
        </w:rPr>
      </w:pPr>
    </w:p>
    <w:p>
      <w:pPr>
        <w:jc w:val="both"/>
        <w:ind w:left="4" w:right="280"/>
        <w:spacing w:after="0" w:line="266" w:lineRule="auto"/>
        <w:rPr>
          <w:sz w:val="20"/>
          <w:szCs w:val="20"/>
          <w:color w:val="auto"/>
        </w:rPr>
      </w:pPr>
      <w:r>
        <w:rPr>
          <w:rFonts w:ascii="Times New Roman" w:cs="Times New Roman" w:eastAsia="Times New Roman" w:hAnsi="Times New Roman"/>
          <w:sz w:val="18"/>
          <w:szCs w:val="18"/>
          <w:color w:val="auto"/>
        </w:rPr>
        <w:t>The responses from our suppliers listed 228 entities as SORs of conflict minerals in their supply chains. A recognized responsible minerals assurance process verified 220 of these entities as Conformant by the RMI. The following is a summary of SORs used by our suppliers by mineral type during calendar year 2025:</w:t>
      </w:r>
    </w:p>
    <w:p>
      <w:pPr>
        <w:spacing w:after="0" w:line="196" w:lineRule="exact"/>
        <w:rPr>
          <w:sz w:val="20"/>
          <w:szCs w:val="20"/>
          <w:color w:val="auto"/>
        </w:rPr>
      </w:pPr>
    </w:p>
    <w:tbl>
      <w:tblPr>
        <w:tblLayout w:type="fixed"/>
        <w:tblInd w:w="1324" w:type="dxa"/>
        <w:tblCellMar>
          <w:top w:w="0" w:type="dxa"/>
          <w:left w:w="0" w:type="dxa"/>
          <w:bottom w:w="0" w:type="dxa"/>
          <w:right w:w="0" w:type="dxa"/>
        </w:tblCellMar>
      </w:tblPr>
      <w:tr>
        <w:trPr>
          <w:trHeight w:val="193"/>
        </w:trPr>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7"/>
              </w:rPr>
              <w:t>Metal</w:t>
            </w:r>
          </w:p>
        </w:tc>
        <w:tc>
          <w:tcPr>
            <w:tcW w:w="4300" w:type="dxa"/>
            <w:vAlign w:val="bottom"/>
          </w:tcPr>
          <w:p>
            <w:pPr>
              <w:spacing w:after="0"/>
              <w:rPr>
                <w:sz w:val="16"/>
                <w:szCs w:val="16"/>
                <w:color w:val="auto"/>
              </w:rPr>
            </w:pPr>
          </w:p>
        </w:tc>
        <w:tc>
          <w:tcPr>
            <w:tcW w:w="2500" w:type="dxa"/>
            <w:vAlign w:val="bottom"/>
            <w:gridSpan w:val="2"/>
          </w:tcPr>
          <w:p>
            <w:pPr>
              <w:jc w:val="right"/>
              <w:ind w:right="1020"/>
              <w:spacing w:after="0"/>
              <w:rPr>
                <w:sz w:val="20"/>
                <w:szCs w:val="20"/>
                <w:color w:val="auto"/>
              </w:rPr>
            </w:pPr>
            <w:r>
              <w:rPr>
                <w:rFonts w:ascii="Times New Roman" w:cs="Times New Roman" w:eastAsia="Times New Roman" w:hAnsi="Times New Roman"/>
                <w:sz w:val="14"/>
                <w:szCs w:val="14"/>
                <w:b w:val="1"/>
                <w:bCs w:val="1"/>
                <w:color w:val="auto"/>
              </w:rPr>
              <w:t>Total SORs Identified</w:t>
            </w:r>
            <w:r>
              <w:rPr>
                <w:rFonts w:ascii="Times New Roman" w:cs="Times New Roman" w:eastAsia="Times New Roman" w:hAnsi="Times New Roman"/>
                <w:sz w:val="10"/>
                <w:szCs w:val="10"/>
                <w:b w:val="1"/>
                <w:bCs w:val="1"/>
                <w:color w:val="auto"/>
              </w:rPr>
              <w:t>(1)</w:t>
            </w:r>
          </w:p>
        </w:tc>
        <w:tc>
          <w:tcPr>
            <w:tcW w:w="12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Conformant SORs</w:t>
            </w:r>
          </w:p>
        </w:tc>
      </w:tr>
      <w:tr>
        <w:trPr>
          <w:trHeight w:val="203"/>
        </w:trPr>
        <w:tc>
          <w:tcPr>
            <w:tcW w:w="46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Gold</w:t>
            </w:r>
          </w:p>
        </w:tc>
        <w:tc>
          <w:tcPr>
            <w:tcW w:w="14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96</w:t>
            </w:r>
          </w:p>
        </w:tc>
        <w:tc>
          <w:tcPr>
            <w:tcW w:w="102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94</w:t>
            </w: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Tantalum</w:t>
            </w:r>
          </w:p>
        </w:tc>
        <w:tc>
          <w:tcPr>
            <w:tcW w:w="2500" w:type="dxa"/>
            <w:vAlign w:val="bottom"/>
            <w:gridSpan w:val="2"/>
          </w:tcPr>
          <w:p>
            <w:pPr>
              <w:jc w:val="right"/>
              <w:ind w:right="1020"/>
              <w:spacing w:after="0"/>
              <w:rPr>
                <w:sz w:val="20"/>
                <w:szCs w:val="20"/>
                <w:color w:val="auto"/>
              </w:rPr>
            </w:pPr>
            <w:r>
              <w:rPr>
                <w:rFonts w:ascii="Times New Roman" w:cs="Times New Roman" w:eastAsia="Times New Roman" w:hAnsi="Times New Roman"/>
                <w:sz w:val="18"/>
                <w:szCs w:val="18"/>
                <w:color w:val="auto"/>
              </w:rPr>
              <w:t>38</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4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Tin</w:t>
            </w:r>
          </w:p>
        </w:tc>
        <w:tc>
          <w:tcPr>
            <w:tcW w:w="2500" w:type="dxa"/>
            <w:vAlign w:val="bottom"/>
            <w:gridSpan w:val="2"/>
            <w:shd w:val="clear" w:color="auto" w:fill="CCEEFF"/>
          </w:tcPr>
          <w:p>
            <w:pPr>
              <w:jc w:val="right"/>
              <w:ind w:right="1020"/>
              <w:spacing w:after="0"/>
              <w:rPr>
                <w:sz w:val="20"/>
                <w:szCs w:val="20"/>
                <w:color w:val="auto"/>
              </w:rPr>
            </w:pPr>
            <w:r>
              <w:rPr>
                <w:rFonts w:ascii="Times New Roman" w:cs="Times New Roman" w:eastAsia="Times New Roman" w:hAnsi="Times New Roman"/>
                <w:sz w:val="18"/>
                <w:szCs w:val="18"/>
                <w:color w:val="auto"/>
              </w:rPr>
              <w:t>59</w:t>
            </w: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Tungsten</w:t>
            </w:r>
          </w:p>
        </w:tc>
        <w:tc>
          <w:tcPr>
            <w:tcW w:w="2500" w:type="dxa"/>
            <w:vAlign w:val="bottom"/>
            <w:gridSpan w:val="2"/>
          </w:tcPr>
          <w:p>
            <w:pPr>
              <w:jc w:val="right"/>
              <w:ind w:right="1020"/>
              <w:spacing w:after="0"/>
              <w:rPr>
                <w:sz w:val="20"/>
                <w:szCs w:val="20"/>
                <w:color w:val="auto"/>
              </w:rPr>
            </w:pPr>
            <w:r>
              <w:rPr>
                <w:rFonts w:ascii="Times New Roman" w:cs="Times New Roman" w:eastAsia="Times New Roman" w:hAnsi="Times New Roman"/>
                <w:sz w:val="18"/>
                <w:szCs w:val="18"/>
                <w:color w:val="auto"/>
              </w:rPr>
              <w:t>35</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w:t>
            </w:r>
          </w:p>
        </w:tc>
      </w:tr>
      <w:tr>
        <w:trPr>
          <w:trHeight w:val="27"/>
        </w:trPr>
        <w:tc>
          <w:tcPr>
            <w:tcW w:w="36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10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46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500" w:type="dxa"/>
            <w:vAlign w:val="bottom"/>
            <w:gridSpan w:val="2"/>
            <w:shd w:val="clear" w:color="auto" w:fill="CCEEFF"/>
          </w:tcPr>
          <w:p>
            <w:pPr>
              <w:jc w:val="right"/>
              <w:ind w:right="1020"/>
              <w:spacing w:after="0"/>
              <w:rPr>
                <w:sz w:val="20"/>
                <w:szCs w:val="20"/>
                <w:color w:val="auto"/>
              </w:rPr>
            </w:pPr>
            <w:r>
              <w:rPr>
                <w:rFonts w:ascii="Times New Roman" w:cs="Times New Roman" w:eastAsia="Times New Roman" w:hAnsi="Times New Roman"/>
                <w:sz w:val="18"/>
                <w:szCs w:val="18"/>
                <w:color w:val="auto"/>
              </w:rPr>
              <w:t>228</w:t>
            </w: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220</w:t>
            </w:r>
          </w:p>
        </w:tc>
      </w:tr>
    </w:tbl>
    <w:p>
      <w:pPr>
        <w:spacing w:after="0" w:line="103" w:lineRule="exact"/>
        <w:rPr>
          <w:sz w:val="20"/>
          <w:szCs w:val="20"/>
          <w:color w:val="auto"/>
        </w:rPr>
      </w:pPr>
    </w:p>
    <w:p>
      <w:pPr>
        <w:ind w:left="424" w:right="180" w:hanging="424"/>
        <w:spacing w:after="0" w:line="261" w:lineRule="auto"/>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SORs included in this table were identified to us by the suppliers. However, not all of the included SORs may have processed necessary conflict minerals contained in our products. Some suppliers may have reported to us SORs that were not in our supply chain due to over-inclusiveness in the information received from their suppliers as a result of reporting to us at a “company level,” meaning that they reported to us the conflict minerals content contained in all of their products, not just the products they sold to us, or for other reasons.</w:t>
      </w:r>
    </w:p>
    <w:p>
      <w:pPr>
        <w:spacing w:after="0" w:line="180" w:lineRule="exact"/>
        <w:rPr>
          <w:sz w:val="20"/>
          <w:szCs w:val="20"/>
          <w:color w:val="auto"/>
        </w:rPr>
      </w:pPr>
    </w:p>
    <w:p>
      <w:pPr>
        <w:ind w:left="4" w:right="300"/>
        <w:spacing w:after="0" w:line="266" w:lineRule="auto"/>
        <w:rPr>
          <w:sz w:val="20"/>
          <w:szCs w:val="20"/>
          <w:color w:val="auto"/>
        </w:rPr>
      </w:pPr>
      <w:r>
        <w:rPr>
          <w:rFonts w:ascii="Times New Roman" w:cs="Times New Roman" w:eastAsia="Times New Roman" w:hAnsi="Times New Roman"/>
          <w:sz w:val="18"/>
          <w:szCs w:val="18"/>
          <w:color w:val="auto"/>
        </w:rPr>
        <w:t>After exercising the due diligence described above, Analog Devices concluded that some of its necessary conflict minerals originated in the Covered Countries. Analog Devices was unable to determine whether or not such conflict minerals directly or indirectly financed any armed group(s) in the Covered Countries.</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ADI determined that its IC products, which represent its primary product offerings, contained conflict minerals sourced from SORs that are Conformant.</w:t>
      </w:r>
    </w:p>
    <w:p>
      <w:pPr>
        <w:spacing w:after="0" w:line="237" w:lineRule="exact"/>
        <w:rPr>
          <w:sz w:val="20"/>
          <w:szCs w:val="20"/>
          <w:color w:val="auto"/>
        </w:rPr>
      </w:pPr>
    </w:p>
    <w:p>
      <w:pPr>
        <w:ind w:left="4" w:right="180"/>
        <w:spacing w:after="0" w:line="258" w:lineRule="auto"/>
        <w:rPr>
          <w:sz w:val="20"/>
          <w:szCs w:val="20"/>
          <w:color w:val="auto"/>
        </w:rPr>
      </w:pPr>
      <w:r>
        <w:rPr>
          <w:rFonts w:ascii="Times New Roman" w:cs="Times New Roman" w:eastAsia="Times New Roman" w:hAnsi="Times New Roman"/>
          <w:sz w:val="18"/>
          <w:szCs w:val="18"/>
          <w:color w:val="auto"/>
        </w:rPr>
        <w:t>ADI does not have complete information on conflict mineral sourcing for smaller product lines with high complexity material builds beyond IC products. In 2025, 6% of these complex product suppliers were unable to determine sourcing specific to ADI smaller product lines. This subset of complex product suppliers provided either incomplete reporting or could not provide specific sourcing disclosure directly related to materials used within these ADI complex products or modules. ADI continues to make progress in its due diligence efforts for this smaller subset of complex module products.</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4"/>
          </w:cols>
          <w:pgMar w:left="436" w:top="270" w:right="4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6: Other Matters</w:t>
      </w:r>
    </w:p>
    <w:p>
      <w:pPr>
        <w:spacing w:after="0" w:line="121"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Based on the information provided by our suppliers through December 31, 2025, we believe that the facilities that may have been used to process conflict minerals in our products include the SORs listed in Annex I below.</w:t>
      </w:r>
    </w:p>
    <w:p>
      <w:pPr>
        <w:spacing w:after="0" w:line="16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Based on information provided by our suppliers and from the RCOI data from the RMI, we believe that the origin of the conflict minerals contained in our products may include the countries listed in Annex II below as well as recycled and scrap sources.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Analog Devices will undertake the following steps during the next compliance period to continue to improve the due diligence conducted and to further mitigate the risk that our necessary conflict minerals benefit armed groups in the Covered Countries:</w:t>
      </w:r>
    </w:p>
    <w:p>
      <w:pPr>
        <w:spacing w:after="0" w:line="67" w:lineRule="exact"/>
        <w:rPr>
          <w:sz w:val="20"/>
          <w:szCs w:val="20"/>
          <w:color w:val="auto"/>
        </w:rPr>
      </w:pPr>
    </w:p>
    <w:p>
      <w:pPr>
        <w:ind w:left="1420" w:hanging="331"/>
        <w:spacing w:after="0"/>
        <w:tabs>
          <w:tab w:leader="none" w:pos="14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participate in industry initiatives, such as the RMI. We participate actively in the RMI’s plenary sessions.</w:t>
      </w:r>
    </w:p>
    <w:p>
      <w:pPr>
        <w:spacing w:after="0" w:line="130" w:lineRule="exact"/>
        <w:rPr>
          <w:rFonts w:ascii="Times New Roman" w:cs="Times New Roman" w:eastAsia="Times New Roman" w:hAnsi="Times New Roman"/>
          <w:sz w:val="18"/>
          <w:szCs w:val="18"/>
          <w:color w:val="auto"/>
        </w:rPr>
      </w:pPr>
    </w:p>
    <w:p>
      <w:pPr>
        <w:ind w:left="1420" w:right="340" w:hanging="331"/>
        <w:spacing w:after="0" w:line="312" w:lineRule="auto"/>
        <w:tabs>
          <w:tab w:leader="none" w:pos="14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Continue to contact SORs identified as a result of the RCOI process and request their participation in obtaining a “conformant” designation from an industry program such as the RMAP program or equivalent if they have not already done so.</w:t>
      </w:r>
    </w:p>
    <w:p>
      <w:pPr>
        <w:spacing w:after="0" w:line="45" w:lineRule="exact"/>
        <w:rPr>
          <w:rFonts w:ascii="Times New Roman" w:cs="Times New Roman" w:eastAsia="Times New Roman" w:hAnsi="Times New Roman"/>
          <w:sz w:val="17"/>
          <w:szCs w:val="17"/>
          <w:color w:val="auto"/>
        </w:rPr>
      </w:pPr>
    </w:p>
    <w:p>
      <w:pPr>
        <w:ind w:left="1420" w:hanging="331"/>
        <w:spacing w:after="0"/>
        <w:tabs>
          <w:tab w:leader="none" w:pos="14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Strengthen our alternate sourcing strategy to transition out suppliers who fail to comply with our conflict minerals requirements.</w:t>
      </w:r>
    </w:p>
    <w:p>
      <w:pPr>
        <w:spacing w:after="0" w:line="130" w:lineRule="exact"/>
        <w:rPr>
          <w:rFonts w:ascii="Times New Roman" w:cs="Times New Roman" w:eastAsia="Times New Roman" w:hAnsi="Times New Roman"/>
          <w:sz w:val="18"/>
          <w:szCs w:val="18"/>
          <w:color w:val="auto"/>
        </w:rPr>
      </w:pPr>
    </w:p>
    <w:p>
      <w:pPr>
        <w:ind w:left="1420" w:right="240" w:hanging="331"/>
        <w:spacing w:after="0" w:line="282" w:lineRule="auto"/>
        <w:tabs>
          <w:tab w:leader="none" w:pos="14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Collaborate with our procurement team by providing them with resources that will guide them in choosing the material suppliers containing any of the conflict minerals.</w:t>
      </w:r>
    </w:p>
    <w:p>
      <w:pPr>
        <w:spacing w:after="0" w:line="67"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Explore system improvements for our conflict minerals program.</w:t>
      </w:r>
    </w:p>
    <w:p>
      <w:pPr>
        <w:spacing w:after="0" w:line="22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This report includes forward-looking statements, within the meaning of the Private Securities Litigation Reform Act of 1995, which involve risks and uncertainties. Forward-looking statements provide current expectations of future events based on certain assumptions and include any statement that does not directly relate to any historical or current fact. Forward-looking statements can also be identified by words such as “expects,” “plans,” “intends,” “will,” “may,” and similar terms. Forward-looking statements are not guarantees of future actions or performance. Analog Devices assumes no obligation to revise or update any forward-looking statements for any reason, except as required by law.</w:t>
      </w:r>
    </w:p>
    <w:p>
      <w:pPr>
        <w:spacing w:after="0" w:line="11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20"/>
          </w:cols>
          <w:pgMar w:left="440" w:top="266" w:right="5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ANNEX I </w:t>
      </w:r>
      <w:r>
        <w:rPr>
          <w:rFonts w:ascii="Times New Roman" w:cs="Times New Roman" w:eastAsia="Times New Roman" w:hAnsi="Times New Roman"/>
          <w:sz w:val="26"/>
          <w:szCs w:val="26"/>
          <w:b w:val="1"/>
          <w:bCs w:val="1"/>
          <w:color w:val="auto"/>
          <w:vertAlign w:val="superscript"/>
        </w:rPr>
        <w:t>(1)</w:t>
      </w:r>
    </w:p>
    <w:p>
      <w:pPr>
        <w:spacing w:after="0" w:line="152"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Metal</w:t>
            </w:r>
          </w:p>
        </w:tc>
        <w:tc>
          <w:tcPr>
            <w:tcW w:w="636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Standard Smelter Name</w:t>
            </w:r>
          </w:p>
        </w:tc>
        <w:tc>
          <w:tcPr>
            <w:tcW w:w="3240" w:type="dxa"/>
            <w:vAlign w:val="bottom"/>
          </w:tcPr>
          <w:p>
            <w:pPr>
              <w:ind w:left="1140"/>
              <w:spacing w:after="0"/>
              <w:rPr>
                <w:sz w:val="20"/>
                <w:szCs w:val="20"/>
                <w:color w:val="auto"/>
              </w:rPr>
            </w:pPr>
            <w:r>
              <w:rPr>
                <w:rFonts w:ascii="Times New Roman" w:cs="Times New Roman" w:eastAsia="Times New Roman" w:hAnsi="Times New Roman"/>
                <w:sz w:val="14"/>
                <w:szCs w:val="14"/>
                <w:b w:val="1"/>
                <w:bCs w:val="1"/>
                <w:color w:val="auto"/>
              </w:rPr>
              <w:t>Smelter Country</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Abington Reldan Metals, LLC*</w:t>
            </w:r>
          </w:p>
        </w:tc>
        <w:tc>
          <w:tcPr>
            <w:tcW w:w="32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Advanced Chemical Company*</w:t>
            </w:r>
          </w:p>
        </w:tc>
        <w:tc>
          <w:tcPr>
            <w:tcW w:w="32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Agosi AG*</w:t>
            </w:r>
          </w:p>
        </w:tc>
        <w:tc>
          <w:tcPr>
            <w:tcW w:w="32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Germany</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Aida Chemical Industries Co., Ltd.*</w:t>
            </w:r>
          </w:p>
        </w:tc>
        <w:tc>
          <w:tcPr>
            <w:tcW w:w="32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Almalyk Mining and Metallurgical Complex (AMMC)*</w:t>
            </w:r>
          </w:p>
        </w:tc>
        <w:tc>
          <w:tcPr>
            <w:tcW w:w="32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Uzbekistan</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AngloGold Ashanti Corrego do Sitio Mineracao*</w:t>
            </w:r>
          </w:p>
        </w:tc>
        <w:tc>
          <w:tcPr>
            <w:tcW w:w="32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Brazil</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Argor-Heraeus S.A.*</w:t>
            </w:r>
          </w:p>
        </w:tc>
        <w:tc>
          <w:tcPr>
            <w:tcW w:w="32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Switzerland</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Asahi Metalfine, Inc.*</w:t>
            </w:r>
          </w:p>
        </w:tc>
        <w:tc>
          <w:tcPr>
            <w:tcW w:w="32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Asahi Refining Canada Ltd.*</w:t>
            </w:r>
          </w:p>
        </w:tc>
        <w:tc>
          <w:tcPr>
            <w:tcW w:w="32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Canada</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Asahi Refining USA Inc.*</w:t>
            </w:r>
          </w:p>
        </w:tc>
        <w:tc>
          <w:tcPr>
            <w:tcW w:w="32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Asaka Riken Co., Ltd.*</w:t>
            </w:r>
          </w:p>
        </w:tc>
        <w:tc>
          <w:tcPr>
            <w:tcW w:w="32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Aurubis AG, Hamburg*</w:t>
            </w:r>
          </w:p>
        </w:tc>
        <w:tc>
          <w:tcPr>
            <w:tcW w:w="32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Germany</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Bangalore Refinery*</w:t>
            </w:r>
          </w:p>
        </w:tc>
        <w:tc>
          <w:tcPr>
            <w:tcW w:w="32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India</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Bangko Sentral ng Pilipinas (Central Bank of the Philippines)*</w:t>
            </w:r>
          </w:p>
        </w:tc>
        <w:tc>
          <w:tcPr>
            <w:tcW w:w="32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Philippines</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Boliden Mineral AB (Ronnskar)*</w:t>
            </w:r>
          </w:p>
        </w:tc>
        <w:tc>
          <w:tcPr>
            <w:tcW w:w="32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Sweden</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 Hafner GmbH + Co. KG*</w:t>
            </w:r>
          </w:p>
        </w:tc>
        <w:tc>
          <w:tcPr>
            <w:tcW w:w="32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Germany</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Chimet S.p.A.*</w:t>
            </w:r>
          </w:p>
        </w:tc>
        <w:tc>
          <w:tcPr>
            <w:tcW w:w="32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Italy</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Chugai Mining*</w:t>
            </w:r>
          </w:p>
        </w:tc>
        <w:tc>
          <w:tcPr>
            <w:tcW w:w="32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Coimpa Industrial LTDA*</w:t>
            </w:r>
          </w:p>
        </w:tc>
        <w:tc>
          <w:tcPr>
            <w:tcW w:w="32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Brazil</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Dowa*</w:t>
            </w:r>
          </w:p>
        </w:tc>
        <w:tc>
          <w:tcPr>
            <w:tcW w:w="32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DSC (Do Sung Corporation)*</w:t>
            </w:r>
          </w:p>
        </w:tc>
        <w:tc>
          <w:tcPr>
            <w:tcW w:w="32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Korea, Republic of</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Eco-System Recycling Co., Ltd. East Plant*</w:t>
            </w:r>
          </w:p>
        </w:tc>
        <w:tc>
          <w:tcPr>
            <w:tcW w:w="32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Eco-System Recycling Co., Ltd. North Plant*</w:t>
            </w:r>
          </w:p>
        </w:tc>
        <w:tc>
          <w:tcPr>
            <w:tcW w:w="32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Eco-System Recycling Co., Ltd. West Plant*</w:t>
            </w:r>
          </w:p>
        </w:tc>
        <w:tc>
          <w:tcPr>
            <w:tcW w:w="32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Elite Industech Co., Ltd.*</w:t>
            </w:r>
          </w:p>
        </w:tc>
        <w:tc>
          <w:tcPr>
            <w:tcW w:w="32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Taiwan</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GG Refinery Ltd.*</w:t>
            </w:r>
          </w:p>
        </w:tc>
        <w:tc>
          <w:tcPr>
            <w:tcW w:w="3240" w:type="dxa"/>
            <w:vAlign w:val="bottom"/>
          </w:tcPr>
          <w:p>
            <w:pPr>
              <w:ind w:left="1140"/>
              <w:spacing w:after="0"/>
              <w:rPr>
                <w:sz w:val="20"/>
                <w:szCs w:val="20"/>
                <w:color w:val="auto"/>
              </w:rPr>
            </w:pPr>
            <w:r>
              <w:rPr>
                <w:rFonts w:ascii="Times New Roman" w:cs="Times New Roman" w:eastAsia="Times New Roman" w:hAnsi="Times New Roman"/>
                <w:sz w:val="18"/>
                <w:szCs w:val="18"/>
                <w:color w:val="auto"/>
                <w:w w:val="97"/>
              </w:rPr>
              <w:t>Tanzania, United Republic of</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Glencore Canada Corporation - CCR Refinery*</w:t>
            </w:r>
          </w:p>
        </w:tc>
        <w:tc>
          <w:tcPr>
            <w:tcW w:w="32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Canada</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Gold by Gold Colombia*</w:t>
            </w:r>
          </w:p>
        </w:tc>
        <w:tc>
          <w:tcPr>
            <w:tcW w:w="32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Colombia</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Gold Corporation - The Perth Mint*</w:t>
            </w:r>
          </w:p>
        </w:tc>
        <w:tc>
          <w:tcPr>
            <w:tcW w:w="32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Australia</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Heimerle + Meule GmbH*</w:t>
            </w:r>
          </w:p>
        </w:tc>
        <w:tc>
          <w:tcPr>
            <w:tcW w:w="32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Germany</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Heraeus Germany GmbH Co. KG*</w:t>
            </w:r>
          </w:p>
        </w:tc>
        <w:tc>
          <w:tcPr>
            <w:tcW w:w="32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Germany</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Heraeus Metals Hong Kong Ltd.*</w:t>
            </w:r>
          </w:p>
        </w:tc>
        <w:tc>
          <w:tcPr>
            <w:tcW w:w="32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Hong Kong</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Impala Platinum - Base Metal Refinery (BMR)*</w:t>
            </w:r>
          </w:p>
        </w:tc>
        <w:tc>
          <w:tcPr>
            <w:tcW w:w="32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South Africa</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Impala Platinum - Platinum Metals Refinery (PMR)*</w:t>
            </w:r>
          </w:p>
        </w:tc>
        <w:tc>
          <w:tcPr>
            <w:tcW w:w="32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South Africa</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Impala Platinum - Rustenburg Smelter*</w:t>
            </w:r>
          </w:p>
        </w:tc>
        <w:tc>
          <w:tcPr>
            <w:tcW w:w="32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South Africa</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Inner Mongolia Qiankun Gold and Silver Refinery Share Co., Ltd.*</w:t>
            </w:r>
          </w:p>
        </w:tc>
        <w:tc>
          <w:tcPr>
            <w:tcW w:w="32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Ishifuku Metal Industry Co., Ltd.*</w:t>
            </w:r>
          </w:p>
        </w:tc>
        <w:tc>
          <w:tcPr>
            <w:tcW w:w="32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Istanbul Gold Refinery*</w:t>
            </w:r>
          </w:p>
        </w:tc>
        <w:tc>
          <w:tcPr>
            <w:tcW w:w="32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Turkey</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Italpreziosi*</w:t>
            </w:r>
          </w:p>
        </w:tc>
        <w:tc>
          <w:tcPr>
            <w:tcW w:w="32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Italy</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Japan Mint*</w:t>
            </w:r>
          </w:p>
        </w:tc>
        <w:tc>
          <w:tcPr>
            <w:tcW w:w="32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Jiangxi Copper Co., Ltd.*</w:t>
            </w:r>
          </w:p>
        </w:tc>
        <w:tc>
          <w:tcPr>
            <w:tcW w:w="32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JX Advanced Metals Corporation*</w:t>
            </w:r>
          </w:p>
        </w:tc>
        <w:tc>
          <w:tcPr>
            <w:tcW w:w="32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Kazzinc Ltd*</w:t>
            </w:r>
          </w:p>
        </w:tc>
        <w:tc>
          <w:tcPr>
            <w:tcW w:w="32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Kazakhstan</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Kennecott Utah Copper LLC*</w:t>
            </w:r>
          </w:p>
        </w:tc>
        <w:tc>
          <w:tcPr>
            <w:tcW w:w="32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KGHM Polska Miedz Spolka Akcyjna*</w:t>
            </w:r>
          </w:p>
        </w:tc>
        <w:tc>
          <w:tcPr>
            <w:tcW w:w="32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Poland</w:t>
            </w:r>
          </w:p>
        </w:tc>
      </w:tr>
      <w:tr>
        <w:trPr>
          <w:trHeight w:val="365"/>
        </w:trPr>
        <w:tc>
          <w:tcPr>
            <w:tcW w:w="720" w:type="dxa"/>
            <w:vAlign w:val="bottom"/>
          </w:tcPr>
          <w:p>
            <w:pPr>
              <w:spacing w:after="0"/>
              <w:rPr>
                <w:sz w:val="24"/>
                <w:szCs w:val="24"/>
                <w:color w:val="auto"/>
              </w:rPr>
            </w:pPr>
          </w:p>
        </w:tc>
        <w:tc>
          <w:tcPr>
            <w:tcW w:w="6360" w:type="dxa"/>
            <w:vAlign w:val="bottom"/>
          </w:tcPr>
          <w:p>
            <w:pPr>
              <w:ind w:left="4520"/>
              <w:spacing w:after="0"/>
              <w:rPr>
                <w:sz w:val="20"/>
                <w:szCs w:val="20"/>
                <w:color w:val="auto"/>
              </w:rPr>
            </w:pPr>
            <w:r>
              <w:rPr>
                <w:rFonts w:ascii="Times New Roman" w:cs="Times New Roman" w:eastAsia="Times New Roman" w:hAnsi="Times New Roman"/>
                <w:sz w:val="18"/>
                <w:szCs w:val="18"/>
                <w:color w:val="auto"/>
              </w:rPr>
              <w:t>5</w:t>
            </w:r>
          </w:p>
        </w:tc>
        <w:tc>
          <w:tcPr>
            <w:tcW w:w="3240" w:type="dxa"/>
            <w:vAlign w:val="bottom"/>
          </w:tcPr>
          <w:p>
            <w:pPr>
              <w:spacing w:after="0"/>
              <w:rPr>
                <w:sz w:val="24"/>
                <w:szCs w:val="24"/>
                <w:color w:val="auto"/>
              </w:rPr>
            </w:pPr>
          </w:p>
        </w:tc>
      </w:tr>
    </w:tbl>
    <w:p>
      <w:pPr>
        <w:sectPr>
          <w:pgSz w:w="11900" w:h="16838" w:orient="portrait"/>
          <w:cols w:equalWidth="0" w:num="1">
            <w:col w:w="10540"/>
          </w:cols>
          <w:pgMar w:left="440" w:top="266" w:right="919" w:bottom="1440" w:gutter="0" w:footer="0" w:header="0"/>
        </w:sectPr>
      </w:pPr>
    </w:p>
    <w:bookmarkStart w:id="8" w:name="page9"/>
    <w:bookmarkEnd w:id="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Kojima Chemicals Co., Ltd.*</w:t>
            </w:r>
          </w:p>
        </w:tc>
        <w:tc>
          <w:tcPr>
            <w:tcW w:w="278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Korea Zinc Co., Ltd.*</w:t>
            </w:r>
          </w:p>
        </w:tc>
        <w:tc>
          <w:tcPr>
            <w:tcW w:w="278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Korea, Republic of</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LS MnM Inc.*</w:t>
            </w:r>
          </w:p>
        </w:tc>
        <w:tc>
          <w:tcPr>
            <w:tcW w:w="278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Korea, Republic of</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LT Metal Ltd.*</w:t>
            </w:r>
          </w:p>
        </w:tc>
        <w:tc>
          <w:tcPr>
            <w:tcW w:w="278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Korea, Republic of</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Materion*</w:t>
            </w:r>
          </w:p>
        </w:tc>
        <w:tc>
          <w:tcPr>
            <w:tcW w:w="2780" w:type="dxa"/>
            <w:vAlign w:val="bottom"/>
          </w:tcPr>
          <w:p>
            <w:pPr>
              <w:ind w:left="960"/>
              <w:spacing w:after="0"/>
              <w:rPr>
                <w:sz w:val="20"/>
                <w:szCs w:val="20"/>
                <w:color w:val="auto"/>
              </w:rPr>
            </w:pPr>
            <w:r>
              <w:rPr>
                <w:rFonts w:ascii="Times New Roman" w:cs="Times New Roman" w:eastAsia="Times New Roman" w:hAnsi="Times New Roman"/>
                <w:sz w:val="18"/>
                <w:szCs w:val="18"/>
                <w:color w:val="auto"/>
                <w:w w:val="98"/>
              </w:rPr>
              <w:t>United States of America</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Matsuda Sangyo Co., Ltd.*</w:t>
            </w:r>
          </w:p>
        </w:tc>
        <w:tc>
          <w:tcPr>
            <w:tcW w:w="278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Metal Concentrators SA (Pty) Ltd.*</w:t>
            </w:r>
          </w:p>
        </w:tc>
        <w:tc>
          <w:tcPr>
            <w:tcW w:w="278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South Africa</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Metalor Technologies (Hong Kong) Ltd.*</w:t>
            </w:r>
          </w:p>
        </w:tc>
        <w:tc>
          <w:tcPr>
            <w:tcW w:w="278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Metalor Technologies (Singapore) Pte., Ltd.*</w:t>
            </w:r>
          </w:p>
        </w:tc>
        <w:tc>
          <w:tcPr>
            <w:tcW w:w="278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Singapore</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Metalor Technologies (Suzhou) Ltd.*</w:t>
            </w:r>
          </w:p>
        </w:tc>
        <w:tc>
          <w:tcPr>
            <w:tcW w:w="278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Metalor Technologies S.A.*</w:t>
            </w:r>
          </w:p>
        </w:tc>
        <w:tc>
          <w:tcPr>
            <w:tcW w:w="278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Switzerland</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Metalor USA Refining Corporation*</w:t>
            </w:r>
          </w:p>
        </w:tc>
        <w:tc>
          <w:tcPr>
            <w:tcW w:w="2780" w:type="dxa"/>
            <w:vAlign w:val="bottom"/>
          </w:tcPr>
          <w:p>
            <w:pPr>
              <w:ind w:left="960"/>
              <w:spacing w:after="0"/>
              <w:rPr>
                <w:sz w:val="20"/>
                <w:szCs w:val="20"/>
                <w:color w:val="auto"/>
              </w:rPr>
            </w:pPr>
            <w:r>
              <w:rPr>
                <w:rFonts w:ascii="Times New Roman" w:cs="Times New Roman" w:eastAsia="Times New Roman" w:hAnsi="Times New Roman"/>
                <w:sz w:val="18"/>
                <w:szCs w:val="18"/>
                <w:color w:val="auto"/>
                <w:w w:val="98"/>
              </w:rPr>
              <w:t>United States of America</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Metalurgica Met-Mex Penoles S.A. De C.V.*</w:t>
            </w:r>
          </w:p>
        </w:tc>
        <w:tc>
          <w:tcPr>
            <w:tcW w:w="278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Mexico</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Minera Titan del Peru SRL (MTP) - Belen Plant**</w:t>
            </w:r>
          </w:p>
        </w:tc>
        <w:tc>
          <w:tcPr>
            <w:tcW w:w="278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Peru</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Mitsubishi Materials Corporation*</w:t>
            </w:r>
          </w:p>
        </w:tc>
        <w:tc>
          <w:tcPr>
            <w:tcW w:w="278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Mitsui Mining and Smelting Co., Ltd.*</w:t>
            </w:r>
          </w:p>
        </w:tc>
        <w:tc>
          <w:tcPr>
            <w:tcW w:w="278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MKS PAMP SA*</w:t>
            </w:r>
          </w:p>
        </w:tc>
        <w:tc>
          <w:tcPr>
            <w:tcW w:w="278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Switzerland</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MMTC-PAMP India Pvt., Ltd.*</w:t>
            </w:r>
          </w:p>
        </w:tc>
        <w:tc>
          <w:tcPr>
            <w:tcW w:w="278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India</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Nadir Metal Rafineri San. Ve Tic. A.S.*</w:t>
            </w:r>
          </w:p>
        </w:tc>
        <w:tc>
          <w:tcPr>
            <w:tcW w:w="278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Turkey</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Navoi Mining and Metallurgical Combinat*</w:t>
            </w:r>
          </w:p>
        </w:tc>
        <w:tc>
          <w:tcPr>
            <w:tcW w:w="278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Uzbekistan</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NH Recytech Company*</w:t>
            </w:r>
          </w:p>
        </w:tc>
        <w:tc>
          <w:tcPr>
            <w:tcW w:w="278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Korea, Republic of</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Nihon Material Co., Ltd.*</w:t>
            </w:r>
          </w:p>
        </w:tc>
        <w:tc>
          <w:tcPr>
            <w:tcW w:w="278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Oegussa Oesterreichische Gold- und Silber-Scheideanstalt Gesm.b.H.**</w:t>
            </w:r>
          </w:p>
        </w:tc>
        <w:tc>
          <w:tcPr>
            <w:tcW w:w="278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Austria</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Ohura Precious Metal Industry Co., Ltd.*</w:t>
            </w:r>
          </w:p>
        </w:tc>
        <w:tc>
          <w:tcPr>
            <w:tcW w:w="278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Planta Recuperadora de Metales SpA*</w:t>
            </w:r>
          </w:p>
        </w:tc>
        <w:tc>
          <w:tcPr>
            <w:tcW w:w="278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Chile</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PT Aneka Tambang (Persero) Tbk*</w:t>
            </w:r>
          </w:p>
        </w:tc>
        <w:tc>
          <w:tcPr>
            <w:tcW w:w="278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PX Precinox S.A.*</w:t>
            </w:r>
          </w:p>
        </w:tc>
        <w:tc>
          <w:tcPr>
            <w:tcW w:w="278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Switzerland</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Rand Refinery (Pty) Ltd.*</w:t>
            </w:r>
          </w:p>
        </w:tc>
        <w:tc>
          <w:tcPr>
            <w:tcW w:w="278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South Africa</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Remondis PMR B.V.*</w:t>
            </w:r>
          </w:p>
        </w:tc>
        <w:tc>
          <w:tcPr>
            <w:tcW w:w="278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Netherlands</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Royal Canadian Mint*</w:t>
            </w:r>
          </w:p>
        </w:tc>
        <w:tc>
          <w:tcPr>
            <w:tcW w:w="278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Canada</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SAFINA A.S.*</w:t>
            </w:r>
          </w:p>
        </w:tc>
        <w:tc>
          <w:tcPr>
            <w:tcW w:w="278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Czechia</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SEMPSA Joyeria Plateria S.A.*</w:t>
            </w:r>
          </w:p>
        </w:tc>
        <w:tc>
          <w:tcPr>
            <w:tcW w:w="278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Spain</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Shandong Gold Smelting Co., Ltd.*</w:t>
            </w:r>
          </w:p>
        </w:tc>
        <w:tc>
          <w:tcPr>
            <w:tcW w:w="278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Shandong Zhaojin Gold &amp; Silver Refinery Co., Ltd.*</w:t>
            </w:r>
          </w:p>
        </w:tc>
        <w:tc>
          <w:tcPr>
            <w:tcW w:w="278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Sichuan Tianze Precious Metals Co., Ltd.*</w:t>
            </w:r>
          </w:p>
        </w:tc>
        <w:tc>
          <w:tcPr>
            <w:tcW w:w="278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Solar Applied Materials Technology Corp.*</w:t>
            </w:r>
          </w:p>
        </w:tc>
        <w:tc>
          <w:tcPr>
            <w:tcW w:w="278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Taiwan</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Sumitomo Metal Mining Co., Ltd.*</w:t>
            </w:r>
          </w:p>
        </w:tc>
        <w:tc>
          <w:tcPr>
            <w:tcW w:w="278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SungEel HiMetal Co., Ltd.*</w:t>
            </w:r>
          </w:p>
        </w:tc>
        <w:tc>
          <w:tcPr>
            <w:tcW w:w="278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Korea, Republic of</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T.C.A S.p.A*</w:t>
            </w:r>
          </w:p>
        </w:tc>
        <w:tc>
          <w:tcPr>
            <w:tcW w:w="278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Italy</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Tanaka Kikinzoku Kogyo K.K.*</w:t>
            </w:r>
          </w:p>
        </w:tc>
        <w:tc>
          <w:tcPr>
            <w:tcW w:w="278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Titan Company Limited, Jewellery Division*</w:t>
            </w:r>
          </w:p>
        </w:tc>
        <w:tc>
          <w:tcPr>
            <w:tcW w:w="278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India</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Tokuriki Honten Co., Ltd.*</w:t>
            </w:r>
          </w:p>
        </w:tc>
        <w:tc>
          <w:tcPr>
            <w:tcW w:w="278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TOO Tau-Ken-Altyn*</w:t>
            </w:r>
          </w:p>
        </w:tc>
        <w:tc>
          <w:tcPr>
            <w:tcW w:w="278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Kazakhstan</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Umicore S.A. Business Unit Precious Metals Refining*</w:t>
            </w:r>
          </w:p>
        </w:tc>
        <w:tc>
          <w:tcPr>
            <w:tcW w:w="278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Belgium</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United Precious Metal Refining, Inc.*</w:t>
            </w:r>
          </w:p>
        </w:tc>
        <w:tc>
          <w:tcPr>
            <w:tcW w:w="2780" w:type="dxa"/>
            <w:vAlign w:val="bottom"/>
          </w:tcPr>
          <w:p>
            <w:pPr>
              <w:ind w:left="960"/>
              <w:spacing w:after="0"/>
              <w:rPr>
                <w:sz w:val="20"/>
                <w:szCs w:val="20"/>
                <w:color w:val="auto"/>
              </w:rPr>
            </w:pPr>
            <w:r>
              <w:rPr>
                <w:rFonts w:ascii="Times New Roman" w:cs="Times New Roman" w:eastAsia="Times New Roman" w:hAnsi="Times New Roman"/>
                <w:sz w:val="18"/>
                <w:szCs w:val="18"/>
                <w:color w:val="auto"/>
                <w:w w:val="98"/>
              </w:rPr>
              <w:t>United States of America</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Valcambi S.A.*</w:t>
            </w:r>
          </w:p>
        </w:tc>
        <w:tc>
          <w:tcPr>
            <w:tcW w:w="278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Switzerland</w:t>
            </w:r>
          </w:p>
        </w:tc>
      </w:t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Wieland Edelmetalle GmbH*</w:t>
            </w:r>
          </w:p>
        </w:tc>
        <w:tc>
          <w:tcPr>
            <w:tcW w:w="278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Germany</w:t>
            </w:r>
          </w:p>
        </w:tc>
      </w:tr>
      <w:tr>
        <w:trPr>
          <w:trHeight w:val="365"/>
        </w:trPr>
        <w:tc>
          <w:tcPr>
            <w:tcW w:w="720" w:type="dxa"/>
            <w:vAlign w:val="bottom"/>
          </w:tcPr>
          <w:p>
            <w:pPr>
              <w:spacing w:after="0"/>
              <w:rPr>
                <w:sz w:val="24"/>
                <w:szCs w:val="24"/>
                <w:color w:val="auto"/>
              </w:rPr>
            </w:pPr>
          </w:p>
        </w:tc>
        <w:tc>
          <w:tcPr>
            <w:tcW w:w="6540" w:type="dxa"/>
            <w:vAlign w:val="bottom"/>
          </w:tcPr>
          <w:p>
            <w:pPr>
              <w:ind w:left="4520"/>
              <w:spacing w:after="0"/>
              <w:rPr>
                <w:sz w:val="20"/>
                <w:szCs w:val="20"/>
                <w:color w:val="auto"/>
              </w:rPr>
            </w:pPr>
            <w:r>
              <w:rPr>
                <w:rFonts w:ascii="Times New Roman" w:cs="Times New Roman" w:eastAsia="Times New Roman" w:hAnsi="Times New Roman"/>
                <w:sz w:val="18"/>
                <w:szCs w:val="18"/>
                <w:color w:val="auto"/>
              </w:rPr>
              <w:t>6</w:t>
            </w:r>
          </w:p>
        </w:tc>
        <w:tc>
          <w:tcPr>
            <w:tcW w:w="2780" w:type="dxa"/>
            <w:vAlign w:val="bottom"/>
          </w:tcPr>
          <w:p>
            <w:pPr>
              <w:spacing w:after="0"/>
              <w:rPr>
                <w:sz w:val="24"/>
                <w:szCs w:val="24"/>
                <w:color w:val="auto"/>
              </w:rPr>
            </w:pPr>
          </w:p>
        </w:tc>
      </w:tr>
    </w:tbl>
    <w:p>
      <w:pPr>
        <w:sectPr>
          <w:pgSz w:w="11900" w:h="16838" w:orient="portrait"/>
          <w:cols w:equalWidth="0" w:num="1">
            <w:col w:w="10040"/>
          </w:cols>
          <w:pgMar w:left="660" w:top="270" w:right="1199" w:bottom="1440" w:gutter="0" w:footer="0" w:header="0"/>
        </w:sectPr>
      </w:pPr>
    </w:p>
    <w:bookmarkStart w:id="9" w:name="page10"/>
    <w:bookmarkEnd w:id="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Yamakin Co., Ltd.*</w:t>
            </w:r>
          </w:p>
        </w:tc>
        <w:tc>
          <w:tcPr>
            <w:tcW w:w="326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Yokohama Metal Co., Ltd.*</w:t>
            </w:r>
          </w:p>
        </w:tc>
        <w:tc>
          <w:tcPr>
            <w:tcW w:w="326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Zhongyuan Gold Smelter of Zhongjin Gold Corporation*</w:t>
            </w:r>
          </w:p>
        </w:tc>
        <w:tc>
          <w:tcPr>
            <w:tcW w:w="326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Zijin Mining Group Gold Smelting Co. Ltd.*</w:t>
            </w:r>
          </w:p>
        </w:tc>
        <w:tc>
          <w:tcPr>
            <w:tcW w:w="326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5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AMG Brasil*</w:t>
            </w:r>
          </w:p>
        </w:tc>
        <w:tc>
          <w:tcPr>
            <w:tcW w:w="326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Brazil</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5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Changsha South Tantalum Niobium Co., Ltd.*</w:t>
            </w:r>
          </w:p>
        </w:tc>
        <w:tc>
          <w:tcPr>
            <w:tcW w:w="326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5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CMT Rare Metal Advanced Materials (Hunan) Co., Ltd.*</w:t>
            </w:r>
          </w:p>
        </w:tc>
        <w:tc>
          <w:tcPr>
            <w:tcW w:w="326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5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 Block Metals, LLC*</w:t>
            </w:r>
          </w:p>
        </w:tc>
        <w:tc>
          <w:tcPr>
            <w:tcW w:w="3260" w:type="dxa"/>
            <w:vAlign w:val="bottom"/>
          </w:tcPr>
          <w:p>
            <w:pPr>
              <w:ind w:left="1440"/>
              <w:spacing w:after="0"/>
              <w:rPr>
                <w:sz w:val="20"/>
                <w:szCs w:val="20"/>
                <w:color w:val="auto"/>
              </w:rPr>
            </w:pPr>
            <w:r>
              <w:rPr>
                <w:rFonts w:ascii="Times New Roman" w:cs="Times New Roman" w:eastAsia="Times New Roman" w:hAnsi="Times New Roman"/>
                <w:sz w:val="18"/>
                <w:szCs w:val="18"/>
                <w:color w:val="auto"/>
                <w:w w:val="98"/>
              </w:rPr>
              <w:t>United States of America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5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F&amp;X Electro-Materials Ltd.*</w:t>
            </w:r>
          </w:p>
        </w:tc>
        <w:tc>
          <w:tcPr>
            <w:tcW w:w="326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5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FIR Metals &amp; Resource Ltd.*</w:t>
            </w:r>
          </w:p>
        </w:tc>
        <w:tc>
          <w:tcPr>
            <w:tcW w:w="326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5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Global Advanced Metals Aizu*</w:t>
            </w:r>
          </w:p>
        </w:tc>
        <w:tc>
          <w:tcPr>
            <w:tcW w:w="326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5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Global Advanced Metals Boyertown*</w:t>
            </w:r>
          </w:p>
        </w:tc>
        <w:tc>
          <w:tcPr>
            <w:tcW w:w="3260" w:type="dxa"/>
            <w:vAlign w:val="bottom"/>
          </w:tcPr>
          <w:p>
            <w:pPr>
              <w:ind w:left="1440"/>
              <w:spacing w:after="0"/>
              <w:rPr>
                <w:sz w:val="20"/>
                <w:szCs w:val="20"/>
                <w:color w:val="auto"/>
              </w:rPr>
            </w:pPr>
            <w:r>
              <w:rPr>
                <w:rFonts w:ascii="Times New Roman" w:cs="Times New Roman" w:eastAsia="Times New Roman" w:hAnsi="Times New Roman"/>
                <w:sz w:val="18"/>
                <w:szCs w:val="18"/>
                <w:color w:val="auto"/>
                <w:w w:val="98"/>
              </w:rPr>
              <w:t>United States of America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5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Guangdong Rising Rare Metals-EO Materials Ltd.*</w:t>
            </w:r>
          </w:p>
        </w:tc>
        <w:tc>
          <w:tcPr>
            <w:tcW w:w="326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5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Hengyang King Xing Lifeng New Materials Co., Ltd.*</w:t>
            </w:r>
          </w:p>
        </w:tc>
        <w:tc>
          <w:tcPr>
            <w:tcW w:w="326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5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Jiangxi Dinghai Tantalum &amp; Niobium Co., Ltd.*</w:t>
            </w:r>
          </w:p>
        </w:tc>
        <w:tc>
          <w:tcPr>
            <w:tcW w:w="326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5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Jiangxi Suns Nonferrous Materials Co. Ltd.**</w:t>
            </w:r>
          </w:p>
        </w:tc>
        <w:tc>
          <w:tcPr>
            <w:tcW w:w="326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5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Jiangxi Tuohong New Raw Material*</w:t>
            </w:r>
          </w:p>
        </w:tc>
        <w:tc>
          <w:tcPr>
            <w:tcW w:w="326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5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Jiujiang Janny New Material Co., Ltd.*</w:t>
            </w:r>
          </w:p>
        </w:tc>
        <w:tc>
          <w:tcPr>
            <w:tcW w:w="326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5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JiuJiang JinXin Nonferrous Metals Co., Ltd.*</w:t>
            </w:r>
          </w:p>
        </w:tc>
        <w:tc>
          <w:tcPr>
            <w:tcW w:w="326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5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Jiujiang Tanbre Co., Ltd.*</w:t>
            </w:r>
          </w:p>
        </w:tc>
        <w:tc>
          <w:tcPr>
            <w:tcW w:w="326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5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Jiujiang Zhongao Tantalum &amp; Niobium Co., Ltd.*</w:t>
            </w:r>
          </w:p>
        </w:tc>
        <w:tc>
          <w:tcPr>
            <w:tcW w:w="326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5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KEMET de Mexico*</w:t>
            </w:r>
          </w:p>
        </w:tc>
        <w:tc>
          <w:tcPr>
            <w:tcW w:w="326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Mexico</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5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Materion Newton Inc.*</w:t>
            </w:r>
          </w:p>
        </w:tc>
        <w:tc>
          <w:tcPr>
            <w:tcW w:w="3260" w:type="dxa"/>
            <w:vAlign w:val="bottom"/>
          </w:tcPr>
          <w:p>
            <w:pPr>
              <w:ind w:left="1440"/>
              <w:spacing w:after="0"/>
              <w:rPr>
                <w:sz w:val="20"/>
                <w:szCs w:val="20"/>
                <w:color w:val="auto"/>
              </w:rPr>
            </w:pPr>
            <w:r>
              <w:rPr>
                <w:rFonts w:ascii="Times New Roman" w:cs="Times New Roman" w:eastAsia="Times New Roman" w:hAnsi="Times New Roman"/>
                <w:sz w:val="18"/>
                <w:szCs w:val="18"/>
                <w:color w:val="auto"/>
                <w:w w:val="98"/>
              </w:rPr>
              <w:t>United States of America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5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Metallurgical Products India Pvt., Ltd.*</w:t>
            </w:r>
          </w:p>
        </w:tc>
        <w:tc>
          <w:tcPr>
            <w:tcW w:w="326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India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5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Mineracao Taboca S.A.*</w:t>
            </w:r>
          </w:p>
        </w:tc>
        <w:tc>
          <w:tcPr>
            <w:tcW w:w="326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Brazil</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5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Mitsui Kinzoku Company, Limited*</w:t>
            </w:r>
          </w:p>
        </w:tc>
        <w:tc>
          <w:tcPr>
            <w:tcW w:w="326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5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Ningxia Orient Tantalum Industry Co., Ltd.*</w:t>
            </w:r>
          </w:p>
        </w:tc>
        <w:tc>
          <w:tcPr>
            <w:tcW w:w="326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5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NPM Silmet AS*</w:t>
            </w:r>
          </w:p>
        </w:tc>
        <w:tc>
          <w:tcPr>
            <w:tcW w:w="326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Estonia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5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PowerX Ltd.*</w:t>
            </w:r>
          </w:p>
        </w:tc>
        <w:tc>
          <w:tcPr>
            <w:tcW w:w="326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Rwanda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5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QuantumClean*</w:t>
            </w:r>
          </w:p>
        </w:tc>
        <w:tc>
          <w:tcPr>
            <w:tcW w:w="3260" w:type="dxa"/>
            <w:vAlign w:val="bottom"/>
          </w:tcPr>
          <w:p>
            <w:pPr>
              <w:ind w:left="1440"/>
              <w:spacing w:after="0"/>
              <w:rPr>
                <w:sz w:val="20"/>
                <w:szCs w:val="20"/>
                <w:color w:val="auto"/>
              </w:rPr>
            </w:pPr>
            <w:r>
              <w:rPr>
                <w:rFonts w:ascii="Times New Roman" w:cs="Times New Roman" w:eastAsia="Times New Roman" w:hAnsi="Times New Roman"/>
                <w:sz w:val="18"/>
                <w:szCs w:val="18"/>
                <w:color w:val="auto"/>
                <w:w w:val="98"/>
              </w:rPr>
              <w:t>United States of America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5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Resind Industria e Comercio Ltda.*</w:t>
            </w:r>
          </w:p>
        </w:tc>
        <w:tc>
          <w:tcPr>
            <w:tcW w:w="326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Brazil</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5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Taki Chemical Co., Ltd.*</w:t>
            </w:r>
          </w:p>
        </w:tc>
        <w:tc>
          <w:tcPr>
            <w:tcW w:w="326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5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Taniobis Co., Ltd.*</w:t>
            </w:r>
          </w:p>
        </w:tc>
        <w:tc>
          <w:tcPr>
            <w:tcW w:w="326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Thailand</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5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Taniobis GmbH*</w:t>
            </w:r>
          </w:p>
        </w:tc>
        <w:tc>
          <w:tcPr>
            <w:tcW w:w="326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Germany</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5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Taniobis Japan Co., Ltd.*</w:t>
            </w:r>
          </w:p>
        </w:tc>
        <w:tc>
          <w:tcPr>
            <w:tcW w:w="326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5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Taniobis Smelting GmbH &amp; Co. KG*</w:t>
            </w:r>
          </w:p>
        </w:tc>
        <w:tc>
          <w:tcPr>
            <w:tcW w:w="326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Germany</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5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Telex Metals*</w:t>
            </w:r>
          </w:p>
        </w:tc>
        <w:tc>
          <w:tcPr>
            <w:tcW w:w="3260" w:type="dxa"/>
            <w:vAlign w:val="bottom"/>
          </w:tcPr>
          <w:p>
            <w:pPr>
              <w:ind w:left="1440"/>
              <w:spacing w:after="0"/>
              <w:rPr>
                <w:sz w:val="20"/>
                <w:szCs w:val="20"/>
                <w:color w:val="auto"/>
              </w:rPr>
            </w:pPr>
            <w:r>
              <w:rPr>
                <w:rFonts w:ascii="Times New Roman" w:cs="Times New Roman" w:eastAsia="Times New Roman" w:hAnsi="Times New Roman"/>
                <w:sz w:val="18"/>
                <w:szCs w:val="18"/>
                <w:color w:val="auto"/>
                <w:w w:val="98"/>
              </w:rPr>
              <w:t>United States of America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5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Ulba Metallurgical Plant JSC*</w:t>
            </w:r>
          </w:p>
        </w:tc>
        <w:tc>
          <w:tcPr>
            <w:tcW w:w="326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Kazakhstan</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5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Ximei Resources (Guangdong) Limited*</w:t>
            </w:r>
          </w:p>
        </w:tc>
        <w:tc>
          <w:tcPr>
            <w:tcW w:w="326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5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Ximei Resources (Guizhou) Technology Co., Ltd.</w:t>
            </w:r>
          </w:p>
        </w:tc>
        <w:tc>
          <w:tcPr>
            <w:tcW w:w="326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5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XinXing HaoRong Electronic Material Co., Ltd.*</w:t>
            </w:r>
          </w:p>
        </w:tc>
        <w:tc>
          <w:tcPr>
            <w:tcW w:w="326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5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Yanling Jincheng Tantalum &amp; Niobium Co., Ltd.*</w:t>
            </w:r>
          </w:p>
        </w:tc>
        <w:tc>
          <w:tcPr>
            <w:tcW w:w="326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5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Alpha Assembly Solutions Inc*</w:t>
            </w:r>
          </w:p>
        </w:tc>
        <w:tc>
          <w:tcPr>
            <w:tcW w:w="3260" w:type="dxa"/>
            <w:vAlign w:val="bottom"/>
          </w:tcPr>
          <w:p>
            <w:pPr>
              <w:ind w:left="1440"/>
              <w:spacing w:after="0"/>
              <w:rPr>
                <w:sz w:val="20"/>
                <w:szCs w:val="20"/>
                <w:color w:val="auto"/>
              </w:rPr>
            </w:pPr>
            <w:r>
              <w:rPr>
                <w:rFonts w:ascii="Times New Roman" w:cs="Times New Roman" w:eastAsia="Times New Roman" w:hAnsi="Times New Roman"/>
                <w:sz w:val="18"/>
                <w:szCs w:val="18"/>
                <w:color w:val="auto"/>
                <w:w w:val="98"/>
              </w:rPr>
              <w:t>United States of America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5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Aurubis Beerse*</w:t>
            </w:r>
          </w:p>
        </w:tc>
        <w:tc>
          <w:tcPr>
            <w:tcW w:w="326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Belgium</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5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Aurubis Berango*</w:t>
            </w:r>
          </w:p>
        </w:tc>
        <w:tc>
          <w:tcPr>
            <w:tcW w:w="326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Spain</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5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Chenzhou Yunxiang Mining and Metallurgy Co., Ltd.*</w:t>
            </w:r>
          </w:p>
        </w:tc>
        <w:tc>
          <w:tcPr>
            <w:tcW w:w="326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China</w:t>
            </w:r>
          </w:p>
        </w:tc>
      </w:tr>
      <w:tr>
        <w:trPr>
          <w:trHeight w:val="23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5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Chifeng Dajingzi Tin Industry Co., Ltd.*</w:t>
            </w:r>
          </w:p>
        </w:tc>
        <w:tc>
          <w:tcPr>
            <w:tcW w:w="326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China</w:t>
            </w:r>
          </w:p>
        </w:tc>
      </w:tr>
      <w:tr>
        <w:trPr>
          <w:trHeight w:val="365"/>
        </w:trPr>
        <w:tc>
          <w:tcPr>
            <w:tcW w:w="880" w:type="dxa"/>
            <w:vAlign w:val="bottom"/>
          </w:tcPr>
          <w:p>
            <w:pPr>
              <w:spacing w:after="0"/>
              <w:rPr>
                <w:sz w:val="24"/>
                <w:szCs w:val="24"/>
                <w:color w:val="auto"/>
              </w:rPr>
            </w:pPr>
          </w:p>
        </w:tc>
        <w:tc>
          <w:tcPr>
            <w:tcW w:w="5900" w:type="dxa"/>
            <w:vAlign w:val="bottom"/>
          </w:tcPr>
          <w:p>
            <w:pPr>
              <w:ind w:left="4360"/>
              <w:spacing w:after="0"/>
              <w:rPr>
                <w:sz w:val="20"/>
                <w:szCs w:val="20"/>
                <w:color w:val="auto"/>
              </w:rPr>
            </w:pPr>
            <w:r>
              <w:rPr>
                <w:rFonts w:ascii="Times New Roman" w:cs="Times New Roman" w:eastAsia="Times New Roman" w:hAnsi="Times New Roman"/>
                <w:sz w:val="18"/>
                <w:szCs w:val="18"/>
                <w:color w:val="auto"/>
              </w:rPr>
              <w:t>7</w:t>
            </w:r>
          </w:p>
        </w:tc>
        <w:tc>
          <w:tcPr>
            <w:tcW w:w="3260" w:type="dxa"/>
            <w:vAlign w:val="bottom"/>
          </w:tcPr>
          <w:p>
            <w:pPr>
              <w:spacing w:after="0"/>
              <w:rPr>
                <w:sz w:val="24"/>
                <w:szCs w:val="24"/>
                <w:color w:val="auto"/>
              </w:rPr>
            </w:pPr>
          </w:p>
        </w:tc>
      </w:tr>
    </w:tbl>
    <w:p>
      <w:pPr>
        <w:sectPr>
          <w:pgSz w:w="11900" w:h="16838" w:orient="portrait"/>
          <w:cols w:equalWidth="0" w:num="1">
            <w:col w:w="10040"/>
          </w:cols>
          <w:pgMar w:left="660" w:top="270" w:right="1199" w:bottom="1440" w:gutter="0" w:footer="0" w:header="0"/>
        </w:sectPr>
      </w:pPr>
    </w:p>
    <w:bookmarkStart w:id="10" w:name="page11"/>
    <w:bookmarkEnd w:id="1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74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China Tin Group Co., Ltd.*</w:t>
            </w:r>
          </w:p>
        </w:tc>
        <w:tc>
          <w:tcPr>
            <w:tcW w:w="2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74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CRM Fundicao De Metais E Comercio De Equipamentos Eletronicos Do Brasil Ltda**</w:t>
            </w:r>
          </w:p>
        </w:tc>
        <w:tc>
          <w:tcPr>
            <w:tcW w:w="2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Brazil</w:t>
            </w:r>
          </w:p>
        </w:tc>
      </w:tr>
      <w:tr>
        <w:trPr>
          <w:trHeight w:val="216"/>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74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CRM Synergies EMEA, S.L.U.*</w:t>
            </w:r>
          </w:p>
        </w:tc>
        <w:tc>
          <w:tcPr>
            <w:tcW w:w="2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Spain</w:t>
            </w:r>
          </w:p>
        </w:tc>
      </w:tr>
      <w:tr>
        <w:trPr>
          <w:trHeight w:val="216"/>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74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CRM Synergies Mexico S.A. de C.V.*</w:t>
            </w:r>
          </w:p>
        </w:tc>
        <w:tc>
          <w:tcPr>
            <w:tcW w:w="2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Mexico</w:t>
            </w:r>
          </w:p>
        </w:tc>
      </w:tr>
      <w:tr>
        <w:trPr>
          <w:trHeight w:val="216"/>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74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CV Ayi Jaya*</w:t>
            </w:r>
          </w:p>
        </w:tc>
        <w:tc>
          <w:tcPr>
            <w:tcW w:w="2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74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Dongguan Best Alloys Co., Ltd.*</w:t>
            </w:r>
          </w:p>
        </w:tc>
        <w:tc>
          <w:tcPr>
            <w:tcW w:w="2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74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Dowa*</w:t>
            </w:r>
          </w:p>
        </w:tc>
        <w:tc>
          <w:tcPr>
            <w:tcW w:w="2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74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Empresa Metallurgica Vinto*</w:t>
            </w:r>
          </w:p>
        </w:tc>
        <w:tc>
          <w:tcPr>
            <w:tcW w:w="2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Bolivia (plurinational State Of)</w:t>
            </w:r>
          </w:p>
        </w:tc>
      </w:tr>
      <w:tr>
        <w:trPr>
          <w:trHeight w:val="216"/>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74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Estanho de Rondonia S.A.*</w:t>
            </w:r>
          </w:p>
        </w:tc>
        <w:tc>
          <w:tcPr>
            <w:tcW w:w="2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Brazil</w:t>
            </w:r>
          </w:p>
        </w:tc>
      </w:tr>
      <w:tr>
        <w:trPr>
          <w:trHeight w:val="216"/>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74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Fabrica Auricchio Industria e Comercio Ltda.*</w:t>
            </w:r>
          </w:p>
        </w:tc>
        <w:tc>
          <w:tcPr>
            <w:tcW w:w="2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Brazil</w:t>
            </w:r>
          </w:p>
        </w:tc>
      </w:tr>
      <w:tr>
        <w:trPr>
          <w:trHeight w:val="216"/>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74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Feinhutte Halsbrucke GmbH*</w:t>
            </w:r>
          </w:p>
        </w:tc>
        <w:tc>
          <w:tcPr>
            <w:tcW w:w="2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Germany</w:t>
            </w:r>
          </w:p>
        </w:tc>
      </w:tr>
      <w:tr>
        <w:trPr>
          <w:trHeight w:val="216"/>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74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Fenix Metals*</w:t>
            </w:r>
          </w:p>
        </w:tc>
        <w:tc>
          <w:tcPr>
            <w:tcW w:w="2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Poland</w:t>
            </w:r>
          </w:p>
        </w:tc>
      </w:tr>
      <w:tr>
        <w:trPr>
          <w:trHeight w:val="216"/>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74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Gejiu Non-Ferrous Metal Processing Co., Ltd.*</w:t>
            </w:r>
          </w:p>
        </w:tc>
        <w:tc>
          <w:tcPr>
            <w:tcW w:w="2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74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Global Advanced Metals Greenbushes Pty Ltd.*</w:t>
            </w:r>
          </w:p>
        </w:tc>
        <w:tc>
          <w:tcPr>
            <w:tcW w:w="2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Australia</w:t>
            </w:r>
          </w:p>
        </w:tc>
      </w:tr>
      <w:tr>
        <w:trPr>
          <w:trHeight w:val="216"/>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74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Guangdong Hanhe Non-ferrous Metal Limited Company*</w:t>
            </w:r>
          </w:p>
        </w:tc>
        <w:tc>
          <w:tcPr>
            <w:tcW w:w="2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74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Jiangxi New Nanshan Technology Ltd.**</w:t>
            </w:r>
          </w:p>
        </w:tc>
        <w:tc>
          <w:tcPr>
            <w:tcW w:w="2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74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Luna Smelter, Ltd.*</w:t>
            </w:r>
          </w:p>
        </w:tc>
        <w:tc>
          <w:tcPr>
            <w:tcW w:w="2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Rwanda</w:t>
            </w:r>
          </w:p>
        </w:tc>
      </w:tr>
      <w:tr>
        <w:trPr>
          <w:trHeight w:val="216"/>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74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Magnu’s Minerais Metais e Ligas Ltda.*</w:t>
            </w:r>
          </w:p>
        </w:tc>
        <w:tc>
          <w:tcPr>
            <w:tcW w:w="2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Brazil</w:t>
            </w:r>
          </w:p>
        </w:tc>
      </w:tr>
      <w:tr>
        <w:trPr>
          <w:trHeight w:val="216"/>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74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Malaysia Smelting Corporation Berhad (Port Klang)*</w:t>
            </w:r>
          </w:p>
        </w:tc>
        <w:tc>
          <w:tcPr>
            <w:tcW w:w="2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Malaysia</w:t>
            </w:r>
          </w:p>
        </w:tc>
      </w:tr>
      <w:tr>
        <w:trPr>
          <w:trHeight w:val="216"/>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74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Metallic Resources, Inc.*</w:t>
            </w:r>
          </w:p>
        </w:tc>
        <w:tc>
          <w:tcPr>
            <w:tcW w:w="2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16"/>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74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Mineracao Taboca S.A.*</w:t>
            </w:r>
          </w:p>
        </w:tc>
        <w:tc>
          <w:tcPr>
            <w:tcW w:w="2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Brazil</w:t>
            </w:r>
          </w:p>
        </w:tc>
      </w:tr>
      <w:tr>
        <w:trPr>
          <w:trHeight w:val="216"/>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74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Mining Minerals Resources SARL*</w:t>
            </w:r>
          </w:p>
        </w:tc>
        <w:tc>
          <w:tcPr>
            <w:tcW w:w="264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Congo, Democratic Republic of the</w:t>
            </w:r>
          </w:p>
        </w:tc>
      </w:tr>
      <w:tr>
        <w:trPr>
          <w:trHeight w:val="216"/>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74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Minsur*</w:t>
            </w:r>
          </w:p>
        </w:tc>
        <w:tc>
          <w:tcPr>
            <w:tcW w:w="2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Peru</w:t>
            </w:r>
          </w:p>
        </w:tc>
      </w:tr>
      <w:tr>
        <w:trPr>
          <w:trHeight w:val="216"/>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74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Mitsubishi Materials Corporation*</w:t>
            </w:r>
          </w:p>
        </w:tc>
        <w:tc>
          <w:tcPr>
            <w:tcW w:w="2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74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O.M. Manufacturing (Thailand) Co., Ltd.*</w:t>
            </w:r>
          </w:p>
        </w:tc>
        <w:tc>
          <w:tcPr>
            <w:tcW w:w="2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Thailand</w:t>
            </w:r>
          </w:p>
        </w:tc>
      </w:tr>
      <w:tr>
        <w:trPr>
          <w:trHeight w:val="216"/>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74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O.M. Manufacturing Philippines, Inc.*</w:t>
            </w:r>
          </w:p>
        </w:tc>
        <w:tc>
          <w:tcPr>
            <w:tcW w:w="2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Philippines</w:t>
            </w:r>
          </w:p>
        </w:tc>
      </w:tr>
      <w:tr>
        <w:trPr>
          <w:trHeight w:val="216"/>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74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Operaciones Metalurgicas S.A.*</w:t>
            </w:r>
          </w:p>
        </w:tc>
        <w:tc>
          <w:tcPr>
            <w:tcW w:w="2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Bolivia (plurinational State Of)</w:t>
            </w:r>
          </w:p>
        </w:tc>
      </w:tr>
      <w:tr>
        <w:trPr>
          <w:trHeight w:val="216"/>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74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 Kay Metal, Inc*</w:t>
            </w:r>
          </w:p>
        </w:tc>
        <w:tc>
          <w:tcPr>
            <w:tcW w:w="2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16"/>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74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PT Artha Cipta Langgeng**</w:t>
            </w:r>
          </w:p>
        </w:tc>
        <w:tc>
          <w:tcPr>
            <w:tcW w:w="2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74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PT ATD Makmur Mandiri Jaya*</w:t>
            </w:r>
          </w:p>
        </w:tc>
        <w:tc>
          <w:tcPr>
            <w:tcW w:w="2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74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PT Bangka Prima Tin*</w:t>
            </w:r>
          </w:p>
        </w:tc>
        <w:tc>
          <w:tcPr>
            <w:tcW w:w="2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74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PT Cipta Persada Mulia*</w:t>
            </w:r>
          </w:p>
        </w:tc>
        <w:tc>
          <w:tcPr>
            <w:tcW w:w="2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74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PT Masbro Alam Stania*</w:t>
            </w:r>
          </w:p>
        </w:tc>
        <w:tc>
          <w:tcPr>
            <w:tcW w:w="2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74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PT Mitra Stania Prima*</w:t>
            </w:r>
          </w:p>
        </w:tc>
        <w:tc>
          <w:tcPr>
            <w:tcW w:w="2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74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PT Mitra Sukses Globalindo*</w:t>
            </w:r>
          </w:p>
        </w:tc>
        <w:tc>
          <w:tcPr>
            <w:tcW w:w="2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74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PT Premium Tin Indonesia*</w:t>
            </w:r>
          </w:p>
        </w:tc>
        <w:tc>
          <w:tcPr>
            <w:tcW w:w="2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74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PT Prima Timah Utama*</w:t>
            </w:r>
          </w:p>
        </w:tc>
        <w:tc>
          <w:tcPr>
            <w:tcW w:w="2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74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PT Putera Sarana Shakti (PT PSS)*</w:t>
            </w:r>
          </w:p>
        </w:tc>
        <w:tc>
          <w:tcPr>
            <w:tcW w:w="2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74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PT Rajehan Ariq*</w:t>
            </w:r>
          </w:p>
        </w:tc>
        <w:tc>
          <w:tcPr>
            <w:tcW w:w="2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74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PT Timah Tbk Kundur*</w:t>
            </w:r>
          </w:p>
        </w:tc>
        <w:tc>
          <w:tcPr>
            <w:tcW w:w="2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74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PT Timah Tbk Mentok*</w:t>
            </w:r>
          </w:p>
        </w:tc>
        <w:tc>
          <w:tcPr>
            <w:tcW w:w="2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74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Resind Industria e Comercio Ltda.*</w:t>
            </w:r>
          </w:p>
        </w:tc>
        <w:tc>
          <w:tcPr>
            <w:tcW w:w="2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Brazil</w:t>
            </w:r>
          </w:p>
        </w:tc>
      </w:tr>
      <w:tr>
        <w:trPr>
          <w:trHeight w:val="216"/>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74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Rui Da Hung*</w:t>
            </w:r>
          </w:p>
        </w:tc>
        <w:tc>
          <w:tcPr>
            <w:tcW w:w="2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Taiwan</w:t>
            </w:r>
          </w:p>
        </w:tc>
      </w:tr>
      <w:tr>
        <w:trPr>
          <w:trHeight w:val="216"/>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74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Soft Metais Ltda.*</w:t>
            </w:r>
          </w:p>
        </w:tc>
        <w:tc>
          <w:tcPr>
            <w:tcW w:w="2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Brazil</w:t>
            </w:r>
          </w:p>
        </w:tc>
      </w:tr>
      <w:tr>
        <w:trPr>
          <w:trHeight w:val="216"/>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74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Super Ligas*</w:t>
            </w:r>
          </w:p>
        </w:tc>
        <w:tc>
          <w:tcPr>
            <w:tcW w:w="2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Brazil</w:t>
            </w:r>
          </w:p>
        </w:tc>
      </w:t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74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Takehara PVD Materials Plant / PVD Materials Division of Mitsui Mining &amp; Smelting Co, Ltd.*</w:t>
            </w:r>
          </w:p>
        </w:tc>
        <w:tc>
          <w:tcPr>
            <w:tcW w:w="2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Japan</w:t>
            </w:r>
          </w:p>
        </w:tc>
      </w:tr>
      <w:tr>
        <w:trPr>
          <w:trHeight w:val="365"/>
        </w:trPr>
        <w:tc>
          <w:tcPr>
            <w:tcW w:w="660" w:type="dxa"/>
            <w:vAlign w:val="bottom"/>
          </w:tcPr>
          <w:p>
            <w:pPr>
              <w:spacing w:after="0"/>
              <w:rPr>
                <w:sz w:val="24"/>
                <w:szCs w:val="24"/>
                <w:color w:val="auto"/>
              </w:rPr>
            </w:pPr>
          </w:p>
        </w:tc>
        <w:tc>
          <w:tcPr>
            <w:tcW w:w="7480" w:type="dxa"/>
            <w:vAlign w:val="bottom"/>
          </w:tcPr>
          <w:p>
            <w:pPr>
              <w:ind w:left="4580"/>
              <w:spacing w:after="0"/>
              <w:rPr>
                <w:sz w:val="20"/>
                <w:szCs w:val="20"/>
                <w:color w:val="auto"/>
              </w:rPr>
            </w:pPr>
            <w:r>
              <w:rPr>
                <w:rFonts w:ascii="Times New Roman" w:cs="Times New Roman" w:eastAsia="Times New Roman" w:hAnsi="Times New Roman"/>
                <w:sz w:val="18"/>
                <w:szCs w:val="18"/>
                <w:color w:val="auto"/>
              </w:rPr>
              <w:t>8</w:t>
            </w:r>
          </w:p>
        </w:tc>
        <w:tc>
          <w:tcPr>
            <w:tcW w:w="2640" w:type="dxa"/>
            <w:vAlign w:val="bottom"/>
          </w:tcPr>
          <w:p>
            <w:pPr>
              <w:spacing w:after="0"/>
              <w:rPr>
                <w:sz w:val="24"/>
                <w:szCs w:val="24"/>
                <w:color w:val="auto"/>
              </w:rPr>
            </w:pPr>
          </w:p>
        </w:tc>
      </w:tr>
    </w:tbl>
    <w:p>
      <w:pPr>
        <w:sectPr>
          <w:pgSz w:w="11900" w:h="16838" w:orient="portrait"/>
          <w:cols w:equalWidth="0" w:num="1">
            <w:col w:w="10780"/>
          </w:cols>
          <w:pgMar w:left="660" w:top="270" w:right="459" w:bottom="1440" w:gutter="0" w:footer="0" w:header="0"/>
        </w:sectPr>
      </w:pPr>
    </w:p>
    <w:bookmarkStart w:id="11" w:name="page12"/>
    <w:bookmarkEnd w:id="1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224" w:type="dxa"/>
        <w:tblCellMar>
          <w:top w:w="0" w:type="dxa"/>
          <w:left w:w="0" w:type="dxa"/>
          <w:bottom w:w="0" w:type="dxa"/>
          <w:right w:w="0" w:type="dxa"/>
        </w:tblCellMar>
      </w:tblP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6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Thaisarco*</w:t>
            </w:r>
          </w:p>
        </w:tc>
        <w:tc>
          <w:tcPr>
            <w:tcW w:w="23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Thailand</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6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Tin Smelting Branch of Yunnan Tin Co., Ltd.*</w:t>
            </w:r>
          </w:p>
        </w:tc>
        <w:tc>
          <w:tcPr>
            <w:tcW w:w="23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6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Tin Technology &amp; Refining*</w:t>
            </w:r>
          </w:p>
        </w:tc>
        <w:tc>
          <w:tcPr>
            <w:tcW w:w="230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8"/>
              </w:rPr>
              <w:t>United States of America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6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TRATHO Metal Quimica*</w:t>
            </w:r>
          </w:p>
        </w:tc>
        <w:tc>
          <w:tcPr>
            <w:tcW w:w="23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Brazil</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6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White Solder Metalurgia e Mineracao Ltda.*</w:t>
            </w:r>
          </w:p>
        </w:tc>
        <w:tc>
          <w:tcPr>
            <w:tcW w:w="23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Brazil</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6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Woodcross Smelting Company Limited*</w:t>
            </w:r>
          </w:p>
        </w:tc>
        <w:tc>
          <w:tcPr>
            <w:tcW w:w="23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Uganda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6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Yunnan Chengfeng Non-ferrous Metals Co., Ltd.</w:t>
            </w:r>
          </w:p>
        </w:tc>
        <w:tc>
          <w:tcPr>
            <w:tcW w:w="23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6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Yunnan Yunfan Non-ferrous Metals Co., Ltd.*</w:t>
            </w:r>
          </w:p>
        </w:tc>
        <w:tc>
          <w:tcPr>
            <w:tcW w:w="23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6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A.L.M.T. Corp.*</w:t>
            </w:r>
          </w:p>
        </w:tc>
        <w:tc>
          <w:tcPr>
            <w:tcW w:w="23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6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Asia Tungsten Products Vietnam Ltd.*</w:t>
            </w:r>
          </w:p>
        </w:tc>
        <w:tc>
          <w:tcPr>
            <w:tcW w:w="23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Vietnam</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6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China Molybdenum Tungsten Co., Ltd.*</w:t>
            </w:r>
          </w:p>
        </w:tc>
        <w:tc>
          <w:tcPr>
            <w:tcW w:w="23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6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Chongyi Zhangyuan Tungsten Co., Ltd.*</w:t>
            </w:r>
          </w:p>
        </w:tc>
        <w:tc>
          <w:tcPr>
            <w:tcW w:w="23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6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Cronimet Brasil Ltda*</w:t>
            </w:r>
          </w:p>
        </w:tc>
        <w:tc>
          <w:tcPr>
            <w:tcW w:w="23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Brazil</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6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Fujian Xinlu Tungsten Co., Ltd.*</w:t>
            </w:r>
          </w:p>
        </w:tc>
        <w:tc>
          <w:tcPr>
            <w:tcW w:w="23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6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Ganzhou Jiangwu Ferrotungsten Co., Ltd.*</w:t>
            </w:r>
          </w:p>
        </w:tc>
        <w:tc>
          <w:tcPr>
            <w:tcW w:w="23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6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Ganzhou Seadragon W &amp; Mo Co., Ltd.*</w:t>
            </w:r>
          </w:p>
        </w:tc>
        <w:tc>
          <w:tcPr>
            <w:tcW w:w="23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6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Global Tungsten &amp; Powders LLC*</w:t>
            </w:r>
          </w:p>
        </w:tc>
        <w:tc>
          <w:tcPr>
            <w:tcW w:w="230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8"/>
              </w:rPr>
              <w:t>United States of America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6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Guangdong Xianglu Tungsten Co., Ltd.*</w:t>
            </w:r>
          </w:p>
        </w:tc>
        <w:tc>
          <w:tcPr>
            <w:tcW w:w="23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6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H.C. Starck Tungsten GmbH*</w:t>
            </w:r>
          </w:p>
        </w:tc>
        <w:tc>
          <w:tcPr>
            <w:tcW w:w="23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Germany</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6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Hubei Green Tungsten Co., Ltd.*</w:t>
            </w:r>
          </w:p>
        </w:tc>
        <w:tc>
          <w:tcPr>
            <w:tcW w:w="23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6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Hunan Shizhuyuan Nonferrous Metals Co., Ltd. Chenzhou Tungsten Products Branch</w:t>
            </w:r>
          </w:p>
        </w:tc>
        <w:tc>
          <w:tcPr>
            <w:tcW w:w="23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6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Japan New Metals Co., Ltd.*</w:t>
            </w:r>
          </w:p>
        </w:tc>
        <w:tc>
          <w:tcPr>
            <w:tcW w:w="23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6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Jiangwu H.C. Starck Tungsten Products Co., Ltd.*</w:t>
            </w:r>
          </w:p>
        </w:tc>
        <w:tc>
          <w:tcPr>
            <w:tcW w:w="23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6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Jiangxi Gan Bei Tungsten Co., Ltd.*</w:t>
            </w:r>
          </w:p>
        </w:tc>
        <w:tc>
          <w:tcPr>
            <w:tcW w:w="23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6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Jiangxi Tonggu Non-ferrous Metallurgical &amp; Chemical Co., Ltd.*</w:t>
            </w:r>
          </w:p>
        </w:tc>
        <w:tc>
          <w:tcPr>
            <w:tcW w:w="23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6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Jiangxi Xinsheng Tungsten Industry Co., Ltd.*</w:t>
            </w:r>
          </w:p>
        </w:tc>
        <w:tc>
          <w:tcPr>
            <w:tcW w:w="23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6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Jiangxi Yaosheng Tungsten Co., Ltd.*</w:t>
            </w:r>
          </w:p>
        </w:tc>
        <w:tc>
          <w:tcPr>
            <w:tcW w:w="23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6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Jing Yuan Tungsten Technology Co., Ltd.*</w:t>
            </w:r>
          </w:p>
        </w:tc>
        <w:tc>
          <w:tcPr>
            <w:tcW w:w="23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Taiwan</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6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Kenee Mining Vietnam Company Limited*</w:t>
            </w:r>
          </w:p>
        </w:tc>
        <w:tc>
          <w:tcPr>
            <w:tcW w:w="23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Vietnam</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6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Kennametal Fallon*</w:t>
            </w:r>
          </w:p>
        </w:tc>
        <w:tc>
          <w:tcPr>
            <w:tcW w:w="230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8"/>
              </w:rPr>
              <w:t>United States of America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6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Kennametal Huntsville*</w:t>
            </w:r>
          </w:p>
        </w:tc>
        <w:tc>
          <w:tcPr>
            <w:tcW w:w="230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8"/>
              </w:rPr>
              <w:t>United States of America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6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Lianyou Metals Co., Ltd.*</w:t>
            </w:r>
          </w:p>
        </w:tc>
        <w:tc>
          <w:tcPr>
            <w:tcW w:w="23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Taiwan</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6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Lianyou Resources Co., Ltd.*</w:t>
            </w:r>
          </w:p>
        </w:tc>
        <w:tc>
          <w:tcPr>
            <w:tcW w:w="23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Taiwan</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6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Malipo Haiyu Tungsten Co., Ltd.*</w:t>
            </w:r>
          </w:p>
        </w:tc>
        <w:tc>
          <w:tcPr>
            <w:tcW w:w="23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6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Masan High-Tech Materials*</w:t>
            </w:r>
          </w:p>
        </w:tc>
        <w:tc>
          <w:tcPr>
            <w:tcW w:w="23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Vietnam</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6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Niagara Refining LLC*</w:t>
            </w:r>
          </w:p>
        </w:tc>
        <w:tc>
          <w:tcPr>
            <w:tcW w:w="230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8"/>
              </w:rPr>
              <w:t>United States of America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6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Philippine Bonway Manufacturing Industrial Corporation*</w:t>
            </w:r>
          </w:p>
        </w:tc>
        <w:tc>
          <w:tcPr>
            <w:tcW w:w="23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Philippines</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6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Shinwon Tungsten (Fujian Shanghang) Co., Ltd.*</w:t>
            </w:r>
          </w:p>
        </w:tc>
        <w:tc>
          <w:tcPr>
            <w:tcW w:w="23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6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TANIOBIS Smelting GmbH &amp; Co. KG*</w:t>
            </w:r>
          </w:p>
        </w:tc>
        <w:tc>
          <w:tcPr>
            <w:tcW w:w="23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Germany</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6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Tungsten Vietnam Joint Stock Company*</w:t>
            </w:r>
          </w:p>
        </w:tc>
        <w:tc>
          <w:tcPr>
            <w:tcW w:w="23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Vietnam</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6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Wolfram Bergbau und Hutten AG*</w:t>
            </w:r>
          </w:p>
        </w:tc>
        <w:tc>
          <w:tcPr>
            <w:tcW w:w="23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Austria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6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Xiamen Tungsten (H.C.) Co., Ltd.*</w:t>
            </w:r>
          </w:p>
        </w:tc>
        <w:tc>
          <w:tcPr>
            <w:tcW w:w="23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China</w:t>
            </w:r>
          </w:p>
        </w:tc>
      </w:tr>
      <w:tr>
        <w:trPr>
          <w:trHeight w:val="23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6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Xiamen Tungsten Co., Ltd.*</w:t>
            </w:r>
          </w:p>
        </w:tc>
        <w:tc>
          <w:tcPr>
            <w:tcW w:w="23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China</w:t>
            </w:r>
          </w:p>
        </w:tc>
      </w:tr>
    </w:tbl>
    <w:p>
      <w:pPr>
        <w:spacing w:after="0" w:line="225" w:lineRule="exact"/>
        <w:rPr>
          <w:sz w:val="20"/>
          <w:szCs w:val="20"/>
          <w:color w:val="auto"/>
        </w:rPr>
      </w:pPr>
    </w:p>
    <w:p>
      <w:pPr>
        <w:ind w:left="4" w:right="2720" w:hanging="4"/>
        <w:spacing w:after="0" w:line="312" w:lineRule="auto"/>
        <w:tabs>
          <w:tab w:leader="none" w:pos="436"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Smelter name included in the RMAP Conformant Smelters and Refiners as of December 31, 2025. ** Smelter name included in the RMI Active Smelters and Refiners List as of December 31, 2025.</w:t>
      </w:r>
    </w:p>
    <w:p>
      <w:pPr>
        <w:spacing w:after="0" w:line="72" w:lineRule="exact"/>
        <w:rPr>
          <w:sz w:val="20"/>
          <w:szCs w:val="20"/>
          <w:color w:val="auto"/>
        </w:rPr>
      </w:pPr>
    </w:p>
    <w:p>
      <w:pPr>
        <w:ind w:left="5464"/>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264"/>
          </w:cols>
          <w:pgMar w:left="436" w:top="270" w:right="1199" w:bottom="1440" w:gutter="0" w:footer="0" w:header="0"/>
        </w:sectPr>
      </w:pPr>
    </w:p>
    <w:bookmarkStart w:id="12" w:name="page13"/>
    <w:bookmarkEnd w:id="12"/>
    <w:p>
      <w:pPr>
        <w:ind w:left="424" w:hanging="424"/>
        <w:spacing w:after="0"/>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We note the following in connection with the information contained in the foregoing list:</w:t>
      </w:r>
    </w:p>
    <w:p>
      <w:pPr>
        <w:spacing w:after="0" w:line="130" w:lineRule="exact"/>
        <w:rPr>
          <w:rFonts w:ascii="Times New Roman" w:cs="Times New Roman" w:eastAsia="Times New Roman" w:hAnsi="Times New Roman"/>
          <w:sz w:val="18"/>
          <w:szCs w:val="18"/>
          <w:color w:val="auto"/>
        </w:rPr>
      </w:pPr>
    </w:p>
    <w:p>
      <w:pPr>
        <w:ind w:left="964" w:right="160" w:hanging="532"/>
        <w:spacing w:after="0" w:line="281" w:lineRule="auto"/>
        <w:tabs>
          <w:tab w:leader="none" w:pos="964" w:val="left"/>
        </w:tabs>
        <w:numPr>
          <w:ilvl w:val="1"/>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SORs listed above were identified to us by the suppliers. However, not all of the included SORs may have processed necessary conflict minerals contained in our products. Some suppliers may have reported to us SORs that were not in our supply chain due to over-inclusiveness in the information received from their suppliers as a result of reporting to us at a “company level,” meaning that they reported to us the conflict minerals content contained in all of their products, not just the products they sold to us, or for other reasons.</w:t>
      </w:r>
    </w:p>
    <w:p>
      <w:pPr>
        <w:spacing w:after="0" w:line="69" w:lineRule="exact"/>
        <w:rPr>
          <w:rFonts w:ascii="Times New Roman" w:cs="Times New Roman" w:eastAsia="Times New Roman" w:hAnsi="Times New Roman"/>
          <w:sz w:val="17"/>
          <w:szCs w:val="17"/>
          <w:color w:val="auto"/>
        </w:rPr>
      </w:pPr>
    </w:p>
    <w:p>
      <w:pPr>
        <w:ind w:left="964" w:hanging="532"/>
        <w:spacing w:after="0" w:line="282" w:lineRule="auto"/>
        <w:tabs>
          <w:tab w:leader="none" w:pos="96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compliance status and country location reflected in the list is based solely on information made available by the RMI to its members, without independent verification by us.</w:t>
      </w:r>
    </w:p>
    <w:p>
      <w:pPr>
        <w:spacing w:after="0" w:line="67" w:lineRule="exact"/>
        <w:rPr>
          <w:rFonts w:ascii="Times New Roman" w:cs="Times New Roman" w:eastAsia="Times New Roman" w:hAnsi="Times New Roman"/>
          <w:sz w:val="18"/>
          <w:szCs w:val="18"/>
          <w:color w:val="auto"/>
        </w:rPr>
      </w:pPr>
    </w:p>
    <w:p>
      <w:pPr>
        <w:ind w:left="964" w:right="280" w:hanging="532"/>
        <w:spacing w:after="0" w:line="282" w:lineRule="auto"/>
        <w:tabs>
          <w:tab w:leader="none" w:pos="96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Country Location is the location of the smelter or refiner and is based solely on information made publicly available by RMI, without independent verification by us.</w:t>
      </w:r>
    </w:p>
    <w:p>
      <w:pPr>
        <w:spacing w:after="0" w:line="67" w:lineRule="exact"/>
        <w:rPr>
          <w:rFonts w:ascii="Times New Roman" w:cs="Times New Roman" w:eastAsia="Times New Roman" w:hAnsi="Times New Roman"/>
          <w:sz w:val="18"/>
          <w:szCs w:val="18"/>
          <w:color w:val="auto"/>
        </w:rPr>
      </w:pPr>
    </w:p>
    <w:p>
      <w:pPr>
        <w:ind w:left="964" w:hanging="532"/>
        <w:spacing w:after="0" w:line="266" w:lineRule="auto"/>
        <w:tabs>
          <w:tab w:leader="none" w:pos="96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smelters, Hunan Shizhuyuan Nonferrous Metals Co., Ltd. Chenzhou Tungsten Products Branch and Yunnan Chengfeng Non-ferrous Metals Co., Ltd., were removed from RMAP Conformant status in August 2025 due to withdrawal from the re-assessment process and unresolved corrective actions.</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ANNEX II</w:t>
      </w:r>
    </w:p>
    <w:p>
      <w:pPr>
        <w:spacing w:after="0" w:line="256" w:lineRule="exact"/>
        <w:rPr>
          <w:sz w:val="20"/>
          <w:szCs w:val="20"/>
          <w:color w:val="auto"/>
        </w:rPr>
      </w:pPr>
    </w:p>
    <w:p>
      <w:pPr>
        <w:ind w:left="224"/>
        <w:spacing w:after="0"/>
        <w:rPr>
          <w:sz w:val="20"/>
          <w:szCs w:val="20"/>
          <w:color w:val="auto"/>
        </w:rPr>
      </w:pPr>
      <w:r>
        <w:rPr>
          <w:rFonts w:ascii="Times New Roman" w:cs="Times New Roman" w:eastAsia="Times New Roman" w:hAnsi="Times New Roman"/>
          <w:sz w:val="18"/>
          <w:szCs w:val="18"/>
          <w:color w:val="auto"/>
        </w:rPr>
        <w:t>Albania</w:t>
      </w:r>
    </w:p>
    <w:p>
      <w:pPr>
        <w:spacing w:after="0" w:line="27" w:lineRule="exact"/>
        <w:rPr>
          <w:sz w:val="20"/>
          <w:szCs w:val="20"/>
          <w:color w:val="auto"/>
        </w:rPr>
      </w:pPr>
    </w:p>
    <w:p>
      <w:pPr>
        <w:ind w:left="224"/>
        <w:spacing w:after="0"/>
        <w:rPr>
          <w:sz w:val="20"/>
          <w:szCs w:val="20"/>
          <w:color w:val="auto"/>
        </w:rPr>
      </w:pPr>
      <w:r>
        <w:rPr>
          <w:rFonts w:ascii="Times New Roman" w:cs="Times New Roman" w:eastAsia="Times New Roman" w:hAnsi="Times New Roman"/>
          <w:sz w:val="18"/>
          <w:szCs w:val="18"/>
          <w:color w:val="auto"/>
        </w:rPr>
        <w:t>Algeria</w:t>
      </w:r>
    </w:p>
    <w:p>
      <w:pPr>
        <w:spacing w:after="0" w:line="9" w:lineRule="exact"/>
        <w:rPr>
          <w:sz w:val="20"/>
          <w:szCs w:val="20"/>
          <w:color w:val="auto"/>
        </w:rPr>
      </w:pPr>
    </w:p>
    <w:p>
      <w:pPr>
        <w:ind w:left="224"/>
        <w:spacing w:after="0"/>
        <w:rPr>
          <w:sz w:val="20"/>
          <w:szCs w:val="20"/>
          <w:color w:val="auto"/>
        </w:rPr>
      </w:pPr>
      <w:r>
        <w:rPr>
          <w:rFonts w:ascii="Times New Roman" w:cs="Times New Roman" w:eastAsia="Times New Roman" w:hAnsi="Times New Roman"/>
          <w:sz w:val="18"/>
          <w:szCs w:val="18"/>
          <w:color w:val="auto"/>
        </w:rPr>
        <w:t>Andorra</w:t>
      </w:r>
    </w:p>
    <w:p>
      <w:pPr>
        <w:spacing w:after="0" w:line="9" w:lineRule="exact"/>
        <w:rPr>
          <w:sz w:val="20"/>
          <w:szCs w:val="20"/>
          <w:color w:val="auto"/>
        </w:rPr>
      </w:pPr>
    </w:p>
    <w:p>
      <w:pPr>
        <w:ind w:left="224"/>
        <w:spacing w:after="0"/>
        <w:rPr>
          <w:sz w:val="20"/>
          <w:szCs w:val="20"/>
          <w:color w:val="auto"/>
        </w:rPr>
      </w:pPr>
      <w:r>
        <w:rPr>
          <w:rFonts w:ascii="Times New Roman" w:cs="Times New Roman" w:eastAsia="Times New Roman" w:hAnsi="Times New Roman"/>
          <w:sz w:val="18"/>
          <w:szCs w:val="18"/>
          <w:color w:val="auto"/>
        </w:rPr>
        <w:t>Angola</w:t>
      </w:r>
    </w:p>
    <w:p>
      <w:pPr>
        <w:spacing w:after="0" w:line="9" w:lineRule="exact"/>
        <w:rPr>
          <w:sz w:val="20"/>
          <w:szCs w:val="20"/>
          <w:color w:val="auto"/>
        </w:rPr>
      </w:pPr>
    </w:p>
    <w:p>
      <w:pPr>
        <w:ind w:left="224"/>
        <w:spacing w:after="0"/>
        <w:rPr>
          <w:sz w:val="20"/>
          <w:szCs w:val="20"/>
          <w:color w:val="auto"/>
        </w:rPr>
      </w:pPr>
      <w:r>
        <w:rPr>
          <w:rFonts w:ascii="Times New Roman" w:cs="Times New Roman" w:eastAsia="Times New Roman" w:hAnsi="Times New Roman"/>
          <w:sz w:val="18"/>
          <w:szCs w:val="18"/>
          <w:color w:val="auto"/>
        </w:rPr>
        <w:t>Anguilla</w:t>
      </w:r>
    </w:p>
    <w:p>
      <w:pPr>
        <w:spacing w:after="0" w:line="9" w:lineRule="exact"/>
        <w:rPr>
          <w:sz w:val="20"/>
          <w:szCs w:val="20"/>
          <w:color w:val="auto"/>
        </w:rPr>
      </w:pPr>
    </w:p>
    <w:p>
      <w:pPr>
        <w:ind w:left="224"/>
        <w:spacing w:after="0"/>
        <w:rPr>
          <w:sz w:val="20"/>
          <w:szCs w:val="20"/>
          <w:color w:val="auto"/>
        </w:rPr>
      </w:pPr>
      <w:r>
        <w:rPr>
          <w:rFonts w:ascii="Times New Roman" w:cs="Times New Roman" w:eastAsia="Times New Roman" w:hAnsi="Times New Roman"/>
          <w:sz w:val="18"/>
          <w:szCs w:val="18"/>
          <w:color w:val="auto"/>
        </w:rPr>
        <w:t>Antigua and Barbuda</w:t>
      </w:r>
    </w:p>
    <w:p>
      <w:pPr>
        <w:spacing w:after="0" w:line="9" w:lineRule="exact"/>
        <w:rPr>
          <w:sz w:val="20"/>
          <w:szCs w:val="20"/>
          <w:color w:val="auto"/>
        </w:rPr>
      </w:pPr>
    </w:p>
    <w:p>
      <w:pPr>
        <w:ind w:left="224"/>
        <w:spacing w:after="0"/>
        <w:rPr>
          <w:sz w:val="20"/>
          <w:szCs w:val="20"/>
          <w:color w:val="auto"/>
        </w:rPr>
      </w:pPr>
      <w:r>
        <w:rPr>
          <w:rFonts w:ascii="Times New Roman" w:cs="Times New Roman" w:eastAsia="Times New Roman" w:hAnsi="Times New Roman"/>
          <w:sz w:val="18"/>
          <w:szCs w:val="18"/>
          <w:color w:val="auto"/>
        </w:rPr>
        <w:t>Argentina</w:t>
      </w:r>
    </w:p>
    <w:p>
      <w:pPr>
        <w:spacing w:after="0" w:line="9" w:lineRule="exact"/>
        <w:rPr>
          <w:sz w:val="20"/>
          <w:szCs w:val="20"/>
          <w:color w:val="auto"/>
        </w:rPr>
      </w:pPr>
    </w:p>
    <w:p>
      <w:pPr>
        <w:ind w:left="224"/>
        <w:spacing w:after="0"/>
        <w:rPr>
          <w:sz w:val="20"/>
          <w:szCs w:val="20"/>
          <w:color w:val="auto"/>
        </w:rPr>
      </w:pPr>
      <w:r>
        <w:rPr>
          <w:rFonts w:ascii="Times New Roman" w:cs="Times New Roman" w:eastAsia="Times New Roman" w:hAnsi="Times New Roman"/>
          <w:sz w:val="18"/>
          <w:szCs w:val="18"/>
          <w:color w:val="auto"/>
        </w:rPr>
        <w:t>Armenia</w:t>
      </w:r>
    </w:p>
    <w:p>
      <w:pPr>
        <w:spacing w:after="0" w:line="9" w:lineRule="exact"/>
        <w:rPr>
          <w:sz w:val="20"/>
          <w:szCs w:val="20"/>
          <w:color w:val="auto"/>
        </w:rPr>
      </w:pPr>
    </w:p>
    <w:p>
      <w:pPr>
        <w:ind w:left="224"/>
        <w:spacing w:after="0"/>
        <w:rPr>
          <w:sz w:val="20"/>
          <w:szCs w:val="20"/>
          <w:color w:val="auto"/>
        </w:rPr>
      </w:pPr>
      <w:r>
        <w:rPr>
          <w:rFonts w:ascii="Times New Roman" w:cs="Times New Roman" w:eastAsia="Times New Roman" w:hAnsi="Times New Roman"/>
          <w:sz w:val="18"/>
          <w:szCs w:val="18"/>
          <w:color w:val="auto"/>
        </w:rPr>
        <w:t>Aruba</w:t>
      </w:r>
    </w:p>
    <w:p>
      <w:pPr>
        <w:spacing w:after="0" w:line="9" w:lineRule="exact"/>
        <w:rPr>
          <w:sz w:val="20"/>
          <w:szCs w:val="20"/>
          <w:color w:val="auto"/>
        </w:rPr>
      </w:pPr>
    </w:p>
    <w:p>
      <w:pPr>
        <w:ind w:left="224"/>
        <w:spacing w:after="0"/>
        <w:rPr>
          <w:sz w:val="20"/>
          <w:szCs w:val="20"/>
          <w:color w:val="auto"/>
        </w:rPr>
      </w:pPr>
      <w:r>
        <w:rPr>
          <w:rFonts w:ascii="Times New Roman" w:cs="Times New Roman" w:eastAsia="Times New Roman" w:hAnsi="Times New Roman"/>
          <w:sz w:val="18"/>
          <w:szCs w:val="18"/>
          <w:color w:val="auto"/>
        </w:rPr>
        <w:t>Australia</w:t>
      </w:r>
    </w:p>
    <w:p>
      <w:pPr>
        <w:spacing w:after="0" w:line="9" w:lineRule="exact"/>
        <w:rPr>
          <w:sz w:val="20"/>
          <w:szCs w:val="20"/>
          <w:color w:val="auto"/>
        </w:rPr>
      </w:pPr>
    </w:p>
    <w:p>
      <w:pPr>
        <w:ind w:left="224"/>
        <w:spacing w:after="0"/>
        <w:rPr>
          <w:sz w:val="20"/>
          <w:szCs w:val="20"/>
          <w:color w:val="auto"/>
        </w:rPr>
      </w:pPr>
      <w:r>
        <w:rPr>
          <w:rFonts w:ascii="Times New Roman" w:cs="Times New Roman" w:eastAsia="Times New Roman" w:hAnsi="Times New Roman"/>
          <w:sz w:val="18"/>
          <w:szCs w:val="18"/>
          <w:color w:val="auto"/>
        </w:rPr>
        <w:t>Austria</w:t>
      </w:r>
    </w:p>
    <w:p>
      <w:pPr>
        <w:spacing w:after="0" w:line="9" w:lineRule="exact"/>
        <w:rPr>
          <w:sz w:val="20"/>
          <w:szCs w:val="20"/>
          <w:color w:val="auto"/>
        </w:rPr>
      </w:pPr>
    </w:p>
    <w:p>
      <w:pPr>
        <w:ind w:left="224"/>
        <w:spacing w:after="0"/>
        <w:rPr>
          <w:sz w:val="20"/>
          <w:szCs w:val="20"/>
          <w:color w:val="auto"/>
        </w:rPr>
      </w:pPr>
      <w:r>
        <w:rPr>
          <w:rFonts w:ascii="Times New Roman" w:cs="Times New Roman" w:eastAsia="Times New Roman" w:hAnsi="Times New Roman"/>
          <w:sz w:val="18"/>
          <w:szCs w:val="18"/>
          <w:color w:val="auto"/>
        </w:rPr>
        <w:t>Azerbaijan</w:t>
      </w:r>
    </w:p>
    <w:p>
      <w:pPr>
        <w:spacing w:after="0" w:line="9" w:lineRule="exact"/>
        <w:rPr>
          <w:sz w:val="20"/>
          <w:szCs w:val="20"/>
          <w:color w:val="auto"/>
        </w:rPr>
      </w:pPr>
    </w:p>
    <w:p>
      <w:pPr>
        <w:ind w:left="224"/>
        <w:spacing w:after="0"/>
        <w:rPr>
          <w:sz w:val="20"/>
          <w:szCs w:val="20"/>
          <w:color w:val="auto"/>
        </w:rPr>
      </w:pPr>
      <w:r>
        <w:rPr>
          <w:rFonts w:ascii="Times New Roman" w:cs="Times New Roman" w:eastAsia="Times New Roman" w:hAnsi="Times New Roman"/>
          <w:sz w:val="18"/>
          <w:szCs w:val="18"/>
          <w:color w:val="auto"/>
        </w:rPr>
        <w:t>Bahamas</w:t>
      </w:r>
    </w:p>
    <w:p>
      <w:pPr>
        <w:spacing w:after="0" w:line="9" w:lineRule="exact"/>
        <w:rPr>
          <w:sz w:val="20"/>
          <w:szCs w:val="20"/>
          <w:color w:val="auto"/>
        </w:rPr>
      </w:pPr>
    </w:p>
    <w:p>
      <w:pPr>
        <w:ind w:left="224"/>
        <w:spacing w:after="0"/>
        <w:rPr>
          <w:sz w:val="20"/>
          <w:szCs w:val="20"/>
          <w:color w:val="auto"/>
        </w:rPr>
      </w:pPr>
      <w:r>
        <w:rPr>
          <w:rFonts w:ascii="Times New Roman" w:cs="Times New Roman" w:eastAsia="Times New Roman" w:hAnsi="Times New Roman"/>
          <w:sz w:val="18"/>
          <w:szCs w:val="18"/>
          <w:color w:val="auto"/>
        </w:rPr>
        <w:t>Bangladesh</w:t>
      </w:r>
    </w:p>
    <w:p>
      <w:pPr>
        <w:spacing w:after="0" w:line="9" w:lineRule="exact"/>
        <w:rPr>
          <w:sz w:val="20"/>
          <w:szCs w:val="20"/>
          <w:color w:val="auto"/>
        </w:rPr>
      </w:pPr>
    </w:p>
    <w:p>
      <w:pPr>
        <w:ind w:left="224"/>
        <w:spacing w:after="0"/>
        <w:rPr>
          <w:sz w:val="20"/>
          <w:szCs w:val="20"/>
          <w:color w:val="auto"/>
        </w:rPr>
      </w:pPr>
      <w:r>
        <w:rPr>
          <w:rFonts w:ascii="Times New Roman" w:cs="Times New Roman" w:eastAsia="Times New Roman" w:hAnsi="Times New Roman"/>
          <w:sz w:val="18"/>
          <w:szCs w:val="18"/>
          <w:color w:val="auto"/>
        </w:rPr>
        <w:t>Barbados</w:t>
      </w:r>
    </w:p>
    <w:p>
      <w:pPr>
        <w:spacing w:after="0" w:line="9" w:lineRule="exact"/>
        <w:rPr>
          <w:sz w:val="20"/>
          <w:szCs w:val="20"/>
          <w:color w:val="auto"/>
        </w:rPr>
      </w:pPr>
    </w:p>
    <w:p>
      <w:pPr>
        <w:ind w:left="224"/>
        <w:spacing w:after="0"/>
        <w:rPr>
          <w:sz w:val="20"/>
          <w:szCs w:val="20"/>
          <w:color w:val="auto"/>
        </w:rPr>
      </w:pPr>
      <w:r>
        <w:rPr>
          <w:rFonts w:ascii="Times New Roman" w:cs="Times New Roman" w:eastAsia="Times New Roman" w:hAnsi="Times New Roman"/>
          <w:sz w:val="18"/>
          <w:szCs w:val="18"/>
          <w:color w:val="auto"/>
        </w:rPr>
        <w:t>Belarus</w:t>
      </w:r>
    </w:p>
    <w:p>
      <w:pPr>
        <w:spacing w:after="0" w:line="9" w:lineRule="exact"/>
        <w:rPr>
          <w:sz w:val="20"/>
          <w:szCs w:val="20"/>
          <w:color w:val="auto"/>
        </w:rPr>
      </w:pPr>
    </w:p>
    <w:p>
      <w:pPr>
        <w:ind w:left="224"/>
        <w:spacing w:after="0"/>
        <w:rPr>
          <w:sz w:val="20"/>
          <w:szCs w:val="20"/>
          <w:color w:val="auto"/>
        </w:rPr>
      </w:pPr>
      <w:r>
        <w:rPr>
          <w:rFonts w:ascii="Times New Roman" w:cs="Times New Roman" w:eastAsia="Times New Roman" w:hAnsi="Times New Roman"/>
          <w:sz w:val="18"/>
          <w:szCs w:val="18"/>
          <w:color w:val="auto"/>
        </w:rPr>
        <w:t>Belgium</w:t>
      </w:r>
    </w:p>
    <w:p>
      <w:pPr>
        <w:spacing w:after="0" w:line="9" w:lineRule="exact"/>
        <w:rPr>
          <w:sz w:val="20"/>
          <w:szCs w:val="20"/>
          <w:color w:val="auto"/>
        </w:rPr>
      </w:pPr>
    </w:p>
    <w:p>
      <w:pPr>
        <w:ind w:left="224"/>
        <w:spacing w:after="0"/>
        <w:rPr>
          <w:sz w:val="20"/>
          <w:szCs w:val="20"/>
          <w:color w:val="auto"/>
        </w:rPr>
      </w:pPr>
      <w:r>
        <w:rPr>
          <w:rFonts w:ascii="Times New Roman" w:cs="Times New Roman" w:eastAsia="Times New Roman" w:hAnsi="Times New Roman"/>
          <w:sz w:val="18"/>
          <w:szCs w:val="18"/>
          <w:color w:val="auto"/>
        </w:rPr>
        <w:t>Benin</w:t>
      </w:r>
    </w:p>
    <w:p>
      <w:pPr>
        <w:spacing w:after="0" w:line="9" w:lineRule="exact"/>
        <w:rPr>
          <w:sz w:val="20"/>
          <w:szCs w:val="20"/>
          <w:color w:val="auto"/>
        </w:rPr>
      </w:pPr>
    </w:p>
    <w:p>
      <w:pPr>
        <w:ind w:left="224"/>
        <w:spacing w:after="0"/>
        <w:rPr>
          <w:sz w:val="20"/>
          <w:szCs w:val="20"/>
          <w:color w:val="auto"/>
        </w:rPr>
      </w:pPr>
      <w:r>
        <w:rPr>
          <w:rFonts w:ascii="Times New Roman" w:cs="Times New Roman" w:eastAsia="Times New Roman" w:hAnsi="Times New Roman"/>
          <w:sz w:val="18"/>
          <w:szCs w:val="18"/>
          <w:color w:val="auto"/>
        </w:rPr>
        <w:t>Bolivia (Plurinational State of)</w:t>
      </w:r>
    </w:p>
    <w:p>
      <w:pPr>
        <w:spacing w:after="0" w:line="9" w:lineRule="exact"/>
        <w:rPr>
          <w:sz w:val="20"/>
          <w:szCs w:val="20"/>
          <w:color w:val="auto"/>
        </w:rPr>
      </w:pPr>
    </w:p>
    <w:p>
      <w:pPr>
        <w:ind w:left="224"/>
        <w:spacing w:after="0"/>
        <w:rPr>
          <w:sz w:val="20"/>
          <w:szCs w:val="20"/>
          <w:color w:val="auto"/>
        </w:rPr>
      </w:pPr>
      <w:r>
        <w:rPr>
          <w:rFonts w:ascii="Times New Roman" w:cs="Times New Roman" w:eastAsia="Times New Roman" w:hAnsi="Times New Roman"/>
          <w:sz w:val="18"/>
          <w:szCs w:val="18"/>
          <w:color w:val="auto"/>
        </w:rPr>
        <w:t>Bosnia and Herzegovina</w:t>
      </w:r>
    </w:p>
    <w:p>
      <w:pPr>
        <w:spacing w:after="0" w:line="9" w:lineRule="exact"/>
        <w:rPr>
          <w:sz w:val="20"/>
          <w:szCs w:val="20"/>
          <w:color w:val="auto"/>
        </w:rPr>
      </w:pPr>
    </w:p>
    <w:p>
      <w:pPr>
        <w:ind w:left="224"/>
        <w:spacing w:after="0"/>
        <w:rPr>
          <w:sz w:val="20"/>
          <w:szCs w:val="20"/>
          <w:color w:val="auto"/>
        </w:rPr>
      </w:pPr>
      <w:r>
        <w:rPr>
          <w:rFonts w:ascii="Times New Roman" w:cs="Times New Roman" w:eastAsia="Times New Roman" w:hAnsi="Times New Roman"/>
          <w:sz w:val="18"/>
          <w:szCs w:val="18"/>
          <w:color w:val="auto"/>
        </w:rPr>
        <w:t>Brazil</w:t>
      </w:r>
    </w:p>
    <w:p>
      <w:pPr>
        <w:spacing w:after="0" w:line="9" w:lineRule="exact"/>
        <w:rPr>
          <w:sz w:val="20"/>
          <w:szCs w:val="20"/>
          <w:color w:val="auto"/>
        </w:rPr>
      </w:pPr>
    </w:p>
    <w:p>
      <w:pPr>
        <w:ind w:left="224"/>
        <w:spacing w:after="0"/>
        <w:rPr>
          <w:sz w:val="20"/>
          <w:szCs w:val="20"/>
          <w:color w:val="auto"/>
        </w:rPr>
      </w:pPr>
      <w:r>
        <w:rPr>
          <w:rFonts w:ascii="Times New Roman" w:cs="Times New Roman" w:eastAsia="Times New Roman" w:hAnsi="Times New Roman"/>
          <w:sz w:val="18"/>
          <w:szCs w:val="18"/>
          <w:color w:val="auto"/>
        </w:rPr>
        <w:t>Brunei Darussalam</w:t>
      </w:r>
    </w:p>
    <w:p>
      <w:pPr>
        <w:spacing w:after="0" w:line="9" w:lineRule="exact"/>
        <w:rPr>
          <w:sz w:val="20"/>
          <w:szCs w:val="20"/>
          <w:color w:val="auto"/>
        </w:rPr>
      </w:pPr>
    </w:p>
    <w:p>
      <w:pPr>
        <w:ind w:left="224"/>
        <w:spacing w:after="0"/>
        <w:rPr>
          <w:sz w:val="20"/>
          <w:szCs w:val="20"/>
          <w:color w:val="auto"/>
        </w:rPr>
      </w:pPr>
      <w:r>
        <w:rPr>
          <w:rFonts w:ascii="Times New Roman" w:cs="Times New Roman" w:eastAsia="Times New Roman" w:hAnsi="Times New Roman"/>
          <w:sz w:val="18"/>
          <w:szCs w:val="18"/>
          <w:color w:val="auto"/>
        </w:rPr>
        <w:t>Bulgaria</w:t>
      </w:r>
    </w:p>
    <w:p>
      <w:pPr>
        <w:spacing w:after="0" w:line="9" w:lineRule="exact"/>
        <w:rPr>
          <w:sz w:val="20"/>
          <w:szCs w:val="20"/>
          <w:color w:val="auto"/>
        </w:rPr>
      </w:pPr>
    </w:p>
    <w:p>
      <w:pPr>
        <w:ind w:left="224"/>
        <w:spacing w:after="0"/>
        <w:rPr>
          <w:sz w:val="20"/>
          <w:szCs w:val="20"/>
          <w:color w:val="auto"/>
        </w:rPr>
      </w:pPr>
      <w:r>
        <w:rPr>
          <w:rFonts w:ascii="Times New Roman" w:cs="Times New Roman" w:eastAsia="Times New Roman" w:hAnsi="Times New Roman"/>
          <w:sz w:val="18"/>
          <w:szCs w:val="18"/>
          <w:color w:val="auto"/>
        </w:rPr>
        <w:t>Burkina Faso</w:t>
      </w:r>
    </w:p>
    <w:p>
      <w:pPr>
        <w:spacing w:after="0" w:line="9" w:lineRule="exact"/>
        <w:rPr>
          <w:sz w:val="20"/>
          <w:szCs w:val="20"/>
          <w:color w:val="auto"/>
        </w:rPr>
      </w:pPr>
    </w:p>
    <w:p>
      <w:pPr>
        <w:ind w:left="224"/>
        <w:spacing w:after="0"/>
        <w:rPr>
          <w:sz w:val="20"/>
          <w:szCs w:val="20"/>
          <w:color w:val="auto"/>
        </w:rPr>
      </w:pPr>
      <w:r>
        <w:rPr>
          <w:rFonts w:ascii="Times New Roman" w:cs="Times New Roman" w:eastAsia="Times New Roman" w:hAnsi="Times New Roman"/>
          <w:sz w:val="18"/>
          <w:szCs w:val="18"/>
          <w:color w:val="auto"/>
        </w:rPr>
        <w:t>Burundi</w:t>
      </w:r>
    </w:p>
    <w:p>
      <w:pPr>
        <w:spacing w:after="0" w:line="9" w:lineRule="exact"/>
        <w:rPr>
          <w:sz w:val="20"/>
          <w:szCs w:val="20"/>
          <w:color w:val="auto"/>
        </w:rPr>
      </w:pPr>
    </w:p>
    <w:p>
      <w:pPr>
        <w:ind w:left="224"/>
        <w:spacing w:after="0"/>
        <w:rPr>
          <w:sz w:val="20"/>
          <w:szCs w:val="20"/>
          <w:color w:val="auto"/>
        </w:rPr>
      </w:pPr>
      <w:r>
        <w:rPr>
          <w:rFonts w:ascii="Times New Roman" w:cs="Times New Roman" w:eastAsia="Times New Roman" w:hAnsi="Times New Roman"/>
          <w:sz w:val="18"/>
          <w:szCs w:val="18"/>
          <w:color w:val="auto"/>
        </w:rPr>
        <w:t>Cambodia</w:t>
      </w:r>
    </w:p>
    <w:p>
      <w:pPr>
        <w:spacing w:after="0" w:line="9" w:lineRule="exact"/>
        <w:rPr>
          <w:sz w:val="20"/>
          <w:szCs w:val="20"/>
          <w:color w:val="auto"/>
        </w:rPr>
      </w:pPr>
    </w:p>
    <w:p>
      <w:pPr>
        <w:ind w:left="224"/>
        <w:spacing w:after="0"/>
        <w:rPr>
          <w:sz w:val="20"/>
          <w:szCs w:val="20"/>
          <w:color w:val="auto"/>
        </w:rPr>
      </w:pPr>
      <w:r>
        <w:rPr>
          <w:rFonts w:ascii="Times New Roman" w:cs="Times New Roman" w:eastAsia="Times New Roman" w:hAnsi="Times New Roman"/>
          <w:sz w:val="18"/>
          <w:szCs w:val="18"/>
          <w:color w:val="auto"/>
        </w:rPr>
        <w:t>Cameroon</w:t>
      </w:r>
    </w:p>
    <w:p>
      <w:pPr>
        <w:spacing w:after="0" w:line="9" w:lineRule="exact"/>
        <w:rPr>
          <w:sz w:val="20"/>
          <w:szCs w:val="20"/>
          <w:color w:val="auto"/>
        </w:rPr>
      </w:pPr>
    </w:p>
    <w:p>
      <w:pPr>
        <w:ind w:left="224"/>
        <w:spacing w:after="0"/>
        <w:rPr>
          <w:sz w:val="20"/>
          <w:szCs w:val="20"/>
          <w:color w:val="auto"/>
        </w:rPr>
      </w:pPr>
      <w:r>
        <w:rPr>
          <w:rFonts w:ascii="Times New Roman" w:cs="Times New Roman" w:eastAsia="Times New Roman" w:hAnsi="Times New Roman"/>
          <w:sz w:val="18"/>
          <w:szCs w:val="18"/>
          <w:color w:val="auto"/>
        </w:rPr>
        <w:t>Canada</w:t>
      </w:r>
    </w:p>
    <w:p>
      <w:pPr>
        <w:spacing w:after="0" w:line="9" w:lineRule="exact"/>
        <w:rPr>
          <w:sz w:val="20"/>
          <w:szCs w:val="20"/>
          <w:color w:val="auto"/>
        </w:rPr>
      </w:pPr>
    </w:p>
    <w:p>
      <w:pPr>
        <w:ind w:left="224"/>
        <w:spacing w:after="0"/>
        <w:rPr>
          <w:sz w:val="20"/>
          <w:szCs w:val="20"/>
          <w:color w:val="auto"/>
        </w:rPr>
      </w:pPr>
      <w:r>
        <w:rPr>
          <w:rFonts w:ascii="Times New Roman" w:cs="Times New Roman" w:eastAsia="Times New Roman" w:hAnsi="Times New Roman"/>
          <w:sz w:val="18"/>
          <w:szCs w:val="18"/>
          <w:color w:val="auto"/>
        </w:rPr>
        <w:t>Cayman Islands</w:t>
      </w:r>
    </w:p>
    <w:p>
      <w:pPr>
        <w:spacing w:after="0" w:line="9" w:lineRule="exact"/>
        <w:rPr>
          <w:sz w:val="20"/>
          <w:szCs w:val="20"/>
          <w:color w:val="auto"/>
        </w:rPr>
      </w:pPr>
    </w:p>
    <w:p>
      <w:pPr>
        <w:ind w:left="224"/>
        <w:spacing w:after="0"/>
        <w:rPr>
          <w:sz w:val="20"/>
          <w:szCs w:val="20"/>
          <w:color w:val="auto"/>
        </w:rPr>
      </w:pPr>
      <w:r>
        <w:rPr>
          <w:rFonts w:ascii="Times New Roman" w:cs="Times New Roman" w:eastAsia="Times New Roman" w:hAnsi="Times New Roman"/>
          <w:sz w:val="18"/>
          <w:szCs w:val="18"/>
          <w:color w:val="auto"/>
        </w:rPr>
        <w:t>Chile</w:t>
      </w:r>
    </w:p>
    <w:p>
      <w:pPr>
        <w:spacing w:after="0" w:line="9" w:lineRule="exact"/>
        <w:rPr>
          <w:sz w:val="20"/>
          <w:szCs w:val="20"/>
          <w:color w:val="auto"/>
        </w:rPr>
      </w:pPr>
    </w:p>
    <w:p>
      <w:pPr>
        <w:ind w:left="224"/>
        <w:spacing w:after="0"/>
        <w:rPr>
          <w:sz w:val="20"/>
          <w:szCs w:val="20"/>
          <w:color w:val="auto"/>
        </w:rPr>
      </w:pPr>
      <w:r>
        <w:rPr>
          <w:rFonts w:ascii="Times New Roman" w:cs="Times New Roman" w:eastAsia="Times New Roman" w:hAnsi="Times New Roman"/>
          <w:sz w:val="18"/>
          <w:szCs w:val="18"/>
          <w:color w:val="auto"/>
        </w:rPr>
        <w:t>China</w:t>
      </w:r>
    </w:p>
    <w:p>
      <w:pPr>
        <w:spacing w:after="0" w:line="9" w:lineRule="exact"/>
        <w:rPr>
          <w:sz w:val="20"/>
          <w:szCs w:val="20"/>
          <w:color w:val="auto"/>
        </w:rPr>
      </w:pPr>
    </w:p>
    <w:p>
      <w:pPr>
        <w:ind w:left="224"/>
        <w:spacing w:after="0"/>
        <w:rPr>
          <w:sz w:val="20"/>
          <w:szCs w:val="20"/>
          <w:color w:val="auto"/>
        </w:rPr>
      </w:pPr>
      <w:r>
        <w:rPr>
          <w:rFonts w:ascii="Times New Roman" w:cs="Times New Roman" w:eastAsia="Times New Roman" w:hAnsi="Times New Roman"/>
          <w:sz w:val="18"/>
          <w:szCs w:val="18"/>
          <w:color w:val="auto"/>
        </w:rPr>
        <w:t>Colombia</w:t>
      </w:r>
    </w:p>
    <w:p>
      <w:pPr>
        <w:spacing w:after="0" w:line="9" w:lineRule="exact"/>
        <w:rPr>
          <w:sz w:val="20"/>
          <w:szCs w:val="20"/>
          <w:color w:val="auto"/>
        </w:rPr>
      </w:pPr>
    </w:p>
    <w:p>
      <w:pPr>
        <w:ind w:left="224"/>
        <w:spacing w:after="0"/>
        <w:rPr>
          <w:sz w:val="20"/>
          <w:szCs w:val="20"/>
          <w:color w:val="auto"/>
        </w:rPr>
      </w:pPr>
      <w:r>
        <w:rPr>
          <w:rFonts w:ascii="Times New Roman" w:cs="Times New Roman" w:eastAsia="Times New Roman" w:hAnsi="Times New Roman"/>
          <w:sz w:val="18"/>
          <w:szCs w:val="18"/>
          <w:color w:val="auto"/>
        </w:rPr>
        <w:t>Congo, Democratic Republic of the</w:t>
      </w:r>
    </w:p>
    <w:p>
      <w:pPr>
        <w:spacing w:after="0" w:line="139" w:lineRule="exact"/>
        <w:rPr>
          <w:sz w:val="20"/>
          <w:szCs w:val="20"/>
          <w:color w:val="auto"/>
        </w:rPr>
      </w:pPr>
    </w:p>
    <w:p>
      <w:pPr>
        <w:jc w:val="center"/>
        <w:ind w:right="-143"/>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864"/>
          </w:cols>
          <w:pgMar w:left="436" w:top="270" w:right="5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Costa Rica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Côte d’Ivoire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Croatia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Curacao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Cyprus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Czech Republic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Denmark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Dominica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Dominican Republic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Ecuador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Egypt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 Salvador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Estonia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Eswatini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Ethiopia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Fiji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Finland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French Guiana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Georgia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Germany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Ghana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Greece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Greenland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Grenada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Guatemala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Guernsey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Guinea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Guyana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Honduras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Hong Kong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Hungary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Iceland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Indonesia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Ireland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Israel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Italy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Jamaica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Japan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Jordan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Kazakhstan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Kenya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Korea, Republic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Kyrgyzstan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Lao People’s Democratic Republic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Latvia</w:t>
      </w:r>
    </w:p>
    <w:p>
      <w:pPr>
        <w:spacing w:after="0" w:line="139"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9799"/>
          </w:cols>
          <w:pgMar w:left="660" w:top="270" w:right="1440"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Lebanon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Liberia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Liechtenstein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Lithuania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Luxembourg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Macao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Madagascar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Malaysia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Mali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Malta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Mauritania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Mexico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Monaco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Mongolia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Morocco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Mozambique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Myanmar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Namibia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Netherlands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Zealand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Nicaragua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Niger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Nigeria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North Macedonia, Republic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Norway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Oman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Panama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Papua New Guinea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Peru</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Philippines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Poland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Portugal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Puerto Rico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Romania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Rwanda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Saint Kitts and Nevis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Saint Lucia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Saint Vincent and the Grenadines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Marino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Saudi Arabia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Senegal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Serbia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Sierra Leone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Singapore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Sint Maarten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Slovakia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Slovenia</w:t>
      </w:r>
    </w:p>
    <w:p>
      <w:pPr>
        <w:spacing w:after="0" w:line="139"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9799"/>
          </w:cols>
          <w:pgMar w:left="660" w:top="270" w:right="1440"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Solomon Islands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 Africa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Spain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Sri Lanka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Suriname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Sweden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Switzerland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Taiwan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Tajikistan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Tanzania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Thailand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Trinidad and Tobago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Tunisia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Turkey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Uganda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Ukraine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Arab Emirates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States of America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Uruguay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Uzbekistan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Venezuela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Vietnam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Zambia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Zimbabwe</w:t>
      </w:r>
    </w:p>
    <w:p>
      <w:pPr>
        <w:spacing w:after="0" w:line="139"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13</w:t>
      </w:r>
    </w:p>
    <w:sectPr>
      <w:pgSz w:w="11900" w:h="16838" w:orient="portrait"/>
      <w:cols w:equalWidth="0" w:num="1">
        <w:col w:w="9799"/>
      </w:cols>
      <w:pgMar w:left="660"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1"/>
      <w:numFmt w:val="bullet"/>
      <w:start w:val="1"/>
    </w:lvl>
  </w:abstractNum>
  <w:abstractNum w:abstractNumId="4">
    <w:nsid w:val="2EB141F2"/>
    <w:multiLevelType w:val="hybridMultilevel"/>
    <w:lvl w:ilvl="0">
      <w:lvlJc w:val="left"/>
      <w:lvlText w:val="(%1)"/>
      <w:numFmt w:val="decimal"/>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2026-05-22T06:21:04Z</dcterms:created>
  <dcterms:modified xsi:type="dcterms:W3CDTF">2026-05-22T06:21:04Z</dcterms:modified>
</cp:coreProperties>
</file>