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ind w:left="4960" w:right="3260" w:hanging="4739"/>
        <w:spacing w:after="0" w:line="378" w:lineRule="auto"/>
        <w:rPr>
          <w:sz w:val="20"/>
          <w:szCs w:val="20"/>
          <w:color w:val="auto"/>
        </w:rPr>
      </w:pPr>
      <w:r>
        <w:rPr>
          <w:rFonts w:ascii="Courier New" w:cs="Courier New" w:eastAsia="Courier New" w:hAnsi="Courier New"/>
          <w:sz w:val="16"/>
          <w:szCs w:val="16"/>
          <w:color w:val="auto"/>
        </w:rPr>
        <w:t>AS FILED WITH THE SECURITIES AND EXCHANGE COMMISSION ON MAY 30, 1996 REGISTRATION NO. 333-</w:t>
      </w:r>
    </w:p>
    <w:p>
      <w:pPr>
        <w:spacing w:after="0" w:line="5"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REGISTRATION STATEMENT</w:t>
      </w:r>
    </w:p>
    <w:p>
      <w:pPr>
        <w:spacing w:after="0" w:line="29"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UNDER</w:t>
      </w:r>
    </w:p>
    <w:p>
      <w:pPr>
        <w:jc w:val="center"/>
        <w:ind w:right="220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(Exact name of issuer as specified in its charter)</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42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312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62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169" w:lineRule="exact"/>
        <w:rPr>
          <w:sz w:val="24"/>
          <w:szCs w:val="24"/>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One Technology Way, Norwood, MA</w:t>
      </w:r>
      <w:r>
        <w:rPr>
          <w:sz w:val="20"/>
          <w:szCs w:val="20"/>
          <w:color w:val="auto"/>
        </w:rPr>
        <w:tab/>
      </w:r>
      <w:r>
        <w:rPr>
          <w:rFonts w:ascii="Courier New" w:cs="Courier New" w:eastAsia="Courier New" w:hAnsi="Courier New"/>
          <w:sz w:val="16"/>
          <w:szCs w:val="16"/>
          <w:color w:val="auto"/>
        </w:rPr>
        <w:t>02062-9106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AMENDED 1991 RESTRICTED STOCK PLAN</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Paul P. Brountas, Esq., c/o Hale and Dorr</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60 State Street, Boston, Massachusetts 02109</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agent for service)</w:t>
      </w:r>
    </w:p>
    <w:p>
      <w:pPr>
        <w:spacing w:after="0" w:line="169" w:lineRule="exact"/>
        <w:rPr>
          <w:rFonts w:ascii="Courier New" w:cs="Courier New" w:eastAsia="Courier New" w:hAnsi="Courier New"/>
          <w:sz w:val="18"/>
          <w:szCs w:val="18"/>
          <w:color w:val="auto"/>
        </w:rPr>
      </w:pP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526-6000</w:t>
      </w:r>
    </w:p>
    <w:p>
      <w:pPr>
        <w:spacing w:after="0" w:line="30"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including area code, of agent for service)</w:t>
      </w:r>
    </w:p>
    <w:p>
      <w:pPr>
        <w:spacing w:after="0" w:line="372"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580" w:type="dxa"/>
            <w:vAlign w:val="bottom"/>
            <w:vMerge w:val="restart"/>
          </w:tcPr>
          <w:p>
            <w:pPr>
              <w:jc w:val="center"/>
              <w:ind w:right="412"/>
              <w:spacing w:after="0"/>
              <w:rPr>
                <w:sz w:val="20"/>
                <w:szCs w:val="20"/>
                <w:color w:val="auto"/>
              </w:rPr>
            </w:pPr>
            <w:r>
              <w:rPr>
                <w:rFonts w:ascii="Courier New" w:cs="Courier New" w:eastAsia="Courier New" w:hAnsi="Courier New"/>
                <w:sz w:val="18"/>
                <w:szCs w:val="18"/>
                <w:color w:val="auto"/>
                <w:w w:val="97"/>
              </w:rPr>
              <w:t>Title of</w:t>
            </w:r>
          </w:p>
        </w:tc>
        <w:tc>
          <w:tcPr>
            <w:tcW w:w="2160" w:type="dxa"/>
            <w:vAlign w:val="bottom"/>
          </w:tcPr>
          <w:p>
            <w:pPr>
              <w:spacing w:after="0"/>
              <w:rPr>
                <w:sz w:val="17"/>
                <w:szCs w:val="17"/>
                <w:color w:val="auto"/>
              </w:rPr>
            </w:pPr>
          </w:p>
        </w:tc>
        <w:tc>
          <w:tcPr>
            <w:tcW w:w="27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Proposed</w:t>
            </w:r>
          </w:p>
        </w:tc>
        <w:tc>
          <w:tcPr>
            <w:tcW w:w="1940" w:type="dxa"/>
            <w:vAlign w:val="bottom"/>
          </w:tcPr>
          <w:p>
            <w:pPr>
              <w:ind w:left="620"/>
              <w:spacing w:after="0"/>
              <w:rPr>
                <w:sz w:val="20"/>
                <w:szCs w:val="20"/>
                <w:color w:val="auto"/>
              </w:rPr>
            </w:pPr>
            <w:r>
              <w:rPr>
                <w:rFonts w:ascii="Courier New" w:cs="Courier New" w:eastAsia="Courier New" w:hAnsi="Courier New"/>
                <w:sz w:val="18"/>
                <w:szCs w:val="18"/>
                <w:color w:val="auto"/>
              </w:rPr>
              <w:t>Proposed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216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Amount to</w:t>
            </w:r>
          </w:p>
        </w:tc>
        <w:tc>
          <w:tcPr>
            <w:tcW w:w="2700" w:type="dxa"/>
            <w:vAlign w:val="bottom"/>
            <w:vMerge w:val="continue"/>
          </w:tcPr>
          <w:p>
            <w:pPr>
              <w:spacing w:after="0"/>
              <w:rPr>
                <w:sz w:val="17"/>
                <w:szCs w:val="17"/>
                <w:color w:val="auto"/>
              </w:rPr>
            </w:pPr>
          </w:p>
        </w:tc>
        <w:tc>
          <w:tcPr>
            <w:tcW w:w="1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Maximum</w:t>
            </w:r>
          </w:p>
        </w:tc>
        <w:tc>
          <w:tcPr>
            <w:tcW w:w="1640" w:type="dxa"/>
            <w:vAlign w:val="bottom"/>
            <w:vMerge w:val="restart"/>
          </w:tcPr>
          <w:p>
            <w:pPr>
              <w:jc w:val="center"/>
              <w:ind w:left="392"/>
              <w:spacing w:after="0"/>
              <w:rPr>
                <w:sz w:val="20"/>
                <w:szCs w:val="20"/>
                <w:color w:val="auto"/>
              </w:rPr>
            </w:pPr>
            <w:r>
              <w:rPr>
                <w:rFonts w:ascii="Courier New" w:cs="Courier New" w:eastAsia="Courier New" w:hAnsi="Courier New"/>
                <w:sz w:val="18"/>
                <w:szCs w:val="18"/>
                <w:color w:val="auto"/>
                <w:w w:val="98"/>
              </w:rPr>
              <w:t>Amount of</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160" w:type="dxa"/>
            <w:vAlign w:val="bottom"/>
            <w:vMerge w:val="continue"/>
          </w:tcPr>
          <w:p>
            <w:pPr>
              <w:spacing w:after="0"/>
              <w:rPr>
                <w:sz w:val="17"/>
                <w:szCs w:val="17"/>
                <w:color w:val="auto"/>
              </w:rPr>
            </w:pPr>
          </w:p>
        </w:tc>
        <w:tc>
          <w:tcPr>
            <w:tcW w:w="27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Maximum</w:t>
            </w:r>
          </w:p>
        </w:tc>
        <w:tc>
          <w:tcPr>
            <w:tcW w:w="1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Aggregate</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21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be</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Offering Price</w:t>
            </w:r>
          </w:p>
        </w:tc>
        <w:tc>
          <w:tcPr>
            <w:tcW w:w="1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Offering</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0" w:type="dxa"/>
            <w:vAlign w:val="bottom"/>
          </w:tcPr>
          <w:p>
            <w:pPr>
              <w:spacing w:after="0"/>
              <w:rPr>
                <w:sz w:val="1"/>
                <w:szCs w:val="1"/>
                <w:color w:val="auto"/>
              </w:rPr>
            </w:pPr>
          </w:p>
        </w:tc>
      </w:tr>
      <w:tr>
        <w:trPr>
          <w:trHeight w:val="235"/>
        </w:trPr>
        <w:tc>
          <w:tcPr>
            <w:tcW w:w="15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Registered</w:t>
            </w:r>
          </w:p>
        </w:tc>
        <w:tc>
          <w:tcPr>
            <w:tcW w:w="2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Registered</w:t>
            </w:r>
          </w:p>
        </w:tc>
        <w:tc>
          <w:tcPr>
            <w:tcW w:w="2700" w:type="dxa"/>
            <w:vAlign w:val="bottom"/>
          </w:tcPr>
          <w:p>
            <w:pPr>
              <w:ind w:left="580"/>
              <w:spacing w:after="0"/>
              <w:rPr>
                <w:sz w:val="20"/>
                <w:szCs w:val="20"/>
                <w:color w:val="auto"/>
              </w:rPr>
            </w:pPr>
            <w:r>
              <w:rPr>
                <w:rFonts w:ascii="Courier New" w:cs="Courier New" w:eastAsia="Courier New" w:hAnsi="Courier New"/>
                <w:sz w:val="18"/>
                <w:szCs w:val="18"/>
                <w:color w:val="auto"/>
              </w:rPr>
              <w:t>Per Share (1)</w:t>
            </w:r>
          </w:p>
        </w:tc>
        <w:tc>
          <w:tcPr>
            <w:tcW w:w="1940" w:type="dxa"/>
            <w:vAlign w:val="bottom"/>
          </w:tcPr>
          <w:p>
            <w:pPr>
              <w:ind w:left="620"/>
              <w:spacing w:after="0"/>
              <w:rPr>
                <w:sz w:val="20"/>
                <w:szCs w:val="20"/>
                <w:color w:val="auto"/>
              </w:rPr>
            </w:pPr>
            <w:r>
              <w:rPr>
                <w:rFonts w:ascii="Courier New" w:cs="Courier New" w:eastAsia="Courier New" w:hAnsi="Courier New"/>
                <w:sz w:val="18"/>
                <w:szCs w:val="18"/>
                <w:color w:val="auto"/>
              </w:rPr>
              <w:t>Price (1)</w:t>
            </w:r>
          </w:p>
        </w:tc>
        <w:tc>
          <w:tcPr>
            <w:tcW w:w="164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Fee (1)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450,000</w:t>
            </w:r>
          </w:p>
        </w:tc>
        <w:tc>
          <w:tcPr>
            <w:tcW w:w="22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$28.25</w:t>
            </w:r>
          </w:p>
        </w:tc>
        <w:tc>
          <w:tcPr>
            <w:tcW w:w="2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$12,712,500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$4,383.62</w:t>
            </w:r>
          </w:p>
        </w:tc>
      </w:tr>
      <w:tr>
        <w:trPr>
          <w:trHeight w:val="235"/>
        </w:trPr>
        <w:tc>
          <w:tcPr>
            <w:tcW w:w="2320" w:type="dxa"/>
            <w:vAlign w:val="bottom"/>
          </w:tcPr>
          <w:p>
            <w:pPr>
              <w:spacing w:after="0"/>
              <w:rPr>
                <w:sz w:val="20"/>
                <w:szCs w:val="20"/>
                <w:color w:val="auto"/>
              </w:rPr>
            </w:pPr>
            <w:r>
              <w:rPr>
                <w:rFonts w:ascii="Courier New" w:cs="Courier New" w:eastAsia="Courier New" w:hAnsi="Courier New"/>
                <w:sz w:val="18"/>
                <w:szCs w:val="18"/>
                <w:color w:val="auto"/>
              </w:rPr>
              <w:t>$.16 2/3 par value</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2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420" w:firstLine="535"/>
        <w:spacing w:after="0" w:line="274" w:lineRule="auto"/>
        <w:tabs>
          <w:tab w:leader="none" w:pos="94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in accordance with sections (c) and (h) of Rule 457 of the Securities Act of 1933, as amended, and based on the average of the high and low sale prices of the Common Stock on the New York Stock Exchange on May 24, 1996.</w:t>
      </w:r>
    </w:p>
    <w:p>
      <w:pPr>
        <w:spacing w:after="0" w:line="284"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Page 1 of 8</w:t>
      </w:r>
    </w:p>
    <w:p>
      <w:pPr>
        <w:spacing w:after="0" w:line="31" w:lineRule="exact"/>
        <w:rPr>
          <w:sz w:val="24"/>
          <w:szCs w:val="24"/>
          <w:color w:val="auto"/>
        </w:rPr>
      </w:pPr>
    </w:p>
    <w:p>
      <w:pPr>
        <w:jc w:val="center"/>
        <w:ind w:right="2100"/>
        <w:spacing w:after="0"/>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640"/>
          </w:cols>
          <w:pgMar w:left="240" w:top="218" w:right="1019"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Incorporation by Reference</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This Registration Statement on Form S-8 incorporates by reference the contents of a Registration Statement on Form S-8, File No. 33-39851, relating to the Registrant's 1991 Restricted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2 of 8</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29th day of May, 1996.</w:t>
      </w:r>
    </w:p>
    <w:p>
      <w:pPr>
        <w:spacing w:after="0" w:line="29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Ray Stata</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Ray Stata</w:t>
      </w:r>
    </w:p>
    <w:p>
      <w:pPr>
        <w:ind w:left="4120"/>
        <w:spacing w:after="0"/>
        <w:rPr>
          <w:sz w:val="20"/>
          <w:szCs w:val="20"/>
          <w:color w:val="auto"/>
        </w:rPr>
      </w:pPr>
      <w:r>
        <w:rPr>
          <w:rFonts w:ascii="Courier New" w:cs="Courier New" w:eastAsia="Courier New" w:hAnsi="Courier New"/>
          <w:sz w:val="18"/>
          <w:szCs w:val="18"/>
          <w:color w:val="auto"/>
        </w:rPr>
        <w:t>Chairman of the Board</w:t>
      </w:r>
    </w:p>
    <w:p>
      <w:pPr>
        <w:ind w:left="412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1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Witness our hands and common seal on the date set forth below.</w:t>
      </w:r>
    </w:p>
    <w:p>
      <w:pPr>
        <w:spacing w:after="0" w:line="200" w:lineRule="exact"/>
        <w:rPr>
          <w:sz w:val="20"/>
          <w:szCs w:val="20"/>
          <w:color w:val="auto"/>
        </w:rPr>
      </w:pPr>
    </w:p>
    <w:p>
      <w:pPr>
        <w:spacing w:after="0" w:line="204" w:lineRule="exact"/>
        <w:rPr>
          <w:sz w:val="20"/>
          <w:szCs w:val="20"/>
          <w:color w:val="auto"/>
        </w:rPr>
      </w:pPr>
    </w:p>
    <w:p>
      <w:pPr>
        <w:jc w:val="both"/>
        <w:ind w:right="283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285" w:right="1440" w:bottom="1440" w:gutter="0" w:footer="0" w:header="0"/>
        </w:sectPr>
      </w:pPr>
    </w:p>
    <w:p>
      <w:pPr>
        <w:spacing w:after="0" w:line="2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Signature</w:t>
      </w:r>
    </w:p>
    <w:p>
      <w:pPr>
        <w:spacing w:after="0" w:line="5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2440" w:space="720"/>
            <w:col w:w="3159"/>
          </w:cols>
          <w:pgMar w:left="240" w:top="285" w:right="1440" w:bottom="1440" w:gutter="0" w:footer="0" w:header="0"/>
          <w:type w:val="continuous"/>
        </w:sectPr>
      </w:pPr>
    </w:p>
    <w:p>
      <w:pPr>
        <w:spacing w:after="0" w:line="194" w:lineRule="exact"/>
        <w:rPr>
          <w:sz w:val="20"/>
          <w:szCs w:val="20"/>
          <w:color w:val="auto"/>
        </w:rPr>
      </w:pPr>
    </w:p>
    <w:p>
      <w:pPr>
        <w:ind w:left="540" w:right="7679" w:hanging="427"/>
        <w:spacing w:after="0" w:line="34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Executive Officers</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Chairman of the Board</w:t>
            </w:r>
          </w:p>
        </w:tc>
        <w:tc>
          <w:tcPr>
            <w:tcW w:w="174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vMerge w:val="restart"/>
          </w:tcPr>
          <w:p>
            <w:pPr>
              <w:spacing w:after="0"/>
              <w:rPr>
                <w:sz w:val="20"/>
                <w:szCs w:val="20"/>
                <w:color w:val="auto"/>
              </w:rPr>
            </w:pPr>
            <w:r>
              <w:rPr>
                <w:rFonts w:ascii="Courier New" w:cs="Courier New" w:eastAsia="Courier New" w:hAnsi="Courier New"/>
                <w:sz w:val="18"/>
                <w:szCs w:val="18"/>
                <w:color w:val="auto"/>
                <w:w w:val="80"/>
              </w:rPr>
              <w:t>----------------------------</w:t>
            </w:r>
            <w:r>
              <w:rPr>
                <w:rFonts w:ascii="Courier New" w:cs="Courier New" w:eastAsia="Courier New" w:hAnsi="Courier New"/>
                <w:sz w:val="35"/>
                <w:szCs w:val="35"/>
                <w:color w:val="auto"/>
                <w:w w:val="80"/>
                <w:vertAlign w:val="subscript"/>
              </w:rPr>
              <w:t>RayStata</w:t>
            </w:r>
          </w:p>
        </w:tc>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Director</w:t>
            </w: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  May 29, 1996</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vMerge w:val="restart"/>
          </w:tcPr>
          <w:p>
            <w:pPr>
              <w:spacing w:after="0"/>
              <w:rPr>
                <w:sz w:val="20"/>
                <w:szCs w:val="20"/>
                <w:color w:val="auto"/>
              </w:rPr>
            </w:pPr>
            <w:r>
              <w:rPr>
                <w:rFonts w:ascii="Courier New" w:cs="Courier New" w:eastAsia="Courier New" w:hAnsi="Courier New"/>
                <w:sz w:val="18"/>
                <w:szCs w:val="18"/>
                <w:color w:val="auto"/>
              </w:rPr>
              <w:t>/s/ Jerald G. Fishman</w:t>
            </w:r>
          </w:p>
        </w:tc>
        <w:tc>
          <w:tcPr>
            <w:tcW w:w="3120" w:type="dxa"/>
            <w:vAlign w:val="bottom"/>
          </w:tcPr>
          <w:p>
            <w:pPr>
              <w:spacing w:after="0"/>
              <w:rPr>
                <w:sz w:val="17"/>
                <w:szCs w:val="17"/>
                <w:color w:val="auto"/>
              </w:rPr>
            </w:pP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4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Chief Operating )</w:t>
            </w:r>
          </w:p>
        </w:tc>
        <w:tc>
          <w:tcPr>
            <w:tcW w:w="0" w:type="dxa"/>
            <w:vAlign w:val="bottom"/>
          </w:tcPr>
          <w:p>
            <w:pPr>
              <w:spacing w:after="0"/>
              <w:rPr>
                <w:sz w:val="1"/>
                <w:szCs w:val="1"/>
                <w:color w:val="auto"/>
              </w:rPr>
            </w:pPr>
          </w:p>
        </w:tc>
      </w:tr>
      <w:tr>
        <w:trPr>
          <w:trHeight w:val="203"/>
        </w:trPr>
        <w:tc>
          <w:tcPr>
            <w:tcW w:w="3360" w:type="dxa"/>
            <w:vAlign w:val="bottom"/>
            <w:vMerge w:val="restart"/>
          </w:tcPr>
          <w:p>
            <w:pPr>
              <w:spacing w:after="0"/>
              <w:rPr>
                <w:sz w:val="20"/>
                <w:szCs w:val="20"/>
                <w:color w:val="auto"/>
              </w:rPr>
            </w:pPr>
            <w:r>
              <w:rPr>
                <w:rFonts w:ascii="Courier New" w:cs="Courier New" w:eastAsia="Courier New" w:hAnsi="Courier New"/>
                <w:sz w:val="16"/>
                <w:szCs w:val="16"/>
                <w:color w:val="auto"/>
                <w:w w:val="72"/>
              </w:rPr>
              <w:t>----------------------------</w:t>
            </w:r>
            <w:r>
              <w:rPr>
                <w:rFonts w:ascii="Courier New" w:cs="Courier New" w:eastAsia="Courier New" w:hAnsi="Courier New"/>
                <w:sz w:val="32"/>
                <w:szCs w:val="32"/>
                <w:color w:val="auto"/>
                <w:w w:val="72"/>
                <w:vertAlign w:val="subscript"/>
              </w:rPr>
              <w:t>JeraldG.Fishman</w:t>
            </w:r>
          </w:p>
        </w:tc>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3120" w:type="dxa"/>
            <w:vAlign w:val="bottom"/>
          </w:tcPr>
          <w:p>
            <w:pPr>
              <w:spacing w:after="0"/>
              <w:rPr>
                <w:sz w:val="17"/>
                <w:szCs w:val="17"/>
                <w:color w:val="auto"/>
              </w:rPr>
            </w:pP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4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28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35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580" w:type="dxa"/>
            <w:vAlign w:val="bottom"/>
          </w:tcPr>
          <w:p>
            <w:pPr>
              <w:ind w:left="120"/>
              <w:spacing w:after="0"/>
              <w:rPr>
                <w:sz w:val="20"/>
                <w:szCs w:val="20"/>
                <w:color w:val="auto"/>
              </w:rPr>
            </w:pPr>
            <w:r>
              <w:rPr>
                <w:rFonts w:ascii="Courier New" w:cs="Courier New" w:eastAsia="Courier New" w:hAnsi="Courier New"/>
                <w:sz w:val="18"/>
                <w:szCs w:val="18"/>
                <w:color w:val="auto"/>
              </w:rPr>
              <w:t>(ii) Principal Financial</w:t>
            </w:r>
          </w:p>
        </w:tc>
        <w:tc>
          <w:tcPr>
            <w:tcW w:w="306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 and Principal</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Joseph E. McDonough</w:t>
            </w:r>
          </w:p>
        </w:tc>
        <w:tc>
          <w:tcPr>
            <w:tcW w:w="3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Vice President-Finance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5"/>
              </w:rPr>
              <w:t>May 29, 1996</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(iii) Board of Directors</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John L. Doyle</w:t>
            </w:r>
          </w:p>
        </w:tc>
        <w:tc>
          <w:tcPr>
            <w:tcW w:w="306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L. Doyle</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Samuel H. Fuller</w:t>
            </w:r>
          </w:p>
        </w:tc>
        <w:tc>
          <w:tcPr>
            <w:tcW w:w="306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May 29, 1996</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Samuel H. Fuller</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Philip L. Lowe</w:t>
            </w:r>
          </w:p>
        </w:tc>
        <w:tc>
          <w:tcPr>
            <w:tcW w:w="306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Philip L. Lowe</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Gordon C. McKeague</w:t>
            </w:r>
          </w:p>
        </w:tc>
        <w:tc>
          <w:tcPr>
            <w:tcW w:w="306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Joel Moses</w:t>
            </w:r>
          </w:p>
        </w:tc>
        <w:tc>
          <w:tcPr>
            <w:tcW w:w="306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Joel Moses</w:t>
            </w: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 Lester C. Thurow</w:t>
            </w:r>
          </w:p>
        </w:tc>
        <w:tc>
          <w:tcPr>
            <w:tcW w:w="306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Lester C. Thurow</w:t>
            </w: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28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14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6</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480" w:type="dxa"/>
            <w:vAlign w:val="bottom"/>
          </w:tcPr>
          <w:p>
            <w:pPr>
              <w:spacing w:after="0"/>
              <w:rPr>
                <w:sz w:val="24"/>
                <w:szCs w:val="24"/>
                <w:color w:val="auto"/>
              </w:rPr>
            </w:pPr>
          </w:p>
        </w:tc>
        <w:tc>
          <w:tcPr>
            <w:tcW w:w="6960" w:type="dxa"/>
            <w:vAlign w:val="bottom"/>
          </w:tcPr>
          <w:p>
            <w:pPr>
              <w:ind w:left="210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960" w:type="dxa"/>
            <w:vAlign w:val="bottom"/>
            <w:vMerge w:val="restart"/>
          </w:tcPr>
          <w:p>
            <w:pPr>
              <w:ind w:left="222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960" w:type="dxa"/>
            <w:vAlign w:val="bottom"/>
          </w:tcPr>
          <w:p>
            <w:pPr>
              <w:ind w:left="2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4.01</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Restated Articles of Organization of the Registrant, as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amended (incorporated herein by reference to the Registrant's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Form S-8, dated as of the date hereof, whereby the Registrant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registered 6,900,000 shares of its Common Stock for issuance</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under its Amended 1988 Stock Option Plan).</w:t>
            </w:r>
          </w:p>
        </w:tc>
        <w:tc>
          <w:tcPr>
            <w:tcW w:w="0" w:type="dxa"/>
            <w:vAlign w:val="bottom"/>
          </w:tcPr>
          <w:p>
            <w:pPr>
              <w:spacing w:after="0"/>
              <w:rPr>
                <w:sz w:val="1"/>
                <w:szCs w:val="1"/>
                <w:color w:val="auto"/>
              </w:rPr>
            </w:pPr>
          </w:p>
        </w:tc>
      </w:tr>
      <w:tr>
        <w:trPr>
          <w:trHeight w:val="311"/>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4.02</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By-Laws of the Registrant, as amended (incorporated herein</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reference to the Registrant's Form 10-K for the fiscal</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year ended October 31, 1992).</w:t>
            </w:r>
          </w:p>
        </w:tc>
        <w:tc>
          <w:tcPr>
            <w:tcW w:w="0" w:type="dxa"/>
            <w:vAlign w:val="bottom"/>
          </w:tcPr>
          <w:p>
            <w:pPr>
              <w:spacing w:after="0"/>
              <w:rPr>
                <w:sz w:val="1"/>
                <w:szCs w:val="1"/>
                <w:color w:val="auto"/>
              </w:rPr>
            </w:pPr>
          </w:p>
        </w:tc>
      </w:tr>
      <w:tr>
        <w:trPr>
          <w:trHeight w:val="311"/>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4.03</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w w:val="99"/>
              </w:rPr>
              <w:t>Rights Agreement, as amended, between the Registrant and The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First National Bank of Boston, as Rights Agent (incorporated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herein by reference to a Form 8 filed on June 27, 1989</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amending the Registration Statement on Form 8-A relating to</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Common Stock Purchase Rights).</w:t>
            </w:r>
          </w:p>
        </w:tc>
        <w:tc>
          <w:tcPr>
            <w:tcW w:w="0" w:type="dxa"/>
            <w:vAlign w:val="bottom"/>
          </w:tcPr>
          <w:p>
            <w:pPr>
              <w:spacing w:after="0"/>
              <w:rPr>
                <w:sz w:val="1"/>
                <w:szCs w:val="1"/>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5.01</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Opinion of Hale and Dorr.</w:t>
            </w:r>
          </w:p>
        </w:tc>
        <w:tc>
          <w:tcPr>
            <w:tcW w:w="0" w:type="dxa"/>
            <w:vAlign w:val="bottom"/>
          </w:tcPr>
          <w:p>
            <w:pPr>
              <w:spacing w:after="0"/>
              <w:rPr>
                <w:sz w:val="1"/>
                <w:szCs w:val="1"/>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23.01</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Consent of Hale and Dorr (included in Exhibit 5.01).</w:t>
            </w:r>
          </w:p>
        </w:tc>
        <w:tc>
          <w:tcPr>
            <w:tcW w:w="0" w:type="dxa"/>
            <w:vAlign w:val="bottom"/>
          </w:tcPr>
          <w:p>
            <w:pPr>
              <w:spacing w:after="0"/>
              <w:rPr>
                <w:sz w:val="1"/>
                <w:szCs w:val="1"/>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23.02</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Consent of Ernst &amp; Young LLP.</w:t>
            </w:r>
          </w:p>
        </w:tc>
        <w:tc>
          <w:tcPr>
            <w:tcW w:w="0" w:type="dxa"/>
            <w:vAlign w:val="bottom"/>
          </w:tcPr>
          <w:p>
            <w:pPr>
              <w:spacing w:after="0"/>
              <w:rPr>
                <w:sz w:val="1"/>
                <w:szCs w:val="1"/>
                <w:color w:val="auto"/>
              </w:rPr>
            </w:pPr>
          </w:p>
        </w:tc>
      </w:tr>
      <w:tr>
        <w:trPr>
          <w:trHeight w:val="405"/>
        </w:trPr>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24.01</w:t>
            </w:r>
          </w:p>
        </w:tc>
        <w:tc>
          <w:tcPr>
            <w:tcW w:w="6960" w:type="dxa"/>
            <w:vAlign w:val="bottom"/>
          </w:tcPr>
          <w:p>
            <w:pPr>
              <w:ind w:left="520"/>
              <w:spacing w:after="0"/>
              <w:rPr>
                <w:sz w:val="20"/>
                <w:szCs w:val="20"/>
                <w:color w:val="auto"/>
              </w:rPr>
            </w:pPr>
            <w:r>
              <w:rPr>
                <w:rFonts w:ascii="Courier New" w:cs="Courier New" w:eastAsia="Courier New" w:hAnsi="Courier New"/>
                <w:sz w:val="18"/>
                <w:szCs w:val="18"/>
                <w:color w:val="auto"/>
              </w:rPr>
              <w:t>Powers of Attorney (included on pages 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5.01</w:t>
      </w:r>
    </w:p>
    <w:p>
      <w:pPr>
        <w:ind w:left="71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HALE AND DORR</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Counsellors at Law</w:t>
      </w:r>
    </w:p>
    <w:p>
      <w:pPr>
        <w:ind w:left="1900"/>
        <w:spacing w:after="0" w:line="238" w:lineRule="auto"/>
        <w:rPr>
          <w:sz w:val="20"/>
          <w:szCs w:val="20"/>
          <w:color w:val="auto"/>
        </w:rPr>
      </w:pPr>
      <w:r>
        <w:rPr>
          <w:rFonts w:ascii="Courier New" w:cs="Courier New" w:eastAsia="Courier New" w:hAnsi="Courier New"/>
          <w:sz w:val="18"/>
          <w:szCs w:val="18"/>
          <w:color w:val="auto"/>
        </w:rPr>
        <w:t>60 State Street, Boston, Massachusetts 02109</w:t>
      </w:r>
    </w:p>
    <w:p>
      <w:pPr>
        <w:ind w:left="2740"/>
        <w:spacing w:after="0"/>
        <w:rPr>
          <w:sz w:val="20"/>
          <w:szCs w:val="20"/>
          <w:color w:val="auto"/>
        </w:rPr>
      </w:pPr>
      <w:r>
        <w:rPr>
          <w:rFonts w:ascii="Courier New" w:cs="Courier New" w:eastAsia="Courier New" w:hAnsi="Courier New"/>
          <w:sz w:val="18"/>
          <w:szCs w:val="18"/>
          <w:color w:val="auto"/>
        </w:rPr>
        <w:t>617-526-6000 - FAX 617-526-5000</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30,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02062-9106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have assisted in the preparation of a Registration Statement on Form S-8 (the "Registration Statement") to be filed with the Securities and Exchange Commission relating to 450,000 shares of Common Stock, $.16 2/3 par value per share (the "Shares"), of Analog Devices, Inc., a Massachusetts corporation (the "Company"), issuable under the Company's Amended 1991 Restricted Stock Plan (as amended, the "Plan").</w:t>
      </w:r>
    </w:p>
    <w:p>
      <w:pPr>
        <w:spacing w:after="0" w:line="93"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all amendments thereto, the Registration Statement and originals, or copies certified to our satisfaction of such records of meetings of the directors and stockholders of the Company, and such other documents and instruments as in our judgment are necessary or appropriate to enable us to render the opinions expressed below.</w:t>
      </w:r>
    </w:p>
    <w:p>
      <w:pPr>
        <w:spacing w:after="0" w:line="9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certified or photostatic copies, and the authenticity of the originals of such latter documents.</w:t>
      </w:r>
    </w:p>
    <w:p>
      <w:pPr>
        <w:spacing w:after="0" w:line="90"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Based upon and subject to the foregoing, we are of the opinion that the Shares covered by the Registration Statement to be issued under the Plan have been duly and validly authorized for issuance, and when issued and paid for in accordance with the terms of the Plan, will be legally issued, fully paid and nonassessable.</w:t>
      </w:r>
    </w:p>
    <w:p>
      <w:pPr>
        <w:spacing w:after="0" w:line="90"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as an exhibit to the Registration Statement.</w:t>
      </w: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HALE AND DORR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110"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23.02</w:t>
      </w:r>
    </w:p>
    <w:p>
      <w:pPr>
        <w:ind w:left="6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Amended 1991 Restricted Stock Plan of Analog Devices, Inc. of our report dated November 28, 1995, except for the fifth paragraph of Note 4 as to which the date is December 18, 1995, with respect to the consolidated financial statements and schedule of Analog Devices, Inc. included in its Annual Report (Form 10-K) for the year ended October 28, 1995.</w:t>
      </w:r>
    </w:p>
    <w:p>
      <w:pPr>
        <w:spacing w:after="0" w:line="29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28, 1996</w:t>
      </w:r>
    </w:p>
    <w:p>
      <w:pPr>
        <w:spacing w:after="0" w:line="200" w:lineRule="exact"/>
        <w:rPr>
          <w:sz w:val="20"/>
          <w:szCs w:val="20"/>
          <w:color w:val="auto"/>
        </w:rPr>
      </w:pPr>
    </w:p>
    <w:p>
      <w:pPr>
        <w:spacing w:after="0" w:line="37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617"/>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2019-12-20T05:12:11Z</dcterms:created>
  <dcterms:modified xsi:type="dcterms:W3CDTF">2019-12-20T05:12:11Z</dcterms:modified>
</cp:coreProperties>
</file>