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50800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91440</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3" w:lineRule="exact"/>
        <w:rPr>
          <w:sz w:val="24"/>
          <w:szCs w:val="24"/>
          <w:color w:val="auto"/>
        </w:rPr>
      </w:pPr>
    </w:p>
    <w:p>
      <w:pPr>
        <w:ind w:left="680" w:right="40" w:hanging="654"/>
        <w:spacing w:after="0" w:line="231"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May 1, 2021</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1" w:lineRule="auto"/>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800" w:type="dxa"/>
        <w:tblCellMar>
          <w:top w:w="0" w:type="dxa"/>
          <w:left w:w="0" w:type="dxa"/>
          <w:bottom w:w="0" w:type="dxa"/>
          <w:right w:w="0" w:type="dxa"/>
        </w:tblCellMar>
      </w:tblPr>
      <w:tr>
        <w:trPr>
          <w:trHeight w:val="180"/>
        </w:trPr>
        <w:tc>
          <w:tcPr>
            <w:tcW w:w="292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to</w:t>
            </w:r>
          </w:p>
        </w:tc>
      </w:tr>
      <w:tr>
        <w:trPr>
          <w:trHeight w:val="20"/>
        </w:trPr>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b w:val="1"/>
                <w:bCs w:val="1"/>
                <w:color w:val="auto"/>
                <w:w w:val="89"/>
              </w:rPr>
              <w:t>Commission File No. 1-7819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81"/>
        </w:trPr>
        <w:tc>
          <w:tcPr>
            <w:tcW w:w="480" w:type="dxa"/>
            <w:vAlign w:val="bottom"/>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r>
    </w:tbl>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4" w:lineRule="exact"/>
        <w:rPr>
          <w:sz w:val="24"/>
          <w:szCs w:val="24"/>
          <w:color w:val="auto"/>
        </w:rPr>
      </w:pPr>
    </w:p>
    <w:tbl>
      <w:tblPr>
        <w:tblLayout w:type="fixed"/>
        <w:tblInd w:w="1080" w:type="dxa"/>
        <w:tblCellMar>
          <w:top w:w="0" w:type="dxa"/>
          <w:left w:w="0" w:type="dxa"/>
          <w:bottom w:w="0" w:type="dxa"/>
          <w:right w:w="0" w:type="dxa"/>
        </w:tblCellMar>
      </w:tblPr>
      <w:tr>
        <w:trPr>
          <w:trHeight w:val="229"/>
        </w:trPr>
        <w:tc>
          <w:tcPr>
            <w:tcW w:w="2360" w:type="dxa"/>
            <w:vAlign w:val="bottom"/>
          </w:tcPr>
          <w:p>
            <w:pPr>
              <w:jc w:val="center"/>
              <w:ind w:left="1039"/>
              <w:spacing w:after="0"/>
              <w:rPr>
                <w:sz w:val="20"/>
                <w:szCs w:val="20"/>
                <w:color w:val="auto"/>
              </w:rPr>
            </w:pPr>
            <w:r>
              <w:rPr>
                <w:rFonts w:ascii="Arial" w:cs="Arial" w:eastAsia="Arial" w:hAnsi="Arial"/>
                <w:sz w:val="18"/>
                <w:szCs w:val="18"/>
                <w:b w:val="1"/>
                <w:bCs w:val="1"/>
                <w:color w:val="auto"/>
                <w:w w:val="86"/>
              </w:rPr>
              <w:t>Massachusetts</w:t>
            </w:r>
          </w:p>
        </w:tc>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700" w:type="dxa"/>
            <w:vAlign w:val="bottom"/>
          </w:tcPr>
          <w:p>
            <w:pPr>
              <w:jc w:val="right"/>
              <w:ind w:right="519"/>
              <w:spacing w:after="0"/>
              <w:rPr>
                <w:sz w:val="20"/>
                <w:szCs w:val="20"/>
                <w:color w:val="auto"/>
              </w:rPr>
            </w:pPr>
            <w:r>
              <w:rPr>
                <w:rFonts w:ascii="Arial" w:cs="Arial" w:eastAsia="Arial" w:hAnsi="Arial"/>
                <w:sz w:val="18"/>
                <w:szCs w:val="18"/>
                <w:b w:val="1"/>
                <w:bCs w:val="1"/>
                <w:color w:val="auto"/>
              </w:rPr>
              <w:t>04-2348234</w:t>
            </w:r>
          </w:p>
        </w:tc>
        <w:tc>
          <w:tcPr>
            <w:tcW w:w="0" w:type="dxa"/>
            <w:vAlign w:val="bottom"/>
          </w:tcPr>
          <w:p>
            <w:pPr>
              <w:spacing w:after="0"/>
              <w:rPr>
                <w:sz w:val="1"/>
                <w:szCs w:val="1"/>
                <w:color w:val="auto"/>
              </w:rPr>
            </w:pPr>
          </w:p>
        </w:tc>
      </w:tr>
      <w:tr>
        <w:trPr>
          <w:trHeight w:val="182"/>
        </w:trPr>
        <w:tc>
          <w:tcPr>
            <w:tcW w:w="35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180" w:type="dxa"/>
            <w:vAlign w:val="bottom"/>
          </w:tcPr>
          <w:p>
            <w:pPr>
              <w:spacing w:after="0"/>
              <w:rPr>
                <w:sz w:val="15"/>
                <w:szCs w:val="15"/>
                <w:color w:val="auto"/>
              </w:rPr>
            </w:pPr>
          </w:p>
        </w:tc>
        <w:tc>
          <w:tcPr>
            <w:tcW w:w="2700" w:type="dxa"/>
            <w:vAlign w:val="bottom"/>
          </w:tcPr>
          <w:p>
            <w:pPr>
              <w:jc w:val="center"/>
              <w:ind w:left="559"/>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31"/>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One Analog Way,</w:t>
            </w: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Wilmington,</w:t>
            </w:r>
          </w:p>
        </w:tc>
        <w:tc>
          <w:tcPr>
            <w:tcW w:w="2180" w:type="dxa"/>
            <w:vAlign w:val="bottom"/>
          </w:tcPr>
          <w:p>
            <w:pPr>
              <w:jc w:val="right"/>
              <w:ind w:right="1690"/>
              <w:spacing w:after="0"/>
              <w:rPr>
                <w:sz w:val="20"/>
                <w:szCs w:val="20"/>
                <w:color w:val="auto"/>
              </w:rPr>
            </w:pPr>
            <w:r>
              <w:rPr>
                <w:rFonts w:ascii="Arial" w:cs="Arial" w:eastAsia="Arial" w:hAnsi="Arial"/>
                <w:sz w:val="18"/>
                <w:szCs w:val="18"/>
                <w:b w:val="1"/>
                <w:bCs w:val="1"/>
                <w:color w:val="auto"/>
              </w:rPr>
              <w:t>MA</w:t>
            </w:r>
          </w:p>
        </w:tc>
        <w:tc>
          <w:tcPr>
            <w:tcW w:w="2700" w:type="dxa"/>
            <w:vAlign w:val="bottom"/>
          </w:tcPr>
          <w:p>
            <w:pPr>
              <w:jc w:val="right"/>
              <w:ind w:right="719"/>
              <w:spacing w:after="0"/>
              <w:rPr>
                <w:sz w:val="20"/>
                <w:szCs w:val="20"/>
                <w:color w:val="auto"/>
              </w:rPr>
            </w:pPr>
            <w:r>
              <w:rPr>
                <w:rFonts w:ascii="Arial" w:cs="Arial" w:eastAsia="Arial" w:hAnsi="Arial"/>
                <w:sz w:val="18"/>
                <w:szCs w:val="18"/>
                <w:b w:val="1"/>
                <w:bCs w:val="1"/>
                <w:color w:val="auto"/>
              </w:rPr>
              <w:t>01887</w:t>
            </w:r>
          </w:p>
        </w:tc>
        <w:tc>
          <w:tcPr>
            <w:tcW w:w="0" w:type="dxa"/>
            <w:vAlign w:val="bottom"/>
          </w:tcPr>
          <w:p>
            <w:pPr>
              <w:spacing w:after="0"/>
              <w:rPr>
                <w:sz w:val="1"/>
                <w:szCs w:val="1"/>
                <w:color w:val="auto"/>
              </w:rPr>
            </w:pPr>
          </w:p>
        </w:tc>
      </w:tr>
      <w:tr>
        <w:trPr>
          <w:trHeight w:val="182"/>
        </w:trPr>
        <w:tc>
          <w:tcPr>
            <w:tcW w:w="3580" w:type="dxa"/>
            <w:vAlign w:val="bottom"/>
            <w:gridSpan w:val="2"/>
          </w:tcPr>
          <w:p>
            <w:pPr>
              <w:jc w:val="center"/>
              <w:ind w:right="1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1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(781) 329-4700</w:t>
            </w:r>
          </w:p>
        </w:tc>
        <w:tc>
          <w:tcPr>
            <w:tcW w:w="2700" w:type="dxa"/>
            <w:vAlign w:val="bottom"/>
          </w:tcPr>
          <w:p>
            <w:pPr>
              <w:jc w:val="center"/>
              <w:ind w:left="559"/>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8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56515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998" w:right="379" w:bottom="1440" w:gutter="0" w:footer="0" w:header="0"/>
        </w:sectPr>
      </w:pPr>
    </w:p>
    <w:p>
      <w:pPr>
        <w:spacing w:after="0" w:line="113"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180" w:space="720"/>
            <w:col w:w="1760" w:space="720"/>
            <w:col w:w="3820"/>
          </w:cols>
          <w:pgMar w:left="320" w:top="998"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38" w:lineRule="exact"/>
        <w:rPr>
          <w:sz w:val="24"/>
          <w:szCs w:val="24"/>
          <w:color w:val="auto"/>
        </w:rPr>
      </w:pPr>
    </w:p>
    <w:p>
      <w:pPr>
        <w:sectPr>
          <w:pgSz w:w="11900" w:h="16838" w:orient="portrait"/>
          <w:cols w:equalWidth="0" w:num="3">
            <w:col w:w="4740" w:space="720"/>
            <w:col w:w="1800" w:space="720"/>
            <w:col w:w="3220"/>
          </w:cols>
          <w:pgMar w:left="320" w:top="998" w:right="379" w:bottom="1440" w:gutter="0" w:footer="0" w:header="0"/>
          <w:type w:val="continuous"/>
        </w:sectPr>
      </w:pPr>
    </w:p>
    <w:p>
      <w:pPr>
        <w:ind w:right="2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73" w:lineRule="exact"/>
        <w:rPr>
          <w:sz w:val="24"/>
          <w:szCs w:val="24"/>
          <w:color w:val="auto"/>
        </w:rPr>
      </w:pPr>
    </w:p>
    <w:p>
      <w:pPr>
        <w:ind w:right="2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right="124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May 1, 2021 there were 368,826,918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May 2, 2020</w:t>
            </w: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1,661,407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3,219,865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2,620,625</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524,770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1,037,857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925,809</w:t>
            </w:r>
          </w:p>
        </w:tc>
      </w:tr>
      <w:tr>
        <w:trPr>
          <w:trHeight w:val="22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1,136,637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846,674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2,182,008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1,694,816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302,238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252,413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509,486</w:t>
            </w:r>
          </w:p>
        </w:tc>
      </w:tr>
      <w:tr>
        <w:trPr>
          <w:trHeight w:val="230"/>
        </w:trPr>
        <w:tc>
          <w:tcPr>
            <w:tcW w:w="5460" w:type="dxa"/>
            <w:vAlign w:val="bottom"/>
          </w:tcPr>
          <w:p>
            <w:pPr>
              <w:ind w:left="680"/>
              <w:spacing w:after="0"/>
              <w:rPr>
                <w:sz w:val="20"/>
                <w:szCs w:val="20"/>
                <w:color w:val="auto"/>
              </w:rPr>
            </w:pPr>
            <w:r>
              <w:rPr>
                <w:rFonts w:ascii="Arial" w:cs="Arial" w:eastAsia="Arial" w:hAnsi="Arial"/>
                <w:sz w:val="18"/>
                <w:szCs w:val="18"/>
                <w:color w:val="auto"/>
              </w:rPr>
              <w:t>Selling, marketing, general and administrative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206,612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391,887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341,055</w:t>
            </w:r>
          </w:p>
        </w:tc>
      </w:tr>
      <w:tr>
        <w:trPr>
          <w:trHeight w:val="229"/>
        </w:trPr>
        <w:tc>
          <w:tcPr>
            <w:tcW w:w="5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r>
      <w:tr>
        <w:trPr>
          <w:trHeight w:val="229"/>
        </w:trPr>
        <w:tc>
          <w:tcPr>
            <w:tcW w:w="5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Special charges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w:t>
            </w:r>
          </w:p>
        </w:tc>
      </w:tr>
      <w:tr>
        <w:trPr>
          <w:trHeight w:val="223"/>
        </w:trPr>
        <w:tc>
          <w:tcPr>
            <w:tcW w:w="5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1,077,368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519,690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983,550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617,448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6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85,545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98,798</w:t>
            </w:r>
          </w:p>
        </w:tc>
      </w:tr>
      <w:tr>
        <w:trPr>
          <w:trHeight w:val="230"/>
        </w:trPr>
        <w:tc>
          <w:tcPr>
            <w:tcW w:w="5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30"/>
        </w:trPr>
        <w:tc>
          <w:tcPr>
            <w:tcW w:w="5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5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48,959</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96,170</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475,985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295,061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912,603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521,278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422,905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267,696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811,424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471,570</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368,823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368,229</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372,762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371,784</w:t>
            </w:r>
          </w:p>
        </w:tc>
      </w:tr>
      <w:tr>
        <w:trPr>
          <w:trHeight w:val="270"/>
        </w:trPr>
        <w:tc>
          <w:tcPr>
            <w:tcW w:w="5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84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May 2, 2020</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May 1, 2021</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May 2, 2020</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267,696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811,424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471,570</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Change in fair value of derivative instruments designated as cash</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flow hedges (net of taxes of $10,448, $19,604, $17,109 and</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(69,386)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59,893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(81,411)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$25,066, respectively)</w:t>
            </w: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2"/>
              </w:rPr>
              <w:t>Changes in pension plans, net actuarial loss and foreign currency</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1"/>
              </w:rPr>
              <w:t>translation adjustments (net of taxes of $86, $157, $172 and $317,</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(86,824)</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192,841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384,746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1, 2021</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1,055,860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814,135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737,536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608,260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116,032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2,902,800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2,517,688</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and buildings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984,879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2,779,023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2,667,846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157,915</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4,014,415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3,885,656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2,853,829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2,765,095</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1,160,586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1,120,561</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86,729</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12,282,465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12,278,425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3,650,280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1,448,018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1,503,064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311,856</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17,524,831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17,830,354</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21,588,217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279,222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227,273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Debt, current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1,324,451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1,001,975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955,633</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2,776,829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1,364,986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3,823,595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5,145,102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1,919,595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528,884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591,780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449,195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6,644,284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8,105,672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rPr>
              <w:t>Common stock, 0.16 2/3 par value, 1,200,000,000 shares authorized, 368,826,918 shares outstanding</w:t>
            </w:r>
          </w:p>
        </w:tc>
        <w:tc>
          <w:tcPr>
            <w:tcW w:w="3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61,472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61,582</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(369,484,899 on October 31, 2020)</w:t>
            </w:r>
          </w:p>
        </w:tc>
        <w:tc>
          <w:tcPr>
            <w:tcW w:w="3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 excess of par value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4,949,586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7,564,054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7,236,238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(249,461)</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12,167,104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11,997,945</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21,588,217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May 1,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$0.69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35,586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90"/>
              </w:rPr>
              <w:t>(188,610)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MAY 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7,564,054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4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Six Months Ended May 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4,949,586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$1.31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66,546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90"/>
              </w:rPr>
              <w:t>(345,487)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MAY 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7,564,054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May 2, 2020</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4,923,947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6,906,346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(202,147)</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 $0.62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90"/>
              </w:rPr>
              <w:t>(113,394)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BALANCE, MAY 2,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4,861,013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6,945,442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Six Months Ended May 2, 2020</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NOVEMBER 2,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6,899,253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(187,799)</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Effect of Accounting Standards Update 2018-02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Dividends declared and paid - $1.16 per share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as charitable contribution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(86,824)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90"/>
              </w:rPr>
              <w:t>(219,272)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BALANCE, MAY 2,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4,861,013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6,945,442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4"/>
                <w:szCs w:val="14"/>
                <w:b w:val="1"/>
                <w:bCs w:val="1"/>
                <w:color w:val="auto"/>
              </w:rPr>
              <w:t>May 2, 2020</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811,424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471,570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108,775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119,124</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288,120</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76,996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73,401</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(35,390)</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Non-cash contribution to charitable foundation</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non-cash activity</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(181,937)</w:t>
            </w: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adjustments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307,119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1,164,303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778,689</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other investments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18,566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r>
      <w:tr>
        <w:trPr>
          <w:trHeight w:val="23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asset acquisition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acquisitions, net of cash acquired</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assets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(116,284)</w:t>
            </w: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debt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395,646</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revolver</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350,000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revolver</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Debt repayments</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payments to shareholders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(427,760)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(345,871)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(219,614)</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plans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financing activities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w:t>
            </w: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(783,408)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(525,282)</w:t>
            </w:r>
          </w:p>
        </w:tc>
      </w:t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136,615</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1,055,860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648,322</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1,305,216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784,937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NOTES TO CONDENSED CONSOLIDATED FINANCIAL STATEMENTS FOR THE THREE AND SIX MONTHS ENDED MAY 1, 2021 (UNAUDITED) (all tabular amounts in thousands except per share amounts and percentages)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31, 2020 (fiscal 2020) and related notes. The results of operations for the interim periods shown in this report are not necessarily indicative of the results that may be expected for the fiscal year ending October 30, 2021 (fiscal 2021) or any future period.</w:t>
      </w:r>
    </w:p>
    <w:p>
      <w:pPr>
        <w:spacing w:after="0" w:line="13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2021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60" w:firstLine="445"/>
        <w:spacing w:after="0" w:line="342" w:lineRule="auto"/>
        <w:rPr>
          <w:sz w:val="20"/>
          <w:szCs w:val="20"/>
          <w:color w:val="auto"/>
        </w:rPr>
      </w:pPr>
      <w:r>
        <w:rPr>
          <w:rFonts w:ascii="Arial" w:cs="Arial" w:eastAsia="Arial" w:hAnsi="Arial"/>
          <w:sz w:val="16"/>
          <w:szCs w:val="16"/>
          <w:color w:val="auto"/>
        </w:rPr>
        <w:t xml:space="preserve">On July 12, 2020, the Company entered into a definitive agreement (the Merger Agreement) to acquire Maxim Integrated Products, Inc. (Maxim), an independent manufacturer of innovative analog and mixed-signal products and technologies. See Note 13, </w:t>
      </w:r>
      <w:r>
        <w:rPr>
          <w:rFonts w:ascii="Arial" w:cs="Arial" w:eastAsia="Arial" w:hAnsi="Arial"/>
          <w:sz w:val="16"/>
          <w:szCs w:val="16"/>
          <w:i w:val="1"/>
          <w:iCs w:val="1"/>
          <w:color w:val="auto"/>
        </w:rPr>
        <w:t>Acquisitions</w:t>
      </w:r>
      <w:r>
        <w:rPr>
          <w:rFonts w:ascii="Arial" w:cs="Arial" w:eastAsia="Arial" w:hAnsi="Arial"/>
          <w:sz w:val="16"/>
          <w:szCs w:val="16"/>
          <w:color w:val="auto"/>
        </w:rPr>
        <w:t>,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 and Shareholders' Equity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stock option activity as of May 1, 2021 and changes during the six-month period then ended is presented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41"/>
        </w:trPr>
        <w:tc>
          <w:tcPr>
            <w:tcW w:w="5440" w:type="dxa"/>
            <w:vAlign w:val="bottom"/>
          </w:tcPr>
          <w:p>
            <w:pPr>
              <w:spacing w:after="0"/>
              <w:rPr>
                <w:sz w:val="3"/>
                <w:szCs w:val="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3"/>
                <w:szCs w:val="3"/>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 Exercise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Contractual</w:t>
            </w: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Per Share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October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644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$86.47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May 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$83.66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$285,319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May 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$233,013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or expected to vest at May 1, 2021 (1)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3,985</w:t>
            </w:r>
          </w:p>
        </w:tc>
        <w:tc>
          <w:tcPr>
            <w:tcW w:w="1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$82.43</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$281,816</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60" w:hanging="328"/>
        <w:spacing w:after="0" w:line="277"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the first quarter of fiscal 2021, the Company issued a special performance stock option award to the Company's chief executive officer. The performance stock option award is exercisable for up to 460,000 shares of the Company's common stock (the Target Number of Shares) at an exercise price per share of $144.06, which was the closing price of the Company's common stock on the date of grant, and vests subject to the satisfaction of certain target stock price thresholds during a five-year period, measured on the basis of the average of the closing prices of the Company's common stock over 70 consecutive trading days. The actual number of shares that will become exercisable will range from 0% to a maximum of 100% of the Target Number of Shares based on the attainment of such target stock price thresholds at any time during a five-year period from December 15, 2020 to December 15, 2025. The grant date fair value of the award was calculated using the Monte Carlo simulation model which utilizes multiple input variables that determine the probability of satisfying the performance conditions stipulated in the award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ind w:right="460" w:firstLine="405"/>
        <w:spacing w:after="0" w:line="342" w:lineRule="auto"/>
        <w:rPr>
          <w:sz w:val="20"/>
          <w:szCs w:val="20"/>
          <w:color w:val="auto"/>
        </w:rPr>
      </w:pPr>
      <w:r>
        <w:rPr>
          <w:rFonts w:ascii="Arial" w:cs="Arial" w:eastAsia="Arial" w:hAnsi="Arial"/>
          <w:sz w:val="16"/>
          <w:szCs w:val="16"/>
          <w:color w:val="auto"/>
        </w:rPr>
        <w:t>During the six-month periods ended May 1, 2021 and May 2, 2020, the total intrinsic value of options exercised (i.e., the difference between the market price at exercise and the price paid by the employee to exercise the options) was $61.0 million and $35.3 million, respectively.</w:t>
      </w:r>
    </w:p>
    <w:p>
      <w:pPr>
        <w:spacing w:after="0" w:line="70" w:lineRule="exact"/>
        <w:rPr>
          <w:sz w:val="20"/>
          <w:szCs w:val="20"/>
          <w:color w:val="auto"/>
        </w:rPr>
      </w:pPr>
    </w:p>
    <w:p>
      <w:pPr>
        <w:ind w:right="60" w:firstLine="405"/>
        <w:spacing w:after="0" w:line="276" w:lineRule="auto"/>
        <w:rPr>
          <w:sz w:val="20"/>
          <w:szCs w:val="20"/>
          <w:color w:val="auto"/>
        </w:rPr>
      </w:pPr>
      <w:r>
        <w:rPr>
          <w:rFonts w:ascii="Arial" w:cs="Arial" w:eastAsia="Arial" w:hAnsi="Arial"/>
          <w:sz w:val="18"/>
          <w:szCs w:val="18"/>
          <w:color w:val="auto"/>
        </w:rPr>
        <w:t>A summary of the Company’s restricted stock unit/award activity as of May 1, 2021 and changes during the six-month period then ended is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Stock Units/Awards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Grant-</w:t>
            </w:r>
          </w:p>
        </w:tc>
      </w:t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Date Fair Value</w:t>
            </w:r>
          </w:p>
        </w:tc>
      </w:tr>
      <w:tr>
        <w:trPr>
          <w:trHeight w:val="186"/>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October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$91.54</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Units/Awards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1,011</w:t>
            </w:r>
          </w:p>
        </w:tc>
        <w:tc>
          <w:tcPr>
            <w:tcW w:w="1540" w:type="dxa"/>
            <w:vAlign w:val="bottom"/>
            <w:gridSpan w:val="2"/>
          </w:tcPr>
          <w:p>
            <w:pPr>
              <w:jc w:val="right"/>
              <w:ind w:right="4"/>
              <w:spacing w:after="0"/>
              <w:rPr>
                <w:sz w:val="20"/>
                <w:szCs w:val="20"/>
                <w:color w:val="auto"/>
              </w:rPr>
            </w:pPr>
            <w:r>
              <w:rPr>
                <w:rFonts w:ascii="Arial" w:cs="Arial" w:eastAsia="Arial" w:hAnsi="Arial"/>
                <w:sz w:val="18"/>
                <w:szCs w:val="18"/>
                <w:color w:val="auto"/>
              </w:rPr>
              <w:t>$143.71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Restrictions lapsed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5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$90.21</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54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$99.51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May 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5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$104.18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the first half of fiscal 2021, the Company issued approximately 121,000 performance-based restricted stock units (Maxim Integration PRSUs) related to the Company's planned acquisition of Maxim to a select group of employees. The number of Maxim Integration PRSUs that may be earned will range from 0% to a maximum of 200% of the issued amount of Maxim Integration PRSUs and will be determined according to the achievement of certain performance metrics. Any shares earned will vest on the 60th day following the two-year anniversary of the closing of the Maxim acquisition. If the Maxim acquisition does not close, the awards will be cancelled. The grant date fair value of these awards were calculated using the value of the Company's common stock on the date of grant, reduced by the present value of dividends expected to be paid on the Company's common stock prior to vesting. The grant-date fair value of these awards is also impacted by the number of units that are expected to vest during the performance period and is adjusted through the related stock-based compensation expense at each reporting period based on the probability of achievement of that performance condition.</w:t>
      </w:r>
    </w:p>
    <w:p>
      <w:pPr>
        <w:spacing w:after="0" w:line="192" w:lineRule="exact"/>
        <w:rPr>
          <w:sz w:val="20"/>
          <w:szCs w:val="20"/>
          <w:color w:val="auto"/>
        </w:rPr>
      </w:pPr>
    </w:p>
    <w:p>
      <w:pPr>
        <w:jc w:val="both"/>
        <w:ind w:right="380" w:firstLine="405"/>
        <w:spacing w:after="0" w:line="259" w:lineRule="auto"/>
        <w:rPr>
          <w:sz w:val="20"/>
          <w:szCs w:val="20"/>
          <w:color w:val="auto"/>
        </w:rPr>
      </w:pPr>
      <w:r>
        <w:rPr>
          <w:rFonts w:ascii="Arial" w:cs="Arial" w:eastAsia="Arial" w:hAnsi="Arial"/>
          <w:sz w:val="18"/>
          <w:szCs w:val="18"/>
          <w:color w:val="auto"/>
        </w:rPr>
        <w:t>As of May 1, 2021, there was $382.2 million of total unrecognized compensation cost related to unvested stock-based awards comprised of stock options and restricted stock units/awards. That cost is expected to be recognized over a weighted-average period of 1.5 years. The total grant-date fair values of awards that vested during the six-month periods ended May 1, 2021 and May 2, 2020 were approximately $94.2 million and $113.4 million, respectively.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96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May 2, 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May 2, 2020</w:t>
            </w:r>
          </w:p>
        </w:tc>
      </w:tr>
      <w:tr>
        <w:trPr>
          <w:trHeight w:val="224"/>
        </w:trPr>
        <w:tc>
          <w:tcPr>
            <w:tcW w:w="4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36,005</w:t>
            </w:r>
          </w:p>
        </w:tc>
      </w:tr>
      <w:tr>
        <w:trPr>
          <w:trHeight w:val="229"/>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28,476</w:t>
            </w:r>
          </w:p>
        </w:tc>
      </w:tr>
      <w:tr>
        <w:trPr>
          <w:trHeight w:val="223"/>
        </w:trPr>
        <w:tc>
          <w:tcPr>
            <w:tcW w:w="4680" w:type="dxa"/>
            <w:vAlign w:val="bottom"/>
          </w:tcPr>
          <w:p>
            <w:pPr>
              <w:ind w:left="6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73,401</w:t>
            </w:r>
          </w:p>
        </w:tc>
      </w:tr>
      <w:tr>
        <w:trPr>
          <w:trHeight w:val="21"/>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of May 1, 2021 and October 31, 2020, the Company capitalized $6.0 million and $5.8 million, respectively, of stock-based compensation in Inventories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As of May 1, 2021, the Company had repurchased a total of approximately 158.0 million shares of its common stock for approximately $6.6 billion under the Company's share repurchase program. As of May 1, 2021, an additional $1.6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4"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six months of fiscal 2021.</w:t>
      </w:r>
    </w:p>
    <w:tbl>
      <w:tblPr>
        <w:tblLayout w:type="fixed"/>
        <w:tblInd w:w="0" w:type="dxa"/>
        <w:tblCellMar>
          <w:top w:w="0" w:type="dxa"/>
          <w:left w:w="0" w:type="dxa"/>
          <w:bottom w:w="0" w:type="dxa"/>
          <w:right w:w="0" w:type="dxa"/>
        </w:tblCellMar>
      </w:tblPr>
      <w:tr>
        <w:trPr>
          <w:trHeight w:val="163"/>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88,430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out of other comprehensive income (loss)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66,546</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w w:val="99"/>
              </w:rPr>
              <w:t>Comprehensive Income Component</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1, 2021</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2, 2020</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1, 2021</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2, 2020</w:t>
            </w:r>
          </w:p>
        </w:tc>
        <w:tc>
          <w:tcPr>
            <w:tcW w:w="10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Unrealized holding losses (gains) on derivatives</w:t>
            </w: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155"/>
        </w:trPr>
        <w:tc>
          <w:tcPr>
            <w:tcW w:w="3100" w:type="dxa"/>
            <w:vAlign w:val="bottom"/>
          </w:tcPr>
          <w:p>
            <w:pPr>
              <w:ind w:left="220"/>
              <w:spacing w:after="0" w:line="156" w:lineRule="exact"/>
              <w:rPr>
                <w:sz w:val="20"/>
                <w:szCs w:val="20"/>
                <w:color w:val="auto"/>
              </w:rPr>
            </w:pPr>
            <w:r>
              <w:rPr>
                <w:rFonts w:ascii="Arial" w:cs="Arial" w:eastAsia="Arial" w:hAnsi="Arial"/>
                <w:sz w:val="18"/>
                <w:szCs w:val="18"/>
                <w:color w:val="auto"/>
              </w:rPr>
              <w:t>Effect of Accounting Standards</w:t>
            </w:r>
          </w:p>
        </w:tc>
        <w:tc>
          <w:tcPr>
            <w:tcW w:w="18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3"/>
                <w:szCs w:val="13"/>
                <w:color w:val="auto"/>
              </w:rPr>
            </w:pPr>
          </w:p>
        </w:tc>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Update 2018-02</w:t>
            </w: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92"/>
              </w:rPr>
              <w:t>Amortization of pension components included in the computation of net periodic pension cost</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Actuarial losses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line="176" w:lineRule="exact"/>
              <w:rPr>
                <w:sz w:val="20"/>
                <w:szCs w:val="20"/>
                <w:color w:val="auto"/>
              </w:rPr>
            </w:pPr>
            <w:r>
              <w:rPr>
                <w:rFonts w:ascii="Arial" w:cs="Arial" w:eastAsia="Arial" w:hAnsi="Arial"/>
                <w:sz w:val="18"/>
                <w:szCs w:val="18"/>
                <w:color w:val="auto"/>
                <w:w w:val="98"/>
              </w:rPr>
              <w:t>Total amounts reclassified out of AOCI,</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line="202" w:lineRule="exact"/>
              <w:rPr>
                <w:sz w:val="20"/>
                <w:szCs w:val="20"/>
                <w:color w:val="auto"/>
              </w:rPr>
            </w:pPr>
            <w:r>
              <w:rPr>
                <w:rFonts w:ascii="Arial" w:cs="Arial" w:eastAsia="Arial" w:hAnsi="Arial"/>
                <w:sz w:val="18"/>
                <w:szCs w:val="18"/>
                <w:color w:val="auto"/>
              </w:rPr>
              <w:t>net of tax</w:t>
            </w: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Realized gains or losses on investments are determined based on the specific identification basis and are recognized in nonoperating expense</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(income). 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May 2,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May 2, 2020</w:t>
            </w: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471,570</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368,229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Earnings per common share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368,229</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Assumed exercise of common stock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common and common equivalent shares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372,762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371,784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per common share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shares related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stock-based awards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75" w:lineRule="exact"/>
        <w:rPr>
          <w:sz w:val="20"/>
          <w:szCs w:val="20"/>
          <w:color w:val="auto"/>
        </w:rPr>
      </w:pPr>
    </w:p>
    <w:p>
      <w:pPr>
        <w:ind w:right="200" w:firstLine="445"/>
        <w:spacing w:after="0" w:line="269" w:lineRule="auto"/>
        <w:rPr>
          <w:sz w:val="20"/>
          <w:szCs w:val="20"/>
          <w:color w:val="auto"/>
        </w:rPr>
      </w:pPr>
      <w:r>
        <w:rPr>
          <w:rFonts w:ascii="Arial" w:cs="Arial" w:eastAsia="Arial" w:hAnsi="Arial"/>
          <w:sz w:val="18"/>
          <w:szCs w:val="18"/>
          <w:color w:val="auto"/>
        </w:rPr>
        <w:t>The following table is a quarterly roll-forward from October 31, 2020 to May 1, 2021 of the employee separation and exit cost accruals established related to existing restructuring actions: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Closure of Manufacturing</w:t>
            </w:r>
          </w:p>
        </w:tc>
        <w:tc>
          <w:tcPr>
            <w:tcW w:w="180" w:type="dxa"/>
            <w:vAlign w:val="bottom"/>
          </w:tcPr>
          <w:p>
            <w:pPr>
              <w:spacing w:after="0"/>
              <w:rPr>
                <w:sz w:val="12"/>
                <w:szCs w:val="12"/>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Repositioning Action</w:t>
            </w:r>
          </w:p>
        </w:tc>
        <w:tc>
          <w:tcPr>
            <w:tcW w:w="280" w:type="dxa"/>
            <w:vAlign w:val="bottom"/>
          </w:tcPr>
          <w:p>
            <w:pPr>
              <w:spacing w:after="0"/>
              <w:rPr>
                <w:sz w:val="12"/>
                <w:szCs w:val="12"/>
                <w:color w:val="auto"/>
              </w:rPr>
            </w:pPr>
          </w:p>
        </w:tc>
        <w:tc>
          <w:tcPr>
            <w:tcW w:w="14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Other Actions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2020</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First quarter fiscal 2021 special charges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Second quarter fiscal 2021 special charges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1, 2021</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Current - accrued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vMerge w:val="continue"/>
          </w:tcPr>
          <w:p>
            <w:pPr>
              <w:spacing w:after="0"/>
              <w:rPr>
                <w:sz w:val="17"/>
                <w:szCs w:val="17"/>
                <w:color w:val="auto"/>
              </w:rPr>
            </w:pPr>
          </w:p>
        </w:tc>
        <w:tc>
          <w:tcPr>
            <w:tcW w:w="5740" w:type="dxa"/>
            <w:vAlign w:val="bottom"/>
            <w:tcBorders>
              <w:bottom w:val="single" w:sz="8" w:color="CCEEFF"/>
            </w:tcBorders>
            <w:gridSpan w:val="2"/>
            <w:vMerge w:val="continue"/>
          </w:tcPr>
          <w:p>
            <w:pPr>
              <w:spacing w:after="0"/>
              <w:rPr>
                <w:sz w:val="17"/>
                <w:szCs w:val="17"/>
                <w:color w:val="auto"/>
              </w:rPr>
            </w:pPr>
          </w:p>
        </w:tc>
        <w:tc>
          <w:tcPr>
            <w:tcW w:w="360" w:type="dxa"/>
            <w:vAlign w:val="bottom"/>
            <w:tcBorders>
              <w:bottom w:val="single" w:sz="8" w:color="auto"/>
            </w:tcBorders>
          </w:tcPr>
          <w:p>
            <w:pPr>
              <w:jc w:val="right"/>
              <w:ind w:right="173"/>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36,440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10,083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recorded special charges of $137.5 million on a cumulative basis through May 1, 2021, as a result of organizational initiatives to better align the global workforce with the Company's long-term strategic plan. Approximately $123.3 million of the total charges was for severance and fringe benefit costs in accordance with either the Company's ongoing benefit plan or statutory requirements for the impacted manufacturing, engineering and selling, marketing, general and administrative (SMG&amp;A) employees. The remaining $14.2 million of the charges were recorded in the fiscal year ended November 2, 2019 (fiscal 2019) and related to the write-off of acquired intellectual property due to the Company's decision to discontinue certain product development strategies.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71"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The Company recorded special charges of $55.7 million on a cumulative basis through May 1, 2021 as a result of its decision to consolidate certain wafer and test facility operations acquired as part of the acquisition of Linear Technology Corporation (Linear). The Company plans to close its Hillview wafer fabrication facility located in Milpitas, California in fiscal 2021 and complete the transition from its Singapore test facility in the fiscal year ending October 29, 2022.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and also to its outsourced assembly and test partners. 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10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As discussed in Note 5, </w:t>
      </w:r>
      <w:r>
        <w:rPr>
          <w:rFonts w:ascii="Arial" w:cs="Arial" w:eastAsia="Arial" w:hAnsi="Arial"/>
          <w:sz w:val="16"/>
          <w:szCs w:val="16"/>
          <w:i w:val="1"/>
          <w:iCs w:val="1"/>
          <w:color w:val="auto"/>
        </w:rPr>
        <w:t>Special Charges</w:t>
      </w:r>
      <w:r>
        <w:rPr>
          <w:rFonts w:ascii="Arial" w:cs="Arial" w:eastAsia="Arial" w:hAnsi="Arial"/>
          <w:sz w:val="16"/>
          <w:szCs w:val="16"/>
          <w:color w:val="auto"/>
        </w:rPr>
        <w:t>, the Company is planning to transition testing operations currently handled in its Singapore facility to its facilities in Penang, Malaysia and the Philippines, in addition to its outsourced assembly and test partners. Accordingly, management has entered into an agreement to sell the facility in Singapore at the end of May 2021 and has determined that this facility and certain equipment therein have met the held for sale criteria as specified in ASC 360. No write-down to fair value was required upon this designation during fiscal 2020, as the fair value of the asset group, less costs to sell, was greater than its carrying value. As shown below, this carrying value was reclassified from various line items within Property, plant and equipment to Prepaid expenses and other current assets upon designation and remains in Prepaid expenses and other current assets as of May 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w:t>
            </w:r>
          </w:p>
        </w:tc>
      </w:tr>
      <w:tr>
        <w:trPr>
          <w:trHeight w:val="229"/>
        </w:trPr>
        <w:tc>
          <w:tcPr>
            <w:tcW w:w="938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Office equipment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r>
      <w:tr>
        <w:trPr>
          <w:trHeight w:val="223"/>
        </w:trPr>
        <w:tc>
          <w:tcPr>
            <w:tcW w:w="9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43,860</w:t>
            </w:r>
          </w:p>
        </w:tc>
      </w:tr>
      <w:tr>
        <w:trPr>
          <w:trHeight w:val="229"/>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(21,706)</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designs, develops, manufactures and markets a broad range of integrated circuits. The Company operates and tracks its results in one reportable segment based on the aggregation of eight operating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24"/>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972,177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716,364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276,960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276,575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257,586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1,661,407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1,317,060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Six Months Ended</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24"/>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1,828,140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1,405,224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557,786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517,872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503,501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386,618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330,438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310,911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3,219,865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2,620,625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500" w:type="dxa"/>
            <w:vAlign w:val="bottom"/>
            <w:gridSpan w:val="2"/>
          </w:tcPr>
          <w:p>
            <w:pPr>
              <w:spacing w:after="0" w:line="172" w:lineRule="exact"/>
              <w:rPr>
                <w:sz w:val="20"/>
                <w:szCs w:val="20"/>
                <w:color w:val="auto"/>
              </w:rPr>
            </w:pPr>
            <w:r>
              <w:rPr>
                <w:rFonts w:ascii="Arial" w:cs="Arial" w:eastAsia="Arial" w:hAnsi="Arial"/>
                <w:sz w:val="18"/>
                <w:szCs w:val="18"/>
                <w:color w:val="auto"/>
              </w:rPr>
              <w:t>Channel</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546,555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546,051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1,661,407</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1,317,060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May 2, 2020</w:t>
            </w:r>
          </w:p>
        </w:tc>
        <w:tc>
          <w:tcPr>
            <w:tcW w:w="20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500" w:type="dxa"/>
            <w:vAlign w:val="bottom"/>
            <w:gridSpan w:val="2"/>
          </w:tcPr>
          <w:p>
            <w:pPr>
              <w:spacing w:after="0" w:line="172" w:lineRule="exact"/>
              <w:rPr>
                <w:sz w:val="20"/>
                <w:szCs w:val="20"/>
                <w:color w:val="auto"/>
              </w:rPr>
            </w:pPr>
            <w:r>
              <w:rPr>
                <w:rFonts w:ascii="Arial" w:cs="Arial" w:eastAsia="Arial" w:hAnsi="Arial"/>
                <w:sz w:val="18"/>
                <w:szCs w:val="18"/>
                <w:color w:val="auto"/>
              </w:rPr>
              <w:t>Channel</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2,039,314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1,497,949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1,136,011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1,077,382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3,219,865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2,620,625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-121920</wp:posOffset>
            </wp:positionV>
            <wp:extent cx="42691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3" w:name="page14"/>
    <w:bookmarkEnd w:id="13"/>
    <w:p>
      <w:pPr>
        <w:ind w:right="120" w:firstLine="445"/>
        <w:spacing w:after="0" w:line="275"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May 1, 2021 and October 31, 2020. The tables exclude cash on hand and assets and liabilities that are measured at historical cost or any basis other than fair value. As of May 1, 2021 and October 31, 2020, the Company held $272.1 million and $239.6 million, respectively, of cash and held-to-maturity investments that were excluded from the tables below.</w:t>
      </w: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May 1, 2021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Fair Value measurement at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Reporting Date using:</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rPr>
                <w:sz w:val="13"/>
                <w:szCs w:val="13"/>
                <w:color w:val="auto"/>
              </w:rPr>
            </w:pPr>
          </w:p>
        </w:tc>
        <w:tc>
          <w:tcPr>
            <w:tcW w:w="1780" w:type="dxa"/>
            <w:vAlign w:val="bottom"/>
            <w:gridSpan w:val="3"/>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803,158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803,158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Corporate obligations (1)</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229,975</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Forward foreign currency exchange contracts (2)</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135,242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135,242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May 1, 2021 was $230.0 million.</w:t>
      </w:r>
    </w:p>
    <w:p>
      <w:pPr>
        <w:spacing w:after="0" w:line="23" w:lineRule="exact"/>
        <w:rPr>
          <w:rFonts w:ascii="Arial" w:cs="Arial" w:eastAsia="Arial" w:hAnsi="Arial"/>
          <w:sz w:val="18"/>
          <w:szCs w:val="18"/>
          <w:color w:val="auto"/>
        </w:rPr>
      </w:pPr>
    </w:p>
    <w:p>
      <w:pPr>
        <w:ind w:left="660" w:right="340" w:hanging="328"/>
        <w:spacing w:after="0" w:line="276" w:lineRule="auto"/>
        <w:tabs>
          <w:tab w:leader="none" w:pos="65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31, 2020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816,253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816,253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Forward foreign currency exchange contracts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869,209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874,636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214,586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40" w:hanging="328"/>
        <w:spacing w:after="0" w:line="308" w:lineRule="auto"/>
        <w:tabs>
          <w:tab w:leader="none" w:pos="65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current market rates.</w:t>
      </w:r>
    </w:p>
    <w:p>
      <w:pPr>
        <w:spacing w:after="0" w:line="116"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7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b w:val="1"/>
          <w:bCs w:val="1"/>
          <w:i w:val="1"/>
          <w:iCs w:val="1"/>
          <w:color w:val="auto"/>
        </w:rPr>
        <w:t>Held for sale assets —</w:t>
      </w:r>
      <w:r>
        <w:rPr>
          <w:rFonts w:ascii="Arial" w:cs="Arial" w:eastAsia="Arial" w:hAnsi="Arial"/>
          <w:sz w:val="16"/>
          <w:szCs w:val="16"/>
          <w:color w:val="auto"/>
        </w:rPr>
        <w:t>The Company has classified the assets held for sale at carrying value. However, if they were to be carried at fair value,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be considered a Level 3 fair value measurement and would be determined based on the use of appraisals and input from market participants.</w:t>
      </w:r>
    </w:p>
    <w:p>
      <w:pPr>
        <w:spacing w:after="0" w:line="29"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 of certain financial instruments not recorded at fair value on a recurring basis.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of the term loan approximates fair value. The term loan is classified as a Level 2 measurement according to the fair value hierarchy. The fair values of the senior unsecured notes are obtained from broker prices and are classified as Level 1 measurements according to the fair value hierarchy.</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1, 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3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Principal Amount</w:t>
            </w:r>
          </w:p>
        </w:tc>
        <w:tc>
          <w:tcPr>
            <w:tcW w:w="26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2.50%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408,565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526,855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590,177</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434,919</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969,033</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1,017,505</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4.50%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298,153</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5.30%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538,788</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5,643,939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5,708,995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As of May 1, 2021, the Company believed that none of its unrealized losses on its available-for-sale investments were attributable to credit losses and therefore were not impaired. The investments with unrealized losses consisted primarily of corporate debt securities. In making the determination that the decline in fair value of these securities did not indicate impairment, the Company considered various factors, including, but not limited to: the extent to which fair value was less than cost; the financial condition and near-term prospects of the issuers; and the Company’s intent not to sell these securities and the assessment that it is more likely than not that the Company would not be required to sell these securities before the recovery of their amortized cost basis.</w:t>
      </w:r>
    </w:p>
    <w:p>
      <w:pPr>
        <w:spacing w:after="0" w:line="138"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Unrealized gains and losses, net of taxes, are reported as a component of AOCI in the Company’s Condensed Consolidated Statements of Stockholders’ Equity. No material amounts were reclassified out of AOCI during the three- and six-month periods ended May 1, 2021 and May 2, 2020 for realized gains or losses on available-for-sale investments.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14"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May 1, 2021 and October 31, 2020 were $227.3 million and $202.7 million, respectively. The fair values of forward foreign currency derivative instruments designated as hedging instruments in the Company’s Condensed Consolidated Balance Sheets as of May 1, 2021 and October 31, 2020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Fair Value At</w:t>
            </w:r>
          </w:p>
        </w:tc>
      </w:tr>
      <w:tr>
        <w:trPr>
          <w:trHeight w:val="188"/>
        </w:trPr>
        <w:tc>
          <w:tcPr>
            <w:tcW w:w="4080" w:type="dxa"/>
            <w:vAlign w:val="bottom"/>
          </w:tcPr>
          <w:p>
            <w:pPr>
              <w:spacing w:after="0"/>
              <w:rPr>
                <w:sz w:val="16"/>
                <w:szCs w:val="16"/>
                <w:color w:val="auto"/>
              </w:rPr>
            </w:pPr>
          </w:p>
        </w:tc>
        <w:tc>
          <w:tcPr>
            <w:tcW w:w="3860" w:type="dxa"/>
            <w:vAlign w:val="bottom"/>
            <w:gridSpan w:val="2"/>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October 31, 2020</w:t>
            </w:r>
          </w:p>
        </w:tc>
      </w:tr>
      <w:tr>
        <w:trPr>
          <w:trHeight w:val="22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r>
    </w:tbl>
    <w:p>
      <w:pPr>
        <w:spacing w:after="0" w:line="148"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As of May 1, 2021 and October 31, 2020, the total notional amounts of undesignated hedges related to forward foreign currency exchange contracts were $130.3 million and $62.7 million, respectively. The fair values of these hedging instruments in the Company’s Condensed Consolidated Balance Sheets were immaterial as of May 1, 2021 and October 31, 2020.</w:t>
      </w:r>
    </w:p>
    <w:p>
      <w:pPr>
        <w:spacing w:after="0" w:line="130"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Company estimates that settlements of forward foreign currency derivative instruments included in AOCI that will be reclassified into earnings within the next 12 months will be immaterial.</w:t>
      </w:r>
    </w:p>
    <w:p>
      <w:pPr>
        <w:spacing w:after="0" w:line="116"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May 1, 2021 and October 31, 2020, none of the netting arrangements involved collateral.</w:t>
      </w:r>
    </w:p>
    <w:p>
      <w:pPr>
        <w:spacing w:after="0" w:line="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October 31, 2020</w:t>
            </w: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8"/>
              </w:rPr>
              <w:t>5,057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amounts of recognized liabilities offset in the Condensed Consolidated Balance Sheets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95"/>
              <w:spacing w:after="0"/>
              <w:rPr>
                <w:sz w:val="20"/>
                <w:szCs w:val="20"/>
                <w:color w:val="auto"/>
              </w:rPr>
            </w:pPr>
            <w:r>
              <w:rPr>
                <w:rFonts w:ascii="Arial" w:cs="Arial" w:eastAsia="Arial" w:hAnsi="Arial"/>
                <w:sz w:val="18"/>
                <w:szCs w:val="18"/>
                <w:color w:val="auto"/>
                <w:w w:val="94"/>
              </w:rPr>
              <w:t>(1,668)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presented in the Condensed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8"/>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As of May 1, 2021 and October 31, 2020, the fair value of the interest rate swap agreement designated as a cash flow hedge was $135.2 million and $214.6 million, respectively, and is included within Accrued liabilities in the Company's Condensed Consolidated Balance Sheets.</w:t>
      </w:r>
    </w:p>
    <w:p>
      <w:pPr>
        <w:spacing w:after="0" w:line="92" w:lineRule="exact"/>
        <w:rPr>
          <w:sz w:val="20"/>
          <w:szCs w:val="20"/>
          <w:color w:val="auto"/>
        </w:rPr>
      </w:pPr>
    </w:p>
    <w:p>
      <w:pPr>
        <w:ind w:right="200" w:firstLine="445"/>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1, 2021 and October 31, 2020,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obligations of the Company to the counterparties. As a result of the above considerations, the Company does not consider the risk of counterparty default to be significant.</w:t>
      </w:r>
    </w:p>
    <w:p>
      <w:pPr>
        <w:spacing w:after="0" w:line="116"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May 1, 2021 and October 31, 2020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1, 2021</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Arial" w:cs="Arial" w:eastAsia="Arial" w:hAnsi="Arial"/>
                <w:sz w:val="14"/>
                <w:szCs w:val="14"/>
                <w:b w:val="1"/>
                <w:bCs w:val="1"/>
                <w:color w:val="auto"/>
              </w:rPr>
              <w:t>October 31, 2020</w:t>
            </w:r>
          </w:p>
        </w:tc>
      </w:tr>
      <w:tr>
        <w:trPr>
          <w:trHeight w:val="22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468,984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443,690</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130,764</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608,260</w:t>
            </w: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75"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The Company’s effective tax rates for the three- and six-month periods ended May 1, 2021 and May 2, 2020 were below the U.S. statutory tax rate of 21.0%, due to lower statutory tax rates applicable to the Company's operations in the foreign jurisdictions in which it earns income.</w:t>
      </w:r>
    </w:p>
    <w:p>
      <w:pPr>
        <w:spacing w:after="0" w:line="92"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The Company has numerous audits ongoing throughout the world including: an IRS income tax audit for the fiscal year ended November 3, 2018 (fiscal 2018) and fiscal 2019; various U.S. state and local tax audits; and international audits, including the transfer pricing audit in Ireland discussed below. The Company's U.S. federal tax returns prior to the fiscal year ended October 28, 2017 (fiscal 2017) are no longer subject to examination.</w:t>
      </w:r>
    </w:p>
    <w:p>
      <w:pPr>
        <w:spacing w:after="0" w:line="95"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The Company’s Ireland tax returns prior to the fiscal year ended November 2, 2013 are no longer subject to examination. During the fourth quarter of fiscal 2018, the Company’s Irish tax resident subsidiary received an assessment for the fiscal year ended November 2, 2013 (fiscal 2013) of approximately €43.0 million, or approximately $52.0 million (as of May 1, 2021), from the Irish Revenue Commissioners (Irish Revenue). This assessment excludes any penalties and interest. The assessment claims that the Company’s Irish entity failed to conform to 2010 OECD Transfer Pricing Guidelines. As of May 1, 2021, the Company has recorded a liability in the Condensed Consolidated Balance Sheet related to this assessment for an amount that is not material. In the event a settlement is not reached beforehand, the matter will proceed to the Irish Tax Appeals Commission, which is the normal process for the resolution of differences between Irish Revenue and taxpayers. If Irish Revenue were ultimately to prevail with respect to its assessment for fiscal 2013, such assessment would have a material unfavorable impact on the Company's income tax expense and net earnings in future periods. During fiscal 2019, Irish Revenue commenced transfer pricing audits of the fiscal years ended November 1, 2014 (fiscal 2014) through fiscal 2017. The Company settled the audits relating to fiscal 2014 through fiscal 2017 with either no assessment or for additional tax payments that were not material.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w:t>
      </w:r>
    </w:p>
    <w:p>
      <w:pPr>
        <w:spacing w:after="0" w:line="10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Instruments </w:t>
      </w:r>
      <w:r>
        <w:rPr>
          <w:rFonts w:ascii="Arial" w:cs="Arial" w:eastAsia="Arial" w:hAnsi="Arial"/>
          <w:sz w:val="17"/>
          <w:szCs w:val="17"/>
          <w:color w:val="auto"/>
        </w:rPr>
        <w:t>(ASU 2016-13). ASU 2016-13 requires a financial asset (or group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xml:space="preserve"> (ASU 2019-05) and ASU 2019-11, </w:t>
      </w:r>
      <w:r>
        <w:rPr>
          <w:rFonts w:ascii="Arial" w:cs="Arial" w:eastAsia="Arial" w:hAnsi="Arial"/>
          <w:sz w:val="17"/>
          <w:szCs w:val="17"/>
          <w:i w:val="1"/>
          <w:iCs w:val="1"/>
          <w:color w:val="auto"/>
        </w:rPr>
        <w:t>Codification Improvements to Topic 326</w:t>
      </w:r>
      <w:r>
        <w:rPr>
          <w:rFonts w:ascii="Arial" w:cs="Arial" w:eastAsia="Arial" w:hAnsi="Arial"/>
          <w:sz w:val="17"/>
          <w:szCs w:val="17"/>
          <w:color w:val="auto"/>
        </w:rPr>
        <w:t xml:space="preserve"> (ASU 2019-11).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ASC 326.</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7" w:name="page18"/>
    <w:bookmarkEnd w:id="17"/>
    <w:p>
      <w:pPr>
        <w:ind w:right="20" w:firstLine="405"/>
        <w:spacing w:after="0" w:line="255" w:lineRule="auto"/>
        <w:rPr>
          <w:sz w:val="20"/>
          <w:szCs w:val="20"/>
          <w:color w:val="auto"/>
        </w:rPr>
      </w:pPr>
      <w:r>
        <w:rPr>
          <w:rFonts w:ascii="Arial" w:cs="Arial" w:eastAsia="Arial" w:hAnsi="Arial"/>
          <w:sz w:val="18"/>
          <w:szCs w:val="18"/>
          <w:color w:val="auto"/>
        </w:rPr>
        <w:t xml:space="preserve">The Company is exposed to credit losses through sales of its products and certain financial instruments. The Company determines if there is an expected loss on its accounts receivables using historical collection experience, current and future economic and market conditions and a review of the current status of customers' trade accounts receivables. The Company adopted these standards effective November 1, 2020 using the modified retrospective approach, which did not have a material impact on the Company's financial position and results of operations. See Note 8,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in these Notes to Condensed Consolidated Financial Statements for more information related to how the Company assesses credit losses on its available-for-sale debt securities.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Company adopted ASU 2019-12 in the first quarter of fiscal 2021. Upon adoption, ASU 2019-12 did not have a material impact on the Company's financial position and results of operations.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 2018-14), which modifies the disclosure requirements for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plans and other post-retirement plans. ASU 2018-14 is effective for fiscal years ending after December 15, 2020, with early adoption permitted. The Company adopted ASU 2018-14 in the first quarter of fiscal 2021. Upon adoption, ASU 2018-14 did not have a material impact on the Company's financial position and results of operations.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Reference Rate Reform</w:t>
      </w:r>
    </w:p>
    <w:p>
      <w:pPr>
        <w:spacing w:after="0" w:line="90"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guidance for accounting for contracts, hedging relationships, and other transactions affected by reference rate</w:t>
      </w:r>
      <w:r>
        <w:rPr>
          <w:rFonts w:ascii="Arial" w:cs="Arial" w:eastAsia="Arial" w:hAnsi="Arial"/>
          <w:sz w:val="16"/>
          <w:szCs w:val="16"/>
          <w:i w:val="1"/>
          <w:iCs w:val="1"/>
          <w:color w:val="auto"/>
        </w:rPr>
        <w:t xml:space="preserve"> </w:t>
      </w:r>
      <w:r>
        <w:rPr>
          <w:rFonts w:ascii="Arial" w:cs="Arial" w:eastAsia="Arial" w:hAnsi="Arial"/>
          <w:sz w:val="16"/>
          <w:szCs w:val="16"/>
          <w:color w:val="auto"/>
        </w:rPr>
        <w:t>reform, if certain criteria are met. The provisions of this standard are available for election through December 31, 2022. The Company is currently evaluating the impact of the reference rate reform on its contracts and the resulting impact of adopting this standard on our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July 12, 2020, the Company entered into the Merger Agreement to acquire Maxim, an independent manufacturer of innovative analog and mixed-signal products and technologies. Under the terms of the Merger Agreement, Maxim stockholders will receive, for each outstanding share of Maxim common stock, 0.630 of a share of the Company’s common stock at the closing. The estimated merger consideration is approximately $25.0 billion based on the closing price of the Company's common stock on May 14, 2021. The value of the merger consideration will fluctuate based upon changes in the price of the Company's common stock and the number of shares of Maxim common stock, restricted stock awards and restricted stock unit awards outstanding on the closing date.</w:t>
      </w:r>
    </w:p>
    <w:p>
      <w:pPr>
        <w:spacing w:after="0" w:line="138"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The transaction is subject to customary closing conditions, including receipt of certain remaining non-U.S. regulatory approvals. To date, required regulatory approvals have been obtained in all jurisdictions with the exception of China. The Merger Agreement includes termination rights for both the Company and Maxim. The Company may be required to pay Maxim a regulatory termination fee of $830.0 million in cash if the Merger Agreement is terminated in certain circumstances involving the failure to obtain required regulatory approvals. On October 8, 2020, the required shareholder approvals relating to the Merger Agreement were obtained from both the Company's shareholders and Maxim's shareholders.</w:t>
      </w:r>
    </w:p>
    <w:p>
      <w:pPr>
        <w:spacing w:after="0" w:line="107"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In the three- and six-month periods ended May 1, 2021, the Company incurred $23.0 million and $38.2 million of transaction-related costs, respectively, recorded within Selling, marketing, general and administrative expenses in the Company's Condensed Consolidated Statements of Income.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right="200" w:firstLine="405"/>
        <w:spacing w:after="0" w:line="342" w:lineRule="auto"/>
        <w:rPr>
          <w:sz w:val="20"/>
          <w:szCs w:val="20"/>
          <w:color w:val="auto"/>
        </w:rPr>
      </w:pPr>
      <w:r>
        <w:rPr>
          <w:rFonts w:ascii="Arial" w:cs="Arial" w:eastAsia="Arial" w:hAnsi="Arial"/>
          <w:sz w:val="16"/>
          <w:szCs w:val="16"/>
          <w:color w:val="auto"/>
        </w:rPr>
        <w:t>On May 18, 2021, the Board of Directors of the Company declared a cash dividend of $0.69 per outstanding share of common stock. The dividend will be paid on June 8, 2021 to all shareholders of record at the close of business on May 28, 2021 and is expected to total approximately $254.5 million.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8" w:name="page19"/>
    <w:bookmarkEnd w:id="18"/>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31, 2020 (fiscal 2020).</w:t>
      </w:r>
    </w:p>
    <w:p>
      <w:pPr>
        <w:spacing w:after="0" w:line="95" w:lineRule="exact"/>
        <w:rPr>
          <w:sz w:val="20"/>
          <w:szCs w:val="20"/>
          <w:color w:val="auto"/>
        </w:rPr>
      </w:pPr>
    </w:p>
    <w:p>
      <w:pPr>
        <w:ind w:right="60" w:firstLine="445"/>
        <w:spacing w:after="0" w:line="285" w:lineRule="auto"/>
        <w:rPr>
          <w:sz w:val="20"/>
          <w:szCs w:val="20"/>
          <w:color w:val="auto"/>
        </w:rPr>
      </w:pPr>
      <w:r>
        <w:rPr>
          <w:rFonts w:ascii="Arial" w:cs="Arial" w:eastAsia="Arial" w:hAnsi="Arial"/>
          <w:sz w:val="16"/>
          <w:szCs w:val="16"/>
          <w:color w:val="auto"/>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the proposed acquisition of Maxim Integrated Products, Inc.; our anticipated growth and trends in our businesses; our future liquidity, capital needs and capital expenditures; </w:t>
      </w:r>
      <w:r>
        <w:rPr>
          <w:rFonts w:ascii="Arial" w:cs="Arial" w:eastAsia="Arial" w:hAnsi="Arial"/>
          <w:sz w:val="16"/>
          <w:szCs w:val="16"/>
          <w:color w:val="212529"/>
        </w:rPr>
        <w:t>the impact of the</w:t>
      </w:r>
      <w:r>
        <w:rPr>
          <w:rFonts w:ascii="Arial" w:cs="Arial" w:eastAsia="Arial" w:hAnsi="Arial"/>
          <w:sz w:val="16"/>
          <w:szCs w:val="16"/>
          <w:color w:val="auto"/>
        </w:rPr>
        <w:t xml:space="preserve"> </w:t>
      </w:r>
      <w:r>
        <w:rPr>
          <w:rFonts w:ascii="Arial" w:cs="Arial" w:eastAsia="Arial" w:hAnsi="Arial"/>
          <w:sz w:val="16"/>
          <w:szCs w:val="16"/>
          <w:color w:val="212529"/>
        </w:rPr>
        <w:t xml:space="preserve">COVID-19 pandemic on our business, financial condition and results of operations; </w:t>
      </w:r>
      <w:r>
        <w:rPr>
          <w:rFonts w:ascii="Arial" w:cs="Arial" w:eastAsia="Arial" w:hAnsi="Arial"/>
          <w:sz w:val="16"/>
          <w:szCs w:val="16"/>
          <w:color w:val="000000"/>
        </w:rPr>
        <w:t>our future market position and expected competitive changes in the</w:t>
      </w:r>
      <w:r>
        <w:rPr>
          <w:rFonts w:ascii="Arial" w:cs="Arial" w:eastAsia="Arial" w:hAnsi="Arial"/>
          <w:sz w:val="16"/>
          <w:szCs w:val="16"/>
          <w:color w:val="212529"/>
        </w:rPr>
        <w:t xml:space="preserve"> </w:t>
      </w:r>
      <w:r>
        <w:rPr>
          <w:rFonts w:ascii="Arial" w:cs="Arial" w:eastAsia="Arial" w:hAnsi="Arial"/>
          <w:sz w:val="16"/>
          <w:szCs w:val="16"/>
          <w:color w:val="000000"/>
        </w:rPr>
        <w:t>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71"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Since the beginning of the third quarter of fiscal 2020, our manufacturing operations and supply chain generally stabilized at normal levels, but that could change in the future given that the COVID-19 situation remains dynamic.</w:t>
      </w:r>
    </w:p>
    <w:p>
      <w:pPr>
        <w:spacing w:after="0" w:line="11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1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actions to contain the virus or treat its impact, or how quickly and to what extent normal economic and operating conditions can resume.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On July 12, 2020, we entered into a definitive agreement (the Merger Agreement) to acquire Maxim Integrated Products, Inc. (Maxim), an independent manufacturer of innovative analog and mixed-signal products and technologies. Under the terms of the Merger Agreement, Maxim stockholders will receive, for each outstanding share of Maxim common stock, 0.630 of a share of our common stock at the closing. The estimated merger consideration is approximately $25.0 billion based on the closing price of our common stock on May 14, 2021. The value of the merger consideration will fluctuate based upon changes in the price of our common stock and the number of shares of Maxim common stock, restricted stock awards and restricted stock unit awards outstanding on the closing date.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9" w:name="page20"/>
    <w:bookmarkEnd w:id="19"/>
    <w:p>
      <w:pPr>
        <w:ind w:right="60" w:firstLine="445"/>
        <w:spacing w:after="0" w:line="257" w:lineRule="auto"/>
        <w:rPr>
          <w:sz w:val="20"/>
          <w:szCs w:val="20"/>
          <w:color w:val="auto"/>
        </w:rPr>
      </w:pPr>
      <w:r>
        <w:rPr>
          <w:rFonts w:ascii="Arial" w:cs="Arial" w:eastAsia="Arial" w:hAnsi="Arial"/>
          <w:sz w:val="18"/>
          <w:szCs w:val="18"/>
          <w:color w:val="auto"/>
        </w:rPr>
        <w:t>The transaction is subject to customary closing conditions, including receipt of certain remaining non-U.S. regulatory approvals. To date, required regulatory approvals have been obtained in all jurisdictions with the exception of China. The Merger Agreement includes termination rights for us and Maxim. We may be required to pay Maxim a regulatory termination fee of $830.0 million in cash if the Merger Agreement is terminated in certain circumstances involving the failure to obtain required regulatory approvals. On October 8, 2020, the required shareholder approvals relating to the Merger Agreement were obtained from both our shareholders and Maxim's shareholders.</w:t>
      </w:r>
    </w:p>
    <w:p>
      <w:pPr>
        <w:spacing w:after="0" w:line="134"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Condensed Consolidated Financial Statements contained in Part I, Item 1 of this Quarterly Report on Form 10-Q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1,661,407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1,317,060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344,347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422,905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267,696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453"/>
        </w:trPr>
        <w:tc>
          <w:tcPr>
            <w:tcW w:w="4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3,219,865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2,620,625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599,240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811,424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471,570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left="1097"/>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May 1, 2021</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7"/>
              </w:rPr>
              <w:t>May 2, 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center"/>
              <w:ind w:right="335"/>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4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972,177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716,364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276,960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276,575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257,586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1,661,407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May 1, 2021</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7"/>
              </w:rPr>
              <w:t>May 2, 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center"/>
              <w:ind w:right="335"/>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4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1,828,140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1,405,224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557,786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517,872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330,438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3,219,865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-121920</wp:posOffset>
            </wp:positionV>
            <wp:extent cx="44316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96" w:lineRule="exact"/>
        <w:rPr>
          <w:sz w:val="20"/>
          <w:szCs w:val="20"/>
          <w:color w:val="auto"/>
        </w:rPr>
      </w:pPr>
    </w:p>
    <w:p>
      <w:pPr>
        <w:jc w:val="both"/>
        <w:ind w:right="220" w:firstLine="445"/>
        <w:spacing w:after="0" w:line="301" w:lineRule="auto"/>
        <w:rPr>
          <w:sz w:val="20"/>
          <w:szCs w:val="20"/>
          <w:color w:val="auto"/>
        </w:rPr>
      </w:pPr>
      <w:r>
        <w:rPr>
          <w:rFonts w:ascii="Arial" w:cs="Arial" w:eastAsia="Arial" w:hAnsi="Arial"/>
          <w:sz w:val="16"/>
          <w:szCs w:val="16"/>
          <w:color w:val="auto"/>
        </w:rPr>
        <w:t>Revenue increased in the three- and six-month periods ended May 1, 2021, as compared to the same periods of the prior fiscal year, primarily as a result of higher broad-based demand for our products sold into the Industrial and Automotive end markets, and to a lesser extent, sold into the Consumer end market. Revenue in the Communications end market was relatively flat in the three-month period ended May 1, 2021 and increased in the six-month period ended May 1, 2021 due to the timing of infrastructure deployment cycles and the ramp up of these cycles in certain regions.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Arial" w:cs="Arial" w:eastAsia="Arial" w:hAnsi="Arial"/>
                <w:sz w:val="14"/>
                <w:szCs w:val="14"/>
                <w:b w:val="1"/>
                <w:bCs w:val="1"/>
                <w:color w:val="auto"/>
              </w:rPr>
              <w:t>May 1, 2021</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Arial" w:cs="Arial" w:eastAsia="Arial" w:hAnsi="Arial"/>
                <w:sz w:val="14"/>
                <w:szCs w:val="14"/>
                <w:b w:val="1"/>
                <w:bCs w:val="1"/>
                <w:color w:val="auto"/>
              </w:rPr>
              <w:t>May 2, 2020</w:t>
            </w:r>
          </w:p>
        </w:tc>
      </w:tr>
      <w:tr>
        <w:trPr>
          <w:trHeight w:val="183"/>
        </w:trPr>
        <w:tc>
          <w:tcPr>
            <w:tcW w:w="4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Revenue*</w:t>
            </w:r>
          </w:p>
        </w:tc>
      </w:tr>
      <w:tr>
        <w:trPr>
          <w:trHeight w:val="21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1,092,928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750,388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546,555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1,661,407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4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80" w:type="dxa"/>
            <w:vAlign w:val="bottom"/>
            <w:tcBorders>
              <w:bottom w:val="single" w:sz="8" w:color="auto"/>
            </w:tcBorders>
          </w:tcPr>
          <w:p>
            <w:pPr>
              <w:spacing w:after="0"/>
              <w:rPr>
                <w:sz w:val="24"/>
                <w:szCs w:val="24"/>
                <w:color w:val="auto"/>
              </w:rPr>
            </w:pPr>
          </w:p>
        </w:tc>
      </w:tr>
      <w:tr>
        <w:trPr>
          <w:trHeight w:val="187"/>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Arial" w:cs="Arial" w:eastAsia="Arial" w:hAnsi="Arial"/>
                <w:sz w:val="14"/>
                <w:szCs w:val="14"/>
                <w:b w:val="1"/>
                <w:bCs w:val="1"/>
                <w:color w:val="auto"/>
              </w:rPr>
              <w:t>May 1, 2021</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Arial" w:cs="Arial" w:eastAsia="Arial" w:hAnsi="Arial"/>
                <w:sz w:val="14"/>
                <w:szCs w:val="14"/>
                <w:b w:val="1"/>
                <w:bCs w:val="1"/>
                <w:color w:val="auto"/>
              </w:rPr>
              <w:t>May 2, 2020</w:t>
            </w:r>
          </w:p>
        </w:tc>
      </w:tr>
      <w:tr>
        <w:trPr>
          <w:trHeight w:val="183"/>
        </w:trPr>
        <w:tc>
          <w:tcPr>
            <w:tcW w:w="4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Revenue*</w:t>
            </w:r>
          </w:p>
        </w:tc>
      </w:tr>
      <w:tr>
        <w:trPr>
          <w:trHeight w:val="21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2,039,314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1,497,949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1,136,011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1,077,382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3,219,865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60" w:hanging="134"/>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1" w:name="page22"/>
    <w:bookmarkEnd w:id="21"/>
    <w:p>
      <w:pPr>
        <w:ind w:right="280" w:firstLine="445"/>
        <w:spacing w:after="0" w:line="342" w:lineRule="auto"/>
        <w:rPr>
          <w:sz w:val="20"/>
          <w:szCs w:val="20"/>
          <w:color w:val="auto"/>
        </w:rPr>
      </w:pPr>
      <w:r>
        <w:rPr>
          <w:rFonts w:ascii="Arial" w:cs="Arial" w:eastAsia="Arial" w:hAnsi="Arial"/>
          <w:sz w:val="16"/>
          <w:szCs w:val="16"/>
          <w:color w:val="auto"/>
        </w:rPr>
        <w:t>The percentage of total revenue sold via each channel can fluctuate from time to time based on end customer demand. In the three- and six-month periods ended May 1, 2021, higher demand within our Industrial end market resulted in increased revenue through our distributor channel.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r>
      <w:tr>
        <w:trPr>
          <w:trHeight w:val="187"/>
        </w:trPr>
        <w:tc>
          <w:tcPr>
            <w:tcW w:w="178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1, 2021</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1, 2021</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7"/>
              </w:rPr>
              <w:t>$  1,136,637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846,674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2,182,008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1,694,816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122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76"/>
              <w:spacing w:after="0"/>
              <w:rPr>
                <w:sz w:val="20"/>
                <w:szCs w:val="20"/>
                <w:color w:val="auto"/>
              </w:rPr>
            </w:pPr>
            <w:r>
              <w:rPr>
                <w:rFonts w:ascii="Arial" w:cs="Arial" w:eastAsia="Arial" w:hAnsi="Arial"/>
                <w:sz w:val="18"/>
                <w:szCs w:val="18"/>
                <w:color w:val="auto"/>
                <w:w w:val="90"/>
              </w:rPr>
              <w:t>67.8%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47"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Gross margin percentage increased by 410 and 310 basis points in the three- and six-month periods ended May 1, 2021, respectively, as compared to the same periods of the prior fiscal year, primarily as a result of higher utilization of our factories due to increased customer demand.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1, 2021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2021</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1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   302,238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252,413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49,825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590,388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509,486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6"/>
        </w:trPr>
        <w:tc>
          <w:tcPr>
            <w:tcW w:w="1820" w:type="dxa"/>
            <w:vAlign w:val="bottom"/>
          </w:tcPr>
          <w:p>
            <w:pPr>
              <w:ind w:left="20"/>
              <w:spacing w:after="0" w:line="176" w:lineRule="exact"/>
              <w:rPr>
                <w:sz w:val="20"/>
                <w:szCs w:val="20"/>
                <w:color w:val="auto"/>
              </w:rPr>
            </w:pPr>
            <w:r>
              <w:rPr>
                <w:rFonts w:ascii="Arial" w:cs="Arial" w:eastAsia="Arial" w:hAnsi="Arial"/>
                <w:sz w:val="18"/>
                <w:szCs w:val="18"/>
                <w:color w:val="auto"/>
                <w:w w:val="98"/>
              </w:rPr>
              <w:t>R&amp;D expenses as a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R&amp;D expenses increased in the three- and six-month periods ended May 1, 2021, as compared to the same periods of the prior fiscal year, primarily as a result of higher R&amp;D employee-related variable compensation expense and salary and benefit expenses. In the six-month period ended May 1, 2021, those increases were partially offset by lower discretionary spending.</w:t>
      </w:r>
    </w:p>
    <w:p>
      <w:pPr>
        <w:spacing w:after="0" w:line="130"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2021</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2020</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206,612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141,775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391,887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341,055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w w:val="93"/>
              </w:rPr>
              <w:t>SMG&amp;A expenses as a</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SMG&amp;A expenses increased in the three-month period ended May 1, 2021, as compared to the same period of the prior fiscal year, primarily as a result of higher variable compensation expense, $23.0 million in acquisition-related transaction costs in connection with the proposed acquisition of Maxim and higher salary and benefit expenses.</w:t>
      </w:r>
    </w:p>
    <w:p>
      <w:pPr>
        <w:spacing w:after="0" w:line="13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SMG&amp;A expenses increased in the six-month period ended May 1, 2021, as compared to the same period of the prior fiscal year, primarily as a result of higher variable compensation expense, $38.2 million in acquisition-related transaction costs in connection with the proposed acquisition of Maxim and higher salary and benefit expenses, partially offset by a $40.0 million charitable contribution to the Analog Devices Foundation made in the first quarter of fiscal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Operating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6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1, 2021</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2020</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   519,690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344,020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$ 175,670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983,550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   617,448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$ 366,102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line="176" w:lineRule="exact"/>
              <w:rPr>
                <w:sz w:val="20"/>
                <w:szCs w:val="20"/>
                <w:color w:val="auto"/>
              </w:rPr>
            </w:pPr>
            <w:r>
              <w:rPr>
                <w:rFonts w:ascii="Arial" w:cs="Arial" w:eastAsia="Arial" w:hAnsi="Arial"/>
                <w:sz w:val="18"/>
                <w:szCs w:val="18"/>
                <w:color w:val="auto"/>
                <w:w w:val="94"/>
              </w:rPr>
              <w:t>Operating income as a %</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23.6 %</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 xml:space="preserve">The year-over-year increase in operating income in the three-month period ended May 1, 2021 was primarily the result of an increase in revenue of $344.3 million, which drove an increase in gross margin of $290.0 million, partially offset by increases of $64.8 million in SMG&amp;A expenses and $49.8 million in R&amp;D expenses, as described above under the headings </w:t>
      </w:r>
      <w:r>
        <w:rPr>
          <w:rFonts w:ascii="Arial" w:cs="Arial" w:eastAsia="Arial" w:hAnsi="Arial"/>
          <w:sz w:val="18"/>
          <w:szCs w:val="18"/>
          <w:i w:val="1"/>
          <w:iCs w:val="1"/>
          <w:color w:val="auto"/>
        </w:rPr>
        <w:t>Revenue Trends by End Market, Gross Margin, Selling, Marketing,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(SMG&amp;A) </w:t>
      </w:r>
      <w:r>
        <w:rPr>
          <w:rFonts w:ascii="Arial" w:cs="Arial" w:eastAsia="Arial" w:hAnsi="Arial"/>
          <w:sz w:val="18"/>
          <w:szCs w:val="18"/>
          <w:color w:val="auto"/>
        </w:rPr>
        <w:t>and</w:t>
      </w:r>
      <w:r>
        <w:rPr>
          <w:rFonts w:ascii="Arial" w:cs="Arial" w:eastAsia="Arial" w:hAnsi="Arial"/>
          <w:sz w:val="18"/>
          <w:szCs w:val="18"/>
          <w:i w:val="1"/>
          <w:iCs w:val="1"/>
          <w:color w:val="auto"/>
        </w:rPr>
        <w:t xml:space="preserve"> Research and Development (R&amp;D).</w:t>
      </w:r>
    </w:p>
    <w:p>
      <w:pPr>
        <w:spacing w:after="0" w:line="133"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 xml:space="preserve">The year-over-year increase in operating income in the six-month period ended May 1, 2021 was primarily the result of an increase in revenue of $599.2 million, which drove an increase in gross margin of $487.2 million, and a decrease in special charges of $11.7 million, partially offset by an $80.9 million increase in R&amp;D expenses and a $50.8 million increase in SMG&amp;A expenses, as described above under the headings </w:t>
      </w:r>
      <w:r>
        <w:rPr>
          <w:rFonts w:ascii="Arial" w:cs="Arial" w:eastAsia="Arial" w:hAnsi="Arial"/>
          <w:sz w:val="17"/>
          <w:szCs w:val="17"/>
          <w:i w:val="1"/>
          <w:iCs w:val="1"/>
          <w:color w:val="auto"/>
        </w:rPr>
        <w:t>Revenue Trends by End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Gross Margin, Research and Development (R&amp;D) </w:t>
      </w:r>
      <w:r>
        <w:rPr>
          <w:rFonts w:ascii="Arial" w:cs="Arial" w:eastAsia="Arial" w:hAnsi="Arial"/>
          <w:sz w:val="17"/>
          <w:szCs w:val="17"/>
          <w:color w:val="auto"/>
        </w:rPr>
        <w:t>and</w:t>
      </w:r>
      <w:r>
        <w:rPr>
          <w:rFonts w:ascii="Arial" w:cs="Arial" w:eastAsia="Arial" w:hAnsi="Arial"/>
          <w:sz w:val="17"/>
          <w:szCs w:val="17"/>
          <w:i w:val="1"/>
          <w:iCs w:val="1"/>
          <w:color w:val="auto"/>
        </w:rPr>
        <w:t xml:space="preserve"> Selling, Marketing, General and Administrative (SMG&amp;A).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7"/>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Arial" w:cs="Arial" w:eastAsia="Arial" w:hAnsi="Arial"/>
                <w:sz w:val="14"/>
                <w:szCs w:val="14"/>
                <w:b w:val="1"/>
                <w:bCs w:val="1"/>
                <w:color w:val="auto"/>
              </w:rPr>
              <w:t>May 1, 2021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6"/>
                <w:szCs w:val="16"/>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Arial" w:cs="Arial" w:eastAsia="Arial" w:hAnsi="Arial"/>
                <w:sz w:val="14"/>
                <w:szCs w:val="14"/>
                <w:b w:val="1"/>
                <w:bCs w:val="1"/>
                <w:color w:val="auto"/>
              </w:rPr>
              <w:t>May 1,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2020</w:t>
            </w:r>
          </w:p>
        </w:tc>
        <w:tc>
          <w:tcPr>
            <w:tcW w:w="18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 Change</w:t>
            </w:r>
          </w:p>
        </w:tc>
      </w:tr>
      <w:tr>
        <w:trPr>
          <w:trHeight w:val="22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w:t>
            </w:r>
          </w:p>
        </w:tc>
      </w:tr>
    </w:tbl>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year-over-year decrease in nonoperating expense in the three-month period ended May 1, 2021 was primarily the result of a decrease in interest expense related to our debt obligations. The year-over-year decrease in nonoperating expense in the six-month period ended May 1, 2021 was primarily the result of a $16.2 million gain recorded in other investments in the first quarter of fiscal 2021 and a decrease in interest expense related to our debt obligations.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Provision for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b w:val="1"/>
                <w:bCs w:val="1"/>
                <w:color w:val="auto"/>
              </w:rPr>
              <w:t>May 1, 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 2020</w:t>
            </w:r>
          </w:p>
        </w:tc>
        <w:tc>
          <w:tcPr>
            <w:tcW w:w="220" w:type="dxa"/>
            <w:vAlign w:val="bottom"/>
          </w:tcPr>
          <w:p>
            <w:pPr>
              <w:spacing w:after="0"/>
              <w:rPr>
                <w:sz w:val="16"/>
                <w:szCs w:val="16"/>
                <w:color w:val="auto"/>
              </w:rPr>
            </w:pPr>
          </w:p>
        </w:tc>
        <w:tc>
          <w:tcPr>
            <w:tcW w:w="96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53,080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27,365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101,179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49,708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51,471</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effective tax rates for the three- and six-month periods ended May 1, 2021 and May 2, 2020 were below the U.S. statutory tax rate of 21% due to lower statutory tax rates applicable to our operations in the foreign jurisdictions in which we earn income. Our pretax income for the three- and six-month periods ended May 1, 2021 and May 2, 2020 was primarily generated in Ireland at a tax rate of 12.5%.</w:t>
      </w:r>
    </w:p>
    <w:p>
      <w:pPr>
        <w:spacing w:after="0" w:line="7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2021</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1, 2021</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422,905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267,696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155,209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811,424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471,570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339,854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line="176" w:lineRule="exact"/>
              <w:rPr>
                <w:sz w:val="20"/>
                <w:szCs w:val="20"/>
                <w:color w:val="auto"/>
              </w:rPr>
            </w:pPr>
            <w:r>
              <w:rPr>
                <w:rFonts w:ascii="Arial" w:cs="Arial" w:eastAsia="Arial" w:hAnsi="Arial"/>
                <w:sz w:val="18"/>
                <w:szCs w:val="18"/>
                <w:color w:val="auto"/>
                <w:w w:val="98"/>
              </w:rPr>
              <w:t>Net Income as a %</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18.0 %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Net income increased in the three-month period ended May 1, 2021, as compared to the same period of the prior fiscal year, as a result of a $175.7 million increase in operating income and a $5.3 million decrease in nonoperating expense, partially offset by a $25.7 million increase in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ind w:right="380" w:firstLine="445"/>
        <w:spacing w:after="0" w:line="263" w:lineRule="auto"/>
        <w:rPr>
          <w:sz w:val="20"/>
          <w:szCs w:val="20"/>
          <w:color w:val="auto"/>
        </w:rPr>
      </w:pPr>
      <w:r>
        <w:rPr>
          <w:rFonts w:ascii="Arial" w:cs="Arial" w:eastAsia="Arial" w:hAnsi="Arial"/>
          <w:sz w:val="18"/>
          <w:szCs w:val="18"/>
          <w:color w:val="auto"/>
        </w:rPr>
        <w:t>Net income increased in the six-month period ended May 1, 2021, as compared to the same period of the prior fiscal year, as a result of a $366.1 million increase in operating income and a $25.2 million decrease in nonoperating expense, partially offset by a $51.5 million increase in provision for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At May 1, 2021, our principal source of liquidity was $1,305.2 million of cash and cash equivalents, of which approximately $498.4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9" w:lineRule="exact"/>
        <w:rPr>
          <w:sz w:val="20"/>
          <w:szCs w:val="20"/>
          <w:color w:val="auto"/>
        </w:rPr>
      </w:pPr>
    </w:p>
    <w:p>
      <w:pPr>
        <w:jc w:val="both"/>
        <w:ind w:right="360" w:firstLine="445"/>
        <w:spacing w:after="0" w:line="311"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transaction costs associated with our proposed merger with Maxim and dividend payments (if any) in the immediate future and for at least the next twelve months.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340" w:type="dxa"/>
            <w:vAlign w:val="bottom"/>
          </w:tcPr>
          <w:p>
            <w:pPr>
              <w:spacing w:after="0"/>
              <w:rPr>
                <w:sz w:val="16"/>
                <w:szCs w:val="16"/>
                <w:color w:val="auto"/>
              </w:rPr>
            </w:pPr>
          </w:p>
        </w:tc>
        <w:tc>
          <w:tcPr>
            <w:tcW w:w="1520" w:type="dxa"/>
            <w:vAlign w:val="bottom"/>
          </w:tcPr>
          <w:p>
            <w:pPr>
              <w:jc w:val="right"/>
              <w:ind w:right="474"/>
              <w:spacing w:after="0"/>
              <w:rPr>
                <w:sz w:val="20"/>
                <w:szCs w:val="20"/>
                <w:color w:val="auto"/>
              </w:rPr>
            </w:pPr>
            <w:r>
              <w:rPr>
                <w:rFonts w:ascii="Arial" w:cs="Arial" w:eastAsia="Arial" w:hAnsi="Arial"/>
                <w:sz w:val="14"/>
                <w:szCs w:val="14"/>
                <w:b w:val="1"/>
                <w:bCs w:val="1"/>
                <w:color w:val="auto"/>
              </w:rPr>
              <w:t>May 2, 2020</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1,164,303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778,689</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(135,768)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(116,284)</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6"/>
              <w:spacing w:after="0"/>
              <w:rPr>
                <w:sz w:val="20"/>
                <w:szCs w:val="20"/>
                <w:color w:val="auto"/>
              </w:rPr>
            </w:pPr>
            <w:r>
              <w:rPr>
                <w:rFonts w:ascii="Arial" w:cs="Arial" w:eastAsia="Arial" w:hAnsi="Arial"/>
                <w:sz w:val="18"/>
                <w:szCs w:val="18"/>
                <w:color w:val="auto"/>
              </w:rPr>
              <w:t>(783,408)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(525,282)</w:t>
            </w:r>
          </w:p>
        </w:tc>
      </w:tr>
    </w:tbl>
    <w:p>
      <w:pPr>
        <w:spacing w:after="0" w:line="93"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six-month period ended May 1, 2021 as compared to the same period in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increase in cash provided by operating activities during the six-month period ended May 1, 2021, as compared to the same period of the prior fiscal year, was primarily the result of higher net income adjusted for non-cash items and changes in working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Investing cash flows generally consist of capital expenditures and cash used for acquisitions. The increase in cash used for investing activities during the six-month period ended May 1, 2021, as compared to the same period of the prior fiscal year, was primarily the result of cash payments for an asset acquisition and an increase in cash used for capital expenditures, partially offset by proceeds from other investments.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six-month period ended May 1, 2021, as compared to the same period of the prior fiscal year, was primarily the result of increases in common stock repurchases and dividend payments to shareholders. The comparable period of fiscal 2020 also included proceeds from our bond issuance as well as debt repayments, which did not repeat in fiscal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Working Capital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1, 2021</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2020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93" w:lineRule="exact"/>
        <w:rPr>
          <w:sz w:val="20"/>
          <w:szCs w:val="20"/>
          <w:color w:val="auto"/>
        </w:rPr>
      </w:pPr>
    </w:p>
    <w:p>
      <w:pPr>
        <w:ind w:right="380" w:firstLine="8"/>
        <w:spacing w:after="0" w:line="277"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62"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increase in accounts receivable in dollars was primarily the result of variations in the timing of collections and billings and increased revenue levels.</w:t>
      </w:r>
    </w:p>
    <w:p>
      <w:pPr>
        <w:spacing w:after="0" w:line="62"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Current liabilities increased to approximately $2,776.8 million at May 1, 2021 from approximately $1,365.0 million at the end of fiscal 2020. The increase was primarily due to increases in the current portion of our debt, accounts payable and accrued liabilities, partially offset by a decrease in income taxes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May 1, 2021, our debt obligations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29"/>
        </w:trPr>
        <w:tc>
          <w:tcPr>
            <w:tcW w:w="520" w:type="dxa"/>
            <w:vAlign w:val="bottom"/>
            <w:tcBorders>
              <w:bottom w:val="single" w:sz="8" w:color="auto"/>
            </w:tcBorders>
          </w:tcPr>
          <w:p>
            <w:pPr>
              <w:spacing w:after="0"/>
              <w:rPr>
                <w:sz w:val="19"/>
                <w:szCs w:val="19"/>
                <w:color w:val="auto"/>
              </w:rPr>
            </w:pPr>
          </w:p>
        </w:tc>
        <w:tc>
          <w:tcPr>
            <w:tcW w:w="8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2.50%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2.95%</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3.50%</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4.50%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5.30%</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4"/>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5,175,000</w:t>
            </w:r>
          </w:p>
        </w:tc>
      </w:tr>
    </w:tbl>
    <w:p>
      <w:pPr>
        <w:spacing w:after="0" w:line="9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1, 2021, we were in compliance with these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Second Amended and Restated Revolving Credit Agreement, dated as of June 28, 2019, with Bank of America N.A. as administrative agent and other banks identified therein as lenders (Revolving Credit Agreement) provides for a five-year unsecured revolving credit facility in an aggregate principal amount of up to $1.25 billion, expiring on June 28, 2024. 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May 1, 2021, we were in compliance with these covenants.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In the aggregate, our Board of Directors has authorized us to repurchase $8.2 billion of our common stock under our common stock repurchase program. Unless terminated earlier by resolution of our Board of Directors, the repurchase program will expire when we have repurchased all shares authorized under the program. As of May 1, 2021, an additional $1.6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Net additions to property, plant and equipment were $126.6 million in the first six months of fiscal 2021 and were funded with a combination of cash on hand and cash generated from operations. We expect capital expenditures for fiscal 2021 to be between 4% and 5% of fiscal 2021 revenue. We expect these capital expenditures will be funded with a combination of cash on hand and cash generated from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May 18, 2021, our Board of Directors declared a cash dividend of $0.69 per outstanding share of common stock. The dividend will be paid on June 8, 2021 to all shareholders of record at the close of business on May 28, 2021 and is expected to total approximately $254.5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There have not been any material changes during the six-month period ended May 1, 2021 to the amounts presented in the table summarizing our contractual obligations included in our Annual Report on Form 10-K for the fiscal year ended October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12,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Except for the accounting policies for credit losses and income taxes that were updated as a result of adopting ASU 2016-13 and ASU 2019-12, respectively, there were no other changes in the six-month period ended May 1, 2021 to the information provided under the heading “Critical Accounting Policies and Estimates” in the section entitled "Management's Discussion and Analysis of Financial Condition and Results of Operations" of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6" w:name="page27"/>
    <w:bookmarkEnd w:id="26"/>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20" w:firstLine="445"/>
        <w:spacing w:after="0" w:line="308" w:lineRule="auto"/>
        <w:rPr>
          <w:sz w:val="20"/>
          <w:szCs w:val="20"/>
          <w:color w:val="auto"/>
        </w:rPr>
      </w:pPr>
      <w:r>
        <w:rPr>
          <w:rFonts w:ascii="Arial" w:cs="Arial" w:eastAsia="Arial" w:hAnsi="Arial"/>
          <w:sz w:val="17"/>
          <w:szCs w:val="17"/>
          <w:color w:val="auto"/>
        </w:rPr>
        <w:t>There were no material changes in the six-month period ended May 1, 2021 to the information provided under Item 7A. “Quantitative and Qualitative Disclosures about Market Risk,” set forth in our Annual Report on Form 10-K for the fiscal year ended October 31, 2020</w:t>
      </w:r>
      <w:r>
        <w:rPr>
          <w:rFonts w:ascii="Arial" w:cs="Arial" w:eastAsia="Arial" w:hAnsi="Arial"/>
          <w:sz w:val="17"/>
          <w:szCs w:val="17"/>
          <w:color w:val="EE2724"/>
        </w:rPr>
        <w:t>.</w:t>
      </w:r>
    </w:p>
    <w:p>
      <w:pPr>
        <w:spacing w:after="0" w:line="21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69" w:lineRule="auto"/>
        <w:tabs>
          <w:tab w:leader="none" w:pos="2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May 1,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1, 2021, our Chief Executive Officer and Chief Financial Officer concluded that, as of such date, our disclosure controls and procedures were effective at the reasonable assurance level.</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10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May 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5"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October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Maxim Integrated Products, Inc.</w:t>
      </w:r>
    </w:p>
    <w:p>
      <w:pPr>
        <w:spacing w:after="0" w:line="13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Our ability to complete the acquisition of Maxim Integrated Products, Inc. (Maxim) is subject to various closing conditions, including the receipt of consents and approvals from governmental authorities, which may impose conditions that could adversely affect us or cause the acquisition not to be completed.</w:t>
      </w:r>
    </w:p>
    <w:p>
      <w:pPr>
        <w:spacing w:after="0" w:line="8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July 12, 2020, we entered into a definitive agreement (the Merger Agreement) to acquire Maxim, an independent manufacturer of innovative analog and mixed-signal products and technologies. The merger is subject to a number of conditions to closing as specified in the Merger Agreement. These closing conditions include, among others, the receipt of required approvals under certain foreign competition laws, and the absence of governmental restraints or prohibitions preventing the consummation of the merger. To date, required regulatory approvals have been obtained in all jurisdictions with the exception of China. No assurance can be given that the required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we and Maxim expect to achieve if the merger is successfully completed within its expected time frame.</w:t>
      </w:r>
    </w:p>
    <w:p>
      <w:pPr>
        <w:spacing w:after="0" w:line="115"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Additionally, either we or Maxim may terminate the Merger Agreement under certain circumstances, including, among other reasons, if the merger is not completed by July 12, 2021 (which date may be extended under certain circumstances). Under certain circumstances, including if the proposed merger is terminated due to a failure to obtain the required regulatory clearances, we may be required to pay Maxim a termination fee of $830.0 million.</w:t>
      </w:r>
    </w:p>
    <w:p>
      <w:pPr>
        <w:spacing w:after="0" w:line="5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termination of the Merger Agreement could negatively impact our business.</w:t>
      </w:r>
    </w:p>
    <w:p>
      <w:pPr>
        <w:spacing w:after="0" w:line="14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4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merger, such as financial advisory, legal, financing and accounting costs and associated fees and expenses, whether or not the merger is completed;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subject to time-consuming and costly litigation related to the merger; and</w:t>
      </w:r>
    </w:p>
    <w:p>
      <w:pPr>
        <w:spacing w:after="0" w:line="130"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require substantial commitments of time and resources by our management, which could otherwise have been devoted to day-to-day operations or to other opportunities that may have been beneficial to our business.</w:t>
      </w:r>
    </w:p>
    <w:p>
      <w:pPr>
        <w:spacing w:after="0" w:line="65"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From and after the date of the Merger Agreement and prior to completion of the merger, the Merger Agreement restricts us from taking specified actions without Maxim’s consent and requires that our business be conducted in the ordinary course in all material respects. These restrictions may prevent us from making appropriate changes to our business or organizational structure or from pursuing attractive business opportunities that may arise prior to the 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8" w:name="page29"/>
    <w:bookmarkEnd w:id="28"/>
    <w:p>
      <w:pPr>
        <w:ind w:right="440"/>
        <w:spacing w:after="0" w:line="277" w:lineRule="auto"/>
        <w:rPr>
          <w:sz w:val="20"/>
          <w:szCs w:val="20"/>
          <w:color w:val="auto"/>
        </w:rPr>
      </w:pPr>
      <w:r>
        <w:rPr>
          <w:rFonts w:ascii="Arial" w:cs="Arial" w:eastAsia="Arial" w:hAnsi="Arial"/>
          <w:sz w:val="18"/>
          <w:szCs w:val="18"/>
          <w:i w:val="1"/>
          <w:iCs w:val="1"/>
          <w:color w:val="auto"/>
        </w:rPr>
        <w:t>Whether or not the merger is completed, the announcement and pendency of the merger could cause disruptions in our business, which could have an adverse effect on our business and financial results.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Whether or not the merger is completed, the announcement and pendency of the merger could cause disruptions in our business. Specifically</w:t>
      </w:r>
      <w:r>
        <w:rPr>
          <w:rFonts w:ascii="Arial" w:cs="Arial" w:eastAsia="Arial" w:hAnsi="Arial"/>
          <w:sz w:val="17"/>
          <w:szCs w:val="17"/>
          <w:i w:val="1"/>
          <w:iCs w:val="1"/>
          <w:color w:val="auto"/>
        </w:rPr>
        <w:t>:</w:t>
      </w:r>
    </w:p>
    <w:p>
      <w:pPr>
        <w:spacing w:after="0" w:line="88" w:lineRule="exact"/>
        <w:rPr>
          <w:sz w:val="20"/>
          <w:szCs w:val="20"/>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 Maxim’s current and prospective employees will experience uncertainty about their future roles with the combined company, which might adversely affect the two companies’ abilities to retain key managers and other employees;</w:t>
      </w:r>
    </w:p>
    <w:p>
      <w:pPr>
        <w:spacing w:after="0" w:line="21" w:lineRule="exact"/>
        <w:rPr>
          <w:rFonts w:ascii="Arial" w:cs="Arial" w:eastAsia="Arial" w:hAnsi="Arial"/>
          <w:sz w:val="18"/>
          <w:szCs w:val="18"/>
          <w:color w:val="auto"/>
        </w:rPr>
      </w:pPr>
    </w:p>
    <w:p>
      <w:pPr>
        <w:jc w:val="both"/>
        <w:ind w:left="660" w:right="22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uncertainty regarding the completion of the merger may cause our and Maxim’s customers, suppliers, distributors, vendors, strategic partners or others that deal with us or Maxim to delay or defer entering into contracts with us or Maxim, make other decisions concerning us or Maxim, or seek to change or cancel existing business relationships with us or Maxim, which could negatively affect our respective businesses;</w:t>
      </w:r>
    </w:p>
    <w:p>
      <w:pPr>
        <w:spacing w:after="0" w:line="13" w:lineRule="exact"/>
        <w:rPr>
          <w:rFonts w:ascii="Arial" w:cs="Arial" w:eastAsia="Arial" w:hAnsi="Arial"/>
          <w:sz w:val="16"/>
          <w:szCs w:val="16"/>
          <w:color w:val="auto"/>
        </w:rPr>
      </w:pPr>
    </w:p>
    <w:p>
      <w:pPr>
        <w:ind w:left="660" w:right="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Agreement restricts us and our subsidiaries from taking specified actions during the pendency of the merger without Maxim’s consent, which may prevent us from pursuing attractive business opportunities or strategic transactions that may arise prior to the completion of the merger;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attention of our and Maxim’s management may be directed toward the completion of the merger.</w:t>
      </w:r>
    </w:p>
    <w:p>
      <w:pPr>
        <w:spacing w:after="0" w:line="13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We have diverted significant management resources in an effort to complete the merger and are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We will incur significant acquisition-related costs in connection with the Maxim acquisition, and the combined company could incur substantial expenses related to the integration of Maxim.</w:t>
      </w:r>
    </w:p>
    <w:p>
      <w:pPr>
        <w:spacing w:after="0" w:line="76"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We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We will need to pay some of these costs regardless of whether the merger is completed.</w:t>
      </w:r>
    </w:p>
    <w:p>
      <w:pPr>
        <w:spacing w:after="0" w:line="6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combined company will also incur restructuring and integration costs in connection with the merger. The costs related to restructuring will be expensed as a cost of the ongoing results of operations of either us or the combined company.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We will bear many of these costs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9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89" w:lineRule="exact"/>
        <w:rPr>
          <w:sz w:val="20"/>
          <w:szCs w:val="20"/>
          <w:color w:val="auto"/>
        </w:rPr>
      </w:pPr>
    </w:p>
    <w:p>
      <w:pPr>
        <w:ind w:right="260" w:firstLine="445"/>
        <w:spacing w:after="0" w:line="275" w:lineRule="auto"/>
        <w:rPr>
          <w:sz w:val="20"/>
          <w:szCs w:val="20"/>
          <w:color w:val="auto"/>
        </w:rPr>
      </w:pPr>
      <w:r>
        <w:rPr>
          <w:rFonts w:ascii="Arial" w:cs="Arial" w:eastAsia="Arial" w:hAnsi="Arial"/>
          <w:sz w:val="17"/>
          <w:szCs w:val="17"/>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2"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The merger involves the combination of two companies which currently operate, and until the completion of the merger will continue to operate, as independent public companies. There can be no assurances that our respective businesses can be integrated successfully. It is possible that the integration process could result in the loss of key employees from both companies, the loss of customers, the disruption of our, Maxim’s or both companies’ ongoing businesses, inconsistencies in standards, controls, procedures and policies, unexpected integration issues, higher than expected integration costs and an overall post-completion integration process that takes longer than originally anticipated. The combined company will be required to devote management attention and resources to integrating its business practices and operations, and prior to the merger,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9" w:name="page30"/>
    <w:bookmarkEnd w:id="29"/>
    <w:p>
      <w:pPr>
        <w:ind w:right="600"/>
        <w:spacing w:after="0" w:line="277" w:lineRule="auto"/>
        <w:rPr>
          <w:sz w:val="20"/>
          <w:szCs w:val="20"/>
          <w:color w:val="auto"/>
        </w:rPr>
      </w:pPr>
      <w:r>
        <w:rPr>
          <w:rFonts w:ascii="Arial" w:cs="Arial" w:eastAsia="Arial" w:hAnsi="Arial"/>
          <w:sz w:val="18"/>
          <w:szCs w:val="18"/>
          <w:color w:val="auto"/>
        </w:rPr>
        <w:t>management attention and resources will be required to plan for such integration. Potential difficulties the combined company may encounter in the integration process include the following:</w:t>
      </w:r>
    </w:p>
    <w:p>
      <w:pPr>
        <w:spacing w:after="0" w:line="35" w:lineRule="exact"/>
        <w:rPr>
          <w:sz w:val="20"/>
          <w:szCs w:val="20"/>
          <w:color w:val="auto"/>
        </w:rPr>
      </w:pPr>
    </w:p>
    <w:p>
      <w:pPr>
        <w:ind w:left="660" w:right="6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2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personnel from the two companies while maintaining focus on providing consistent, high-quality products and services, especially in the COVID-19 environment which has required employees to work remotely in some locations;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and/or Maxim's performance shortfalls as a result of the diversion of management’s attention caused by completing the merger and integrating the companies’ operations.</w:t>
      </w:r>
    </w:p>
    <w:p>
      <w:pPr>
        <w:spacing w:after="0" w:line="76"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Any of these factors could result in the combined company failing to realize the anticipated benefits of the acquisition, on the expected timeline or at all. 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we and Maxim expect and may take longer to achieve than anticipated. If we and Maxim are not able to adequately address integration challenges, we may be unable to successfully integrate their operations or realize the anticipated benefits of the integration of the two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value of our common stock could decline if large amounts of our common stock are sold following the Maxim acquisition.</w:t>
      </w:r>
    </w:p>
    <w:p>
      <w:pPr>
        <w:spacing w:after="0" w:line="13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merger is consummated, it is expected that we will issue a significant number of shares of our common stock to former Maxim stockholders. Former Maxim stockholders may decide not to hold the shares of our common stock that they will receive in the merger, and our shareholders may decide to reduce their investment in us as a result of the changes to our investment profile as a result of the merger. Other Maxim stockholders, such as funds with limitations on their permitted holdings of stock in individual issuers, may be required to sell the shares of our common stock that they receive in the merger. Such sales of our common stock could have the effect of depressing the market price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Global Operations</w:t>
      </w:r>
    </w:p>
    <w:p>
      <w:pPr>
        <w:spacing w:after="0" w:line="11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90"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COVID-19 pandemic, and the numerous measures implemented by government authorities in respond,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84"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The spread of COVID-19 has caused us to modify our business practices by, among other things, restricting employee travel, modifying employee work locations, and canceling physical participation in meetings, events and conferences. As a result of our changed workplace practices, many of our employees are temporarily working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 we cannot provide assurance that such measures will be sufficient to mitigate the risks posed by COVID-19, and if a significant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number of our employees or members of our board of directors become ill, our ability to perform critical functions could be harmed.</w:t>
      </w:r>
    </w:p>
    <w:p>
      <w:pPr>
        <w:spacing w:after="0" w:line="144"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COVID-19 pandemic has significantly increased economic and demand uncertainty and has caused an economic slowdown that is likely to continue and could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6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cannot at this time fully quantify or forecast the impact of the COVID-19 pandemic on our business. The full extent of the impact of the impact of the pandemic on our business, financial condition and results of operations will depend on the effectiveness of vaccines and therapeutics and future developments, which are highly uncertain, including the continued duration and severity of the pandemic, the actions to contain the virus or treat its impact, or how quickly and to what extent normal economic and operating conditions can resume.</w:t>
      </w:r>
    </w:p>
    <w:p>
      <w:pPr>
        <w:spacing w:after="0" w:line="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8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Continuing political and global macroeconomic uncertainty, including related to the COVID-19 pandemic, trade and political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7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0" w:lineRule="exact"/>
        <w:rPr>
          <w:sz w:val="20"/>
          <w:szCs w:val="20"/>
          <w:color w:val="auto"/>
        </w:rPr>
      </w:pPr>
    </w:p>
    <w:p>
      <w:pPr>
        <w:jc w:val="both"/>
        <w:ind w:left="660" w:right="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and political disputes between the United States and China, the United Kingdom's withdrawal from the European Union and the implementation of the United States-Mexico-Canada Agreement;</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and the International Traffic and Arms Regulations;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currency conversion risks and exchange rate and interest rate fluctuations, including the potential impact of the transition from LIBOR;</w:t>
      </w:r>
    </w:p>
    <w:p>
      <w:pPr>
        <w:spacing w:after="0" w:line="101" w:lineRule="exact"/>
        <w:rPr>
          <w:rFonts w:ascii="Arial" w:cs="Arial" w:eastAsia="Arial" w:hAnsi="Arial"/>
          <w:sz w:val="17"/>
          <w:szCs w:val="17"/>
          <w:color w:val="auto"/>
        </w:rPr>
      </w:pPr>
    </w:p>
    <w:p>
      <w:pPr>
        <w:ind w:left="660" w:right="1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35"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44"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For example, the U.S. government has recently expanded export restrictions that limit our ability to sell to certain Chinese companies and to third parties that do business with those companies. These restrictions may negatively impact demand for our products, including by causing our current or potential customers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8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If we are unable to address our U.S. cash requirements, it may be necessary for us to consider repatriation of foreign earnings, which could have a material adverse effect on our results of operations and financial condition.</w:t>
      </w:r>
    </w:p>
    <w:p>
      <w:pPr>
        <w:spacing w:after="0" w:line="7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carry outside basis differences in certain of our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Industry and Partners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7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32" w:name="page33"/>
    <w:bookmarkEnd w:id="32"/>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23" w:lineRule="exact"/>
        <w:rPr>
          <w:rFonts w:ascii="Arial" w:cs="Arial" w:eastAsia="Arial" w:hAnsi="Arial"/>
          <w:sz w:val="18"/>
          <w:szCs w:val="18"/>
          <w:color w:val="auto"/>
        </w:rPr>
      </w:pPr>
    </w:p>
    <w:p>
      <w:pPr>
        <w:ind w:left="660" w:right="100" w:hanging="328"/>
        <w:spacing w:after="0" w:line="285"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01"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7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6"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hire, retain and motivate adequate numbers of engineers and other qualified employees to meet the demands of our customers;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7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90"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76"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three and six months of the fiscal year ending October 30, 2021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3" w:name="page34"/>
    <w:bookmarkEnd w:id="33"/>
    <w:p>
      <w:pPr>
        <w:ind w:right="80"/>
        <w:spacing w:after="0" w:line="255" w:lineRule="auto"/>
        <w:rPr>
          <w:sz w:val="20"/>
          <w:szCs w:val="20"/>
          <w:color w:val="auto"/>
        </w:rPr>
      </w:pPr>
      <w:r>
        <w:rPr>
          <w:rFonts w:ascii="Arial" w:cs="Arial" w:eastAsia="Arial" w:hAnsi="Arial"/>
          <w:sz w:val="18"/>
          <w:szCs w:val="18"/>
          <w:color w:val="auto"/>
        </w:rPr>
        <w:t>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1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Compliance with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4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7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8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p>
      <w:pPr>
        <w:ind w:right="20"/>
        <w:spacing w:after="0" w:line="273" w:lineRule="auto"/>
        <w:rPr>
          <w:sz w:val="20"/>
          <w:szCs w:val="20"/>
          <w:color w:val="auto"/>
        </w:rPr>
      </w:pPr>
      <w:r>
        <w:rPr>
          <w:rFonts w:ascii="Arial" w:cs="Arial" w:eastAsia="Arial" w:hAnsi="Arial"/>
          <w:sz w:val="17"/>
          <w:szCs w:val="17"/>
          <w:color w:val="auto"/>
        </w:rPr>
        <w:t>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9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ind w:right="60"/>
        <w:spacing w:after="0" w:line="270" w:lineRule="auto"/>
        <w:rPr>
          <w:sz w:val="20"/>
          <w:szCs w:val="20"/>
          <w:color w:val="auto"/>
        </w:rPr>
      </w:pPr>
      <w:r>
        <w:rPr>
          <w:rFonts w:ascii="Arial" w:cs="Arial" w:eastAsia="Arial" w:hAnsi="Arial"/>
          <w:sz w:val="17"/>
          <w:szCs w:val="17"/>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86" w:lineRule="exact"/>
        <w:rPr>
          <w:sz w:val="20"/>
          <w:szCs w:val="20"/>
          <w:color w:val="auto"/>
        </w:rPr>
      </w:pPr>
    </w:p>
    <w:p>
      <w:pPr>
        <w:jc w:val="both"/>
        <w:ind w:right="100" w:firstLine="486"/>
        <w:spacing w:after="0" w:line="308" w:lineRule="auto"/>
        <w:rPr>
          <w:sz w:val="20"/>
          <w:szCs w:val="20"/>
          <w:color w:val="auto"/>
        </w:rPr>
      </w:pPr>
      <w:r>
        <w:rPr>
          <w:rFonts w:ascii="Arial" w:cs="Arial" w:eastAsia="Arial" w:hAnsi="Arial"/>
          <w:sz w:val="16"/>
          <w:szCs w:val="16"/>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w:t>
      </w:r>
    </w:p>
    <w:p>
      <w:pPr>
        <w:spacing w:after="0" w:line="271" w:lineRule="auto"/>
        <w:rPr>
          <w:sz w:val="20"/>
          <w:szCs w:val="20"/>
          <w:color w:val="auto"/>
        </w:rPr>
      </w:pPr>
      <w:r>
        <w:rPr>
          <w:rFonts w:ascii="Arial" w:cs="Arial" w:eastAsia="Arial" w:hAnsi="Arial"/>
          <w:sz w:val="17"/>
          <w:szCs w:val="17"/>
          <w:color w:val="auto"/>
        </w:rPr>
        <w:t>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9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1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ind w:right="60" w:firstLine="486"/>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3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4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83"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4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outbreak;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76"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88" w:lineRule="exact"/>
        <w:rPr>
          <w:rFonts w:ascii="Arial" w:cs="Arial" w:eastAsia="Arial" w:hAnsi="Arial"/>
          <w:sz w:val="17"/>
          <w:szCs w:val="17"/>
          <w:color w:val="auto"/>
        </w:rPr>
      </w:pPr>
    </w:p>
    <w:p>
      <w:pPr>
        <w:ind w:left="660" w:right="160" w:hanging="328"/>
        <w:spacing w:after="0" w:line="325"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31" w:lineRule="exact"/>
        <w:rPr>
          <w:sz w:val="20"/>
          <w:szCs w:val="20"/>
          <w:color w:val="auto"/>
        </w:rPr>
      </w:pPr>
    </w:p>
    <w:p>
      <w:pPr>
        <w:ind w:right="800" w:firstLine="486"/>
        <w:spacing w:after="0" w:line="342" w:lineRule="auto"/>
        <w:rPr>
          <w:sz w:val="20"/>
          <w:szCs w:val="20"/>
          <w:color w:val="auto"/>
        </w:rPr>
      </w:pPr>
      <w:r>
        <w:rPr>
          <w:rFonts w:ascii="Arial" w:cs="Arial" w:eastAsia="Arial" w:hAnsi="Arial"/>
          <w:sz w:val="16"/>
          <w:szCs w:val="16"/>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43"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8" w:name="page39"/>
    <w:bookmarkEnd w:id="38"/>
    <w:p>
      <w:pPr>
        <w:ind w:right="560"/>
        <w:spacing w:after="0" w:line="277" w:lineRule="auto"/>
        <w:rPr>
          <w:sz w:val="20"/>
          <w:szCs w:val="20"/>
          <w:color w:val="auto"/>
        </w:rPr>
      </w:pPr>
      <w:r>
        <w:rPr>
          <w:rFonts w:ascii="Arial" w:cs="Arial" w:eastAsia="Arial" w:hAnsi="Arial"/>
          <w:sz w:val="18"/>
          <w:szCs w:val="18"/>
          <w:color w:val="auto"/>
        </w:rPr>
        <w:t>manufacturing operations and facilities, and workforce. If we are unable to generate sufficient cash flow from operations in the future to service our outstanding debt, we may be required to, among other things:</w:t>
      </w:r>
    </w:p>
    <w:p>
      <w:pPr>
        <w:spacing w:after="0" w:line="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14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3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3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11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9" w:name="page40"/>
    <w:bookmarkEnd w:id="39"/>
    <w:p>
      <w:pPr>
        <w:ind w:right="28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8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 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Other</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companies or individuals have obtained patents covering a variety of semiconductor designs and processes, and we might be required to obtain licenses</w:t>
      </w:r>
    </w:p>
    <w:p>
      <w:pPr>
        <w:spacing w:after="0" w:line="5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3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0" w:name="page41"/>
    <w:bookmarkEnd w:id="40"/>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1"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7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2"/>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Paid Per Share (b)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31, 2021 through February 27, 2021</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1,697,801,843</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February 28, 2021 through March 27, 2021</w:t>
            </w:r>
          </w:p>
        </w:tc>
        <w:tc>
          <w:tcPr>
            <w:tcW w:w="1600" w:type="dxa"/>
            <w:vAlign w:val="bottom"/>
          </w:tcPr>
          <w:p>
            <w:pPr>
              <w:jc w:val="right"/>
              <w:spacing w:after="0"/>
              <w:rPr>
                <w:sz w:val="20"/>
                <w:szCs w:val="20"/>
                <w:color w:val="auto"/>
              </w:rPr>
            </w:pPr>
            <w:r>
              <w:rPr>
                <w:rFonts w:ascii="Arial" w:cs="Arial" w:eastAsia="Arial" w:hAnsi="Arial"/>
                <w:sz w:val="18"/>
                <w:szCs w:val="18"/>
                <w:color w:val="auto"/>
              </w:rPr>
              <w:t>482,325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314,870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1,650,205,711</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28, 2021 through May 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1,595,470,431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1,595,470,431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920" w:hanging="328"/>
        <w:spacing w:after="0" w:line="258"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270,704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hanging="328"/>
        <w:spacing w:after="0" w:line="273" w:lineRule="auto"/>
        <w:tabs>
          <w:tab w:leader="none" w:pos="6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8"/>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62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70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20" w:type="dxa"/>
            <w:vAlign w:val="bottom"/>
            <w:gridSpan w:val="7"/>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 xml:space="preserve">Severance Agreement and Release </w:t>
              </w:r>
            </w:hyperlink>
            <w:r>
              <w:rPr>
                <w:rFonts w:ascii="Arial" w:cs="Arial" w:eastAsia="Arial" w:hAnsi="Arial"/>
                <w:sz w:val="18"/>
                <w:szCs w:val="18"/>
                <w:color w:val="000000"/>
                <w:w w:val="91"/>
              </w:rPr>
              <w:t>between</w:t>
            </w:r>
            <w:r>
              <w:rPr>
                <w:rFonts w:ascii="Arial" w:cs="Arial" w:eastAsia="Arial" w:hAnsi="Arial"/>
                <w:sz w:val="18"/>
                <w:szCs w:val="18"/>
                <w:color w:val="0000FF"/>
                <w:w w:val="91"/>
              </w:rPr>
              <w:t xml:space="preserve"> </w:t>
            </w:r>
            <w:r>
              <w:rPr>
                <w:rFonts w:ascii="Arial" w:cs="Arial" w:eastAsia="Arial" w:hAnsi="Arial"/>
                <w:sz w:val="18"/>
                <w:szCs w:val="18"/>
                <w:color w:val="000000"/>
                <w:w w:val="91"/>
              </w:rPr>
              <w:t>Analog Devices, Inc. and Steven Pietkiewicz, dated February 15, 2021, filed as Exhibit</w:t>
            </w:r>
          </w:p>
        </w:tc>
      </w:tr>
      <w:tr>
        <w:trPr>
          <w:trHeight w:val="142"/>
        </w:trPr>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auto"/>
              </w:rPr>
              <w:t>10.9 to the Company’s Quarterly</w:t>
            </w:r>
          </w:p>
        </w:tc>
        <w:tc>
          <w:tcPr>
            <w:tcW w:w="7120" w:type="dxa"/>
            <w:vAlign w:val="bottom"/>
            <w:gridSpan w:val="6"/>
          </w:tcPr>
          <w:p>
            <w:pPr>
              <w:spacing w:after="0" w:line="142" w:lineRule="exact"/>
              <w:rPr>
                <w:sz w:val="20"/>
                <w:szCs w:val="20"/>
                <w:color w:val="auto"/>
              </w:rPr>
            </w:pPr>
            <w:r>
              <w:rPr>
                <w:rFonts w:ascii="Arial" w:cs="Arial" w:eastAsia="Arial" w:hAnsi="Arial"/>
                <w:sz w:val="16"/>
                <w:szCs w:val="16"/>
                <w:color w:val="auto"/>
              </w:rPr>
              <w:t>Report on Form 10-Q (File No. 001-07819) as filed with the Commission on February 17, 2021 and</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incorporated herein by reference.</w:t>
            </w: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8"/>
              </w:rPr>
              <w:t>31.1†</w:t>
            </w:r>
          </w:p>
        </w:tc>
        <w:tc>
          <w:tcPr>
            <w:tcW w:w="480" w:type="dxa"/>
            <w:vAlign w:val="bottom"/>
          </w:tcPr>
          <w:p>
            <w:pPr>
              <w:spacing w:after="0"/>
              <w:rPr>
                <w:sz w:val="16"/>
                <w:szCs w:val="16"/>
                <w:color w:val="auto"/>
              </w:rPr>
            </w:pPr>
          </w:p>
        </w:tc>
        <w:tc>
          <w:tcPr>
            <w:tcW w:w="9620" w:type="dxa"/>
            <w:vAlign w:val="bottom"/>
            <w:gridSpan w:val="7"/>
          </w:tcPr>
          <w:p>
            <w:pPr>
              <w:spacing w:after="0" w:line="190"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Pursuant to Rule 13a-14(a) and 15d-14(a) of the Securities Exchange Act, as Adopted Pursuant to Section 302 of the</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Sarbanes-Oxley Act of 2002 (Chief Executive Officer).</w:t>
              </w:r>
            </w:hyperlink>
          </w:p>
        </w:tc>
        <w:tc>
          <w:tcPr>
            <w:tcW w:w="536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31.2†</w:t>
            </w:r>
          </w:p>
        </w:tc>
        <w:tc>
          <w:tcPr>
            <w:tcW w:w="480" w:type="dxa"/>
            <w:vAlign w:val="bottom"/>
          </w:tcPr>
          <w:p>
            <w:pPr>
              <w:spacing w:after="0"/>
              <w:rPr>
                <w:sz w:val="18"/>
                <w:szCs w:val="18"/>
                <w:color w:val="auto"/>
              </w:rPr>
            </w:pPr>
          </w:p>
        </w:tc>
        <w:tc>
          <w:tcPr>
            <w:tcW w:w="9620" w:type="dxa"/>
            <w:vAlign w:val="bottom"/>
            <w:gridSpan w:val="7"/>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Pursuant to Rule 13a-14(a) and 15d-14(a) of the Securities Exchange Act, as Adopted Pursuant to Section 302 of the</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Sarbanes-Oxley Act of 2002 (Chief Financial Officer).</w:t>
              </w:r>
            </w:hyperlink>
          </w:p>
        </w:tc>
        <w:tc>
          <w:tcPr>
            <w:tcW w:w="26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Pursuant to 18 U.S.C. Section 1350 (Chief Executive Officer).</w:t>
              </w:r>
            </w:hyperlink>
          </w:p>
        </w:tc>
        <w:tc>
          <w:tcPr>
            <w:tcW w:w="4160" w:type="dxa"/>
            <w:vAlign w:val="bottom"/>
            <w:gridSpan w:val="2"/>
          </w:tcPr>
          <w:p>
            <w:pPr>
              <w:spacing w:after="0"/>
              <w:rPr>
                <w:sz w:val="18"/>
                <w:szCs w:val="18"/>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32.2†*</w:t>
            </w:r>
          </w:p>
        </w:tc>
        <w:tc>
          <w:tcPr>
            <w:tcW w:w="480" w:type="dxa"/>
            <w:vAlign w:val="bottom"/>
          </w:tcPr>
          <w:p>
            <w:pPr>
              <w:spacing w:after="0"/>
              <w:rPr>
                <w:sz w:val="18"/>
                <w:szCs w:val="18"/>
                <w:color w:val="auto"/>
              </w:rPr>
            </w:pPr>
          </w:p>
        </w:tc>
        <w:tc>
          <w:tcPr>
            <w:tcW w:w="962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Pursuant to 18 U.S.C. Section 1350 (Chief Financial Officer).</w:t>
              </w:r>
            </w:hyperlink>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196"/>
        </w:trPr>
        <w:tc>
          <w:tcPr>
            <w:tcW w:w="10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101.INS</w:t>
            </w:r>
          </w:p>
        </w:tc>
        <w:tc>
          <w:tcPr>
            <w:tcW w:w="480" w:type="dxa"/>
            <w:vAlign w:val="bottom"/>
          </w:tcPr>
          <w:p>
            <w:pPr>
              <w:spacing w:after="0"/>
              <w:rPr>
                <w:sz w:val="17"/>
                <w:szCs w:val="17"/>
                <w:color w:val="auto"/>
              </w:rPr>
            </w:pPr>
          </w:p>
        </w:tc>
        <w:tc>
          <w:tcPr>
            <w:tcW w:w="9620" w:type="dxa"/>
            <w:vAlign w:val="bottom"/>
            <w:gridSpan w:val="7"/>
          </w:tcPr>
          <w:p>
            <w:pPr>
              <w:spacing w:after="0" w:line="196" w:lineRule="exact"/>
              <w:rPr>
                <w:sz w:val="20"/>
                <w:szCs w:val="20"/>
                <w:color w:val="auto"/>
              </w:rPr>
            </w:pPr>
            <w:r>
              <w:rPr>
                <w:rFonts w:ascii="Arial" w:cs="Arial" w:eastAsia="Arial" w:hAnsi="Arial"/>
                <w:sz w:val="18"/>
                <w:szCs w:val="18"/>
                <w:color w:val="auto"/>
                <w:w w:val="93"/>
              </w:rPr>
              <w:t>The instance document does not appear in the Interactive Data File because its XBRL tags are embedded within the inline XBRL</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Inline XBRL Schema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48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48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Inline XBRL Definition Linkbase Document.**</w:t>
            </w:r>
          </w:p>
        </w:tc>
      </w:tr>
    </w:tbl>
    <w:p>
      <w:pPr>
        <w:ind w:left="1560" w:right="180" w:hanging="1140"/>
        <w:spacing w:after="0" w:line="234" w:lineRule="auto"/>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3" w:lineRule="exact"/>
        <w:rPr>
          <w:sz w:val="20"/>
          <w:szCs w:val="20"/>
          <w:color w:val="auto"/>
        </w:rPr>
      </w:pPr>
    </w:p>
    <w:p>
      <w:pPr>
        <w:ind w:left="1560" w:hanging="1050"/>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23" w:lineRule="exact"/>
        <w:rPr>
          <w:sz w:val="20"/>
          <w:szCs w:val="20"/>
          <w:color w:val="auto"/>
        </w:rPr>
      </w:pPr>
    </w:p>
    <w:p>
      <w:pPr>
        <w:ind w:left="1560" w:right="100" w:hanging="1050"/>
        <w:spacing w:after="0" w:line="228" w:lineRule="auto"/>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 w:lineRule="exact"/>
        <w:rPr>
          <w:sz w:val="20"/>
          <w:szCs w:val="20"/>
          <w:color w:val="auto"/>
        </w:rPr>
      </w:pPr>
    </w:p>
    <w:p>
      <w:pPr>
        <w:ind w:left="1560" w:hanging="109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Condensed Consolidated Statements of Income for the three and six months ended May 1, 2021 and May 2, 2020, (ii) Condensed Consolidated Statements of Comprehensive Income for the three and six months ended May 1, 2021 and May 2, 2020, (iii) Condensed Consolidated Balance Sheets at May 1, 2021 and October 31, 2020, (iv) Condensed Consolidated Statements of Shareholders' Equity for the three and six months ended May 1, 2021 and May 2, 2020, (v) Condensed Consolidated Statements of Cash Flows for the six months ended May 1, 2021 and May 2, 2020 and (vi) Notes to Condensed Consolidated Financial Statements for the three and six months ended May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43" w:name="page44"/>
    <w:bookmarkEnd w:id="4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7800" w:type="dxa"/>
            <w:vAlign w:val="bottom"/>
            <w:gridSpan w:val="2"/>
          </w:tcPr>
          <w:p>
            <w:pPr>
              <w:ind w:left="1640"/>
              <w:spacing w:after="0"/>
              <w:rPr>
                <w:sz w:val="20"/>
                <w:szCs w:val="20"/>
                <w:color w:val="auto"/>
              </w:rPr>
            </w:pPr>
            <w:r>
              <w:rPr>
                <w:rFonts w:ascii="Arial" w:cs="Arial" w:eastAsia="Arial" w:hAnsi="Arial"/>
                <w:sz w:val="18"/>
                <w:szCs w:val="18"/>
                <w:color w:val="auto"/>
              </w:rPr>
              <w:t>ANALOG DEVICES, INC.</w:t>
            </w:r>
          </w:p>
        </w:tc>
      </w:tr>
      <w:tr>
        <w:trPr>
          <w:trHeight w:val="499"/>
        </w:trPr>
        <w:tc>
          <w:tcPr>
            <w:tcW w:w="3060" w:type="dxa"/>
            <w:vAlign w:val="bottom"/>
          </w:tcPr>
          <w:p>
            <w:pPr>
              <w:spacing w:after="0"/>
              <w:rPr>
                <w:sz w:val="20"/>
                <w:szCs w:val="20"/>
                <w:color w:val="auto"/>
              </w:rPr>
            </w:pPr>
            <w:r>
              <w:rPr>
                <w:rFonts w:ascii="Arial" w:cs="Arial" w:eastAsia="Arial" w:hAnsi="Arial"/>
                <w:sz w:val="18"/>
                <w:szCs w:val="18"/>
                <w:color w:val="auto"/>
              </w:rPr>
              <w:t>Date: May 19, 2021</w:t>
            </w:r>
          </w:p>
        </w:tc>
        <w:tc>
          <w:tcPr>
            <w:tcW w:w="2160" w:type="dxa"/>
            <w:vAlign w:val="bottom"/>
          </w:tcPr>
          <w:p>
            <w:pPr>
              <w:ind w:left="164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Vincent Roche</w:t>
            </w:r>
          </w:p>
        </w:tc>
      </w:tr>
      <w:tr>
        <w:trPr>
          <w:trHeight w:val="222"/>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30"/>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060" w:type="dxa"/>
            <w:vAlign w:val="bottom"/>
          </w:tcPr>
          <w:p>
            <w:pPr>
              <w:spacing w:after="0"/>
              <w:rPr>
                <w:sz w:val="20"/>
                <w:szCs w:val="20"/>
                <w:color w:val="auto"/>
              </w:rPr>
            </w:pPr>
            <w:r>
              <w:rPr>
                <w:rFonts w:ascii="Arial" w:cs="Arial" w:eastAsia="Arial" w:hAnsi="Arial"/>
                <w:sz w:val="18"/>
                <w:szCs w:val="18"/>
                <w:color w:val="auto"/>
              </w:rPr>
              <w:t>Date: May 19, 2021</w:t>
            </w:r>
          </w:p>
        </w:tc>
        <w:tc>
          <w:tcPr>
            <w:tcW w:w="2160" w:type="dxa"/>
            <w:vAlign w:val="bottom"/>
          </w:tcPr>
          <w:p>
            <w:pPr>
              <w:ind w:left="164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Prashanth Mahendra-Rajah</w:t>
            </w:r>
          </w:p>
        </w:tc>
      </w:tr>
      <w:tr>
        <w:trPr>
          <w:trHeight w:val="222"/>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29"/>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320" w:top="1012" w:right="6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19, 2021</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19, 2021</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1, 2021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19, 2021</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1, 2021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19, 2021</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104"/>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0" Type="http://schemas.openxmlformats.org/officeDocument/2006/relationships/hyperlink" Target="http://www.sec.gov/Archives/edgar/data/6281/000000628121000022/a109-severanceagreement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2021-05-19T06:06:36Z</dcterms:created>
  <dcterms:modified xsi:type="dcterms:W3CDTF">2021-05-19T06:06:36Z</dcterms:modified>
</cp:coreProperties>
</file>