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December 19, 2008</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333-40222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316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Massachusetts</w:t>
            </w:r>
          </w:p>
        </w:tc>
        <w:tc>
          <w:tcPr>
            <w:tcW w:w="492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3160" w:type="dxa"/>
            <w:vAlign w:val="bottom"/>
          </w:tcPr>
          <w:p>
            <w:pPr>
              <w:jc w:val="center"/>
              <w:ind w:right="230"/>
              <w:spacing w:after="0"/>
              <w:rPr>
                <w:sz w:val="20"/>
                <w:szCs w:val="20"/>
                <w:color w:val="auto"/>
              </w:rPr>
            </w:pPr>
            <w:r>
              <w:rPr>
                <w:rFonts w:ascii="Arial" w:cs="Arial" w:eastAsia="Arial" w:hAnsi="Arial"/>
                <w:sz w:val="18"/>
                <w:szCs w:val="18"/>
                <w:i w:val="1"/>
                <w:iCs w:val="1"/>
                <w:color w:val="auto"/>
                <w:w w:val="94"/>
              </w:rPr>
              <w:t>(State or other jurisdiction of</w:t>
            </w:r>
          </w:p>
        </w:tc>
        <w:tc>
          <w:tcPr>
            <w:tcW w:w="4920" w:type="dxa"/>
            <w:vAlign w:val="bottom"/>
          </w:tcPr>
          <w:p>
            <w:pPr>
              <w:jc w:val="center"/>
              <w:ind w:left="347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3160" w:type="dxa"/>
            <w:vAlign w:val="bottom"/>
          </w:tcPr>
          <w:p>
            <w:pPr>
              <w:jc w:val="center"/>
              <w:ind w:right="250"/>
              <w:spacing w:after="0"/>
              <w:rPr>
                <w:sz w:val="20"/>
                <w:szCs w:val="20"/>
                <w:color w:val="auto"/>
              </w:rPr>
            </w:pPr>
            <w:r>
              <w:rPr>
                <w:rFonts w:ascii="Arial" w:cs="Arial" w:eastAsia="Arial" w:hAnsi="Arial"/>
                <w:sz w:val="18"/>
                <w:szCs w:val="18"/>
                <w:i w:val="1"/>
                <w:iCs w:val="1"/>
                <w:color w:val="auto"/>
                <w:w w:val="94"/>
              </w:rPr>
              <w:t>incorporation or organization)</w:t>
            </w:r>
          </w:p>
        </w:tc>
        <w:tc>
          <w:tcPr>
            <w:tcW w:w="4920" w:type="dxa"/>
            <w:vAlign w:val="bottom"/>
          </w:tcPr>
          <w:p>
            <w:pPr>
              <w:jc w:val="center"/>
              <w:ind w:left="349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316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One Technology Way, Norwood, MA</w:t>
            </w:r>
          </w:p>
        </w:tc>
        <w:tc>
          <w:tcPr>
            <w:tcW w:w="492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3160" w:type="dxa"/>
            <w:vAlign w:val="bottom"/>
          </w:tcPr>
          <w:p>
            <w:pPr>
              <w:jc w:val="center"/>
              <w:ind w:right="2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920" w:type="dxa"/>
            <w:vAlign w:val="bottom"/>
          </w:tcPr>
          <w:p>
            <w:pPr>
              <w:jc w:val="center"/>
              <w:ind w:left="3490"/>
              <w:spacing w:after="0"/>
              <w:rPr>
                <w:sz w:val="20"/>
                <w:szCs w:val="20"/>
                <w:color w:val="auto"/>
              </w:rPr>
            </w:pPr>
            <w:r>
              <w:rPr>
                <w:rFonts w:ascii="Arial" w:cs="Arial" w:eastAsia="Arial" w:hAnsi="Arial"/>
                <w:sz w:val="18"/>
                <w:szCs w:val="18"/>
                <w:i w:val="1"/>
                <w:iCs w:val="1"/>
                <w:color w:val="auto"/>
                <w:w w:val="91"/>
              </w:rPr>
              <w:t>(Zip Code)</w:t>
            </w:r>
          </w:p>
        </w:tc>
      </w:tr>
      <w:tr>
        <w:trPr>
          <w:trHeight w:val="414"/>
        </w:trPr>
        <w:tc>
          <w:tcPr>
            <w:tcW w:w="3160" w:type="dxa"/>
            <w:vAlign w:val="bottom"/>
          </w:tcPr>
          <w:p>
            <w:pPr>
              <w:spacing w:after="0"/>
              <w:rPr>
                <w:sz w:val="24"/>
                <w:szCs w:val="24"/>
                <w:color w:val="auto"/>
              </w:rPr>
            </w:pPr>
          </w:p>
        </w:tc>
        <w:tc>
          <w:tcPr>
            <w:tcW w:w="4920" w:type="dxa"/>
            <w:vAlign w:val="bottom"/>
          </w:tcPr>
          <w:p>
            <w:pPr>
              <w:jc w:val="center"/>
              <w:ind w:right="2310"/>
              <w:spacing w:after="0"/>
              <w:rPr>
                <w:sz w:val="20"/>
                <w:szCs w:val="20"/>
                <w:color w:val="auto"/>
              </w:rPr>
            </w:pPr>
            <w:r>
              <w:rPr>
                <w:rFonts w:ascii="Arial" w:cs="Arial" w:eastAsia="Arial" w:hAnsi="Arial"/>
                <w:sz w:val="18"/>
                <w:szCs w:val="18"/>
                <w:b w:val="1"/>
                <w:bCs w:val="1"/>
                <w:color w:val="auto"/>
                <w:w w:val="89"/>
              </w:rPr>
              <w:t>Analog Devices, Inc.</w:t>
            </w:r>
          </w:p>
        </w:tc>
      </w:tr>
      <w:tr>
        <w:trPr>
          <w:trHeight w:val="220"/>
        </w:trPr>
        <w:tc>
          <w:tcPr>
            <w:tcW w:w="3160" w:type="dxa"/>
            <w:vAlign w:val="bottom"/>
          </w:tcPr>
          <w:p>
            <w:pPr>
              <w:spacing w:after="0"/>
              <w:rPr>
                <w:sz w:val="19"/>
                <w:szCs w:val="19"/>
                <w:color w:val="auto"/>
              </w:rPr>
            </w:pPr>
          </w:p>
        </w:tc>
        <w:tc>
          <w:tcPr>
            <w:tcW w:w="4920" w:type="dxa"/>
            <w:vAlign w:val="bottom"/>
          </w:tcPr>
          <w:p>
            <w:pPr>
              <w:jc w:val="center"/>
              <w:ind w:right="2330"/>
              <w:spacing w:after="0"/>
              <w:rPr>
                <w:sz w:val="20"/>
                <w:szCs w:val="20"/>
                <w:color w:val="auto"/>
              </w:rPr>
            </w:pPr>
            <w:r>
              <w:rPr>
                <w:rFonts w:ascii="Arial" w:cs="Arial" w:eastAsia="Arial" w:hAnsi="Arial"/>
                <w:sz w:val="18"/>
                <w:szCs w:val="18"/>
                <w:b w:val="1"/>
                <w:bCs w:val="1"/>
                <w:color w:val="auto"/>
                <w:w w:val="90"/>
              </w:rPr>
              <w:t>1998 Stock Option Plan</w:t>
            </w:r>
          </w:p>
        </w:tc>
      </w:tr>
      <w:tr>
        <w:trPr>
          <w:trHeight w:val="230"/>
        </w:trPr>
        <w:tc>
          <w:tcPr>
            <w:tcW w:w="3160" w:type="dxa"/>
            <w:vAlign w:val="bottom"/>
          </w:tcPr>
          <w:p>
            <w:pPr>
              <w:spacing w:after="0"/>
              <w:rPr>
                <w:sz w:val="20"/>
                <w:szCs w:val="20"/>
                <w:color w:val="auto"/>
              </w:rPr>
            </w:pPr>
          </w:p>
        </w:tc>
        <w:tc>
          <w:tcPr>
            <w:tcW w:w="4920" w:type="dxa"/>
            <w:vAlign w:val="bottom"/>
          </w:tcPr>
          <w:p>
            <w:pPr>
              <w:jc w:val="center"/>
              <w:ind w:right="2330"/>
              <w:spacing w:after="0"/>
              <w:rPr>
                <w:sz w:val="20"/>
                <w:szCs w:val="20"/>
                <w:color w:val="auto"/>
              </w:rPr>
            </w:pPr>
            <w:r>
              <w:rPr>
                <w:rFonts w:ascii="Arial" w:cs="Arial" w:eastAsia="Arial" w:hAnsi="Arial"/>
                <w:sz w:val="18"/>
                <w:szCs w:val="18"/>
                <w:color w:val="auto"/>
                <w:w w:val="94"/>
              </w:rPr>
              <w:t>(Full Title of the Plan)</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Norwood, MA 02062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329-4700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10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9"/>
        </w:trPr>
        <w:tc>
          <w:tcPr>
            <w:tcW w:w="238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120" w:type="dxa"/>
            <w:vAlign w:val="bottom"/>
          </w:tcPr>
          <w:p>
            <w:pPr>
              <w:ind w:left="400"/>
              <w:spacing w:after="0"/>
              <w:rPr>
                <w:sz w:val="20"/>
                <w:szCs w:val="20"/>
                <w:color w:val="auto"/>
              </w:rPr>
            </w:pPr>
            <w:r>
              <w:rPr>
                <w:rFonts w:ascii="Arial" w:cs="Arial" w:eastAsia="Arial" w:hAnsi="Arial"/>
                <w:sz w:val="18"/>
                <w:szCs w:val="18"/>
                <w:color w:val="auto"/>
              </w:rPr>
              <w:t>Accelerated filer o</w:t>
            </w:r>
          </w:p>
        </w:tc>
        <w:tc>
          <w:tcPr>
            <w:tcW w:w="4120" w:type="dxa"/>
            <w:vAlign w:val="bottom"/>
          </w:tcPr>
          <w:p>
            <w:pPr>
              <w:jc w:val="center"/>
              <w:spacing w:after="0"/>
              <w:rPr>
                <w:sz w:val="20"/>
                <w:szCs w:val="20"/>
                <w:color w:val="auto"/>
              </w:rPr>
            </w:pPr>
            <w:r>
              <w:rPr>
                <w:rFonts w:ascii="Arial" w:cs="Arial" w:eastAsia="Arial" w:hAnsi="Arial"/>
                <w:sz w:val="18"/>
                <w:szCs w:val="18"/>
                <w:color w:val="auto"/>
                <w:w w:val="94"/>
              </w:rPr>
              <w:t>Non-accelerated filer  o</w:t>
            </w:r>
          </w:p>
        </w:tc>
        <w:tc>
          <w:tcPr>
            <w:tcW w:w="2800" w:type="dxa"/>
            <w:vAlign w:val="bottom"/>
          </w:tcPr>
          <w:p>
            <w:pPr>
              <w:ind w:left="380"/>
              <w:spacing w:after="0"/>
              <w:rPr>
                <w:sz w:val="20"/>
                <w:szCs w:val="20"/>
                <w:color w:val="auto"/>
              </w:rPr>
            </w:pPr>
            <w:r>
              <w:rPr>
                <w:rFonts w:ascii="Arial" w:cs="Arial" w:eastAsia="Arial" w:hAnsi="Arial"/>
                <w:sz w:val="18"/>
                <w:szCs w:val="18"/>
                <w:color w:val="auto"/>
                <w:w w:val="99"/>
              </w:rPr>
              <w:t>Smaller Reporting Company o</w:t>
            </w:r>
          </w:p>
        </w:tc>
      </w:tr>
      <w:tr>
        <w:trPr>
          <w:trHeight w:val="230"/>
        </w:trPr>
        <w:tc>
          <w:tcPr>
            <w:tcW w:w="23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2"/>
              </w:rPr>
              <w:t>(Do not check if a smaller reporting company)</w:t>
            </w:r>
          </w:p>
        </w:tc>
        <w:tc>
          <w:tcPr>
            <w:tcW w:w="2800" w:type="dxa"/>
            <w:vAlign w:val="bottom"/>
          </w:tcPr>
          <w:p>
            <w:pPr>
              <w:spacing w:after="0"/>
              <w:rPr>
                <w:sz w:val="20"/>
                <w:szCs w:val="20"/>
                <w:color w:val="auto"/>
              </w:rPr>
            </w:pPr>
          </w:p>
        </w:tc>
      </w:tr>
      <w:tr>
        <w:trPr>
          <w:trHeight w:val="237"/>
        </w:trPr>
        <w:tc>
          <w:tcPr>
            <w:tcW w:w="23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r>
      <w:tr>
        <w:trPr>
          <w:trHeight w:val="631"/>
        </w:trPr>
        <w:tc>
          <w:tcPr>
            <w:tcW w:w="238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color w:val="auto"/>
        </w:rPr>
        <w:t>EXPLANATORY NOTE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Post-Effective Amendment No. 1 to Registration Statement on Form S-8 (File No. 333-40222) (the “2000 Registration Statement”) of Analog Devices, Inc. (the “Company” or the “Registrant”) filed in connection with the Registrant’s 1998 Stock Option Plan, as amended (the “1998 Plan”) is being filed to deregister 6,041,112 shares from the 2000 Registration Statement (the “Carryover Shares”). The Carryover Shares were previously subject to awards granted under the 1998 Plan, which awards have been cancelled or expired. Under the terms of the Registrant’s 2006 Stock Incentive Plan (the “2006 Plan”), the Carryover Shares became automatically available for issuance under the 2006 Plan and, as a result, may not be used for awards under the 1998 Plan. The Carryover Shares are being transferred to a new registration statement on Form S-8 registering additional shares of the Registrant’s common stock that may be issued pursuant to the 2006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Rule 478 under the Securities Act, the registrant has duly caused this post-effective amendment to the registration statement to be signed on its behalf by the undersigned, thereunto duly authorized, in Norwood, Massachusetts, on this 19th day of December, 2008.</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Jerald G. Fishman</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-130175</wp:posOffset>
            </wp:positionV>
            <wp:extent cx="2564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(Principal Executive Officer)</w:t>
      </w:r>
    </w:p>
    <w:sectPr>
      <w:pgSz w:w="11900" w:h="16838" w:orient="portrait"/>
      <w:cols w:equalWidth="0" w:num="1">
        <w:col w:w="11380"/>
      </w:cols>
      <w:pgMar w:left="240" w:top="95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2019-12-11T10:38:41Z</dcterms:created>
  <dcterms:modified xsi:type="dcterms:W3CDTF">2019-12-11T10:38:41Z</dcterms:modified>
</cp:coreProperties>
</file>