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120"/>
        <w:spacing w:after="0"/>
        <w:rPr>
          <w:sz w:val="20"/>
          <w:szCs w:val="20"/>
          <w:color w:val="auto"/>
        </w:rPr>
      </w:pPr>
      <w:r>
        <w:rPr>
          <w:rFonts w:ascii="Courier New" w:cs="Courier New" w:eastAsia="Courier New" w:hAnsi="Courier New"/>
          <w:sz w:val="18"/>
          <w:szCs w:val="18"/>
          <w:color w:val="auto"/>
        </w:rPr>
        <w:t>THE SECURITIES AND EXCHANGE ACT OF 1934</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 December 7, 2000</w:t>
      </w:r>
    </w:p>
    <w:p>
      <w:pPr>
        <w:spacing w:after="0" w:line="31" w:lineRule="exact"/>
        <w:rPr>
          <w:sz w:val="24"/>
          <w:szCs w:val="24"/>
          <w:color w:val="auto"/>
        </w:rPr>
      </w:pPr>
    </w:p>
    <w:p>
      <w:pPr>
        <w:ind w:left="60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Massachusetts</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(State or other jurisdiction of incorporation)</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860"/>
              <w:spacing w:after="0"/>
              <w:rPr>
                <w:sz w:val="20"/>
                <w:szCs w:val="20"/>
                <w:color w:val="auto"/>
              </w:rPr>
            </w:pPr>
            <w:r>
              <w:rPr>
                <w:rFonts w:ascii="Courier New" w:cs="Courier New" w:eastAsia="Courier New" w:hAnsi="Courier New"/>
                <w:sz w:val="18"/>
                <w:szCs w:val="18"/>
                <w:color w:val="auto"/>
              </w:rPr>
              <w:t>1-7819</w:t>
            </w:r>
          </w:p>
        </w:tc>
        <w:tc>
          <w:tcPr>
            <w:tcW w:w="36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04-2348234</w:t>
            </w:r>
          </w:p>
        </w:tc>
        <w:tc>
          <w:tcPr>
            <w:tcW w:w="0" w:type="dxa"/>
            <w:vAlign w:val="bottom"/>
          </w:tcPr>
          <w:p>
            <w:pPr>
              <w:spacing w:after="0"/>
              <w:rPr>
                <w:sz w:val="1"/>
                <w:szCs w:val="1"/>
                <w:color w:val="auto"/>
              </w:rPr>
            </w:pPr>
          </w:p>
        </w:tc>
      </w:tr>
      <w:tr>
        <w:trPr>
          <w:trHeight w:val="203"/>
        </w:trPr>
        <w:tc>
          <w:tcPr>
            <w:tcW w:w="47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(Commission</w:t>
            </w:r>
            <w:r>
              <w:rPr>
                <w:rFonts w:ascii="Courier New" w:cs="Courier New" w:eastAsia="Courier New" w:hAnsi="Courier New"/>
                <w:sz w:val="35"/>
                <w:szCs w:val="35"/>
                <w:color w:val="auto"/>
                <w:vertAlign w:val="superscript"/>
              </w:rPr>
              <w:t>---------------</w:t>
            </w:r>
            <w:r>
              <w:rPr>
                <w:rFonts w:ascii="Courier New" w:cs="Courier New" w:eastAsia="Courier New" w:hAnsi="Courier New"/>
                <w:sz w:val="18"/>
                <w:szCs w:val="18"/>
                <w:color w:val="auto"/>
              </w:rPr>
              <w:t>FileNo.)</w:t>
            </w:r>
          </w:p>
        </w:tc>
        <w:tc>
          <w:tcPr>
            <w:tcW w:w="36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4740" w:type="dxa"/>
            <w:vAlign w:val="bottom"/>
            <w:vMerge w:val="continue"/>
          </w:tcPr>
          <w:p>
            <w:pPr>
              <w:spacing w:after="0"/>
              <w:rPr>
                <w:sz w:val="24"/>
                <w:szCs w:val="24"/>
                <w:color w:val="auto"/>
              </w:rPr>
            </w:pPr>
          </w:p>
        </w:tc>
        <w:tc>
          <w:tcPr>
            <w:tcW w:w="3600" w:type="dxa"/>
            <w:vAlign w:val="bottom"/>
          </w:tcPr>
          <w:p>
            <w:pPr>
              <w:jc w:val="right"/>
              <w:spacing w:after="0"/>
              <w:rPr>
                <w:sz w:val="20"/>
                <w:szCs w:val="20"/>
                <w:color w:val="auto"/>
              </w:rPr>
            </w:pPr>
            <w:r>
              <w:rPr>
                <w:rFonts w:ascii="Courier New" w:cs="Courier New" w:eastAsia="Courier New" w:hAnsi="Courier New"/>
                <w:sz w:val="18"/>
                <w:szCs w:val="18"/>
                <w:color w:val="auto"/>
              </w:rPr>
              <w:t>(IRS Employer Identification No.)</w:t>
            </w:r>
          </w:p>
        </w:tc>
        <w:tc>
          <w:tcPr>
            <w:tcW w:w="0" w:type="dxa"/>
            <w:vAlign w:val="bottom"/>
          </w:tcPr>
          <w:p>
            <w:pPr>
              <w:spacing w:after="0"/>
              <w:rPr>
                <w:sz w:val="1"/>
                <w:szCs w:val="1"/>
                <w:color w:val="auto"/>
              </w:rPr>
            </w:pPr>
          </w:p>
        </w:tc>
      </w:tr>
      <w:tr>
        <w:trPr>
          <w:trHeight w:val="295"/>
        </w:trPr>
        <w:tc>
          <w:tcPr>
            <w:tcW w:w="4740" w:type="dxa"/>
            <w:vAlign w:val="bottom"/>
          </w:tcPr>
          <w:p>
            <w:pPr>
              <w:spacing w:after="0"/>
              <w:rPr>
                <w:sz w:val="20"/>
                <w:szCs w:val="20"/>
                <w:color w:val="auto"/>
              </w:rPr>
            </w:pPr>
            <w:r>
              <w:rPr>
                <w:rFonts w:ascii="Courier New" w:cs="Courier New" w:eastAsia="Courier New" w:hAnsi="Courier New"/>
                <w:sz w:val="18"/>
                <w:szCs w:val="18"/>
                <w:color w:val="auto"/>
              </w:rPr>
              <w:t>One Technology Way, Norwood, Massachusetts</w:t>
            </w:r>
          </w:p>
        </w:tc>
        <w:tc>
          <w:tcPr>
            <w:tcW w:w="36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02062-9106</w:t>
            </w: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3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740" w:type="dxa"/>
            <w:vAlign w:val="bottom"/>
          </w:tcPr>
          <w:p>
            <w:pPr>
              <w:ind w:left="120"/>
              <w:spacing w:after="0"/>
              <w:rPr>
                <w:sz w:val="20"/>
                <w:szCs w:val="20"/>
                <w:color w:val="auto"/>
              </w:rPr>
            </w:pPr>
            <w:r>
              <w:rPr>
                <w:rFonts w:ascii="Courier New" w:cs="Courier New" w:eastAsia="Courier New" w:hAnsi="Courier New"/>
                <w:sz w:val="18"/>
                <w:szCs w:val="18"/>
                <w:color w:val="auto"/>
              </w:rPr>
              <w:t>(Address of principal executive offices)</w:t>
            </w:r>
          </w:p>
        </w:tc>
        <w:tc>
          <w:tcPr>
            <w:tcW w:w="36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(718) 329-4700</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37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Not Applicable</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623" w:right="1440" w:bottom="1440" w:gutter="0" w:footer="0" w:header="0"/>
        </w:sectPr>
      </w:pPr>
    </w:p>
    <w:bookmarkStart w:id="1" w:name="page2"/>
    <w:bookmarkEnd w:id="1"/>
    <w:p>
      <w:pPr>
        <w:jc w:val="center"/>
        <w:ind w:right="2079"/>
        <w:spacing w:after="0"/>
        <w:rPr>
          <w:sz w:val="20"/>
          <w:szCs w:val="20"/>
          <w:color w:val="auto"/>
        </w:rPr>
      </w:pPr>
      <w:r>
        <w:rPr>
          <w:rFonts w:ascii="Courier New" w:cs="Courier New" w:eastAsia="Courier New" w:hAnsi="Courier New"/>
          <w:sz w:val="16"/>
          <w:szCs w:val="16"/>
          <w:color w:val="auto"/>
        </w:rPr>
        <w:t>Item 7. Financial Statements, Pro Forma Financial Information and Exhibits.</w:t>
      </w:r>
    </w:p>
    <w:p>
      <w:pPr>
        <w:spacing w:after="0" w:line="22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169" w:lineRule="exact"/>
        <w:rPr>
          <w:sz w:val="20"/>
          <w:szCs w:val="20"/>
          <w:color w:val="auto"/>
        </w:rPr>
      </w:pPr>
    </w:p>
    <w:p>
      <w:pPr>
        <w:sectPr>
          <w:pgSz w:w="11900" w:h="16838" w:orient="portrait"/>
          <w:cols w:equalWidth="0" w:num="2">
            <w:col w:w="1380" w:space="420"/>
            <w:col w:w="8419"/>
          </w:cols>
          <w:pgMar w:left="240" w:top="691"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 of Capital Stock</w:t>
      </w:r>
    </w:p>
    <w:p>
      <w:pPr>
        <w:spacing w:after="0" w:line="200" w:lineRule="exact"/>
        <w:rPr>
          <w:sz w:val="20"/>
          <w:szCs w:val="20"/>
          <w:color w:val="auto"/>
        </w:rPr>
      </w:pPr>
    </w:p>
    <w:p>
      <w:pPr>
        <w:sectPr>
          <w:pgSz w:w="11900" w:h="16838" w:orient="portrait"/>
          <w:cols w:equalWidth="0" w:num="2">
            <w:col w:w="2440" w:space="720"/>
            <w:col w:w="7059"/>
          </w:cols>
          <w:pgMar w:left="240" w:top="691"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91" w:right="1440" w:bottom="1440" w:gutter="0" w:footer="0" w:header="0"/>
          <w:type w:val="continuous"/>
        </w:sectPr>
      </w:pPr>
    </w:p>
    <w:bookmarkStart w:id="2" w:name="page3"/>
    <w:bookmarkEnd w:id="2"/>
    <w:p>
      <w:pPr>
        <w:jc w:val="center"/>
        <w:ind w:right="209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3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899"/>
          </w:cols>
          <w:pgMar w:left="560" w:top="691" w:right="1440" w:bottom="1440" w:gutter="0" w:footer="0" w:header="0"/>
        </w:sectPr>
      </w:pPr>
    </w:p>
    <w:p>
      <w:pPr>
        <w:spacing w:after="0" w:line="6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Date: December 7, 2000</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4660" w:space="720"/>
            <w:col w:w="4519"/>
          </w:cols>
          <w:pgMar w:left="560" w:top="691" w:right="1440" w:bottom="1440" w:gutter="0" w:footer="0" w:header="0"/>
          <w:type w:val="continuous"/>
        </w:sectPr>
      </w:pPr>
    </w:p>
    <w:p>
      <w:pPr>
        <w:spacing w:after="0" w:line="2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Joseph E. McDonough</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5580"/>
        <w:spacing w:after="0" w:line="238" w:lineRule="auto"/>
        <w:rPr>
          <w:sz w:val="20"/>
          <w:szCs w:val="20"/>
          <w:color w:val="auto"/>
        </w:rPr>
      </w:pPr>
      <w:r>
        <w:rPr>
          <w:rFonts w:ascii="Courier New" w:cs="Courier New" w:eastAsia="Courier New" w:hAnsi="Courier New"/>
          <w:sz w:val="18"/>
          <w:szCs w:val="18"/>
          <w:color w:val="auto"/>
        </w:rPr>
        <w:t>Joseph E. McDonough</w:t>
      </w:r>
    </w:p>
    <w:p>
      <w:pPr>
        <w:ind w:left="5280"/>
        <w:spacing w:after="0"/>
        <w:rPr>
          <w:sz w:val="20"/>
          <w:szCs w:val="20"/>
          <w:color w:val="auto"/>
        </w:rPr>
      </w:pPr>
      <w:r>
        <w:rPr>
          <w:rFonts w:ascii="Courier New" w:cs="Courier New" w:eastAsia="Courier New" w:hAnsi="Courier New"/>
          <w:sz w:val="18"/>
          <w:szCs w:val="18"/>
          <w:color w:val="auto"/>
        </w:rPr>
        <w:t>Vice President - Finance</w:t>
      </w:r>
    </w:p>
    <w:p>
      <w:pPr>
        <w:ind w:left="5060"/>
        <w:spacing w:after="0"/>
        <w:rPr>
          <w:sz w:val="20"/>
          <w:szCs w:val="20"/>
          <w:color w:val="auto"/>
        </w:rPr>
      </w:pPr>
      <w:r>
        <w:rPr>
          <w:rFonts w:ascii="Courier New" w:cs="Courier New" w:eastAsia="Courier New" w:hAnsi="Courier New"/>
          <w:sz w:val="16"/>
          <w:szCs w:val="16"/>
          <w:color w:val="auto"/>
        </w:rPr>
        <w:t>and Chief Financial Officer</w:t>
      </w:r>
    </w:p>
    <w:p>
      <w:pPr>
        <w:spacing w:after="0" w:line="19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691"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Description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1580" w:space="220"/>
            <w:col w:w="8419"/>
          </w:cols>
          <w:pgMar w:left="240" w:top="691"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222" w:lineRule="exact"/>
        <w:rPr>
          <w:sz w:val="20"/>
          <w:szCs w:val="20"/>
          <w:color w:val="auto"/>
        </w:rPr>
      </w:pPr>
    </w:p>
    <w:p>
      <w:pPr>
        <w:sectPr>
          <w:pgSz w:w="11900" w:h="16838" w:orient="portrait"/>
          <w:cols w:equalWidth="0" w:num="2">
            <w:col w:w="1720" w:space="720"/>
            <w:col w:w="7779"/>
          </w:cols>
          <w:pgMar w:left="240" w:top="691"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 of Capital Stock</w:t>
      </w:r>
    </w:p>
    <w:p>
      <w:pPr>
        <w:spacing w:after="0" w:line="222" w:lineRule="exact"/>
        <w:rPr>
          <w:sz w:val="20"/>
          <w:szCs w:val="20"/>
          <w:color w:val="auto"/>
        </w:rPr>
      </w:pPr>
    </w:p>
    <w:p>
      <w:pPr>
        <w:sectPr>
          <w:pgSz w:w="11900" w:h="16838" w:orient="portrait"/>
          <w:cols w:equalWidth="0" w:num="2">
            <w:col w:w="2140" w:space="720"/>
            <w:col w:w="7359"/>
          </w:cols>
          <w:pgMar w:left="240" w:top="691" w:right="1440" w:bottom="1440" w:gutter="0" w:footer="0" w:header="0"/>
          <w:type w:val="continuous"/>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91" w:right="1440" w:bottom="1440" w:gutter="0" w:footer="0" w:header="0"/>
          <w:type w:val="continuous"/>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169" w:lineRule="exact"/>
        <w:rPr>
          <w:sz w:val="20"/>
          <w:szCs w:val="20"/>
          <w:color w:val="auto"/>
        </w:rPr>
      </w:pPr>
    </w:p>
    <w:p>
      <w:pPr>
        <w:ind w:right="1779" w:firstLine="316"/>
        <w:spacing w:after="0" w:line="282" w:lineRule="auto"/>
        <w:rPr>
          <w:sz w:val="20"/>
          <w:szCs w:val="20"/>
          <w:color w:val="auto"/>
        </w:rPr>
      </w:pPr>
      <w:r>
        <w:rPr>
          <w:rFonts w:ascii="Courier New" w:cs="Courier New" w:eastAsia="Courier New" w:hAnsi="Courier New"/>
          <w:sz w:val="16"/>
          <w:szCs w:val="16"/>
          <w:color w:val="auto"/>
        </w:rPr>
        <w:t>The selected consolidated financial data set forth below for each of the fiscal years in the three-year period ended October 30, 1999 and as at October 31, 1998 and October 30, 1999 have been derived from our audited consolidated financial statements in the Annual Report on Form 10-K for the fiscal year ended October 30, 1999. The selected consolidated financial data set forth below for each of the fiscal years in the two-year period ended November 2, 1996 and as at October 28, 1995, November 2, 1996, and November 1, 1997 are derived from our audited consolidated financial statements. We have prepared our consolidated financial statements in accordance with U.S. generally accepted accounting principles. The following data should be read in conjunction with our audited consolidated financial statements and notes thereto and "Management Analysis" in the Annual Report on Form 10-K for the fiscal year ended October 30, 1999.</w:t>
      </w:r>
    </w:p>
    <w:p>
      <w:pPr>
        <w:spacing w:after="0" w:line="200" w:lineRule="exact"/>
        <w:rPr>
          <w:sz w:val="20"/>
          <w:szCs w:val="20"/>
          <w:color w:val="auto"/>
        </w:rPr>
      </w:pP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Year Ended</w:t>
            </w: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64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5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October 28, November 2, November 1, October 31,</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 30,</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96"/>
        </w:trPr>
        <w:tc>
          <w:tcPr>
            <w:tcW w:w="26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62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Data:</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$941,546</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$1,193,786</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$1,243,494</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9"/>
              </w:rPr>
              <w:t>$1,230,571</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$1,450,379</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before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119,270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171,901</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178,219</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119,488</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196,819</w:t>
            </w: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(37,080)</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after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cumulative effect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 in accounting</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119,270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171,901</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178,219</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82,408</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196,819</w:t>
            </w: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principle..............</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0.40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0.56</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0.56</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0.26</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0.58</w:t>
            </w: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Basic..................</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Diluted................</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0.52</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0.25</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0.55</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amounts with</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change in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related to revenue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recognition applied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retroactively:</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$1,183,186</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$1,214,602</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9"/>
              </w:rPr>
              <w:t>$1,230,571</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168,328</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167,515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119,488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0.55</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0.53</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0.37</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Basic..................</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Diluted................</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0.51</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0.49</w:t>
            </w:r>
          </w:p>
        </w:tc>
        <w:tc>
          <w:tcPr>
            <w:tcW w:w="13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0.35</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620" w:type="dxa"/>
            <w:vAlign w:val="bottom"/>
          </w:tcPr>
          <w:p>
            <w:pPr>
              <w:spacing w:after="0"/>
              <w:rPr>
                <w:sz w:val="24"/>
                <w:szCs w:val="24"/>
                <w:color w:val="auto"/>
              </w:rPr>
            </w:pPr>
          </w:p>
        </w:tc>
        <w:tc>
          <w:tcPr>
            <w:tcW w:w="51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w w:val="99"/>
              </w:rPr>
              <w:t>October 28, November 2, November 1, October 31,</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October 30,</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1996</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3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0" w:type="dxa"/>
            <w:vAlign w:val="bottom"/>
          </w:tcPr>
          <w:p>
            <w:pPr>
              <w:spacing w:after="0"/>
              <w:rPr>
                <w:sz w:val="1"/>
                <w:szCs w:val="1"/>
                <w:color w:val="auto"/>
              </w:rPr>
            </w:pPr>
          </w:p>
        </w:tc>
      </w:tr>
      <w:tr>
        <w:trPr>
          <w:trHeight w:val="296"/>
        </w:trPr>
        <w:tc>
          <w:tcPr>
            <w:tcW w:w="26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6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$993,349</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$1,508,272</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$1,763,853</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9"/>
              </w:rPr>
              <w:t>$1,861,730</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$2,218,354</w:t>
            </w: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and non-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obligations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under capital leases</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80,000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353,666</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348,852</w:t>
            </w:r>
          </w:p>
        </w:tc>
        <w:tc>
          <w:tcPr>
            <w:tcW w:w="13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340,758</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16,214</w:t>
            </w:r>
          </w:p>
        </w:tc>
        <w:tc>
          <w:tcPr>
            <w:tcW w:w="0" w:type="dxa"/>
            <w:vAlign w:val="bottom"/>
          </w:tcPr>
          <w:p>
            <w:pPr>
              <w:spacing w:after="0"/>
              <w:rPr>
                <w:sz w:val="1"/>
                <w:szCs w:val="1"/>
                <w:color w:val="auto"/>
              </w:rPr>
            </w:pPr>
          </w:p>
        </w:tc>
      </w:tr>
      <w:tr>
        <w:trPr>
          <w:trHeight w:val="296"/>
        </w:trPr>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3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both"/>
        <w:ind w:left="420" w:right="2099" w:hanging="412"/>
        <w:spacing w:after="0" w:line="273"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 and per share information gives effect to our two-for-one stock split, distributed to stockholders as a 100% stock dividend, on March 15, 2000.</w:t>
      </w:r>
    </w:p>
    <w:p>
      <w:pPr>
        <w:spacing w:after="0" w:line="82" w:lineRule="exact"/>
        <w:rPr>
          <w:rFonts w:ascii="Courier New" w:cs="Courier New" w:eastAsia="Courier New" w:hAnsi="Courier New"/>
          <w:sz w:val="18"/>
          <w:szCs w:val="18"/>
          <w:color w:val="auto"/>
        </w:rPr>
      </w:pPr>
    </w:p>
    <w:p>
      <w:pPr>
        <w:ind w:left="420" w:right="3039" w:hanging="412"/>
        <w:spacing w:after="0" w:line="34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 was not available in sufficient detail to provide pro forma information for fiscal 1995.</w:t>
      </w:r>
    </w:p>
    <w:p>
      <w:pPr>
        <w:sectPr>
          <w:pgSz w:w="11900" w:h="16838" w:orient="portrait"/>
          <w:cols w:equalWidth="0" w:num="1">
            <w:col w:w="10219"/>
          </w:cols>
          <w:pgMar w:left="240" w:top="515" w:right="1440" w:bottom="178"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ind w:right="2319" w:firstLine="316"/>
        <w:spacing w:after="0" w:line="292" w:lineRule="auto"/>
        <w:rPr>
          <w:sz w:val="20"/>
          <w:szCs w:val="20"/>
          <w:color w:val="auto"/>
        </w:rPr>
      </w:pPr>
      <w:r>
        <w:rPr>
          <w:rFonts w:ascii="Courier New" w:cs="Courier New" w:eastAsia="Courier New" w:hAnsi="Courier New"/>
          <w:sz w:val="18"/>
          <w:szCs w:val="18"/>
          <w:color w:val="auto"/>
        </w:rPr>
        <w:t>We are authorized to issue up to 600,000,000 shares of common stock, par value $.16 2/3 per share, and 471,934 shares of preferred stock, par value $1.00 per share.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right="2199" w:firstLine="316"/>
        <w:spacing w:after="0" w:line="402" w:lineRule="auto"/>
        <w:rPr>
          <w:sz w:val="20"/>
          <w:szCs w:val="20"/>
          <w:color w:val="auto"/>
        </w:rPr>
      </w:pPr>
      <w:r>
        <w:rPr>
          <w:rFonts w:ascii="Courier New" w:cs="Courier New" w:eastAsia="Courier New" w:hAnsi="Courier New"/>
          <w:sz w:val="16"/>
          <w:szCs w:val="16"/>
          <w:color w:val="auto"/>
        </w:rPr>
        <w:t>As of October 28, 2000, there were 357,923,824 shares of our common stock outstanding that were held of record by approximately 4,358 stockholders.</w:t>
      </w:r>
    </w:p>
    <w:p>
      <w:pPr>
        <w:spacing w:after="0" w:line="1" w:lineRule="exact"/>
        <w:rPr>
          <w:sz w:val="20"/>
          <w:szCs w:val="20"/>
          <w:color w:val="auto"/>
        </w:rPr>
      </w:pPr>
    </w:p>
    <w:p>
      <w:pPr>
        <w:ind w:right="1879" w:firstLine="316"/>
        <w:spacing w:after="0" w:line="277" w:lineRule="auto"/>
        <w:rPr>
          <w:sz w:val="20"/>
          <w:szCs w:val="20"/>
          <w:color w:val="auto"/>
        </w:rPr>
      </w:pPr>
      <w:r>
        <w:rPr>
          <w:rFonts w:ascii="Courier New" w:cs="Courier New" w:eastAsia="Courier New" w:hAnsi="Courier New"/>
          <w:sz w:val="16"/>
          <w:szCs w:val="16"/>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1" w:lineRule="exact"/>
        <w:rPr>
          <w:sz w:val="20"/>
          <w:szCs w:val="20"/>
          <w:color w:val="auto"/>
        </w:rPr>
      </w:pPr>
    </w:p>
    <w:p>
      <w:pPr>
        <w:ind w:right="1879" w:firstLine="316"/>
        <w:spacing w:after="0" w:line="283" w:lineRule="auto"/>
        <w:rPr>
          <w:sz w:val="20"/>
          <w:szCs w:val="20"/>
          <w:color w:val="auto"/>
        </w:rPr>
      </w:pPr>
      <w:r>
        <w:rPr>
          <w:rFonts w:ascii="Courier New" w:cs="Courier New" w:eastAsia="Courier New" w:hAnsi="Courier New"/>
          <w:sz w:val="16"/>
          <w:szCs w:val="16"/>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We have no present plans to issue any shares of preferred stock.</w:t>
      </w:r>
    </w:p>
    <w:p>
      <w:pPr>
        <w:spacing w:after="0" w:line="29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Massachusetts Law and Certain Provisions of Our Restated Articles of Organization and By-Laws</w:t>
      </w:r>
    </w:p>
    <w:p>
      <w:pPr>
        <w:spacing w:after="0" w:line="18" w:lineRule="exact"/>
        <w:rPr>
          <w:sz w:val="20"/>
          <w:szCs w:val="20"/>
          <w:color w:val="auto"/>
        </w:rPr>
      </w:pPr>
    </w:p>
    <w:p>
      <w:pPr>
        <w:ind w:right="1999" w:firstLine="316"/>
        <w:spacing w:after="0" w:line="260" w:lineRule="auto"/>
        <w:rPr>
          <w:sz w:val="20"/>
          <w:szCs w:val="20"/>
          <w:color w:val="auto"/>
        </w:rPr>
      </w:pPr>
      <w:r>
        <w:rPr>
          <w:rFonts w:ascii="Courier New" w:cs="Courier New" w:eastAsia="Courier New" w:hAnsi="Courier New"/>
          <w:sz w:val="18"/>
          <w:szCs w:val="18"/>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93" w:lineRule="exact"/>
        <w:rPr>
          <w:sz w:val="20"/>
          <w:szCs w:val="20"/>
          <w:color w:val="auto"/>
        </w:rPr>
      </w:pPr>
    </w:p>
    <w:p>
      <w:pPr>
        <w:ind w:left="420" w:right="2099" w:hanging="201"/>
        <w:spacing w:after="0" w:line="34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obtains the approval of the Board of Directors prior to becoming an interested stockholder,</w:t>
      </w:r>
    </w:p>
    <w:p>
      <w:pPr>
        <w:spacing w:after="0" w:line="18" w:lineRule="exact"/>
        <w:rPr>
          <w:sz w:val="20"/>
          <w:szCs w:val="20"/>
          <w:color w:val="auto"/>
        </w:rPr>
      </w:pPr>
    </w:p>
    <w:p>
      <w:pPr>
        <w:ind w:left="420" w:right="2319" w:hanging="201"/>
        <w:spacing w:after="0" w:line="292"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interested stockholder acquires 90% of the outstanding voting stock of the corporation (excluding shares held by some affiliates of the corporation) at the time it becomes an interested stockholder, or</w:t>
      </w:r>
    </w:p>
    <w:p>
      <w:pPr>
        <w:spacing w:after="0" w:line="66" w:lineRule="exact"/>
        <w:rPr>
          <w:sz w:val="20"/>
          <w:szCs w:val="20"/>
          <w:color w:val="auto"/>
        </w:rPr>
      </w:pPr>
    </w:p>
    <w:p>
      <w:pPr>
        <w:ind w:left="420" w:right="2319" w:hanging="201"/>
        <w:spacing w:after="0" w:line="292"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combination is approved by both the Board of Directors and the holders of two-thirds of the outstanding voting stock of the corporation (excluding shares held by the interested stockholder).</w:t>
      </w:r>
    </w:p>
    <w:p>
      <w:pPr>
        <w:sectPr>
          <w:pgSz w:w="11900" w:h="16838" w:orient="portrait"/>
          <w:cols w:equalWidth="0" w:num="1">
            <w:col w:w="10219"/>
          </w:cols>
          <w:pgMar w:left="240" w:top="312" w:right="1440" w:bottom="1440" w:gutter="0" w:footer="0" w:header="0"/>
        </w:sectPr>
      </w:pPr>
    </w:p>
    <w:bookmarkStart w:id="6" w:name="page7"/>
    <w:bookmarkEnd w:id="6"/>
    <w:p>
      <w:pPr>
        <w:ind w:right="2099" w:firstLine="316"/>
        <w:spacing w:after="0" w:line="306" w:lineRule="auto"/>
        <w:rPr>
          <w:sz w:val="20"/>
          <w:szCs w:val="20"/>
          <w:color w:val="auto"/>
        </w:rPr>
      </w:pPr>
      <w:r>
        <w:rPr>
          <w:rFonts w:ascii="Courier New" w:cs="Courier New" w:eastAsia="Courier New" w:hAnsi="Courier New"/>
          <w:sz w:val="16"/>
          <w:szCs w:val="16"/>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60" w:lineRule="exact"/>
        <w:rPr>
          <w:sz w:val="20"/>
          <w:szCs w:val="20"/>
          <w:color w:val="auto"/>
        </w:rPr>
      </w:pPr>
    </w:p>
    <w:p>
      <w:pPr>
        <w:ind w:right="1879" w:firstLine="316"/>
        <w:spacing w:after="0" w:line="265" w:lineRule="auto"/>
        <w:rPr>
          <w:sz w:val="20"/>
          <w:szCs w:val="20"/>
          <w:color w:val="auto"/>
        </w:rPr>
      </w:pPr>
      <w:r>
        <w:rPr>
          <w:rFonts w:ascii="Courier New" w:cs="Courier New" w:eastAsia="Courier New" w:hAnsi="Courier New"/>
          <w:sz w:val="18"/>
          <w:szCs w:val="18"/>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pacing w:after="0" w:line="90" w:lineRule="exact"/>
        <w:rPr>
          <w:sz w:val="20"/>
          <w:szCs w:val="20"/>
          <w:color w:val="auto"/>
        </w:rPr>
      </w:pPr>
    </w:p>
    <w:p>
      <w:pPr>
        <w:ind w:right="1879" w:firstLine="316"/>
        <w:spacing w:after="0" w:line="256" w:lineRule="auto"/>
        <w:rPr>
          <w:sz w:val="20"/>
          <w:szCs w:val="20"/>
          <w:color w:val="auto"/>
        </w:rPr>
      </w:pPr>
      <w:r>
        <w:rPr>
          <w:rFonts w:ascii="Courier New" w:cs="Courier New" w:eastAsia="Courier New" w:hAnsi="Courier New"/>
          <w:sz w:val="18"/>
          <w:szCs w:val="18"/>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98" w:lineRule="exact"/>
        <w:rPr>
          <w:sz w:val="20"/>
          <w:szCs w:val="20"/>
          <w:color w:val="auto"/>
        </w:rPr>
      </w:pPr>
    </w:p>
    <w:p>
      <w:pPr>
        <w:ind w:right="1879" w:firstLine="316"/>
        <w:spacing w:after="0" w:line="248" w:lineRule="auto"/>
        <w:rPr>
          <w:sz w:val="20"/>
          <w:szCs w:val="20"/>
          <w:color w:val="auto"/>
        </w:rPr>
      </w:pPr>
      <w:r>
        <w:rPr>
          <w:rFonts w:ascii="Courier New" w:cs="Courier New" w:eastAsia="Courier New" w:hAnsi="Courier New"/>
          <w:sz w:val="18"/>
          <w:szCs w:val="18"/>
          <w:color w:val="auto"/>
        </w:rPr>
        <w:t>Our Restated Articles of Organization, as amended, provide that we shall indemnify our directors and officers to the fullest extent authorized by Massachusetts law, as it now exists or may in the future be amended, against all liabilities and expenses incurred in connection with service for us or on our behalf. In addition, the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Rights Plan</w:t>
      </w:r>
    </w:p>
    <w:p>
      <w:pPr>
        <w:spacing w:after="0" w:line="201"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In March 1998, the Board of Directors adopted a Stockholder Rights Plan that replaced a plan adopted by the Board in 1988. Pursuant to the Stockholder Rights Plan, each share of common stock has an associated right. Under certain circumstances, each right would entitle the registered holder to purchase from us one one-thousandth share of Series A Junior Participating Preferred Stock at a purchase price of $90 in cash, subject to adjustment.</w:t>
      </w:r>
    </w:p>
    <w:p>
      <w:pPr>
        <w:spacing w:after="0" w:line="93" w:lineRule="exact"/>
        <w:rPr>
          <w:sz w:val="20"/>
          <w:szCs w:val="20"/>
          <w:color w:val="auto"/>
        </w:rPr>
      </w:pPr>
    </w:p>
    <w:p>
      <w:pPr>
        <w:ind w:right="1879" w:firstLine="316"/>
        <w:spacing w:after="0" w:line="292" w:lineRule="auto"/>
        <w:rPr>
          <w:sz w:val="20"/>
          <w:szCs w:val="20"/>
          <w:color w:val="auto"/>
        </w:rPr>
      </w:pPr>
      <w:r>
        <w:rPr>
          <w:rFonts w:ascii="Courier New" w:cs="Courier New" w:eastAsia="Courier New" w:hAnsi="Courier New"/>
          <w:sz w:val="18"/>
          <w:szCs w:val="18"/>
          <w:color w:val="auto"/>
        </w:rPr>
        <w:t>The rights are not exercisable and cannot be transferred separately from the common stock until ten business days (or such later date as may be determined by the Board of Directors) after</w:t>
      </w:r>
    </w:p>
    <w:p>
      <w:pPr>
        <w:spacing w:after="0" w:line="66" w:lineRule="exact"/>
        <w:rPr>
          <w:sz w:val="20"/>
          <w:szCs w:val="20"/>
          <w:color w:val="auto"/>
        </w:rPr>
      </w:pPr>
    </w:p>
    <w:p>
      <w:pPr>
        <w:jc w:val="both"/>
        <w:ind w:left="420" w:right="3159" w:hanging="201"/>
        <w:spacing w:after="0" w:line="344"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public announcement that a person or group of affiliated or associated persons has acquired (or obtained rights to acquire) beneficial ownership of 15% or more of our common stock or</w:t>
      </w:r>
    </w:p>
    <w:p>
      <w:pPr>
        <w:spacing w:after="0" w:line="31" w:lineRule="exact"/>
        <w:rPr>
          <w:sz w:val="20"/>
          <w:szCs w:val="20"/>
          <w:color w:val="auto"/>
        </w:rPr>
      </w:pPr>
    </w:p>
    <w:p>
      <w:pPr>
        <w:ind w:left="420" w:right="2099" w:hanging="201"/>
        <w:spacing w:after="0" w:line="292"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of a tender offer or exchange offer that would result in a person or group beneficially owning 20% or more of the outstanding common stock.</w:t>
      </w:r>
    </w:p>
    <w:p>
      <w:pPr>
        <w:spacing w:after="0" w:line="66"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If and when the rights become exercisable, each holder of a right shall have the right to receive, upon exercise, that number of common stock (or in certain circumstances, cash, property or other of our securities) that equals the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98" w:lineRule="exact"/>
        <w:rPr>
          <w:sz w:val="20"/>
          <w:szCs w:val="20"/>
          <w:color w:val="auto"/>
        </w:rPr>
      </w:pPr>
    </w:p>
    <w:p>
      <w:pPr>
        <w:jc w:val="both"/>
        <w:ind w:left="540" w:right="2099" w:hanging="321"/>
        <w:spacing w:after="0" w:line="318"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50% or more of our assets or earning power is sold or transferred,</w:t>
      </w:r>
    </w:p>
    <w:p>
      <w:pPr>
        <w:sectPr>
          <w:pgSz w:w="11900" w:h="16838" w:orient="portrait"/>
          <w:cols w:equalWidth="0" w:num="1">
            <w:col w:w="10219"/>
          </w:cols>
          <w:pgMar w:left="240" w:top="691" w:right="1440" w:bottom="1440" w:gutter="0" w:footer="0" w:header="0"/>
        </w:sectPr>
      </w:pPr>
    </w:p>
    <w:bookmarkStart w:id="7" w:name="page8"/>
    <w:bookmarkEnd w:id="7"/>
    <w:p>
      <w:pPr>
        <w:ind w:right="1879"/>
        <w:spacing w:after="0" w:line="274" w:lineRule="auto"/>
        <w:rPr>
          <w:sz w:val="20"/>
          <w:szCs w:val="20"/>
          <w:color w:val="auto"/>
        </w:rPr>
      </w:pPr>
      <w:r>
        <w:rPr>
          <w:rFonts w:ascii="Courier New" w:cs="Courier New" w:eastAsia="Courier New" w:hAnsi="Courier New"/>
          <w:sz w:val="18"/>
          <w:szCs w:val="18"/>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82"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$.0005 per right at any time prior to the tenth day following a person's acquisition of 15% or more of our then outstanding common stock. So long as the rights are not separately transferable, each new share of common stock issued will have a right associated with it.</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2019-12-20T01:09:13Z</dcterms:created>
  <dcterms:modified xsi:type="dcterms:W3CDTF">2019-12-20T01:09:13Z</dcterms:modified>
</cp:coreProperties>
</file>