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ind w:left="2000"/>
              <w:spacing w:after="0"/>
              <w:rPr>
                <w:sz w:val="20"/>
                <w:szCs w:val="20"/>
                <w:color w:val="auto"/>
              </w:rPr>
            </w:pPr>
            <w:r>
              <w:rPr>
                <w:rFonts w:ascii="Arial" w:cs="Arial" w:eastAsia="Arial" w:hAnsi="Arial"/>
                <w:sz w:val="18"/>
                <w:szCs w:val="18"/>
                <w:b w:val="1"/>
                <w:bCs w:val="1"/>
                <w:color w:val="auto"/>
              </w:rPr>
              <w:t>(Mark One)</w:t>
            </w:r>
          </w:p>
        </w:tc>
        <w:tc>
          <w:tcPr>
            <w:tcW w:w="8040" w:type="dxa"/>
            <w:vAlign w:val="bottom"/>
            <w:gridSpan w:val="4"/>
          </w:tcPr>
          <w:p>
            <w:pPr>
              <w:ind w:left="200"/>
              <w:spacing w:after="0"/>
              <w:rPr>
                <w:sz w:val="20"/>
                <w:szCs w:val="20"/>
                <w:color w:val="auto"/>
              </w:rPr>
            </w:pPr>
            <w:r>
              <w:rPr>
                <w:rFonts w:ascii="Arial" w:cs="Arial" w:eastAsia="Arial" w:hAnsi="Arial"/>
                <w:sz w:val="18"/>
                <w:szCs w:val="18"/>
                <w:b w:val="1"/>
                <w:bCs w:val="1"/>
                <w:color w:val="auto"/>
              </w:rPr>
              <w:t>QUARTERLY REPORT PURSUANT TO SECTION 13 OR 15 (d) OF THE</w:t>
            </w:r>
          </w:p>
        </w:tc>
      </w:tr>
      <w:tr>
        <w:trPr>
          <w:trHeight w:val="275"/>
        </w:trPr>
        <w:tc>
          <w:tcPr>
            <w:tcW w:w="3380" w:type="dxa"/>
            <w:vAlign w:val="bottom"/>
          </w:tcPr>
          <w:p>
            <w:pPr>
              <w:ind w:left="20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060" w:type="dxa"/>
            <w:vAlign w:val="bottom"/>
            <w:gridSpan w:val="3"/>
          </w:tcPr>
          <w:p>
            <w:pPr>
              <w:ind w:left="200"/>
              <w:spacing w:after="0"/>
              <w:rPr>
                <w:sz w:val="20"/>
                <w:szCs w:val="20"/>
                <w:color w:val="auto"/>
              </w:rPr>
            </w:pPr>
            <w:r>
              <w:rPr>
                <w:rFonts w:ascii="Arial" w:cs="Arial" w:eastAsia="Arial" w:hAnsi="Arial"/>
                <w:sz w:val="18"/>
                <w:szCs w:val="18"/>
                <w:b w:val="1"/>
                <w:bCs w:val="1"/>
                <w:color w:val="auto"/>
              </w:rPr>
              <w:t>SECURITIES EXCHANGE ACT OF 1934</w:t>
            </w:r>
          </w:p>
        </w:tc>
        <w:tc>
          <w:tcPr>
            <w:tcW w:w="3980" w:type="dxa"/>
            <w:vAlign w:val="bottom"/>
          </w:tcPr>
          <w:p>
            <w:pPr>
              <w:spacing w:after="0"/>
              <w:rPr>
                <w:sz w:val="23"/>
                <w:szCs w:val="23"/>
                <w:color w:val="auto"/>
              </w:rPr>
            </w:pPr>
          </w:p>
        </w:tc>
      </w:tr>
      <w:tr>
        <w:trPr>
          <w:trHeight w:val="412"/>
        </w:trPr>
        <w:tc>
          <w:tcPr>
            <w:tcW w:w="3380" w:type="dxa"/>
            <w:vAlign w:val="bottom"/>
          </w:tcPr>
          <w:p>
            <w:pPr>
              <w:spacing w:after="0"/>
              <w:rPr>
                <w:sz w:val="24"/>
                <w:szCs w:val="24"/>
                <w:color w:val="auto"/>
              </w:rPr>
            </w:pPr>
          </w:p>
        </w:tc>
        <w:tc>
          <w:tcPr>
            <w:tcW w:w="4060" w:type="dxa"/>
            <w:vAlign w:val="bottom"/>
            <w:gridSpan w:val="3"/>
          </w:tcPr>
          <w:p>
            <w:pPr>
              <w:jc w:val="center"/>
              <w:ind w:left="518"/>
              <w:spacing w:after="0"/>
              <w:rPr>
                <w:sz w:val="20"/>
                <w:szCs w:val="20"/>
                <w:color w:val="auto"/>
              </w:rPr>
            </w:pPr>
            <w:r>
              <w:rPr>
                <w:rFonts w:ascii="Arial" w:cs="Arial" w:eastAsia="Arial" w:hAnsi="Arial"/>
                <w:sz w:val="18"/>
                <w:szCs w:val="18"/>
                <w:b w:val="1"/>
                <w:bCs w:val="1"/>
                <w:color w:val="auto"/>
                <w:w w:val="89"/>
              </w:rPr>
              <w:t>For the quarterly period ended May 3, 2003</w:t>
            </w:r>
          </w:p>
        </w:tc>
        <w:tc>
          <w:tcPr>
            <w:tcW w:w="398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6"/>
              </w:rPr>
              <w:t>OR</w:t>
            </w:r>
          </w:p>
        </w:tc>
        <w:tc>
          <w:tcPr>
            <w:tcW w:w="3980" w:type="dxa"/>
            <w:vAlign w:val="bottom"/>
          </w:tcPr>
          <w:p>
            <w:pPr>
              <w:spacing w:after="0"/>
              <w:rPr>
                <w:sz w:val="24"/>
                <w:szCs w:val="24"/>
                <w:color w:val="auto"/>
              </w:rPr>
            </w:pPr>
          </w:p>
        </w:tc>
      </w:tr>
      <w:tr>
        <w:trPr>
          <w:trHeight w:val="663"/>
        </w:trPr>
        <w:tc>
          <w:tcPr>
            <w:tcW w:w="3380" w:type="dxa"/>
            <w:vAlign w:val="bottom"/>
          </w:tcPr>
          <w:p>
            <w:pPr>
              <w:ind w:left="2000"/>
              <w:spacing w:after="0"/>
              <w:rPr>
                <w:sz w:val="20"/>
                <w:szCs w:val="20"/>
                <w:color w:val="auto"/>
              </w:rPr>
            </w:pPr>
            <w:r>
              <w:rPr>
                <w:rFonts w:ascii="Arial" w:cs="Arial" w:eastAsia="Arial" w:hAnsi="Arial"/>
                <w:sz w:val="18"/>
                <w:szCs w:val="18"/>
                <w:b w:val="1"/>
                <w:bCs w:val="1"/>
                <w:color w:val="auto"/>
              </w:rPr>
              <w:t>o</w:t>
            </w:r>
          </w:p>
        </w:tc>
        <w:tc>
          <w:tcPr>
            <w:tcW w:w="8040" w:type="dxa"/>
            <w:vAlign w:val="bottom"/>
            <w:gridSpan w:val="4"/>
          </w:tcPr>
          <w:p>
            <w:pPr>
              <w:ind w:left="200"/>
              <w:spacing w:after="0"/>
              <w:rPr>
                <w:sz w:val="20"/>
                <w:szCs w:val="20"/>
                <w:color w:val="auto"/>
              </w:rPr>
            </w:pPr>
            <w:r>
              <w:rPr>
                <w:rFonts w:ascii="Arial" w:cs="Arial" w:eastAsia="Arial" w:hAnsi="Arial"/>
                <w:sz w:val="18"/>
                <w:szCs w:val="18"/>
                <w:b w:val="1"/>
                <w:bCs w:val="1"/>
                <w:color w:val="auto"/>
              </w:rPr>
              <w:t>TRANSITION REPORT PURSUANT TO SECTION 13 OR 15 (d) OF THE</w:t>
            </w:r>
          </w:p>
        </w:tc>
      </w:tr>
      <w:tr>
        <w:trPr>
          <w:trHeight w:val="228"/>
        </w:trPr>
        <w:tc>
          <w:tcPr>
            <w:tcW w:w="338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Arial" w:cs="Arial" w:eastAsia="Arial" w:hAnsi="Arial"/>
                <w:sz w:val="18"/>
                <w:szCs w:val="18"/>
                <w:b w:val="1"/>
                <w:bCs w:val="1"/>
                <w:color w:val="auto"/>
              </w:rPr>
              <w:t>SECURITIES EXCHANGE ACT OF 1934</w:t>
            </w:r>
          </w:p>
        </w:tc>
        <w:tc>
          <w:tcPr>
            <w:tcW w:w="3980" w:type="dxa"/>
            <w:vAlign w:val="bottom"/>
          </w:tcPr>
          <w:p>
            <w:pPr>
              <w:spacing w:after="0"/>
              <w:rPr>
                <w:sz w:val="19"/>
                <w:szCs w:val="19"/>
                <w:color w:val="auto"/>
              </w:rPr>
            </w:pPr>
          </w:p>
        </w:tc>
      </w:tr>
      <w:tr>
        <w:trPr>
          <w:trHeight w:val="432"/>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For the Transition period from_______________ to ________________</w:t>
            </w:r>
          </w:p>
        </w:tc>
      </w:tr>
      <w:tr>
        <w:trPr>
          <w:trHeight w:val="432"/>
        </w:trPr>
        <w:tc>
          <w:tcPr>
            <w:tcW w:w="3380" w:type="dxa"/>
            <w:vAlign w:val="bottom"/>
          </w:tcPr>
          <w:p>
            <w:pPr>
              <w:spacing w:after="0"/>
              <w:rPr>
                <w:sz w:val="24"/>
                <w:szCs w:val="24"/>
                <w:color w:val="auto"/>
              </w:rPr>
            </w:pPr>
          </w:p>
        </w:tc>
        <w:tc>
          <w:tcPr>
            <w:tcW w:w="4060" w:type="dxa"/>
            <w:vAlign w:val="bottom"/>
            <w:gridSpan w:val="3"/>
          </w:tcPr>
          <w:p>
            <w:pPr>
              <w:jc w:val="center"/>
              <w:ind w:left="498"/>
              <w:spacing w:after="0"/>
              <w:rPr>
                <w:sz w:val="20"/>
                <w:szCs w:val="20"/>
                <w:color w:val="auto"/>
              </w:rPr>
            </w:pPr>
            <w:r>
              <w:rPr>
                <w:rFonts w:ascii="Arial" w:cs="Arial" w:eastAsia="Arial" w:hAnsi="Arial"/>
                <w:sz w:val="18"/>
                <w:szCs w:val="18"/>
                <w:b w:val="1"/>
                <w:bCs w:val="1"/>
                <w:color w:val="auto"/>
                <w:w w:val="87"/>
              </w:rPr>
              <w:t>Commission File No. 1-7819</w:t>
            </w:r>
          </w:p>
        </w:tc>
        <w:tc>
          <w:tcPr>
            <w:tcW w:w="3980" w:type="dxa"/>
            <w:vAlign w:val="bottom"/>
          </w:tcPr>
          <w:p>
            <w:pPr>
              <w:spacing w:after="0"/>
              <w:rPr>
                <w:sz w:val="24"/>
                <w:szCs w:val="24"/>
                <w:color w:val="auto"/>
              </w:rPr>
            </w:pPr>
          </w:p>
        </w:tc>
      </w:tr>
      <w:tr>
        <w:trPr>
          <w:trHeight w:val="740"/>
        </w:trPr>
        <w:tc>
          <w:tcPr>
            <w:tcW w:w="3380" w:type="dxa"/>
            <w:vAlign w:val="bottom"/>
          </w:tcPr>
          <w:p>
            <w:pPr>
              <w:spacing w:after="0"/>
              <w:rPr>
                <w:sz w:val="24"/>
                <w:szCs w:val="24"/>
                <w:color w:val="auto"/>
              </w:rPr>
            </w:pPr>
          </w:p>
        </w:tc>
        <w:tc>
          <w:tcPr>
            <w:tcW w:w="8040" w:type="dxa"/>
            <w:vAlign w:val="bottom"/>
            <w:gridSpan w:val="4"/>
          </w:tcPr>
          <w:p>
            <w:pPr>
              <w:jc w:val="center"/>
              <w:ind w:right="3292"/>
              <w:spacing w:after="0"/>
              <w:rPr>
                <w:sz w:val="20"/>
                <w:szCs w:val="20"/>
                <w:color w:val="auto"/>
              </w:rPr>
            </w:pPr>
            <w:r>
              <w:rPr>
                <w:rFonts w:ascii="Arial" w:cs="Arial" w:eastAsia="Arial" w:hAnsi="Arial"/>
                <w:sz w:val="43"/>
                <w:szCs w:val="43"/>
                <w:b w:val="1"/>
                <w:bCs w:val="1"/>
                <w:color w:val="auto"/>
                <w:w w:val="89"/>
              </w:rPr>
              <w:t>Analog Devices, Inc.</w:t>
            </w:r>
          </w:p>
        </w:tc>
      </w:tr>
      <w:tr>
        <w:trPr>
          <w:trHeight w:val="194"/>
        </w:trPr>
        <w:tc>
          <w:tcPr>
            <w:tcW w:w="3380" w:type="dxa"/>
            <w:vAlign w:val="bottom"/>
            <w:tcBorders>
              <w:bottom w:val="single" w:sz="8" w:color="808080"/>
            </w:tcBorders>
          </w:tcPr>
          <w:p>
            <w:pPr>
              <w:spacing w:after="0"/>
              <w:rPr>
                <w:sz w:val="16"/>
                <w:szCs w:val="16"/>
                <w:color w:val="auto"/>
              </w:rPr>
            </w:pPr>
          </w:p>
        </w:tc>
        <w:tc>
          <w:tcPr>
            <w:tcW w:w="19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5280" w:type="dxa"/>
            <w:vAlign w:val="bottom"/>
            <w:tcBorders>
              <w:bottom w:val="single" w:sz="8" w:color="808080"/>
            </w:tcBorders>
            <w:gridSpan w:val="2"/>
          </w:tcPr>
          <w:p>
            <w:pPr>
              <w:spacing w:after="0"/>
              <w:rPr>
                <w:sz w:val="16"/>
                <w:szCs w:val="16"/>
                <w:color w:val="auto"/>
              </w:rPr>
            </w:pPr>
          </w:p>
        </w:tc>
      </w:tr>
      <w:tr>
        <w:trPr>
          <w:trHeight w:val="316"/>
        </w:trPr>
        <w:tc>
          <w:tcPr>
            <w:tcW w:w="3380" w:type="dxa"/>
            <w:vAlign w:val="bottom"/>
          </w:tcPr>
          <w:p>
            <w:pPr>
              <w:spacing w:after="0"/>
              <w:rPr>
                <w:sz w:val="24"/>
                <w:szCs w:val="24"/>
                <w:color w:val="auto"/>
              </w:rPr>
            </w:pPr>
          </w:p>
        </w:tc>
        <w:tc>
          <w:tcPr>
            <w:tcW w:w="8040" w:type="dxa"/>
            <w:vAlign w:val="bottom"/>
            <w:gridSpan w:val="4"/>
          </w:tcPr>
          <w:p>
            <w:pPr>
              <w:jc w:val="center"/>
              <w:ind w:right="329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59"/>
        </w:trPr>
        <w:tc>
          <w:tcPr>
            <w:tcW w:w="3380" w:type="dxa"/>
            <w:vAlign w:val="bottom"/>
          </w:tcPr>
          <w:p>
            <w:pPr>
              <w:jc w:val="center"/>
              <w:ind w:left="1812"/>
              <w:spacing w:after="0"/>
              <w:rPr>
                <w:sz w:val="20"/>
                <w:szCs w:val="20"/>
                <w:color w:val="auto"/>
              </w:rPr>
            </w:pPr>
            <w:r>
              <w:rPr>
                <w:rFonts w:ascii="Arial" w:cs="Arial" w:eastAsia="Arial" w:hAnsi="Arial"/>
                <w:sz w:val="18"/>
                <w:szCs w:val="18"/>
                <w:b w:val="1"/>
                <w:bCs w:val="1"/>
                <w:color w:val="auto"/>
                <w:w w:val="83"/>
              </w:rPr>
              <w:t>Massachusetts</w:t>
            </w: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980" w:type="dxa"/>
            <w:vAlign w:val="bottom"/>
          </w:tcPr>
          <w:p>
            <w:pPr>
              <w:jc w:val="center"/>
              <w:ind w:right="1212"/>
              <w:spacing w:after="0"/>
              <w:rPr>
                <w:sz w:val="20"/>
                <w:szCs w:val="20"/>
                <w:color w:val="auto"/>
              </w:rPr>
            </w:pPr>
            <w:r>
              <w:rPr>
                <w:rFonts w:ascii="Arial" w:cs="Arial" w:eastAsia="Arial" w:hAnsi="Arial"/>
                <w:sz w:val="18"/>
                <w:szCs w:val="18"/>
                <w:b w:val="1"/>
                <w:bCs w:val="1"/>
                <w:color w:val="auto"/>
                <w:w w:val="87"/>
              </w:rPr>
              <w:t>04-2348234</w:t>
            </w:r>
          </w:p>
        </w:tc>
      </w:tr>
      <w:tr>
        <w:trPr>
          <w:trHeight w:val="104"/>
        </w:trPr>
        <w:tc>
          <w:tcPr>
            <w:tcW w:w="6140" w:type="dxa"/>
            <w:vAlign w:val="bottom"/>
            <w:tcBorders>
              <w:bottom w:val="single" w:sz="8" w:color="808080"/>
            </w:tcBorders>
            <w:gridSpan w:val="3"/>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r>
      <w:tr>
        <w:trPr>
          <w:trHeight w:val="322"/>
        </w:trPr>
        <w:tc>
          <w:tcPr>
            <w:tcW w:w="7440" w:type="dxa"/>
            <w:vAlign w:val="bottom"/>
            <w:gridSpan w:val="4"/>
          </w:tcPr>
          <w:p>
            <w:pPr>
              <w:jc w:val="center"/>
              <w:ind w:right="2160"/>
              <w:spacing w:after="0"/>
              <w:rPr>
                <w:sz w:val="20"/>
                <w:szCs w:val="20"/>
                <w:color w:val="auto"/>
              </w:rPr>
            </w:pPr>
            <w:r>
              <w:rPr>
                <w:rFonts w:ascii="Arial" w:cs="Arial" w:eastAsia="Arial" w:hAnsi="Arial"/>
                <w:sz w:val="18"/>
                <w:szCs w:val="18"/>
                <w:i w:val="1"/>
                <w:iCs w:val="1"/>
                <w:color w:val="auto"/>
                <w:w w:val="92"/>
              </w:rPr>
              <w:t>(State or other jurisdiction of incorporation or organization)</w:t>
            </w:r>
          </w:p>
        </w:tc>
        <w:tc>
          <w:tcPr>
            <w:tcW w:w="3980" w:type="dxa"/>
            <w:vAlign w:val="bottom"/>
          </w:tcPr>
          <w:p>
            <w:pPr>
              <w:jc w:val="center"/>
              <w:ind w:right="121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32"/>
        </w:trPr>
        <w:tc>
          <w:tcPr>
            <w:tcW w:w="744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89"/>
              </w:rPr>
              <w:t>One Technology Way, Norwood, MA</w:t>
            </w:r>
          </w:p>
        </w:tc>
        <w:tc>
          <w:tcPr>
            <w:tcW w:w="3980" w:type="dxa"/>
            <w:vAlign w:val="bottom"/>
          </w:tcPr>
          <w:p>
            <w:pPr>
              <w:jc w:val="center"/>
              <w:ind w:right="1212"/>
              <w:spacing w:after="0"/>
              <w:rPr>
                <w:sz w:val="20"/>
                <w:szCs w:val="20"/>
                <w:color w:val="auto"/>
              </w:rPr>
            </w:pPr>
            <w:r>
              <w:rPr>
                <w:rFonts w:ascii="Arial" w:cs="Arial" w:eastAsia="Arial" w:hAnsi="Arial"/>
                <w:sz w:val="18"/>
                <w:szCs w:val="18"/>
                <w:b w:val="1"/>
                <w:bCs w:val="1"/>
                <w:color w:val="auto"/>
                <w:w w:val="87"/>
              </w:rPr>
              <w:t>02062-9106</w:t>
            </w:r>
          </w:p>
        </w:tc>
      </w:tr>
      <w:tr>
        <w:trPr>
          <w:trHeight w:val="104"/>
        </w:trPr>
        <w:tc>
          <w:tcPr>
            <w:tcW w:w="7440" w:type="dxa"/>
            <w:vAlign w:val="bottom"/>
            <w:tcBorders>
              <w:bottom w:val="single" w:sz="8" w:color="808080"/>
            </w:tcBorders>
            <w:gridSpan w:val="4"/>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r>
      <w:tr>
        <w:trPr>
          <w:trHeight w:val="322"/>
        </w:trPr>
        <w:tc>
          <w:tcPr>
            <w:tcW w:w="7440" w:type="dxa"/>
            <w:vAlign w:val="bottom"/>
            <w:gridSpan w:val="4"/>
          </w:tcPr>
          <w:p>
            <w:pPr>
              <w:jc w:val="center"/>
              <w:ind w:right="21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3980" w:type="dxa"/>
            <w:vAlign w:val="bottom"/>
          </w:tcPr>
          <w:p>
            <w:pPr>
              <w:jc w:val="center"/>
              <w:ind w:right="1212"/>
              <w:spacing w:after="0"/>
              <w:rPr>
                <w:sz w:val="20"/>
                <w:szCs w:val="20"/>
                <w:color w:val="auto"/>
              </w:rPr>
            </w:pPr>
            <w:r>
              <w:rPr>
                <w:rFonts w:ascii="Arial" w:cs="Arial" w:eastAsia="Arial" w:hAnsi="Arial"/>
                <w:sz w:val="18"/>
                <w:szCs w:val="18"/>
                <w:i w:val="1"/>
                <w:iCs w:val="1"/>
                <w:color w:val="auto"/>
                <w:w w:val="89"/>
              </w:rPr>
              <w:t>(Zip Code)</w:t>
            </w:r>
          </w:p>
        </w:tc>
      </w:tr>
      <w:tr>
        <w:trPr>
          <w:trHeight w:val="432"/>
        </w:trPr>
        <w:tc>
          <w:tcPr>
            <w:tcW w:w="3380" w:type="dxa"/>
            <w:vAlign w:val="bottom"/>
          </w:tcPr>
          <w:p>
            <w:pPr>
              <w:spacing w:after="0"/>
              <w:rPr>
                <w:sz w:val="24"/>
                <w:szCs w:val="24"/>
                <w:color w:val="auto"/>
              </w:rPr>
            </w:pPr>
          </w:p>
        </w:tc>
        <w:tc>
          <w:tcPr>
            <w:tcW w:w="4060" w:type="dxa"/>
            <w:vAlign w:val="bottom"/>
            <w:gridSpan w:val="3"/>
          </w:tcPr>
          <w:p>
            <w:pPr>
              <w:jc w:val="center"/>
              <w:ind w:left="498"/>
              <w:spacing w:after="0"/>
              <w:rPr>
                <w:sz w:val="20"/>
                <w:szCs w:val="20"/>
                <w:color w:val="auto"/>
              </w:rPr>
            </w:pPr>
            <w:r>
              <w:rPr>
                <w:rFonts w:ascii="Arial" w:cs="Arial" w:eastAsia="Arial" w:hAnsi="Arial"/>
                <w:sz w:val="18"/>
                <w:szCs w:val="18"/>
                <w:b w:val="1"/>
                <w:bCs w:val="1"/>
                <w:color w:val="auto"/>
                <w:w w:val="89"/>
              </w:rPr>
              <w:t>(781) 329-4700</w:t>
            </w:r>
          </w:p>
        </w:tc>
        <w:tc>
          <w:tcPr>
            <w:tcW w:w="3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25" w:lineRule="exact"/>
        <w:rPr>
          <w:sz w:val="20"/>
          <w:szCs w:val="20"/>
          <w:color w:val="auto"/>
        </w:rPr>
      </w:pPr>
    </w:p>
    <w:p>
      <w:pPr>
        <w:ind w:right="200" w:firstLine="2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9"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May 3, 2003 there were 365,316,007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2. Changes in Securities and Use of Proceeds</w:t>
        </w:r>
      </w:hyperlink>
    </w:p>
    <w:p>
      <w:pPr>
        <w:spacing w:after="0" w:line="1" w:lineRule="exact"/>
        <w:rPr>
          <w:rFonts w:ascii="Arial" w:cs="Arial" w:eastAsia="Arial" w:hAnsi="Arial"/>
          <w:sz w:val="22"/>
          <w:szCs w:val="22"/>
          <w:u w:val="single" w:color="auto"/>
          <w:color w:val="0000EE"/>
        </w:rPr>
      </w:pPr>
    </w:p>
    <w:p>
      <w:pPr>
        <w:ind w:left="320" w:right="3999"/>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35">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CERTIFICATION</w:t>
        </w:r>
      </w:hyperlink>
    </w:p>
    <w:p>
      <w:pPr>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EX-99.1 Section 906 Certification of CEO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May 3, 2003</w:t>
            </w:r>
          </w:p>
        </w:tc>
        <w:tc>
          <w:tcPr>
            <w:tcW w:w="540" w:type="dxa"/>
            <w:vAlign w:val="bottom"/>
          </w:tcPr>
          <w:p>
            <w:pPr>
              <w:spacing w:after="0"/>
              <w:rPr>
                <w:sz w:val="22"/>
                <w:szCs w:val="22"/>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501,883</w:t>
            </w:r>
          </w:p>
        </w:tc>
        <w:tc>
          <w:tcPr>
            <w:tcW w:w="4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413,368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sales</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228,423</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192,537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273,460</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220,831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Research and development</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112,829</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102,821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Selling, marketing, general and administrative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71,509</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62,354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Special charge</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Amortization of intangibles</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14,234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184,994</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206,659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88,466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Nonoperating (income) expenses:</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8,005</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Interest income</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w w:val="89"/>
              </w:rPr>
              <w:t>(10,554)</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(15,358)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(403)</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(2,952)</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108"/>
        </w:trPr>
        <w:tc>
          <w:tcPr>
            <w:tcW w:w="472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91,418</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20,036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20,112</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20" w:type="dxa"/>
            <w:vAlign w:val="bottom"/>
            <w:gridSpan w:val="2"/>
          </w:tcPr>
          <w:p>
            <w:pPr>
              <w:spacing w:after="0"/>
              <w:rPr>
                <w:sz w:val="9"/>
                <w:szCs w:val="9"/>
                <w:color w:val="auto"/>
              </w:rPr>
            </w:pPr>
          </w:p>
        </w:tc>
        <w:tc>
          <w:tcPr>
            <w:tcW w:w="38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71,306</w:t>
            </w:r>
          </w:p>
        </w:tc>
        <w:tc>
          <w:tcPr>
            <w:tcW w:w="4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14,426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basic</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364,267</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364,545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379,163</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383,455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basic</w:t>
            </w:r>
          </w:p>
        </w:tc>
        <w:tc>
          <w:tcPr>
            <w:tcW w:w="3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4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tcPr>
          <w:p>
            <w:pPr>
              <w:spacing w:after="0"/>
              <w:rPr>
                <w:sz w:val="9"/>
                <w:szCs w:val="9"/>
                <w:color w:val="auto"/>
              </w:rPr>
            </w:pPr>
          </w:p>
        </w:tc>
        <w:tc>
          <w:tcPr>
            <w:tcW w:w="38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tcPr>
          <w:p>
            <w:pPr>
              <w:spacing w:after="0"/>
              <w:rPr>
                <w:sz w:val="5"/>
                <w:szCs w:val="5"/>
                <w:color w:val="auto"/>
              </w:rPr>
            </w:pPr>
          </w:p>
        </w:tc>
        <w:tc>
          <w:tcPr>
            <w:tcW w:w="386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0.19</w:t>
            </w:r>
          </w:p>
        </w:tc>
        <w:tc>
          <w:tcPr>
            <w:tcW w:w="4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vMerge w:val="continue"/>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720" w:type="dxa"/>
            <w:vAlign w:val="bottom"/>
            <w:gridSpan w:val="2"/>
            <w:vMerge w:val="continue"/>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520" w:type="dxa"/>
            <w:vAlign w:val="bottom"/>
          </w:tcPr>
          <w:p>
            <w:pPr>
              <w:jc w:val="right"/>
              <w:ind w:right="239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May 3, 2003</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969,306</w:t>
            </w:r>
          </w:p>
        </w:tc>
        <w:tc>
          <w:tcPr>
            <w:tcW w:w="1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806,342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sales</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442,709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381,714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526,597</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424,628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Research and development</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222,138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207,530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Selling, marketing, general and administrative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120,712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Special charge</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Amortization of intangibles</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28,339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364,270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383,831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40,797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Nonoperating (income) expenses:</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Interest income</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9"/>
              </w:rPr>
              <w:t>(22,517)</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(35,717)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(6,004)</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(13,531)</w:t>
            </w:r>
          </w:p>
        </w:tc>
        <w:tc>
          <w:tcPr>
            <w:tcW w:w="0" w:type="dxa"/>
            <w:vAlign w:val="bottom"/>
          </w:tcPr>
          <w:p>
            <w:pPr>
              <w:spacing w:after="0"/>
              <w:rPr>
                <w:sz w:val="1"/>
                <w:szCs w:val="1"/>
                <w:color w:val="auto"/>
              </w:rPr>
            </w:pPr>
          </w:p>
        </w:tc>
      </w:tr>
      <w:tr>
        <w:trPr>
          <w:trHeight w:val="108"/>
        </w:trPr>
        <w:tc>
          <w:tcPr>
            <w:tcW w:w="472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168,331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54,328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37,033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20" w:type="dxa"/>
            <w:vAlign w:val="bottom"/>
            <w:gridSpan w:val="2"/>
          </w:tcPr>
          <w:p>
            <w:pPr>
              <w:spacing w:after="0"/>
              <w:rPr>
                <w:sz w:val="9"/>
                <w:szCs w:val="9"/>
                <w:color w:val="auto"/>
              </w:rPr>
            </w:pPr>
          </w:p>
        </w:tc>
        <w:tc>
          <w:tcPr>
            <w:tcW w:w="38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131,298</w:t>
            </w:r>
          </w:p>
        </w:tc>
        <w:tc>
          <w:tcPr>
            <w:tcW w:w="1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basic</w:t>
            </w:r>
          </w:p>
        </w:tc>
        <w:tc>
          <w:tcPr>
            <w:tcW w:w="35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363,703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363,846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378,680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383,463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basic</w:t>
            </w:r>
          </w:p>
        </w:tc>
        <w:tc>
          <w:tcPr>
            <w:tcW w:w="3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tcPr>
          <w:p>
            <w:pPr>
              <w:spacing w:after="0"/>
              <w:rPr>
                <w:sz w:val="9"/>
                <w:szCs w:val="9"/>
                <w:color w:val="auto"/>
              </w:rPr>
            </w:pPr>
          </w:p>
        </w:tc>
        <w:tc>
          <w:tcPr>
            <w:tcW w:w="38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tcPr>
          <w:p>
            <w:pPr>
              <w:spacing w:after="0"/>
              <w:rPr>
                <w:sz w:val="5"/>
                <w:szCs w:val="5"/>
                <w:color w:val="auto"/>
              </w:rPr>
            </w:pPr>
          </w:p>
        </w:tc>
        <w:tc>
          <w:tcPr>
            <w:tcW w:w="386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3"/>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vMerge w:val="continue"/>
          </w:tcPr>
          <w:p>
            <w:pPr>
              <w:spacing w:after="0"/>
              <w:rPr>
                <w:sz w:val="5"/>
                <w:szCs w:val="5"/>
                <w:color w:val="auto"/>
              </w:rPr>
            </w:pPr>
          </w:p>
        </w:tc>
        <w:tc>
          <w:tcPr>
            <w:tcW w:w="35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720" w:type="dxa"/>
            <w:vAlign w:val="bottom"/>
            <w:gridSpan w:val="2"/>
            <w:vMerge w:val="continue"/>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520" w:type="dxa"/>
            <w:vAlign w:val="bottom"/>
          </w:tcPr>
          <w:p>
            <w:pPr>
              <w:jc w:val="right"/>
              <w:ind w:right="239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ind w:left="254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May 3, 2003</w:t>
            </w:r>
          </w:p>
        </w:tc>
        <w:tc>
          <w:tcPr>
            <w:tcW w:w="280" w:type="dxa"/>
            <w:vAlign w:val="bottom"/>
          </w:tcPr>
          <w:p>
            <w:pPr>
              <w:spacing w:after="0"/>
              <w:rPr>
                <w:sz w:val="15"/>
                <w:szCs w:val="15"/>
                <w:color w:val="auto"/>
              </w:rPr>
            </w:pPr>
          </w:p>
        </w:tc>
        <w:tc>
          <w:tcPr>
            <w:tcW w:w="1800" w:type="dxa"/>
            <w:vAlign w:val="bottom"/>
            <w:gridSpan w:val="3"/>
          </w:tcPr>
          <w:p>
            <w:pPr>
              <w:ind w:left="380"/>
              <w:spacing w:after="0"/>
              <w:rPr>
                <w:sz w:val="20"/>
                <w:szCs w:val="20"/>
                <w:color w:val="auto"/>
              </w:rPr>
            </w:pPr>
            <w:r>
              <w:rPr>
                <w:rFonts w:ascii="Arial" w:cs="Arial" w:eastAsia="Arial" w:hAnsi="Arial"/>
                <w:sz w:val="14"/>
                <w:szCs w:val="14"/>
                <w:b w:val="1"/>
                <w:bCs w:val="1"/>
                <w:color w:val="auto"/>
              </w:rPr>
              <w:t>November 2, 2002</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$1,138,332</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$1,613,753</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$1,394,127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1,963,151</w:t>
            </w:r>
          </w:p>
        </w:tc>
        <w:tc>
          <w:tcPr>
            <w:tcW w:w="4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1,284,270</w:t>
            </w:r>
          </w:p>
        </w:tc>
        <w:tc>
          <w:tcPr>
            <w:tcW w:w="5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1,514,837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 net</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242,767</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228,338</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221,524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Raw materials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12,649</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14,598</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15,077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215,414</w:t>
            </w:r>
          </w:p>
        </w:tc>
        <w:tc>
          <w:tcPr>
            <w:tcW w:w="4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225,680</w:t>
            </w:r>
          </w:p>
        </w:tc>
        <w:tc>
          <w:tcPr>
            <w:tcW w:w="5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188,059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Finished goods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65,424</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66,113</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50,015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293,487</w:t>
            </w:r>
          </w:p>
        </w:tc>
        <w:tc>
          <w:tcPr>
            <w:tcW w:w="4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306,391</w:t>
            </w:r>
          </w:p>
        </w:tc>
        <w:tc>
          <w:tcPr>
            <w:tcW w:w="5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253,151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154,000</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152,552</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40,150</w:t>
            </w:r>
          </w:p>
        </w:tc>
        <w:tc>
          <w:tcPr>
            <w:tcW w:w="4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38,921</w:t>
            </w:r>
          </w:p>
        </w:tc>
        <w:tc>
          <w:tcPr>
            <w:tcW w:w="5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32,596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3,831,887</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3,624,225</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3,566,235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Land and buildings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294,290</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294,037</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293,054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Machinery and equipment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1,386,253</w:t>
            </w:r>
          </w:p>
        </w:tc>
        <w:tc>
          <w:tcPr>
            <w:tcW w:w="4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1,385,198</w:t>
            </w:r>
          </w:p>
        </w:tc>
        <w:tc>
          <w:tcPr>
            <w:tcW w:w="5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1,438,186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Office equipment</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94,065</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95,120</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94,803</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Leasehold improvements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127,039</w:t>
            </w:r>
          </w:p>
        </w:tc>
        <w:tc>
          <w:tcPr>
            <w:tcW w:w="4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131,113</w:t>
            </w:r>
          </w:p>
        </w:tc>
        <w:tc>
          <w:tcPr>
            <w:tcW w:w="5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130,616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1,901,647</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1,905,468</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1,956,659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1,175,114</w:t>
            </w:r>
          </w:p>
        </w:tc>
        <w:tc>
          <w:tcPr>
            <w:tcW w:w="4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1,124,564</w:t>
            </w:r>
          </w:p>
        </w:tc>
        <w:tc>
          <w:tcPr>
            <w:tcW w:w="5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1,110,976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property, plant and equipment</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726,533</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780,904</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845,683</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60" w:type="dxa"/>
            <w:vAlign w:val="bottom"/>
            <w:gridSpan w:val="2"/>
          </w:tcPr>
          <w:p>
            <w:pPr>
              <w:spacing w:after="0"/>
              <w:rPr>
                <w:sz w:val="9"/>
                <w:szCs w:val="9"/>
                <w:color w:val="auto"/>
              </w:rPr>
            </w:pPr>
          </w:p>
        </w:tc>
        <w:tc>
          <w:tcPr>
            <w:tcW w:w="7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60" w:type="dxa"/>
            <w:vAlign w:val="bottom"/>
            <w:gridSpan w:val="2"/>
          </w:tcPr>
          <w:p>
            <w:pPr>
              <w:spacing w:after="0"/>
              <w:rPr>
                <w:sz w:val="20"/>
                <w:szCs w:val="20"/>
                <w:color w:val="auto"/>
              </w:rPr>
            </w:pPr>
            <w:r>
              <w:rPr>
                <w:rFonts w:ascii="Arial" w:cs="Arial" w:eastAsia="Arial" w:hAnsi="Arial"/>
                <w:sz w:val="18"/>
                <w:szCs w:val="18"/>
                <w:color w:val="auto"/>
              </w:rPr>
              <w:t>Deferred compensation plan investments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283,442</w:t>
            </w:r>
          </w:p>
        </w:tc>
        <w:tc>
          <w:tcPr>
            <w:tcW w:w="4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277,595</w:t>
            </w:r>
          </w:p>
        </w:tc>
        <w:tc>
          <w:tcPr>
            <w:tcW w:w="5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268,870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Other investments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2,677</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2,010</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6,646</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Goodwill, net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163,373</w:t>
            </w:r>
          </w:p>
        </w:tc>
        <w:tc>
          <w:tcPr>
            <w:tcW w:w="4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163,373</w:t>
            </w:r>
          </w:p>
        </w:tc>
        <w:tc>
          <w:tcPr>
            <w:tcW w:w="5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190,886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9,955</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11,264</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12,569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assets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117,446</w:t>
            </w:r>
          </w:p>
        </w:tc>
        <w:tc>
          <w:tcPr>
            <w:tcW w:w="4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120,820</w:t>
            </w:r>
          </w:p>
        </w:tc>
        <w:tc>
          <w:tcPr>
            <w:tcW w:w="5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61,877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other assets</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576,893</w:t>
            </w:r>
          </w:p>
        </w:tc>
        <w:tc>
          <w:tcPr>
            <w:tcW w:w="4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575,062</w:t>
            </w:r>
          </w:p>
        </w:tc>
        <w:tc>
          <w:tcPr>
            <w:tcW w:w="540" w:type="dxa"/>
            <w:vAlign w:val="bottom"/>
            <w:shd w:val="clear" w:color="auto" w:fill="EEEEEE"/>
          </w:tcPr>
          <w:p>
            <w:pPr>
              <w:spacing w:after="0"/>
              <w:rPr>
                <w:sz w:val="18"/>
                <w:szCs w:val="18"/>
                <w:color w:val="auto"/>
              </w:rPr>
            </w:pPr>
          </w:p>
        </w:tc>
        <w:tc>
          <w:tcPr>
            <w:tcW w:w="14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540,848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$5,135,313</w:t>
            </w:r>
          </w:p>
        </w:tc>
        <w:tc>
          <w:tcPr>
            <w:tcW w:w="4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$4,980,191</w:t>
            </w:r>
          </w:p>
        </w:tc>
        <w:tc>
          <w:tcPr>
            <w:tcW w:w="5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$4,952,766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May 3, 2003</w:t>
            </w:r>
          </w:p>
        </w:tc>
        <w:tc>
          <w:tcPr>
            <w:tcW w:w="300" w:type="dxa"/>
            <w:vAlign w:val="bottom"/>
          </w:tcPr>
          <w:p>
            <w:pPr>
              <w:spacing w:after="0"/>
              <w:rPr>
                <w:sz w:val="15"/>
                <w:szCs w:val="15"/>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November 2, 2002</w:t>
            </w:r>
          </w:p>
        </w:tc>
        <w:tc>
          <w:tcPr>
            <w:tcW w:w="280" w:type="dxa"/>
            <w:vAlign w:val="bottom"/>
          </w:tcPr>
          <w:p>
            <w:pPr>
              <w:spacing w:after="0"/>
              <w:rPr>
                <w:sz w:val="15"/>
                <w:szCs w:val="15"/>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w w:val="98"/>
              </w:rPr>
              <w:t>Short-term borrowings and current portion of obligations under capital leases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1,486</w:t>
            </w:r>
          </w:p>
        </w:tc>
        <w:tc>
          <w:tcPr>
            <w:tcW w:w="3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3,745</w:t>
            </w:r>
          </w:p>
        </w:tc>
        <w:tc>
          <w:tcPr>
            <w:tcW w:w="46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91,269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on shipments to distributors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108,980</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110,271</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105,614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131,763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126,471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153,856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140,539</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151,879</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176,545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476,472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483,635</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523,660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Long-term debt and obligations under capital leases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1,279,264</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1,274,487</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1,193,791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22,612</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287,664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283,210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273,688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18,028</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16,231</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12,679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1,602,956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1,596,540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1,520,158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w w:val="96"/>
              </w:rPr>
              <w:t>Preferred stock, $1.00 par value, 471,934 shares authorized, none outstanding</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Common stock, $0.16 2/3 par value, 600,000,000 shares authorized, 369,772,889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87"/>
              </w:rPr>
              <w:t>shares issued (367,680,211 on November 2, 2002 and 365,695,987 on May 4, 2002)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61,281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781,782</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762,473</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736,160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2,310,917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2,179,619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2,113,436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2,274</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3,156,603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3,001,465</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2,912,269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w w:val="94"/>
              </w:rPr>
              <w:t>Less 4,456,882 shares in treasury, at cost (4,493,186 on November 2, 2002 and</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82,366 on May 4, 2002)</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100,718</w:t>
            </w:r>
          </w:p>
        </w:tc>
        <w:tc>
          <w:tcPr>
            <w:tcW w:w="3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101,449</w:t>
            </w:r>
          </w:p>
        </w:tc>
        <w:tc>
          <w:tcPr>
            <w:tcW w:w="4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3,321</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3,055,885</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2,900,016</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2,908,948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5,135,313</w:t>
            </w:r>
          </w:p>
        </w:tc>
        <w:tc>
          <w:tcPr>
            <w:tcW w:w="3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4,980,191</w:t>
            </w:r>
          </w:p>
        </w:tc>
        <w:tc>
          <w:tcPr>
            <w:tcW w:w="46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4,952,766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May 3, 2003</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131,298</w:t>
            </w:r>
          </w:p>
        </w:tc>
        <w:tc>
          <w:tcPr>
            <w:tcW w:w="1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39,116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8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84,042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87,215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Amortization</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28,370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8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(6,060)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Non-cash portion of special charge</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4,987</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80"/>
              <w:spacing w:after="0"/>
              <w:rPr>
                <w:sz w:val="20"/>
                <w:szCs w:val="20"/>
                <w:color w:val="auto"/>
              </w:rPr>
            </w:pPr>
            <w:r>
              <w:rPr>
                <w:rFonts w:ascii="Arial" w:cs="Arial" w:eastAsia="Arial" w:hAnsi="Arial"/>
                <w:sz w:val="18"/>
                <w:szCs w:val="18"/>
                <w:color w:val="auto"/>
              </w:rPr>
              <w:t>Other non-cash expense</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7,985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(4,331)</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(9,407)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Total adjustments</w:t>
            </w: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81,210</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97,016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212,508</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136,132</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9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 of short-term available-for-sale investments</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6"/>
              </w:rPr>
              <w:t>(2,662,975)</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w w:val="89"/>
              </w:rPr>
              <w:t>(1,623,930)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Maturities of short-term available-for-sale investments</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1,984,094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1,537,371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Payments for acquisitions, net of cash acquired</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Additions to property, plant and equipment, net</w:t>
            </w:r>
          </w:p>
        </w:tc>
        <w:tc>
          <w:tcPr>
            <w:tcW w:w="6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(29,301)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(27,198)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Decrease (increase) in other assets</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8,702</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08"/>
        </w:trPr>
        <w:tc>
          <w:tcPr>
            <w:tcW w:w="69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6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(699,480)</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(116,926)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Proceeds from employee stock plans</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15,723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15,295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Payments on capital lease obligations</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(2,483)</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Net decrease in variable rate borrowings</w:t>
            </w:r>
          </w:p>
        </w:tc>
        <w:tc>
          <w:tcPr>
            <w:tcW w:w="6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9,940</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10,235</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(475,421)</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29,178</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1,613,753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1,364,949</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1,138,332</w:t>
            </w:r>
          </w:p>
        </w:tc>
        <w:tc>
          <w:tcPr>
            <w:tcW w:w="18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1,394,127</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AND SIX MONTHS ENDED MAY 3,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2, 2002 and related notes.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2003 and fiscal 2002 are 52-week fiscal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2 – Stock-Based Compensation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adopted the disclosure requirements of Statement of Financial Accounting Standards No. 148 (FAS 148), “Accounting for Stock-Based Compensation — Transition and Disclosure” effective November 3, 2002. FAS 148 amends Statement of Financial Accounting Standards No. 123 (FAS 123), “Accounting for Stock-Based Compensation,” to provide alternative methods of transition for a voluntary change to the fair value based method of accounting for stock-based compensation and also amends the disclosure requirements of FAS 123 to require prominent disclosures in both annual and interim financial statements about the methods of accounting for stock-based employee compensation and the effect of the method used on reported results. As permitted by FAS 148 and FAS 123, the Company continues to apply the accounting provisions of Accounting Principle Board Opinion No. 25, “Accounting for Stock Issued to Employees,”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the 1992 Employee Stock Purchase Plan and the 1998 International Employee Stock Purchase Plan. No material employee compensation expense has been recorded as all options granted had an exercise price equal to the market value of the underlying common stock on the date of grant. Had expense been recognized using the fair value method described in FAS 123, using the Black-Scholes option-pricing model, we would have reported the following results of operations: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3, 2003</w:t>
            </w:r>
          </w:p>
        </w:tc>
        <w:tc>
          <w:tcPr>
            <w:tcW w:w="280" w:type="dxa"/>
            <w:vAlign w:val="bottom"/>
          </w:tcPr>
          <w:p>
            <w:pPr>
              <w:spacing w:after="0"/>
              <w:rPr>
                <w:sz w:val="22"/>
                <w:szCs w:val="22"/>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4, 2002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71,306</w:t>
            </w:r>
          </w:p>
        </w:tc>
        <w:tc>
          <w:tcPr>
            <w:tcW w:w="4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14,426</w:t>
            </w:r>
          </w:p>
        </w:tc>
        <w:tc>
          <w:tcPr>
            <w:tcW w:w="4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620" w:type="dxa"/>
            <w:vAlign w:val="bottom"/>
            <w:gridSpan w:val="2"/>
            <w:vMerge w:val="restart"/>
          </w:tcPr>
          <w:p>
            <w:pPr>
              <w:ind w:left="860"/>
              <w:spacing w:after="0"/>
              <w:rPr>
                <w:sz w:val="20"/>
                <w:szCs w:val="20"/>
                <w:color w:val="auto"/>
              </w:rPr>
            </w:pPr>
            <w:r>
              <w:rPr>
                <w:rFonts w:ascii="Arial" w:cs="Arial" w:eastAsia="Arial" w:hAnsi="Arial"/>
                <w:sz w:val="18"/>
                <w:szCs w:val="18"/>
                <w:color w:val="auto"/>
                <w:w w:val="93"/>
              </w:rPr>
              <w:t>Deduct: total stock-based compensation expense determined under the fair value method,</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7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3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(54,199)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(57,228)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17,107</w:t>
            </w:r>
          </w:p>
        </w:tc>
        <w:tc>
          <w:tcPr>
            <w:tcW w:w="4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6"/>
              </w:rPr>
              <w:t>(42,802)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620" w:type="dxa"/>
            <w:vAlign w:val="bottom"/>
            <w:gridSpan w:val="2"/>
            <w:vMerge w:val="restart"/>
          </w:tcPr>
          <w:p>
            <w:pPr>
              <w:ind w:left="860"/>
              <w:spacing w:after="0"/>
              <w:rPr>
                <w:sz w:val="20"/>
                <w:szCs w:val="20"/>
                <w:color w:val="auto"/>
              </w:rPr>
            </w:pPr>
            <w:r>
              <w:rPr>
                <w:rFonts w:ascii="Arial" w:cs="Arial" w:eastAsia="Arial" w:hAnsi="Arial"/>
                <w:sz w:val="18"/>
                <w:szCs w:val="18"/>
                <w:color w:val="auto"/>
              </w:rPr>
              <w:t>Earnings (loss) per share: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 – as reported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4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9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Basic – pro forma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(0.12)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 – as reported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9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Diluted – pro forma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(0.12)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620" w:type="dxa"/>
            <w:vAlign w:val="bottom"/>
            <w:gridSpan w:val="2"/>
            <w:vMerge w:val="restart"/>
          </w:tcPr>
          <w:p>
            <w:pPr>
              <w:jc w:val="right"/>
              <w:ind w:right="1772"/>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Six Months Ended</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150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May 3, 2003</w:t>
            </w:r>
          </w:p>
        </w:tc>
        <w:tc>
          <w:tcPr>
            <w:tcW w:w="260" w:type="dxa"/>
            <w:vAlign w:val="bottom"/>
          </w:tcPr>
          <w:p>
            <w:pPr>
              <w:spacing w:after="0"/>
              <w:rPr>
                <w:sz w:val="22"/>
                <w:szCs w:val="22"/>
                <w:color w:val="auto"/>
              </w:rPr>
            </w:pPr>
          </w:p>
        </w:tc>
        <w:tc>
          <w:tcPr>
            <w:tcW w:w="14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131,298</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39,116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99"/>
              </w:rPr>
              <w:t>Deduct: total stock-based compensation expense determined under the fair value</w:t>
            </w: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method, net of tax</w:t>
            </w:r>
          </w:p>
        </w:tc>
        <w:tc>
          <w:tcPr>
            <w:tcW w:w="420" w:type="dxa"/>
            <w:vAlign w:val="bottom"/>
          </w:tcPr>
          <w:p>
            <w:pPr>
              <w:spacing w:after="0"/>
              <w:rPr>
                <w:sz w:val="19"/>
                <w:szCs w:val="19"/>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w w:val="88"/>
              </w:rPr>
              <w:t>(109,297)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(115,732)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22,001</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(76,616)</w:t>
            </w:r>
          </w:p>
        </w:tc>
        <w:tc>
          <w:tcPr>
            <w:tcW w:w="0" w:type="dxa"/>
            <w:vAlign w:val="bottom"/>
          </w:tcPr>
          <w:p>
            <w:pPr>
              <w:spacing w:after="0"/>
              <w:rPr>
                <w:sz w:val="1"/>
                <w:szCs w:val="1"/>
                <w:color w:val="auto"/>
              </w:rPr>
            </w:pPr>
          </w:p>
        </w:tc>
      </w:tr>
      <w:tr>
        <w:trPr>
          <w:trHeight w:val="105"/>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 – as reported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Basic – pro forma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 – as reported</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Diluted – pro forma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3 – Comprehensive Income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stockholders’ equity and consisted of the following:</w:t>
      </w:r>
    </w:p>
    <w:p>
      <w:pPr>
        <w:spacing w:after="0" w:line="200" w:lineRule="exact"/>
        <w:rPr>
          <w:sz w:val="20"/>
          <w:szCs w:val="20"/>
          <w:color w:val="auto"/>
        </w:rPr>
      </w:pP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gridSpan w:val="4"/>
          </w:tcPr>
          <w:p>
            <w:pPr>
              <w:ind w:left="180"/>
              <w:spacing w:after="0"/>
              <w:rPr>
                <w:sz w:val="20"/>
                <w:szCs w:val="20"/>
                <w:color w:val="auto"/>
              </w:rPr>
            </w:pPr>
            <w:r>
              <w:rPr>
                <w:rFonts w:ascii="Arial" w:cs="Arial" w:eastAsia="Arial" w:hAnsi="Arial"/>
                <w:sz w:val="14"/>
                <w:szCs w:val="14"/>
                <w:b w:val="1"/>
                <w:bCs w:val="1"/>
                <w:color w:val="auto"/>
              </w:rPr>
              <w:t>May 3, 2003</w:t>
            </w:r>
          </w:p>
        </w:tc>
        <w:tc>
          <w:tcPr>
            <w:tcW w:w="26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$71,306</w:t>
            </w:r>
          </w:p>
        </w:tc>
        <w:tc>
          <w:tcPr>
            <w:tcW w:w="1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$14,426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95"/>
              </w:rPr>
              <w:t>Change in unrealized gains (losses) on available-for-sale securities, net of taxes of $122 and</w:t>
            </w: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$248, respectively</w:t>
            </w:r>
          </w:p>
        </w:tc>
        <w:tc>
          <w:tcPr>
            <w:tcW w:w="8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EEEEEE"/>
          </w:tcPr>
          <w:p>
            <w:pPr>
              <w:spacing w:after="0"/>
              <w:rPr>
                <w:sz w:val="19"/>
                <w:szCs w:val="19"/>
                <w:color w:val="auto"/>
              </w:rPr>
            </w:pPr>
          </w:p>
        </w:tc>
        <w:tc>
          <w:tcPr>
            <w:tcW w:w="13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ind w:left="220"/>
              <w:spacing w:after="0"/>
              <w:rPr>
                <w:sz w:val="20"/>
                <w:szCs w:val="20"/>
                <w:color w:val="auto"/>
              </w:rPr>
            </w:pPr>
            <w:r>
              <w:rPr>
                <w:rFonts w:ascii="Arial" w:cs="Arial" w:eastAsia="Arial" w:hAnsi="Arial"/>
                <w:sz w:val="18"/>
                <w:szCs w:val="18"/>
                <w:color w:val="auto"/>
                <w:w w:val="93"/>
              </w:rPr>
              <w:t>Change in unrealized gains (losses) on derivative instruments designated as cash flow hedges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4,054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4,147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$71,746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$18,573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4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Borders>
              <w:right w:val="single" w:sz="8" w:color="808080"/>
            </w:tcBorders>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May 3, 2003</w:t>
            </w:r>
          </w:p>
        </w:tc>
        <w:tc>
          <w:tcPr>
            <w:tcW w:w="26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$131,298</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$39,116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1,805</w:t>
            </w:r>
          </w:p>
        </w:tc>
        <w:tc>
          <w:tcPr>
            <w:tcW w:w="240" w:type="dxa"/>
            <w:vAlign w:val="bottom"/>
          </w:tcPr>
          <w:p>
            <w:pPr>
              <w:spacing w:after="0"/>
              <w:rPr>
                <w:sz w:val="18"/>
                <w:szCs w:val="18"/>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93"/>
              </w:rPr>
              <w:t>Change in unrealized gains (losses) on available-for-sale securities, net of taxes of $1,053 and</w:t>
            </w: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$56, respectively</w:t>
            </w: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1,956</w:t>
            </w:r>
          </w:p>
        </w:tc>
        <w:tc>
          <w:tcPr>
            <w:tcW w:w="240" w:type="dxa"/>
            <w:vAlign w:val="bottom"/>
            <w:shd w:val="clear" w:color="auto" w:fill="EEEEEE"/>
          </w:tcPr>
          <w:p>
            <w:pPr>
              <w:spacing w:after="0"/>
              <w:rPr>
                <w:sz w:val="19"/>
                <w:szCs w:val="19"/>
                <w:color w:val="auto"/>
              </w:rPr>
            </w:pPr>
          </w:p>
        </w:tc>
        <w:tc>
          <w:tcPr>
            <w:tcW w:w="13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ind w:left="220"/>
              <w:spacing w:after="0"/>
              <w:rPr>
                <w:sz w:val="20"/>
                <w:szCs w:val="20"/>
                <w:color w:val="auto"/>
              </w:rPr>
            </w:pPr>
            <w:r>
              <w:rPr>
                <w:rFonts w:ascii="Arial" w:cs="Arial" w:eastAsia="Arial" w:hAnsi="Arial"/>
                <w:sz w:val="18"/>
                <w:szCs w:val="18"/>
                <w:color w:val="auto"/>
                <w:w w:val="93"/>
              </w:rPr>
              <w:t>Change in unrealized gains (losses) on derivative instruments designated as cash flow hedges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3,128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4,182</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1,927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20" w:type="dxa"/>
            <w:vAlign w:val="bottom"/>
            <w:gridSpan w:val="3"/>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$135,480</w:t>
            </w:r>
          </w:p>
        </w:tc>
        <w:tc>
          <w:tcPr>
            <w:tcW w:w="2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$41,043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240" w:top="419" w:right="1099" w:bottom="1440" w:gutter="0" w:footer="0" w:header="0"/>
        </w:sectPr>
      </w:pPr>
    </w:p>
    <w:p>
      <w:pPr>
        <w:spacing w:after="0" w:line="11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4 – Short-term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short-term investments have contractual maturities of twelve months or less at time of acquisition. Unrealized gains of</w:t>
      </w:r>
    </w:p>
    <w:p>
      <w:pPr>
        <w:spacing w:after="0" w:line="3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$2.3 million ($1.5 million net of tax) were recorded in other comprehensive income in the first three months of fiscal 2003. Unrealized gains and losses were not material during the first six months of fiscal 2002. Total unrealized losses as of the end of the second quarter of fiscal 2003 were $3.7 million ($2.3 million net of tax). Unrealized losses were not material as of the end of the second quarter of fiscal 2002. No realized gains or losses were recorded during the first three or six months of fiscal 2003 or fiscal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5 – Derivative Instruments and Hedging Agreements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Derivative financial instruments are accounted for in accordance with Statement of Financial Accounting Standards No. 133, (FAS 133), “Accounting for Derivative Instruments and Hedging Activities” as amended by FAS 138. The Company recognizes all derivative financial instruments in the consolidated financial statements at fair value regardless of the purpose for or intent of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Changes in fair values of derivatives not qualifying for hedge accounting are reported immediately in earnings.</w:t>
      </w:r>
    </w:p>
    <w:p>
      <w:pPr>
        <w:spacing w:after="0" w:line="1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67"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i w:val="1"/>
          <w:iCs w:val="1"/>
          <w:color w:val="auto"/>
        </w:rPr>
        <w:t xml:space="preserve">Foreign Exchange Exposure Management </w:t>
      </w:r>
      <w:r>
        <w:rPr>
          <w:rFonts w:ascii="Arial" w:cs="Arial" w:eastAsia="Arial" w:hAnsi="Arial"/>
          <w:sz w:val="15"/>
          <w:szCs w:val="15"/>
          <w:color w:val="auto"/>
        </w:rPr>
        <w:t>- The Company has significant international sales and purchase transactions in foreign currencies and has a policy of</w:t>
      </w:r>
      <w:r>
        <w:rPr>
          <w:rFonts w:ascii="Arial" w:cs="Arial" w:eastAsia="Arial" w:hAnsi="Arial"/>
          <w:sz w:val="15"/>
          <w:szCs w:val="15"/>
          <w:i w:val="1"/>
          <w:iCs w:val="1"/>
          <w:color w:val="auto"/>
        </w:rPr>
        <w:t xml:space="preserve"> </w:t>
      </w:r>
      <w:r>
        <w:rPr>
          <w:rFonts w:ascii="Arial" w:cs="Arial" w:eastAsia="Arial" w:hAnsi="Arial"/>
          <w:sz w:val="15"/>
          <w:szCs w:val="15"/>
          <w:color w:val="auto"/>
        </w:rPr>
        <w:t>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stockholders’ equity and reclassified into earnings in the same line item associated with the forecasted transaction in the same period during which the hedged transaction affects earnings. Any residual change in fair value of the instruments, or ineffectiveness, is recognized immediately in other expense. No ineffectiveness was recognized during the first three and six months of fiscal 2003 or fiscal 2002.</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enters into foreign currency forward contracts that economically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In January 2002, the Company entered into an interest rate swap (the “Swap”) with an aggregate notional amount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$1,200 million. The swap is a derivative instrument as defined by FAS 133 and was designated as a fair value hedge at inception. The swap hedges the benchmark interest rate of the Company’s $1,200 million Convertible Subordinated Notes (the “Notes”) and has the effect of swapping the 4.75% fixed rate of the Convertible Subordinated Notes into a LIBOR-based floating rate (1.29% as of May 6, 2003). The Swap, as well as the Notes, matures on October 1, 2005. As the critical terms of the Swap and the underlying interest component of the Company’s Notes were matched at inception, effectiveness is calculated by comparing the change in the fair value of the contract to the change in the fair value of the interest rate component, with the effective portion of the gain or loss on the derivative instrument reported in other expense. The Swap is designed to provide for the termination of the Swap in the event the Notes are either converted or redeemed early. The Company evaluates this fair value hedge for effectiveness quarterly, and restructured certain terms in October 2002 to provide for an even more highly effective hedge relationship with the Notes. The restructuring resulted in an interest rate swap with terms more favorable to the Company, offset by a promise to pay a fixed amount over time to the counterparty regardless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when the Swap is terminated. The restructuring, which had no impact on earnings, increased the Swap asset by $27 million, with an offsetting debt liability of an equal amount. The restructuring is expected to increase the effectiveness of the hedge on a prospective basis. The fair value hedge was determined to be highly effective, and a minor amount of ineffectiveness ($0.1 million) was recorded in other expense, during the six months ended May 3, 2003.</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from November 3, 2002 through May 3, 2003: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7000" w:type="dxa"/>
            <w:vAlign w:val="bottom"/>
            <w:gridSpan w:val="13"/>
            <w:shd w:val="clear" w:color="auto" w:fill="EEEEEE"/>
          </w:tcPr>
          <w:p>
            <w:pPr>
              <w:spacing w:after="0"/>
              <w:rPr>
                <w:sz w:val="20"/>
                <w:szCs w:val="20"/>
                <w:color w:val="auto"/>
              </w:rPr>
            </w:pPr>
            <w:r>
              <w:rPr>
                <w:rFonts w:ascii="Arial" w:cs="Arial" w:eastAsia="Arial" w:hAnsi="Arial"/>
                <w:sz w:val="18"/>
                <w:szCs w:val="18"/>
                <w:color w:val="auto"/>
                <w:w w:val="97"/>
              </w:rPr>
              <w:t>Accumulated (gain) loss included in other comprehensive income as of November 2, 2002</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$(3,321)</w:t>
            </w:r>
          </w:p>
        </w:tc>
        <w:tc>
          <w:tcPr>
            <w:tcW w:w="22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8"/>
                <w:szCs w:val="18"/>
                <w:color w:val="auto"/>
              </w:rPr>
              <w:t>Changes in fair value of derivatives – (gain) loss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(3,810)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00" w:type="dxa"/>
            <w:vAlign w:val="bottom"/>
            <w:gridSpan w:val="9"/>
            <w:shd w:val="clear" w:color="auto" w:fill="EEEEEE"/>
          </w:tcPr>
          <w:p>
            <w:pPr>
              <w:spacing w:after="0"/>
              <w:rPr>
                <w:sz w:val="20"/>
                <w:szCs w:val="20"/>
                <w:color w:val="auto"/>
              </w:rPr>
            </w:pPr>
            <w:r>
              <w:rPr>
                <w:rFonts w:ascii="Arial" w:cs="Arial" w:eastAsia="Arial" w:hAnsi="Arial"/>
                <w:sz w:val="18"/>
                <w:szCs w:val="18"/>
                <w:color w:val="auto"/>
                <w:w w:val="96"/>
              </w:rPr>
              <w:t>Less: Reclassifications into earnings from other comprehensive income</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3,389</w:t>
            </w:r>
          </w:p>
        </w:tc>
        <w:tc>
          <w:tcPr>
            <w:tcW w:w="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38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40" w:type="dxa"/>
            <w:vAlign w:val="bottom"/>
            <w:gridSpan w:val="12"/>
          </w:tcPr>
          <w:p>
            <w:pPr>
              <w:ind w:left="860"/>
              <w:spacing w:after="0"/>
              <w:rPr>
                <w:sz w:val="20"/>
                <w:szCs w:val="20"/>
                <w:color w:val="auto"/>
              </w:rPr>
            </w:pPr>
            <w:r>
              <w:rPr>
                <w:rFonts w:ascii="Arial" w:cs="Arial" w:eastAsia="Arial" w:hAnsi="Arial"/>
                <w:sz w:val="18"/>
                <w:szCs w:val="18"/>
                <w:color w:val="auto"/>
                <w:w w:val="90"/>
              </w:rPr>
              <w:t>Accumulated (gain) loss included in other comprehensive income as of May 3, 2003</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$(3,742)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380" w:type="dxa"/>
            <w:vAlign w:val="bottom"/>
            <w:gridSpan w:val="10"/>
            <w:vMerge w:val="restart"/>
          </w:tcPr>
          <w:p>
            <w:pPr>
              <w:spacing w:after="0"/>
              <w:rPr>
                <w:sz w:val="20"/>
                <w:szCs w:val="20"/>
                <w:color w:val="auto"/>
              </w:rPr>
            </w:pPr>
            <w:r>
              <w:rPr>
                <w:rFonts w:ascii="Arial" w:cs="Arial" w:eastAsia="Arial" w:hAnsi="Arial"/>
                <w:sz w:val="18"/>
                <w:szCs w:val="18"/>
                <w:color w:val="auto"/>
                <w:w w:val="89"/>
              </w:rPr>
              <w:t>All of the accumulated gain will be reclassified into earnings over the next twelve months.</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80" w:type="dxa"/>
            <w:vAlign w:val="bottom"/>
            <w:gridSpan w:val="10"/>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380" w:type="dxa"/>
            <w:vAlign w:val="bottom"/>
            <w:gridSpan w:val="10"/>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60" w:type="dxa"/>
            <w:vAlign w:val="bottom"/>
            <w:gridSpan w:val="3"/>
          </w:tcPr>
          <w:p>
            <w:pPr>
              <w:spacing w:after="0"/>
              <w:rPr>
                <w:sz w:val="20"/>
                <w:szCs w:val="20"/>
                <w:color w:val="auto"/>
              </w:rPr>
            </w:pPr>
            <w:r>
              <w:rPr>
                <w:rFonts w:ascii="Arial" w:cs="Arial" w:eastAsia="Arial" w:hAnsi="Arial"/>
                <w:sz w:val="18"/>
                <w:szCs w:val="18"/>
                <w:color w:val="auto"/>
              </w:rPr>
              <w:t>Note 6 – Special Charges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00" w:type="dxa"/>
            <w:vAlign w:val="bottom"/>
            <w:gridSpan w:val="6"/>
          </w:tcPr>
          <w:p>
            <w:pPr>
              <w:spacing w:after="0"/>
              <w:rPr>
                <w:sz w:val="20"/>
                <w:szCs w:val="20"/>
                <w:color w:val="auto"/>
              </w:rPr>
            </w:pPr>
            <w:r>
              <w:rPr>
                <w:rFonts w:ascii="Arial" w:cs="Arial" w:eastAsia="Arial" w:hAnsi="Arial"/>
                <w:sz w:val="18"/>
                <w:szCs w:val="18"/>
                <w:color w:val="auto"/>
                <w:w w:val="97"/>
              </w:rPr>
              <w:t>A summary of the activity in accrued restructuring is as follows: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Fiscal 2002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85"/>
              </w:rPr>
              <w:t>Fiscal 2001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0"/>
                <w:szCs w:val="20"/>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20"/>
                <w:szCs w:val="20"/>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Special</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60" w:type="dxa"/>
            <w:vAlign w:val="bottom"/>
            <w:gridSpan w:val="3"/>
          </w:tcPr>
          <w:p>
            <w:pPr>
              <w:ind w:left="860"/>
              <w:spacing w:after="0"/>
              <w:rPr>
                <w:sz w:val="20"/>
                <w:szCs w:val="20"/>
                <w:color w:val="auto"/>
              </w:rPr>
            </w:pPr>
            <w:r>
              <w:rPr>
                <w:rFonts w:ascii="Arial" w:cs="Arial" w:eastAsia="Arial" w:hAnsi="Arial"/>
                <w:sz w:val="14"/>
                <w:szCs w:val="14"/>
                <w:b w:val="1"/>
                <w:bCs w:val="1"/>
                <w:color w:val="auto"/>
              </w:rPr>
              <w:t>Accrued Restructuring</w:t>
            </w: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Special Charges</w:t>
            </w:r>
          </w:p>
        </w:tc>
        <w:tc>
          <w:tcPr>
            <w:tcW w:w="180" w:type="dxa"/>
            <w:vAlign w:val="bottom"/>
          </w:tcPr>
          <w:p>
            <w:pPr>
              <w:spacing w:after="0"/>
              <w:rPr>
                <w:sz w:val="15"/>
                <w:szCs w:val="15"/>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Special Charges</w:t>
            </w:r>
          </w:p>
        </w:tc>
        <w:tc>
          <w:tcPr>
            <w:tcW w:w="200" w:type="dxa"/>
            <w:vAlign w:val="bottom"/>
          </w:tcPr>
          <w:p>
            <w:pPr>
              <w:spacing w:after="0"/>
              <w:rPr>
                <w:sz w:val="15"/>
                <w:szCs w:val="15"/>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Special Charges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Charges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at November 2, 2002</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25,017</w:t>
            </w: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4,254</w:t>
            </w: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3,146</w:t>
            </w:r>
          </w:p>
        </w:tc>
        <w:tc>
          <w:tcPr>
            <w:tcW w:w="4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7,607</w:t>
            </w:r>
          </w:p>
        </w:tc>
        <w:tc>
          <w:tcPr>
            <w:tcW w:w="200" w:type="dxa"/>
            <w:vAlign w:val="bottom"/>
            <w:shd w:val="clear" w:color="auto" w:fill="EEEEEE"/>
          </w:tcPr>
          <w:p>
            <w:pPr>
              <w:spacing w:after="0"/>
              <w:rPr>
                <w:sz w:val="18"/>
                <w:szCs w:val="18"/>
                <w:color w:val="auto"/>
              </w:rPr>
            </w:pPr>
          </w:p>
        </w:tc>
        <w:tc>
          <w:tcPr>
            <w:tcW w:w="1180" w:type="dxa"/>
            <w:vAlign w:val="bottom"/>
            <w:gridSpan w:val="6"/>
            <w:shd w:val="clear" w:color="auto" w:fill="EEEEEE"/>
          </w:tcPr>
          <w:p>
            <w:pPr>
              <w:jc w:val="right"/>
              <w:spacing w:after="0"/>
              <w:rPr>
                <w:sz w:val="20"/>
                <w:szCs w:val="20"/>
                <w:color w:val="auto"/>
              </w:rPr>
            </w:pPr>
            <w:r>
              <w:rPr>
                <w:rFonts w:ascii="Arial" w:cs="Arial" w:eastAsia="Arial" w:hAnsi="Arial"/>
                <w:sz w:val="18"/>
                <w:szCs w:val="18"/>
                <w:b w:val="1"/>
                <w:bCs w:val="1"/>
                <w:color w:val="auto"/>
              </w:rPr>
              <w:t>40,024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6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60" w:type="dxa"/>
            <w:vAlign w:val="bottom"/>
            <w:gridSpan w:val="3"/>
          </w:tcPr>
          <w:p>
            <w:pPr>
              <w:ind w:left="860"/>
              <w:spacing w:after="0"/>
              <w:rPr>
                <w:sz w:val="20"/>
                <w:szCs w:val="20"/>
                <w:color w:val="auto"/>
              </w:rPr>
            </w:pPr>
            <w:r>
              <w:rPr>
                <w:rFonts w:ascii="Arial" w:cs="Arial" w:eastAsia="Arial" w:hAnsi="Arial"/>
                <w:sz w:val="18"/>
                <w:szCs w:val="18"/>
                <w:color w:val="auto"/>
              </w:rPr>
              <w:t>Severance payments</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 (2,025)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(1,111)</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(1,160)</w:t>
            </w: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$(2,261)</w:t>
            </w:r>
          </w:p>
        </w:tc>
        <w:tc>
          <w:tcPr>
            <w:tcW w:w="1480" w:type="dxa"/>
            <w:vAlign w:val="bottom"/>
            <w:gridSpan w:val="7"/>
          </w:tcPr>
          <w:p>
            <w:pPr>
              <w:jc w:val="right"/>
              <w:ind w:right="240"/>
              <w:spacing w:after="0"/>
              <w:rPr>
                <w:sz w:val="20"/>
                <w:szCs w:val="20"/>
                <w:color w:val="auto"/>
              </w:rPr>
            </w:pPr>
            <w:r>
              <w:rPr>
                <w:rFonts w:ascii="Arial" w:cs="Arial" w:eastAsia="Arial" w:hAnsi="Arial"/>
                <w:sz w:val="18"/>
                <w:szCs w:val="18"/>
                <w:color w:val="auto"/>
              </w:rPr>
              <w:t>$ (6,557)</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2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3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(420)</w:t>
            </w:r>
          </w:p>
        </w:tc>
        <w:tc>
          <w:tcPr>
            <w:tcW w:w="14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Effect of foreign currency</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translation on accrual</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at February 1, 2003</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$22,992</w:t>
            </w:r>
          </w:p>
        </w:tc>
        <w:tc>
          <w:tcPr>
            <w:tcW w:w="4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6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3,201</w:t>
            </w:r>
          </w:p>
        </w:tc>
        <w:tc>
          <w:tcPr>
            <w:tcW w:w="4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1,986</w:t>
            </w:r>
          </w:p>
        </w:tc>
        <w:tc>
          <w:tcPr>
            <w:tcW w:w="4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$ 4,926</w:t>
            </w:r>
          </w:p>
        </w:tc>
        <w:tc>
          <w:tcPr>
            <w:tcW w:w="200" w:type="dxa"/>
            <w:vAlign w:val="bottom"/>
            <w:shd w:val="clear" w:color="auto" w:fill="EEEEEE"/>
          </w:tcPr>
          <w:p>
            <w:pPr>
              <w:spacing w:after="0"/>
              <w:rPr>
                <w:sz w:val="18"/>
                <w:szCs w:val="18"/>
                <w:color w:val="auto"/>
              </w:rPr>
            </w:pPr>
          </w:p>
        </w:tc>
        <w:tc>
          <w:tcPr>
            <w:tcW w:w="1180" w:type="dxa"/>
            <w:vAlign w:val="bottom"/>
            <w:gridSpan w:val="6"/>
            <w:shd w:val="clear" w:color="auto" w:fill="EEEEEE"/>
          </w:tcPr>
          <w:p>
            <w:pPr>
              <w:jc w:val="right"/>
              <w:spacing w:after="0"/>
              <w:rPr>
                <w:sz w:val="20"/>
                <w:szCs w:val="20"/>
                <w:color w:val="auto"/>
              </w:rPr>
            </w:pPr>
            <w:r>
              <w:rPr>
                <w:rFonts w:ascii="Arial" w:cs="Arial" w:eastAsia="Arial" w:hAnsi="Arial"/>
                <w:sz w:val="18"/>
                <w:szCs w:val="18"/>
                <w:b w:val="1"/>
                <w:bCs w:val="1"/>
                <w:color w:val="auto"/>
              </w:rPr>
              <w:t>$33,105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6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60" w:type="dxa"/>
            <w:vAlign w:val="bottom"/>
            <w:gridSpan w:val="3"/>
          </w:tcPr>
          <w:p>
            <w:pPr>
              <w:ind w:left="860"/>
              <w:spacing w:after="0"/>
              <w:rPr>
                <w:sz w:val="20"/>
                <w:szCs w:val="20"/>
                <w:color w:val="auto"/>
              </w:rPr>
            </w:pPr>
            <w:r>
              <w:rPr>
                <w:rFonts w:ascii="Arial" w:cs="Arial" w:eastAsia="Arial" w:hAnsi="Arial"/>
                <w:sz w:val="18"/>
                <w:szCs w:val="18"/>
                <w:color w:val="auto"/>
              </w:rPr>
              <w:t>Severance payments</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 (1,531)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(496)</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1200" w:type="dxa"/>
            <w:vAlign w:val="bottom"/>
            <w:gridSpan w:val="4"/>
          </w:tcPr>
          <w:p>
            <w:pPr>
              <w:jc w:val="right"/>
              <w:ind w:right="140"/>
              <w:spacing w:after="0"/>
              <w:rPr>
                <w:sz w:val="20"/>
                <w:szCs w:val="20"/>
                <w:color w:val="auto"/>
              </w:rPr>
            </w:pPr>
            <w:r>
              <w:rPr>
                <w:rFonts w:ascii="Arial" w:cs="Arial" w:eastAsia="Arial" w:hAnsi="Arial"/>
                <w:sz w:val="18"/>
                <w:szCs w:val="18"/>
                <w:color w:val="auto"/>
              </w:rPr>
              <w:t>$(1,353)</w:t>
            </w:r>
          </w:p>
        </w:tc>
        <w:tc>
          <w:tcPr>
            <w:tcW w:w="1480" w:type="dxa"/>
            <w:vAlign w:val="bottom"/>
            <w:gridSpan w:val="7"/>
          </w:tcPr>
          <w:p>
            <w:pPr>
              <w:jc w:val="right"/>
              <w:ind w:right="240"/>
              <w:spacing w:after="0"/>
              <w:rPr>
                <w:sz w:val="20"/>
                <w:szCs w:val="20"/>
                <w:color w:val="auto"/>
              </w:rPr>
            </w:pPr>
            <w:r>
              <w:rPr>
                <w:rFonts w:ascii="Arial" w:cs="Arial" w:eastAsia="Arial" w:hAnsi="Arial"/>
                <w:sz w:val="18"/>
                <w:szCs w:val="18"/>
                <w:color w:val="auto"/>
              </w:rPr>
              <w:t>$ (3,536)</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2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13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(217)</w:t>
            </w:r>
          </w:p>
        </w:tc>
        <w:tc>
          <w:tcPr>
            <w:tcW w:w="12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(58)</w:t>
            </w:r>
          </w:p>
        </w:tc>
        <w:tc>
          <w:tcPr>
            <w:tcW w:w="148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Effect of foreign currency</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translation on accrual</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at May 3, 2003</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$20,661</w:t>
            </w:r>
          </w:p>
        </w:tc>
        <w:tc>
          <w:tcPr>
            <w:tcW w:w="4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6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2,145</w:t>
            </w:r>
          </w:p>
        </w:tc>
        <w:tc>
          <w:tcPr>
            <w:tcW w:w="4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1,613</w:t>
            </w:r>
          </w:p>
        </w:tc>
        <w:tc>
          <w:tcPr>
            <w:tcW w:w="4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$ 3,515</w:t>
            </w:r>
          </w:p>
        </w:tc>
        <w:tc>
          <w:tcPr>
            <w:tcW w:w="200" w:type="dxa"/>
            <w:vAlign w:val="bottom"/>
            <w:shd w:val="clear" w:color="auto" w:fill="EEEEEE"/>
          </w:tcPr>
          <w:p>
            <w:pPr>
              <w:spacing w:after="0"/>
              <w:rPr>
                <w:sz w:val="18"/>
                <w:szCs w:val="18"/>
                <w:color w:val="auto"/>
              </w:rPr>
            </w:pPr>
          </w:p>
        </w:tc>
        <w:tc>
          <w:tcPr>
            <w:tcW w:w="1180" w:type="dxa"/>
            <w:vAlign w:val="bottom"/>
            <w:gridSpan w:val="6"/>
            <w:shd w:val="clear" w:color="auto" w:fill="EEEEEE"/>
          </w:tcPr>
          <w:p>
            <w:pPr>
              <w:jc w:val="right"/>
              <w:spacing w:after="0"/>
              <w:rPr>
                <w:sz w:val="20"/>
                <w:szCs w:val="20"/>
                <w:color w:val="auto"/>
              </w:rPr>
            </w:pPr>
            <w:r>
              <w:rPr>
                <w:rFonts w:ascii="Arial" w:cs="Arial" w:eastAsia="Arial" w:hAnsi="Arial"/>
                <w:sz w:val="18"/>
                <w:szCs w:val="18"/>
                <w:b w:val="1"/>
                <w:bCs w:val="1"/>
                <w:color w:val="auto"/>
              </w:rPr>
              <w:t>$27,934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second quarter of fiscal 2002, the Company recorded special charges of approximately $27.2 million (comprised of $28.7 million of second quarter charges offset by $1.5 million related to a change in estimate discussed below). The second quarter charge was comprised of $25.7 million related to the planned transfer of production from the Company’s three older four-inch wafer fabrication facilities to the Company’s three six-inch and one eight-inch wafer fabrication facilities, and $3 million primarily related to the impairment of an investment, which was partially offset by an adjustment of $1.5 million related to equipment cancellation fees recorded in fiscal year 2001. The investment impairment, which was related to an equity investment in a private company, was due to the Company’s decision to abandon the product strategy for which the investment was made. Included in the $25.7 million special charge were severance and fringe benefit costs of $15.3 million for 509 manufacturing employees in the United States and Ireland, of which 216 of these employees had been terminated as of May 3,</w:t>
      </w:r>
    </w:p>
    <w:p>
      <w:pPr>
        <w:sectPr>
          <w:pgSz w:w="11900" w:h="16838" w:orient="portrait"/>
          <w:cols w:equalWidth="0" w:num="1">
            <w:col w:w="11400"/>
          </w:cols>
          <w:pgMar w:left="240" w:top="419" w:right="25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2003, $2.3 million related to the write-down of equipment to be abandoned and $8.1 million of other charges, primarily related to lease termination and cleanup costs. The write-down of equipment was principally due to a decision to discontinue various product development strategies. The process of transferring production from the four-inch to the six and eight-inch wafer fabrication facilities is ongoing. Various processes have to be transitioned and customer requirements have to be satisfied seamlessly throughout the transition period. The transfer involves three separate four-inch wafer fabrication facilities and three six-inch and one eight-inch facility. The transition has already been completed at one of the four-inch facilities. The lease termination and clean up costs will be incurred as the transition at each site is completed and, because severance costs are paid as income continuance at some locations, these costs will be incurred over time subsequent to the final termination of employment. The transitions from the remaining two four-inch facilities are in progress and are planned to be complete during the second half of fiscal 2003.</w:t>
      </w:r>
    </w:p>
    <w:p>
      <w:pPr>
        <w:spacing w:after="0" w:line="17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addition, the remaining service lives of certain assets within the older four-inch wafer fabrication facilities have been shortened. As a result, depreciation expense included in cost of sales in fiscal 2002 included additional depreciation of approximately $8.7 million associated with the shortened lives.</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third quarter of fiscal 2002, the Company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related to the impairment of goodwill associated with the closing of an Austrian design center acquired in fiscal 2001 and $1.9 million primarily related to the abandonment of equipment and lease cancellation fees. The investment impairment, which was related to an equity investment in a private company, was due to the Company’s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substantially all of the engineering employees had been terminated as of May 3, 2003.</w:t>
      </w:r>
    </w:p>
    <w:p>
      <w:pPr>
        <w:spacing w:after="0" w:line="1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During the fourth quarter of fiscal 2002, the Company recorded special charges of approximately $8.4 million. The charges included severance and fringe benefit costs of $2.5 million related to cost reduction actions taken in the sales group, several product groups and the Company’s manufacturing test operations for approximately 65 employees in the United States and Europe, of which 56 had been terminated as of May 3, 2003. The charges also included $2.1 million related to the impairment of investments, $1.8 million primarily related to the abandonment of equipment and lease cancellation fees and a change in estimate of</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 million related to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the Company decided to abandon. The Company expects to substantially complete this action by the end of the third quarter of fiscal 2003.</w:t>
      </w:r>
    </w:p>
    <w:p>
      <w:pPr>
        <w:spacing w:after="0" w:line="19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substantially all of which had been terminated as of May 3, 2003.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$1.5 million less than the amount recorded for such charges and, accordingly, the Company adjusted the provision for purchase order cancellation fees by $1.5 million in the second quarter of fiscal 2002 to reflect this change in estimate.</w:t>
      </w:r>
    </w:p>
    <w:p>
      <w:pPr>
        <w:spacing w:after="0" w:line="1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of May 3, 2003, $26.6 million of the $29.6 million aggregate severance obligations pertaining to the fiscal 2001 worldwide cost reduction actions had been paid. The restructuring actions included in the special charges recorded during fiscal 2001 are proceeding as planned. Of the $47 million of special charges recorded in fiscal 2001, $3.5 million remained accrued as of May 3, 2003, and primarily represents termination payments being paid as income continuance to certain of the 1,200 terminated employees, predominantly in the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Per Share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issuances of common stock relating to stock option programs and other potentially dilutive securities. In calculating diluted earnings per share, the dilutive effect of stock options is computed using the average market price for the period. Shares related to convertible debt financing and certain of the Company’s outstanding stock options were excluded because they were anti-dilutive, however, these shares could be dilutive in the future. The following table sets forth the computation of basic and diluted earnings per share: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8"/>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May 3, 2003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71,306</w:t>
            </w:r>
          </w:p>
        </w:tc>
        <w:tc>
          <w:tcPr>
            <w:tcW w:w="3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Weighted shares outstanding</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364,267</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364,545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71,306</w:t>
            </w:r>
          </w:p>
        </w:tc>
        <w:tc>
          <w:tcPr>
            <w:tcW w:w="3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Weighted shares outstanding</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364,267</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364,545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Assumed exercise of common stock equivalents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Weighted average common and common equivalent shares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379,163</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383,455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Outstanding stock options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Convertible debt</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220" w:type="dxa"/>
            <w:vAlign w:val="bottom"/>
            <w:tcBorders>
              <w:bottom w:val="single" w:sz="8" w:color="808080"/>
            </w:tcBorders>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1220" w:type="dxa"/>
            <w:vAlign w:val="bottom"/>
            <w:gridSpan w:val="3"/>
          </w:tcPr>
          <w:p>
            <w:pPr>
              <w:ind w:left="320"/>
              <w:spacing w:after="0"/>
              <w:rPr>
                <w:sz w:val="20"/>
                <w:szCs w:val="20"/>
                <w:color w:val="auto"/>
              </w:rPr>
            </w:pPr>
            <w:r>
              <w:rPr>
                <w:rFonts w:ascii="Arial" w:cs="Arial" w:eastAsia="Arial" w:hAnsi="Arial"/>
                <w:sz w:val="14"/>
                <w:szCs w:val="14"/>
                <w:b w:val="1"/>
                <w:bCs w:val="1"/>
                <w:color w:val="auto"/>
              </w:rPr>
              <w:t>May 3, 2003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131,298</w:t>
            </w:r>
          </w:p>
        </w:tc>
        <w:tc>
          <w:tcPr>
            <w:tcW w:w="3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Weighted shares outstanding</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363,703</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363,846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gridSpan w:val="4"/>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gridSpan w:val="4"/>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131,298</w:t>
            </w:r>
          </w:p>
        </w:tc>
        <w:tc>
          <w:tcPr>
            <w:tcW w:w="3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Weighted shares outstanding</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363,703</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363,846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Assumed exercise of common stock equivalents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Weighted average common and common equivalent shares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378,680</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383,463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gridSpan w:val="4"/>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gridSpan w:val="4"/>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Outstanding stock options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14,278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Convertible debt</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8 – Segment Information</w:t>
      </w:r>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operates and tracks its results in one operating segment. The Company designs, develops, manufacturers and markets a broad range of integrated circuits. The Chief Executive Officer has been identified as the Chief Operating Decision Maker as defined by Statement of Financial Accounting Standard No. 131 (FAS 131), “Disclosures about Segments of an Enterprise and Related Information.” Note 9 – New Accounting Standards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&amp; Goodwill and Other Intangible Assets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FAS 142, which became effective for the Company in fiscal year 2003, prohibits the amortization of goodwill and intangible assets with indefinite useful lives. FAS 142 requires that these assets be reviewed for impairment at least annually, or more frequently if impairment indicators arise. Other intangible assets with finite lives will continue to be amortized over their estimated useful lives.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will test goodwill for impairment using the two-step process prescribed by FAS 142. The first step is a screen for potential impairment, while the second step measures the amount of the impairment, if any. FAS 142 provides six months to complete step one of the transitional impairment review. In the first step, if the fair value of the reporting unit(s) exceed(s) the carrying value, no impairment loss is recognized. If the carrying value of the reporting unit(s) exceed(s) the fair value, goodwill is potentially impaired and the Company must complete step two in order to measure the impairment loss. Step two compares the implied fair value of the goodwill with the carrying amount of that goodwill. If the carrying amount of goodwill exceeds the implied fair value of that goodwill, an impairment loss is recognized in an amount equal to that excess.</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began applying FAS 142 in the first quarter of fiscal 2003. Application of the nonamortization provisions of FAS 142 is expected to result in an increase in annual net income of approximately $54 million in fiscal 2003.</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completed the required impairment tests of goodwill and indefinite-lived intangible assets as of November 3, 2002 in the second quarter of fiscal 2003. The results of the impairment review indicated that there was no impairment of goodwill. See further discussion under Note 10 “Goodwill and Other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jc w:val="both"/>
        <w:ind w:right="620"/>
        <w:spacing w:after="0" w:line="306" w:lineRule="auto"/>
        <w:rPr>
          <w:sz w:val="20"/>
          <w:szCs w:val="20"/>
          <w:color w:val="auto"/>
        </w:rPr>
      </w:pPr>
      <w:r>
        <w:rPr>
          <w:rFonts w:ascii="Arial" w:cs="Arial" w:eastAsia="Arial" w:hAnsi="Arial"/>
          <w:sz w:val="16"/>
          <w:szCs w:val="16"/>
          <w:color w:val="auto"/>
        </w:rPr>
        <w:t>Effective November 3, 2002, the Company adopted Statement of Financial Accounting Standards No. 143 (FAS 143), “Accounting for Asset Retirement Obligations,” which addresses financial accounting and reporting for legal obligations associated with the retirement of tangible long-lived assets and the associated asset retirement costs. The adoption of FAS 143 did not have a material effect on the Company’s financial position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November 3, 2002, the Company adopted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The adoption of FAS 144 did not have a material effect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Debt Extinguishment</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Effective November 3, 2002, the Company adopted Statement of Financial Accounting Standards No. 145 (FAS 145), “Rescission of FASB Statements No. 4, 44 and 64, Amendment of FASB Statement No. 13, and Technical Corrections.”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FAS 145, gains and losses on extinguishments of debt are to be classified as income or loss from continuing operations rather than extraordinary items. The adoption of FAS 145 did not have a material impact on the Company’s financial position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Associated with Exit or Disposal Activities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July 2002, the Financial Accounting Standards Board issued Statement of Financial Accounting Standards No. 146 (FAS 146), “Accounting for Costs Associated with Exit or Disposal Activities.” The standard requires companies to recognize costs associated with exit or disposal activities when they are incurred rather than at the date of a commitment to an exit or disposal plan. Costs covered by FAS 146 include lease termination costs and certain employee severance costs that are associated with a restructuring, plant closing, or other exit or disposal activity. This statement is to be applied prospectively to exit or disposal activities initiated after December 31, 2002. FAS 146 may affect the timing of recognizing future exit or disposal costs, if any, as well as the amounts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Effective November 3, 2002, the Company adopted Statement of Financial Accounting Standards No. 148 (FAS 148), “Accounting for Stock-Based Compensation – Transitions and Disclosure.” FAS 148 amends FAS 123, “Accounting for Stock-Based Compensation,” to provide alternative methods of transition to FAS 123’s fair value method of accounting for stock-based employee compensation. FAS 148 also amends the disclosure provisions of FAS 123 and APB Opinion No. 28, “Interim Financial Reporting,” to require disclosure in the summary of significant accounting policies of the effects of an entity’s accounting policy with respect to stock-based employee compensation on reported net income and earnings per share in annual and interim financial statements. While FAS 148 does not amend FAS 123 to require companies to account for employee stock options using the fair value method, the disclosure provisions of FAS 148 are applicable to all companies with stock-based employee compensation, regardless of whether they account for that compensation using the fair value method of FAS 123 or the intrinsic value method of Accounting Principles Board Opinion No. 25, (APB 25), “Accounting for Stock Issued to Employees,” and related interpretations. The Company has adopted the disclosure requirements of FAS 148 and will continue to account for stock-based compensation plans in accordance with APB 25. The Company has made interim disclosures in Note 2 –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the Financial Accounting Standards Board issued Statement of Financial Accounting Standards No. 149 (FAS 149), “Amendment of Statement 133 on Derivative Instruments and Hedging Activities.” This statement amends and clarifies financial accounting and reporting for derivative instruments, including certain derivative instruments embedded in other contracts, and for hedging activities under FAS 133. FAS 149 is effective for contracts entered into or modified after June 30, 2003. The Company does not believe that the adoption of FAS 149 will have a material effect on its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Guarantor’s Accounting and Disclosure Requirements for Guarantees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November 2002, the Financial Accounting Standards Board issued Financial Accounting Standards Board Interpretation No. 45 (FIN 45), “Guarantor’s Accounting and Disclosure Requirements for Guarantees, Including Indirect Guarantees of Indebtedness of Others.” FIN 45 requires that upon issuance of a guarantee, the guarantor must disclose and recognize a liability for the fair value of the obligation it assumes under that guarantee. The initial recognition and measurement requirement of FIN 45 is effective for guarantees issued or modified after December 31, 2002. As of May 3, 2003, the Company’s guarantees that were issued or modified after December 31, 2002 were not material. The disclosure requirements of FIN 45, which are effective for interim and annual periods ending after December 15, 2002, are included in the following paragraphs.</w:t>
      </w:r>
    </w:p>
    <w:p>
      <w:pPr>
        <w:spacing w:after="0" w:line="1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Under the terms of the lease agreement, which was entered into prior to January 1, 2003, related to the Company’s headquarters facility in Norwood, Massachusetts, the Company has agreed to assume the note related to the property in the event of default by the lessor. Assumption of the note, which was approximately $9 million at May 3, 2003, would entitle the Company to a first lien on the property. The lease expires in May 2007. The guarantee was made by the Company to allow the lessor to obtain a lower cost of borrowing.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Company has provided certain indemnities pursuant to which it may be required to make payments to an indemnified party in connection with certain transactions and agreements. With respect to certain acquisitions and divestitures, the Company has provided routine indemnities for such matters as environmental, tax, product and employee liabilities. In addition, in connection with various other agreements, including subsidiary banking agreements, the Company may provide routine guarantees. Generally, a maximum obligation is not explicitly stated, thus the potential amount of future maximum payments cannot be reasonably estimated. The duration of the indemnities varies, and in many cases is indefinite. The Company has not recorded any liability for these indemnities in the consolidated financial statements, except as otherwise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2003, the Financial Accounting Standards Board issued Financial Accounting Standards Board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June 15, 2003. The Company has not yet determined what effect, if any, the adoption of FIN 46 will have on the Company’s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10 – Goodwill and Other Intangible Assets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Beginning in fiscal 2003, the Company adopted Statement of Financial Accounting Standards No. 142 (FAS 142), “Goodwill and Other Intangible Assets.” As a result, the Company discontinued amortizing the remaining balances of goodwill beginning November 3, 2002. Instead the Company will annually evaluate goodwill for impairment. The Company will also evaluate goodwill whenever events and changes in circumstances suggest that the carrying amount may not be recoverable from estimated future cash flows.</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required by FAS 142, intangible assets that do not meet the criteria for recognition apart from goodwill must be reclassified. As a result, a net balance of $1.6 million of acquired workforce intangibles was transferred to goodwill as of November 3,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at May 3, 2003 and May 4, 2002, which will continue to be amortized, consisted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8"/>
          </w:tcPr>
          <w:p>
            <w:pPr>
              <w:jc w:val="center"/>
              <w:ind w:right="1660"/>
              <w:spacing w:after="0"/>
              <w:rPr>
                <w:sz w:val="20"/>
                <w:szCs w:val="20"/>
                <w:color w:val="auto"/>
              </w:rPr>
            </w:pPr>
            <w:r>
              <w:rPr>
                <w:rFonts w:ascii="Arial" w:cs="Arial" w:eastAsia="Arial" w:hAnsi="Arial"/>
                <w:sz w:val="14"/>
                <w:szCs w:val="14"/>
                <w:b w:val="1"/>
                <w:bCs w:val="1"/>
                <w:color w:val="auto"/>
                <w:w w:val="89"/>
              </w:rPr>
              <w:t>May 3, 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6"/>
          </w:tcPr>
          <w:p>
            <w:pPr>
              <w:ind w:left="20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8"/>
              </w:rPr>
              <w:t>Gross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gridSpan w:val="3"/>
          </w:tcPr>
          <w:p>
            <w:pPr>
              <w:jc w:val="center"/>
              <w:ind w:left="156"/>
              <w:spacing w:after="0" w:line="149" w:lineRule="exact"/>
              <w:rPr>
                <w:sz w:val="20"/>
                <w:szCs w:val="20"/>
                <w:color w:val="auto"/>
              </w:rPr>
            </w:pPr>
            <w:r>
              <w:rPr>
                <w:rFonts w:ascii="Arial" w:cs="Arial" w:eastAsia="Arial" w:hAnsi="Arial"/>
                <w:sz w:val="14"/>
                <w:szCs w:val="14"/>
                <w:b w:val="1"/>
                <w:bCs w:val="1"/>
                <w:color w:val="auto"/>
                <w:w w:val="93"/>
              </w:rPr>
              <w:t>Carrying</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6"/>
          </w:tcPr>
          <w:p>
            <w:pPr>
              <w:ind w:left="400"/>
              <w:spacing w:after="0" w:line="14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gridSpan w:val="6"/>
          </w:tcPr>
          <w:p>
            <w:pPr>
              <w:ind w:left="4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4"/>
          </w:tcPr>
          <w:p>
            <w:pPr>
              <w:ind w:left="4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Technology-based</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shd w:val="clear" w:color="auto" w:fill="EEEEEE"/>
          </w:tcPr>
          <w:p>
            <w:pPr>
              <w:spacing w:after="0"/>
              <w:rPr>
                <w:sz w:val="18"/>
                <w:szCs w:val="18"/>
                <w:color w:val="auto"/>
              </w:rPr>
            </w:pPr>
          </w:p>
        </w:tc>
        <w:tc>
          <w:tcPr>
            <w:tcW w:w="17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$ 7,806</w:t>
            </w: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$16,923</w:t>
            </w:r>
          </w:p>
        </w:tc>
        <w:tc>
          <w:tcPr>
            <w:tcW w:w="200" w:type="dxa"/>
            <w:vAlign w:val="bottom"/>
            <w:shd w:val="clear" w:color="auto" w:fill="EEEEEE"/>
          </w:tcPr>
          <w:p>
            <w:pPr>
              <w:spacing w:after="0"/>
              <w:rPr>
                <w:sz w:val="18"/>
                <w:szCs w:val="18"/>
                <w:color w:val="auto"/>
              </w:rPr>
            </w:pPr>
          </w:p>
        </w:tc>
        <w:tc>
          <w:tcPr>
            <w:tcW w:w="1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$ 5,438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Tradename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8"/>
                <w:szCs w:val="18"/>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510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386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220" w:type="dxa"/>
            <w:vAlign w:val="bottom"/>
            <w:shd w:val="clear" w:color="auto" w:fill="EEEEEE"/>
          </w:tcPr>
          <w:p>
            <w:pPr>
              <w:spacing w:after="0"/>
              <w:rPr>
                <w:sz w:val="18"/>
                <w:szCs w:val="18"/>
                <w:color w:val="auto"/>
              </w:rPr>
            </w:pPr>
          </w:p>
        </w:tc>
        <w:tc>
          <w:tcPr>
            <w:tcW w:w="17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5,966</w:t>
            </w: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6,147</w:t>
            </w:r>
          </w:p>
        </w:tc>
        <w:tc>
          <w:tcPr>
            <w:tcW w:w="200" w:type="dxa"/>
            <w:vAlign w:val="bottom"/>
            <w:shd w:val="clear" w:color="auto" w:fill="EEEEEE"/>
          </w:tcPr>
          <w:p>
            <w:pPr>
              <w:spacing w:after="0"/>
              <w:rPr>
                <w:sz w:val="18"/>
                <w:szCs w:val="18"/>
                <w:color w:val="auto"/>
              </w:rPr>
            </w:pPr>
          </w:p>
        </w:tc>
        <w:tc>
          <w:tcPr>
            <w:tcW w:w="17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5,844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$24,237</w:t>
            </w:r>
          </w:p>
        </w:tc>
        <w:tc>
          <w:tcPr>
            <w:tcW w:w="220" w:type="dxa"/>
            <w:vAlign w:val="bottom"/>
          </w:tcPr>
          <w:p>
            <w:pPr>
              <w:spacing w:after="0"/>
              <w:rPr>
                <w:sz w:val="24"/>
                <w:szCs w:val="24"/>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$14,282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$24,237</w:t>
            </w:r>
          </w:p>
        </w:tc>
        <w:tc>
          <w:tcPr>
            <w:tcW w:w="20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$11,668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80" w:type="dxa"/>
            <w:vAlign w:val="bottom"/>
            <w:gridSpan w:val="3"/>
          </w:tcPr>
          <w:p>
            <w:pPr>
              <w:spacing w:after="0"/>
              <w:rPr>
                <w:sz w:val="9"/>
                <w:szCs w:val="9"/>
                <w:color w:val="auto"/>
              </w:rPr>
            </w:pPr>
          </w:p>
        </w:tc>
        <w:tc>
          <w:tcPr>
            <w:tcW w:w="7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8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180" w:type="dxa"/>
            <w:vAlign w:val="bottom"/>
            <w:gridSpan w:val="5"/>
          </w:tcPr>
          <w:p>
            <w:pPr>
              <w:spacing w:after="0"/>
              <w:rPr>
                <w:sz w:val="20"/>
                <w:szCs w:val="20"/>
                <w:color w:val="auto"/>
              </w:rPr>
            </w:pPr>
            <w:r>
              <w:rPr>
                <w:rFonts w:ascii="Arial" w:cs="Arial" w:eastAsia="Arial" w:hAnsi="Arial"/>
                <w:sz w:val="18"/>
                <w:szCs w:val="18"/>
                <w:color w:val="auto"/>
                <w:w w:val="95"/>
              </w:rPr>
              <w:t>Amortization expense relating to goodwill and other intangibles was: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9"/>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280"/>
              <w:spacing w:after="0"/>
              <w:rPr>
                <w:sz w:val="20"/>
                <w:szCs w:val="20"/>
                <w:color w:val="auto"/>
              </w:rPr>
            </w:pPr>
            <w:r>
              <w:rPr>
                <w:rFonts w:ascii="Arial" w:cs="Arial" w:eastAsia="Arial" w:hAnsi="Arial"/>
                <w:sz w:val="14"/>
                <w:szCs w:val="14"/>
                <w:b w:val="1"/>
                <w:bCs w:val="1"/>
                <w:color w:val="auto"/>
                <w:w w:val="89"/>
              </w:rPr>
              <w:t>May 3, 2003</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gridSpan w:val="5"/>
          </w:tcPr>
          <w:p>
            <w:pPr>
              <w:ind w:left="36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$13,484</w:t>
            </w: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intangibles</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7"/>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gridSpan w:val="5"/>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6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$14,234</w:t>
            </w: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6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680" w:type="dxa"/>
            <w:vAlign w:val="bottom"/>
            <w:gridSpan w:val="3"/>
          </w:tcPr>
          <w:p>
            <w:pPr>
              <w:ind w:left="680"/>
              <w:spacing w:after="0"/>
              <w:rPr>
                <w:sz w:val="20"/>
                <w:szCs w:val="20"/>
                <w:color w:val="auto"/>
              </w:rPr>
            </w:pPr>
            <w:r>
              <w:rPr>
                <w:rFonts w:ascii="Arial" w:cs="Arial" w:eastAsia="Arial" w:hAnsi="Arial"/>
                <w:sz w:val="14"/>
                <w:szCs w:val="14"/>
                <w:b w:val="1"/>
                <w:bCs w:val="1"/>
                <w:color w:val="auto"/>
              </w:rPr>
              <w:t>May 3, 2003</w:t>
            </w: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60" w:type="dxa"/>
            <w:vAlign w:val="bottom"/>
            <w:gridSpan w:val="3"/>
          </w:tcPr>
          <w:p>
            <w:pPr>
              <w:ind w:left="88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780" w:type="dxa"/>
            <w:vAlign w:val="bottom"/>
            <w:tcBorders>
              <w:right w:val="single" w:sz="8" w:color="EEEEEE"/>
            </w:tcBorders>
            <w:shd w:val="clear" w:color="auto" w:fill="EEEEEE"/>
          </w:tcPr>
          <w:p>
            <w:pPr>
              <w:ind w:left="6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$26,839</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intangibles</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1,308</w:t>
            </w:r>
          </w:p>
        </w:tc>
        <w:tc>
          <w:tcPr>
            <w:tcW w:w="500" w:type="dxa"/>
            <w:vAlign w:val="bottom"/>
          </w:tcPr>
          <w:p>
            <w:pPr>
              <w:spacing w:after="0"/>
              <w:rPr>
                <w:sz w:val="19"/>
                <w:szCs w:val="19"/>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1,500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780" w:type="dxa"/>
            <w:vAlign w:val="bottom"/>
            <w:tcBorders>
              <w:right w:val="single" w:sz="8" w:color="EEEEEE"/>
            </w:tcBorders>
            <w:shd w:val="clear" w:color="auto" w:fill="EEEEEE"/>
          </w:tcPr>
          <w:p>
            <w:pPr>
              <w:ind w:left="6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1,308</w:t>
            </w:r>
          </w:p>
        </w:tc>
        <w:tc>
          <w:tcPr>
            <w:tcW w:w="500" w:type="dxa"/>
            <w:vAlign w:val="bottom"/>
            <w:shd w:val="clear" w:color="auto" w:fill="EEEEEE"/>
          </w:tcPr>
          <w:p>
            <w:pPr>
              <w:spacing w:after="0"/>
              <w:rPr>
                <w:sz w:val="18"/>
                <w:szCs w:val="18"/>
                <w:color w:val="auto"/>
              </w:rPr>
            </w:pPr>
          </w:p>
        </w:tc>
        <w:tc>
          <w:tcPr>
            <w:tcW w:w="2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$28,339</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annual amortization expense for these intangible assets to be: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ind w:left="2320"/>
              <w:spacing w:after="0"/>
              <w:rPr>
                <w:sz w:val="20"/>
                <w:szCs w:val="20"/>
                <w:color w:val="auto"/>
              </w:rPr>
            </w:pPr>
            <w:r>
              <w:rPr>
                <w:rFonts w:ascii="Arial" w:cs="Arial" w:eastAsia="Arial" w:hAnsi="Arial"/>
                <w:sz w:val="14"/>
                <w:szCs w:val="14"/>
                <w:b w:val="1"/>
                <w:bCs w:val="1"/>
                <w:color w:val="auto"/>
              </w:rPr>
              <w:t>Fiscal</w:t>
            </w:r>
          </w:p>
        </w:tc>
        <w:tc>
          <w:tcPr>
            <w:tcW w:w="560" w:type="dxa"/>
            <w:vAlign w:val="bottom"/>
          </w:tcPr>
          <w:p>
            <w:pPr>
              <w:spacing w:after="0"/>
              <w:rPr>
                <w:sz w:val="14"/>
                <w:szCs w:val="14"/>
                <w:color w:val="auto"/>
              </w:rPr>
            </w:pPr>
          </w:p>
        </w:tc>
        <w:tc>
          <w:tcPr>
            <w:tcW w:w="5860" w:type="dxa"/>
            <w:vAlign w:val="bottom"/>
          </w:tcPr>
          <w:p>
            <w:pPr>
              <w:jc w:val="right"/>
              <w:ind w:right="2472"/>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ind w:left="232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spacing w:after="0"/>
              <w:rPr>
                <w:sz w:val="15"/>
                <w:szCs w:val="15"/>
                <w:color w:val="auto"/>
              </w:rPr>
            </w:pPr>
          </w:p>
        </w:tc>
        <w:tc>
          <w:tcPr>
            <w:tcW w:w="5860" w:type="dxa"/>
            <w:vAlign w:val="bottom"/>
          </w:tcPr>
          <w:p>
            <w:pPr>
              <w:jc w:val="right"/>
              <w:ind w:right="263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6420" w:type="dxa"/>
            <w:vAlign w:val="bottom"/>
            <w:gridSpan w:val="2"/>
            <w:shd w:val="clear" w:color="auto" w:fill="EEEEEE"/>
          </w:tcPr>
          <w:p>
            <w:pPr>
              <w:jc w:val="right"/>
              <w:ind w:right="2732"/>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2004</w:t>
            </w:r>
          </w:p>
        </w:tc>
        <w:tc>
          <w:tcPr>
            <w:tcW w:w="6420" w:type="dxa"/>
            <w:vAlign w:val="bottom"/>
            <w:gridSpan w:val="2"/>
          </w:tcPr>
          <w:p>
            <w:pPr>
              <w:jc w:val="right"/>
              <w:ind w:right="2732"/>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6420" w:type="dxa"/>
            <w:vAlign w:val="bottom"/>
            <w:gridSpan w:val="2"/>
            <w:shd w:val="clear" w:color="auto" w:fill="EEEEEE"/>
          </w:tcPr>
          <w:p>
            <w:pPr>
              <w:jc w:val="right"/>
              <w:ind w:right="2732"/>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2006</w:t>
            </w:r>
          </w:p>
        </w:tc>
        <w:tc>
          <w:tcPr>
            <w:tcW w:w="6420" w:type="dxa"/>
            <w:vAlign w:val="bottom"/>
            <w:gridSpan w:val="2"/>
          </w:tcPr>
          <w:p>
            <w:pPr>
              <w:jc w:val="right"/>
              <w:ind w:right="2732"/>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6420" w:type="dxa"/>
            <w:vAlign w:val="bottom"/>
            <w:gridSpan w:val="2"/>
            <w:shd w:val="clear" w:color="auto" w:fill="EEEEEE"/>
          </w:tcPr>
          <w:p>
            <w:pPr>
              <w:jc w:val="right"/>
              <w:ind w:right="2732"/>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2008+</w:t>
            </w:r>
          </w:p>
        </w:tc>
        <w:tc>
          <w:tcPr>
            <w:tcW w:w="6420" w:type="dxa"/>
            <w:vAlign w:val="bottom"/>
            <w:gridSpan w:val="2"/>
          </w:tcPr>
          <w:p>
            <w:pPr>
              <w:jc w:val="right"/>
              <w:ind w:right="273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provides a reconciliation of reported net income for the three and six months ended May 4, 2002 to adjusted net income had FAS 142 been applied as of the beginning of fiscal 2002:</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40" w:type="dxa"/>
            <w:vAlign w:val="bottom"/>
          </w:tcPr>
          <w:p>
            <w:pPr>
              <w:spacing w:after="0"/>
              <w:rPr>
                <w:sz w:val="22"/>
                <w:szCs w:val="22"/>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May 3, 2003</w:t>
            </w:r>
          </w:p>
        </w:tc>
        <w:tc>
          <w:tcPr>
            <w:tcW w:w="540" w:type="dxa"/>
            <w:vAlign w:val="bottom"/>
          </w:tcPr>
          <w:p>
            <w:pPr>
              <w:spacing w:after="0"/>
              <w:rPr>
                <w:sz w:val="22"/>
                <w:szCs w:val="22"/>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71,306</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14,426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220" w:type="dxa"/>
            <w:vAlign w:val="bottom"/>
          </w:tcPr>
          <w:p>
            <w:pPr>
              <w:spacing w:after="0"/>
              <w:rPr>
                <w:sz w:val="19"/>
                <w:szCs w:val="19"/>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10,902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71,306</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25,328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Reported 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500"/>
              <w:spacing w:after="0"/>
              <w:rPr>
                <w:sz w:val="20"/>
                <w:szCs w:val="20"/>
                <w:color w:val="auto"/>
              </w:rPr>
            </w:pPr>
            <w:r>
              <w:rPr>
                <w:rFonts w:ascii="Arial" w:cs="Arial" w:eastAsia="Arial" w:hAnsi="Arial"/>
                <w:sz w:val="18"/>
                <w:szCs w:val="18"/>
                <w:color w:val="auto"/>
              </w:rPr>
              <w:t>Goodwill and workforce amortization (net of tax)</w:t>
            </w:r>
          </w:p>
        </w:tc>
        <w:tc>
          <w:tcPr>
            <w:tcW w:w="220" w:type="dxa"/>
            <w:vAlign w:val="bottom"/>
          </w:tcPr>
          <w:p>
            <w:pPr>
              <w:spacing w:after="0"/>
              <w:rPr>
                <w:sz w:val="19"/>
                <w:szCs w:val="19"/>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Adjusted 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Reported 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500"/>
              <w:spacing w:after="0"/>
              <w:rPr>
                <w:sz w:val="20"/>
                <w:szCs w:val="20"/>
                <w:color w:val="auto"/>
              </w:rPr>
            </w:pPr>
            <w:r>
              <w:rPr>
                <w:rFonts w:ascii="Arial" w:cs="Arial" w:eastAsia="Arial" w:hAnsi="Arial"/>
                <w:sz w:val="18"/>
                <w:szCs w:val="18"/>
                <w:color w:val="auto"/>
              </w:rPr>
              <w:t>Goodwill and workforce amortization (net of tax)</w:t>
            </w:r>
          </w:p>
        </w:tc>
        <w:tc>
          <w:tcPr>
            <w:tcW w:w="220" w:type="dxa"/>
            <w:vAlign w:val="bottom"/>
          </w:tcPr>
          <w:p>
            <w:pPr>
              <w:spacing w:after="0"/>
              <w:rPr>
                <w:sz w:val="19"/>
                <w:szCs w:val="19"/>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Adjusted net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Pr>
          <w:p>
            <w:pPr>
              <w:spacing w:after="0"/>
              <w:rPr>
                <w:sz w:val="22"/>
                <w:szCs w:val="22"/>
                <w:color w:val="auto"/>
              </w:rPr>
            </w:pPr>
          </w:p>
        </w:tc>
        <w:tc>
          <w:tcPr>
            <w:tcW w:w="1420" w:type="dxa"/>
            <w:vAlign w:val="bottom"/>
            <w:gridSpan w:val="3"/>
          </w:tcPr>
          <w:p>
            <w:pPr>
              <w:ind w:left="360"/>
              <w:spacing w:after="0"/>
              <w:rPr>
                <w:sz w:val="20"/>
                <w:szCs w:val="20"/>
                <w:color w:val="auto"/>
              </w:rPr>
            </w:pPr>
            <w:r>
              <w:rPr>
                <w:rFonts w:ascii="Arial" w:cs="Arial" w:eastAsia="Arial" w:hAnsi="Arial"/>
                <w:sz w:val="14"/>
                <w:szCs w:val="14"/>
                <w:b w:val="1"/>
                <w:bCs w:val="1"/>
                <w:color w:val="auto"/>
              </w:rPr>
              <w:t>May 3, 2003</w:t>
            </w:r>
          </w:p>
        </w:tc>
        <w:tc>
          <w:tcPr>
            <w:tcW w:w="340" w:type="dxa"/>
            <w:vAlign w:val="bottom"/>
          </w:tcPr>
          <w:p>
            <w:pPr>
              <w:spacing w:after="0"/>
              <w:rPr>
                <w:sz w:val="22"/>
                <w:szCs w:val="22"/>
                <w:color w:val="auto"/>
              </w:rPr>
            </w:pP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rPr>
              <w:t>May 4,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44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131,298</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39,116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44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21,708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44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131,298</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60,824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0" w:type="dxa"/>
            <w:vAlign w:val="bottom"/>
            <w:gridSpan w:val="2"/>
            <w:vMerge w:val="continue"/>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Reported net income</w:t>
            </w:r>
          </w:p>
        </w:tc>
        <w:tc>
          <w:tcPr>
            <w:tcW w:w="44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Goodwill and workforce amortization (net of tax)</w:t>
            </w:r>
          </w:p>
        </w:tc>
        <w:tc>
          <w:tcPr>
            <w:tcW w:w="44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Adjusted net income</w:t>
            </w:r>
          </w:p>
        </w:tc>
        <w:tc>
          <w:tcPr>
            <w:tcW w:w="44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0" w:type="dxa"/>
            <w:vAlign w:val="bottom"/>
            <w:gridSpan w:val="2"/>
            <w:vMerge w:val="continue"/>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Reported net income</w:t>
            </w:r>
          </w:p>
        </w:tc>
        <w:tc>
          <w:tcPr>
            <w:tcW w:w="44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Goodwill and workforce amortization (net of tax)</w:t>
            </w:r>
          </w:p>
        </w:tc>
        <w:tc>
          <w:tcPr>
            <w:tcW w:w="44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Adjusted net income</w:t>
            </w:r>
          </w:p>
        </w:tc>
        <w:tc>
          <w:tcPr>
            <w:tcW w:w="440" w:type="dxa"/>
            <w:vAlign w:val="bottom"/>
            <w:tcBorders>
              <w:right w:val="single" w:sz="8" w:color="EEEEEE"/>
            </w:tcBorders>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11 – Common Stock Repurchase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2002, the Company’s Board of Directors approved the repurchase of up to 15 million shares of common stock. As of May 3, 2003, the Company had repurchased 4,350,100 shares of its common stock at an average purchase price of $22.47 per share. The repurchased shares are held as treasury shares and are being used for the employee stock purchase plan and other benefit plans.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2, 2002.</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Quarterly Report on Form 10-Q, including the section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2003 Overview</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recorded quarterly sales of $502 million in the second quarter of fiscal 2003, which was a 21% increase in sales from the second quarter of fiscal 2002 and a 7% increase in sales from the first quarter of fiscal 2003. Our gross margins remained strong at 54.5%, which was a 110 basis point increase from the second quarter of fiscal 2002. Our cash flow continued to be strong, with cash, cash equivalents and short-term investments increasing by over $100 million during the second quarter of fiscal 2003 to $3.1 billion.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sales were $502 million in the second quarter of fiscal 2003, an increase of 21% from net sales of $413 million in the second quarter of fiscal 2002. Net sales for the first six months of fiscal 2003 were $969 million, an increase of 20% from the $806 million reported for the comparable period of fiscal 2002. Approximately 78% of our net sales were from analog products and 22% of our net sales were from DSP products in both the three and six month periods ended May 3, 2003. Our analog product revenue was 16% higher in the second quarter of fiscal 2003 than in the second quarter of fiscal 2002 primarily due to increased sales of converter products. DSP product revenue was 45% higher in the second quarter of fiscal 2003 than in the second quarter of fiscal 2002 primarily as a result of increased sales of chipsets used in wireless handsets.</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quarter ended May 3, 2003, sales increased in all regions compared to the same prior year quarter with the strongest revenue growth occurring in Japan and Southeast Asia. For the six months ended May 3, 2003, sales increased in all regions compared to the same prior year period with the exception of sales in North America. For the six months ended May 3, 2003 compared to the six months ended May 4, 2002, sales in North America declined 4%. During the three months ended May 3, 2003 and May 4, 2002, approximately 74% and 70%, respectively, of net sales were derived from international customers. The decline in sales in North America as a percentage of total sales was attributable to the ongoing transfer of customer manufacturing activity to lower cost locations, primarily Southeast Asia.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Gross margin was $273.5 million, or 54.5% of net sales, in the second quarter of fiscal 2003, an increase of 110 basis points from the second quarter of fiscal 2002 gross margin of $220.8 million, or 53.4% of net sales. Gross margin was $527 million, or 54.3% of net sales, for the six months ended May 3, 2003, an increase of 160 basis points from the $425 million, or 52.7% of net sales, for the same period in the prior year. The increase in gross margin was largely due to the favorable effect of fixed costs allocated across a higher sales base and, to a lesser extent, the impact of manufacturing restructuring actions taken in fiscal 2002 and fiscal 2001 for both the three and six month periods ended May 3, 2003.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Research and development, or R&amp;D, expenses amounted to $113 million, or 22.5% of net sales, in the second quarter of fiscal 2003, an increase of $10 million from the $103 million, or 24.9% of net sales, recorded in the second quarter of fiscal 2002. For the six months ended May 3, 2003, R&amp;D expenses were $222 million, or 22.9% of net sales, an increase of $14.5 million from the $207.5 million, or 25.7% of net sales, recorded in the same period in the prior year. Included in the second quarter of fiscal 2003 and the second quarter of fiscal 2002 R&amp;D expenses are approximately $2.0 million and $3.1 million, respectively, of acquisition-related expenses. The increase in R&amp;D expenses in dollars was primarily due to restoration of salaries to our most highly compensated employees and the selective hiring of engineers. Despite the significant decline in sales in fiscal 2002, in view of our long-term business strategy, we continued to invest in R&amp;D at levels commensurate with significantly higher revenue levels than we were achieving in the short term.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Selling, marketing, general and administrative, or SMG&amp;A, expenses were $71.5 million and $141 million for the three and six months ended May 3, 2003 as compared to $62 million and $121 million for the same periods in the prior year. As a percentage of sales, SMG&amp;A was 14.2% of net sales in the second quarter of fiscal 2003 and 15.1% in the second quarter of fiscal 2002. The increase in SMG&amp;A expenses in dollars was the result of the restoration of salaries for our most highly compensated employees as well as an increase in field applications engineers in order to help our customers design in our newest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Amortization of intangibles was $0.7 million in the second quarter of fiscal 2003 compared with $14 million in the second quarter of fiscal 2002. Amortization of intangibles was $1.3 million for the first six months of fiscal 2003 compared with $28.3 million for the first six months of fiscal 2002. We implemented the provisions of Statement of Financial Accounting Standards No. 142, or FAS 142, as of the beginning of fiscal 2003, which resulted in this significant decrease in amortization expense in the first three and six months of fiscal 2003 as compared to the same time periods of fiscal 2002. Under FAS 142, goodwill is no longer amortized. In fiscal 2003, we anticipate annual amortization expense to decrease to approximately $3 million as a result of our adoption of FAS 142.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2002, we recorded special charges totaling $48.5 million and, during fiscal 2001, we recorded special charges of $47 million.</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the second quarter of fiscal 2002, we recorded special charges of approximately $27.2 million. The second quarter charge included $25.7 million related to the planned transfer of production from our three older four-inch wafer fabrication facilities to our three six-inch and one eight-inch wafer fabrication facilities, and $3 million primarily related to the impairment of an investment, which was partially offset by a $1.5 million adjustment to estimated equipment cancellation fees recorded in fiscal year 2001. The investment impairment, which was related to an equity investment in a private company, was due to our decision to abandon the product strategy for which the investment was made. Included in the $25.7 million component of the special charge were severance and fringe benefit costs of $15.3 million for 509 manufacturing employees in the United States and Ireland, of which 216 of these employees had been terminated as of May 3, 2003,</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$2.3 million related to the write-down of equipment to be abandoned and $8.1 million of other charges primarily related to lease termination and cleanup costs. In addition, the remaining service lives of certain assets within the older four-inch wafer fabrication facilities have been shortened. Depreciation expense included in cost of sales in fiscal 2002 included additional depreciation of approximately $8.7 million associated with the shortened lives of these assets. The write-down of equipment was principally due to our decision to discontinue various product development strategies. As of May 3, 2003, there was $21 million related to these charges remaining to be paid. The process of transferring production from the four-inch to the six and eight-inch wafer fabrication facilities is ongoing. Various processes have to be transitioned and customer requirements have to be satisfied seamlessly throughout the transition period. The transfer involves three separate four-inch wafer fabrication facilities and three six-inch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one eight-inch facility. The transition has already been completed at one of the four-inch facilities. The lease termination and clean up costs will be incurred as the transition at each site is completed and, because severance costs are paid as income continuance at some locations, these costs will be incurred over time subsequent to the final termination of employment. The transitions from the remaining two four-inch facilities are in progress and are planned to be complete during the second half of fiscal 2003. Once fully complete, we anticipate annual savings from the above actions of approximately $60 million, primarily in cost of sales, and the first full year’s impact will be fiscal 2004.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2002, we recorded special charges of approximately $12.8 million. The charges included severance and fringe benefit costs of</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$3.7 million related to cost reduction actions taken in several product groups and, to a lesser extent, in manufacturing, $3.8 million related to the impairment of an investment, $3.4 million related to the impairment of goodwill associated with the closing of an Austrian design center we acquired in fiscal 2001 and</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$1.9 million primarily related to the abandonment of equipment and lease cancellation fees. The investment impairment, which was related to an equity investment in a private company, was due to our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substantially all of the engineering employees had been terminated as of May 3, 2003. As of May 3, 2003, there was $2.1 million related to these charges remaining to be paid, which primarily related to termination payments being paid as income continuance to terminated employees. Once fully complete, we anticipate the workforce reductions will result in annual savings of approximately $10 million, primarily in operating expenses, and the first full year’s impact will be realized in fiscal 2004.</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fourth quarter of fiscal 2002, we recorded special charges of approximately $8.4 million. The charges included severance and fringe benefit costs of $2.5 million related to cost reduction actions taken in our sales group, several product groups and in manufacturing test operations for approximately 65 employees in the United States and Europe, of which 56 had been terminated as of May 3, 2003. The charges also included $2.1 million related to the impairment of investments, $1.8 million primarily related to the abandonment of equipment and lease cancellation fees and a change in estimate of $2 million related to cleanup costs originally recorded in the second quarter of fiscal 2002. The investment impairment charges were related to the decline in fair value of a publicly traded equity investment to less than its cost basis that was determined to be other-than-temporary, and to an equity investment in a private company. The private company equity investment was part of a product strategy that we decided to abandon. As of May 3, 2003, there was $1.6 million related to these charges remaining to be paid. We expect to substantially complete these actions by the end of the third quarter of fiscal 2003. Once fully complete, we anticipate the workforce reductions will result in annual savings of approximately $4 million, primarily in operating expenses, and the first full year’s impact will be realized in fiscal 2004.</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economic climate at that time. The actions consisted of workforce reductions in manufacturing and, to a lesser extent, in selling, marketing and administrative areas. In addition, we made a decision to consolidate worldwide manufacturing operations and rationalize production planning and quality activities. The cost reductions included severance and fringe benefit costs of $29.6 million for approximately 1,200 employees in the United States, Europe, Asia and the Philippines, substantially all of which had been terminated as of May 3, 2003. As of May 3, 2003, $26.6 million of the $29.6 million aggregate severance obligations underlying our fiscal 2001 worldwide cost reduction actions had been paid.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approximately $1.5 million less than the amount recorded for such charges and, accordingly, in the second quarter of fiscal 2002, we adjusted the provision for purchase order cancellation fees by $1.5 million to reflect this change in estimate. We believe that the workforce reductions will result in annual salary savings of approximately $40 million, consisting of a $27 million reduction in cost of sales and a $13 million reduction in operating expenses. The impact in fiscal 2002 of these cost savings was approximately $30 million, consisting of a $20 million reduction in cost of sales and a $10 million reduction in operating expenses, and the first full year’s impact will be fiscal 2004.</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restructuring actions included in the special charges recorded during fiscal 2001 are proceeding as planned. Of the $47 million of special charges recorded in fiscal 2001, $3.5 million remained accrued as of May 3, 2003. Substantially all of the remaining amount covers termination payments being paid as income continuance to terminated employees as a result of the fiscal 2001 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second quarter of fiscal 2003 was $88 million, an increase of $74 million from the $14 million reported for the second quarter of fiscal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2002. Operating income for the six months ended May 3, 2003 was $162 million compared to $41 million in the same period of the prior year.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$27 million of the increase in both the second quarter of fiscal 2003 and the six months ended May 3, 2003 is attributable to non-recurring charges recorded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fiscal 2002 relating to the transfer of production from older four-inch wafer fabrication facilities to our modern six- and eight-inch wafer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fabrication facilities. An additional $14 million of the $74 million increase relates to the cessation of goodwill amortization and the remainder of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attributable to increased revenue levels and improved gross margins, partially offset by increased operating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and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was $8 million and $17 million in the three and six months ended May 3, 2003 compared to $10 million and $23 million in the same periods from the prior year. The decrease in interest expense for the three and six months ended May 3, 2003 compared to the same periods in the prior year was the result of an interest rate swap agreement we entered into in January 2002.</w:t>
      </w:r>
    </w:p>
    <w:p>
      <w:pPr>
        <w:spacing w:after="0" w:line="1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Interest income was $11 million and $23 million in the three and six months ended May 3, 2003 compared to $15 million and $36 million in the same periods from the prior year. The decrease in interest income for the three and six month ended May 3, 2003 was primarily a result of the decline in interest rates during fiscal 2002 as a result of actions taken by the Federal Reserve Board and, to a lesser extent, our decision to increase our holdings of higher credit quality lower interest-bearing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effective income tax rate was 22% for the three and six months ended May 3, 2003 compared to 28% for the same prior year periods. The decrease in the effective tax rate was due to a shift in the mix of worldwide profits and the discontinuance of goodwill amortization in the first quarter of fiscal 2003 as a result of our adoption of Financial Accounting Standards Board Statement of Financial Accounting Standards No. 142,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second quarter of fiscal 2003 was $71 million, or 14.2% of net sales, and diluted earnings per share was $0.19 compared to net income of</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$14.4 million, or 3.5% of net sales, and diluted earnings per share of $0.04 for the same quarter in fiscal 2002. Net income for the first six months of fiscal 2003 was $131 million, or 13.5% of net sales, and diluted earnings per share was $0.35 compared to net income of $39 million, or 4.8% of net sales, and diluted earnings per share of $0.10 for the same period in fiscal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Our net sales for the second quarter of fiscal 2003 increased 7% from the first quarter of fiscal 2003 as a result of stronger bookings. Based upon our expectation of continued improvement in our business and the semiconductor industry generally, our plan for our third quarter of fiscal 2003 anticipates an increase of approximately 3% to 5% in net sales from the second quarter of fiscal 2003. We are planning for operating expenses to grow by a few percent to accommodate salary increases we reinstituted for a number of our employees. In the event that net sales and operating expenses increase as planned, and assuming no unusual items, we would expect our third quarter of fiscal 2003 diluted earnings per share to be $0.20 to $0.21, as compared to $0.19 in the second quarter of fiscal 2003.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At May 3, 2003, cash, cash equivalents and short-term investments totaled $3.1 billion, an increase of $203 million from the fourth quarter of fiscal 2002 and an increase of $193 million from the second quarter of fiscal 2002. The increase in cash, cash equivalents and short-term investments was primarily due to operating cash inflows of $213 million, or 22% of net sales, in the first six months of fiscal 2003.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of $243 million at May 3, 2003 increased $15 million from $228 million at the end of the fourth quarter of fiscal 2002. Accounts receivable for the second quarter of fiscal 2003 increased $21 million from the second quarter of fiscal 2002. The increase in accounts receivable is primarily attributable to the increase in sales and slightly offset by an improvement in days sales outstanding. Days sales outstanding improved to 44 days as of May 3, 2003 from 48 days at May 4, 2002 and from 46 days as of November 2, 2002.</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Inventories decreased $13 million from $306 million at the end of the fourth quarter of fiscal 2002 to $293 million at the end of the second quarter of fiscal 2003. At May 3, 2003, days cost of sales in inventory decreased to 117 days from 135 days at November 2, 2002 and decreased from 118 days at May 4, 2002. The decrease in inventory in dollars was due to our continued tight control over manufacturing spending, close management of inventory levels and the impact of restructuring actions taken over the last several quarters.</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additions to property, plant and equipment for the first six months of fiscal 2003 were $29 million and were funded with a combination of cash on hand and cash generated from operations. We currently plan to make capital expenditures of approximately $80 million in fiscal 2003. Capital expenditures are expected to remain low, as we believe we currently have ample installed capacity to significantly increase internal production levels. Depreciation expense is expected to decrease slightly in fiscal 2003 from $181 million in fiscal 2002.</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August 2002, our Board of Directors approved the repurchase of up to 15 million shares of our common stock. We may repurchase shares from time to time on the open market or in privately negotiated transactions. Our management will determine the timing and amount of shares to be repurchased. As of May 3, 2003, we had repurchased 4,350,100 shares of our common stock at an average purchase price of $22.47 per share. The repurchased shares are held as treasury shares and are being used for our employee stock purchase plan and other benefit plans.</w:t>
      </w:r>
    </w:p>
    <w:p>
      <w:pPr>
        <w:spacing w:after="0" w:line="16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During the three and six months ended May 3, 2003, there were no material changes to our contractual cash obligations, other than routine debt and lease payments. During the three and six months ended May 3, 2003, we made payments of approximately $2.4 million and $3.3 million, respectively, related to our long-term debt obligations and approximately $1.1 million and $2.5 million, respectively, related to capital lease obligations.</w:t>
      </w:r>
    </w:p>
    <w:p>
      <w:pPr>
        <w:spacing w:after="0" w:line="16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May 3, 2003, our principal source of liquidity was $3.1 billion of cash, cash equivalents and short-term investments. We believe that our existing sources of liquidity and cash expected to be generated from future operations, together with current and anticipated available long-term financing, will be sufficient to fund operations, capital expenditures and research and development efforts for at least the next twelve months and thereafter for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is based upon the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variations/changes in inventory levels, obsolescence of technology, and product life cycles, we write down inventories to net realizable value. We employ a variety of consistent methodologies to determine the amount of inventory reserves necessary. While a portion of the reserve is determined via reference to the age of inventory and lower of cost or market calculations, an element of the reserve is subject to significant judgments by us about future demand for our inventory. Additionally, we have built inventory in preparation for the transfer of production from our four-inch wafer fabrication facilities to our six- and eight-inch wafer fabrication facilities for both lifetime supply and transition inventory. We have recorded certain levels of reserves related to these inventory builds. Although we believe that we have used our best efforts and available information to estimate future demand, due to the uncertain economic times and the difficulty inherent 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predicting future results, it is possible that actual demand for our products will differ from our estimates. If actual demand for our products is less than our estimates, additional reserves for existing inventories may need to be recorded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amount of such an asset may not be recoverable. Recoverability of these assets is measured by comparison of their carrying amount to future undiscounted cash flows the assets are expected to generate over the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2001, the Financial Accounting Standards Board issued Statement of Financial Accounting Standards No. 142, or FAS 142, “Goodwill and Other Intangible Assets.” In the first quarter of fiscal 2003, we adopted the new rules of FAS 142 for measuring the impairment of goodwill. As required by FAS 142, all remaining and future acquired goodwill will be subject to impairment tests annually, or earlier if indicators of potential impairment exist, using a fair-value-based approach. The estimates and assumptions described above along with other factors such as discount rates will affect the amount of an impairment loss, if any, we recognize under FAS 142. We will be required to test goodwill for impairment, which may result in impairment losses that could have a material adverse impact on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account for income taxes in accordance with Statement of Financial Accounting Standards No. 109, or FAS 109, “Accounting for Income Taxes,”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by assessing our valuation allowance and by adjusting the amount of such allowance, if necessary. At May 3, 2003, we had deferred tax assets of $154 million primarily resulting from temporary differences between the book and tax bases of assets and liabilities. While these assets are not assured of realization, we have conducted an assessment of the likelihood of realization and concluded that no significant valuation allowance is required.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18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we have provided for potential liabilities due in various foreign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From time to time, we receive notices that our products or manufacturing processes may be infringing the patent or intellectual property rights of others. We periodically assess each matter in order to determine if a contingent liability in accordance with Statement of Financial Accounting Standards No. 5, or FAS 5, “Accounting for Contingencies,” should be recorded. In making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8 of our Annual Report on Form 10-K for the year ended November 2,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voluntarily provided the following disclosure in order to provide our stockholders with information about our stock option programs and activity. We believe that this disclosure, combined with the disclosure provided in Note 2 to our Consolidated Financial Statements contained in Item 1 of this Quarterly Report on Form 10-Q, provides detailed information about our stock option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Program Description</w:t>
      </w:r>
    </w:p>
    <w:p>
      <w:pPr>
        <w:spacing w:after="0" w:line="2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stockholders. We have two plans under which we currently grant stock options:</w:t>
      </w:r>
    </w:p>
    <w:p>
      <w:pPr>
        <w:spacing w:after="0" w:line="133" w:lineRule="exact"/>
        <w:rPr>
          <w:sz w:val="20"/>
          <w:szCs w:val="20"/>
          <w:color w:val="auto"/>
        </w:rPr>
      </w:pPr>
    </w:p>
    <w:p>
      <w:pPr>
        <w:ind w:left="820" w:right="320" w:hanging="488"/>
        <w:spacing w:after="0" w:line="275" w:lineRule="auto"/>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1998 Stock Option Plan</w:t>
      </w:r>
      <w:r>
        <w:rPr>
          <w:rFonts w:ascii="Arial" w:cs="Arial" w:eastAsia="Arial" w:hAnsi="Arial"/>
          <w:sz w:val="18"/>
          <w:szCs w:val="18"/>
          <w:color w:val="auto"/>
        </w:rPr>
        <w:t>, as amended, under which officers, directors and employees of Analog are granted options to 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w:t>
      </w:r>
    </w:p>
    <w:p>
      <w:pPr>
        <w:spacing w:after="0" w:line="173" w:lineRule="exact"/>
        <w:rPr>
          <w:rFonts w:ascii="Arial" w:cs="Arial" w:eastAsia="Arial" w:hAnsi="Arial"/>
          <w:sz w:val="18"/>
          <w:szCs w:val="18"/>
          <w:b w:val="1"/>
          <w:bCs w:val="1"/>
          <w:color w:val="auto"/>
        </w:rPr>
      </w:pPr>
    </w:p>
    <w:p>
      <w:pPr>
        <w:ind w:left="820" w:right="640" w:hanging="488"/>
        <w:spacing w:after="0" w:line="275" w:lineRule="auto"/>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2001 Broad-Based Stock Option Plan</w:t>
      </w:r>
      <w:r>
        <w:rPr>
          <w:rFonts w:ascii="Arial" w:cs="Arial" w:eastAsia="Arial" w:hAnsi="Arial"/>
          <w:sz w:val="18"/>
          <w:szCs w:val="18"/>
          <w:color w:val="auto"/>
        </w:rPr>
        <w:t>, as amended, under which options to purchase shares of our common stock may be granted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and advisors of Analog, other than officers or directors.</w:t>
      </w:r>
    </w:p>
    <w:p>
      <w:pPr>
        <w:spacing w:after="0" w:line="18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Substantially all of our employees participate in these plans. Options generally vest over periods of five years, and all options have a term of ten years. Our option plans do not permit us to grant options at exercise prices that are below the fair market value of our common stock as of the date of grant. These plans are critical to our efforts to create and maintain a competitive advantage in the extremely competitive semiconductor industry.</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Options are generally granted once per year between September and January as part of our annual performance review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 We have a goal to keep the dilution related to our option program to a long-term average of approximately 4% annually. The dilution percentage is calculated as the total number of shares of our common stock underlying new option grants for the year, net of options forfeited by employees leaving the company, divided by total outstanding shares of our common stock.</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All stock option grants to executive officers and directors can be made only from stockholder-approved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 See the “Report of the Compensation Committee” in our 2003 proxy statement for further information regarding the policies and procedures of Analog and the compensation committee regarding our grant of stock options.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exercise price per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Dilutive Effect of Options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3, 2003</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tcPr>
          <w:p>
            <w:pPr>
              <w:jc w:val="right"/>
              <w:ind w:right="479"/>
              <w:spacing w:after="0"/>
              <w:rPr>
                <w:sz w:val="20"/>
                <w:szCs w:val="20"/>
                <w:color w:val="auto"/>
              </w:rPr>
            </w:pPr>
            <w:r>
              <w:rPr>
                <w:rFonts w:ascii="Arial" w:cs="Arial" w:eastAsia="Arial" w:hAnsi="Arial"/>
                <w:sz w:val="14"/>
                <w:szCs w:val="14"/>
                <w:b w:val="1"/>
                <w:bCs w:val="1"/>
                <w:color w:val="auto"/>
              </w:rPr>
              <w:t>FY2003</w:t>
            </w:r>
          </w:p>
        </w:tc>
        <w:tc>
          <w:tcPr>
            <w:tcW w:w="560" w:type="dxa"/>
            <w:vAlign w:val="bottom"/>
          </w:tcPr>
          <w:p>
            <w:pPr>
              <w:spacing w:after="0"/>
              <w:rPr>
                <w:sz w:val="14"/>
                <w:szCs w:val="14"/>
                <w:color w:val="auto"/>
              </w:rPr>
            </w:pPr>
          </w:p>
        </w:tc>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5 Yr.</w:t>
            </w: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60" w:type="dxa"/>
            <w:vAlign w:val="bottom"/>
          </w:tcPr>
          <w:p>
            <w:pPr>
              <w:jc w:val="right"/>
              <w:ind w:right="359"/>
              <w:spacing w:after="0"/>
              <w:rPr>
                <w:sz w:val="20"/>
                <w:szCs w:val="20"/>
                <w:color w:val="auto"/>
              </w:rPr>
            </w:pPr>
            <w:r>
              <w:rPr>
                <w:rFonts w:ascii="Arial" w:cs="Arial" w:eastAsia="Arial" w:hAnsi="Arial"/>
                <w:sz w:val="14"/>
                <w:szCs w:val="14"/>
                <w:b w:val="1"/>
                <w:bCs w:val="1"/>
                <w:color w:val="auto"/>
              </w:rPr>
              <w:t>As of 5/3/03</w:t>
            </w:r>
          </w:p>
        </w:tc>
        <w:tc>
          <w:tcPr>
            <w:tcW w:w="560" w:type="dxa"/>
            <w:vAlign w:val="bottom"/>
          </w:tcPr>
          <w:p>
            <w:pPr>
              <w:spacing w:after="0"/>
              <w:rPr>
                <w:sz w:val="15"/>
                <w:szCs w:val="15"/>
                <w:color w:val="auto"/>
              </w:rPr>
            </w:pPr>
          </w:p>
        </w:tc>
        <w:tc>
          <w:tcPr>
            <w:tcW w:w="1460" w:type="dxa"/>
            <w:vAlign w:val="bottom"/>
          </w:tcPr>
          <w:p>
            <w:pPr>
              <w:jc w:val="right"/>
              <w:ind w:right="532"/>
              <w:spacing w:after="0"/>
              <w:rPr>
                <w:sz w:val="20"/>
                <w:szCs w:val="20"/>
                <w:color w:val="auto"/>
              </w:rPr>
            </w:pPr>
            <w:r>
              <w:rPr>
                <w:rFonts w:ascii="Arial" w:cs="Arial" w:eastAsia="Arial" w:hAnsi="Arial"/>
                <w:sz w:val="14"/>
                <w:szCs w:val="14"/>
                <w:b w:val="1"/>
                <w:bCs w:val="1"/>
                <w:color w:val="auto"/>
              </w:rPr>
              <w:t>Avg.</w:t>
            </w:r>
          </w:p>
        </w:tc>
        <w:tc>
          <w:tcPr>
            <w:tcW w:w="2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2002</w:t>
            </w: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Net grants during the period as a percentage of</w:t>
            </w:r>
          </w:p>
        </w:tc>
        <w:tc>
          <w:tcPr>
            <w:tcW w:w="1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outstanding shares</w:t>
            </w:r>
          </w:p>
        </w:tc>
        <w:tc>
          <w:tcPr>
            <w:tcW w:w="156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(0.1%)**</w:t>
            </w:r>
          </w:p>
        </w:tc>
        <w:tc>
          <w:tcPr>
            <w:tcW w:w="20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4.4%</w:t>
            </w:r>
          </w:p>
        </w:tc>
        <w:tc>
          <w:tcPr>
            <w:tcW w:w="21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7.1%***</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Grants to named executive officers* during the</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period as a percentage of total options granted</w:t>
            </w:r>
          </w:p>
        </w:tc>
        <w:tc>
          <w:tcPr>
            <w:tcW w:w="1560" w:type="dxa"/>
            <w:vAlign w:val="bottom"/>
          </w:tcPr>
          <w:p>
            <w:pPr>
              <w:jc w:val="right"/>
              <w:ind w:right="439"/>
              <w:spacing w:after="0"/>
              <w:rPr>
                <w:sz w:val="20"/>
                <w:szCs w:val="20"/>
                <w:color w:val="auto"/>
              </w:rPr>
            </w:pPr>
            <w:r>
              <w:rPr>
                <w:rFonts w:ascii="Arial" w:cs="Arial" w:eastAsia="Arial" w:hAnsi="Arial"/>
                <w:sz w:val="18"/>
                <w:szCs w:val="18"/>
                <w:color w:val="auto"/>
              </w:rPr>
              <w:t>0.0%</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5.4%</w:t>
            </w:r>
          </w:p>
        </w:tc>
        <w:tc>
          <w:tcPr>
            <w:tcW w:w="216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Grants to named executive officers* during the</w:t>
            </w:r>
          </w:p>
        </w:tc>
        <w:tc>
          <w:tcPr>
            <w:tcW w:w="1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period as a percentage of outstanding shares</w:t>
            </w:r>
          </w:p>
        </w:tc>
        <w:tc>
          <w:tcPr>
            <w:tcW w:w="156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0.00%</w:t>
            </w:r>
          </w:p>
        </w:tc>
        <w:tc>
          <w:tcPr>
            <w:tcW w:w="20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0.32%</w:t>
            </w:r>
          </w:p>
        </w:tc>
        <w:tc>
          <w:tcPr>
            <w:tcW w:w="21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0.39%</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Cumulative options held by named executive</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w w:val="92"/>
              </w:rPr>
              <w:t>officers* as a percentage of total options outstanding</w:t>
            </w:r>
          </w:p>
        </w:tc>
        <w:tc>
          <w:tcPr>
            <w:tcW w:w="1560" w:type="dxa"/>
            <w:vAlign w:val="bottom"/>
          </w:tcPr>
          <w:p>
            <w:pPr>
              <w:jc w:val="right"/>
              <w:ind w:right="439"/>
              <w:spacing w:after="0"/>
              <w:rPr>
                <w:sz w:val="20"/>
                <w:szCs w:val="20"/>
                <w:color w:val="auto"/>
              </w:rPr>
            </w:pPr>
            <w:r>
              <w:rPr>
                <w:rFonts w:ascii="Arial" w:cs="Arial" w:eastAsia="Arial" w:hAnsi="Arial"/>
                <w:sz w:val="18"/>
                <w:szCs w:val="18"/>
                <w:color w:val="auto"/>
              </w:rPr>
              <w:t>7.0%</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9.6%</w:t>
            </w:r>
          </w:p>
        </w:tc>
        <w:tc>
          <w:tcPr>
            <w:tcW w:w="2160" w:type="dxa"/>
            <w:vAlign w:val="bottom"/>
            <w:gridSpan w:val="2"/>
          </w:tcPr>
          <w:p>
            <w:pPr>
              <w:jc w:val="right"/>
              <w:ind w:right="540"/>
              <w:spacing w:after="0"/>
              <w:rPr>
                <w:sz w:val="20"/>
                <w:szCs w:val="20"/>
                <w:color w:val="auto"/>
              </w:rPr>
            </w:pPr>
            <w:r>
              <w:rPr>
                <w:rFonts w:ascii="Arial" w:cs="Arial" w:eastAsia="Arial" w:hAnsi="Arial"/>
                <w:sz w:val="18"/>
                <w:szCs w:val="18"/>
                <w:color w:val="auto"/>
              </w:rPr>
              <w:t>6.9%</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600" w:hanging="592"/>
        <w:spacing w:after="0" w:line="259"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“Aggregated Option Exercises and Remaining Option Values” below for our named executive officers. Named executive officers are defined by the SEC as our chief executive officer and our four other most highly compensated executive officers who were serving as executive officers on November 2, 2002.</w:t>
      </w:r>
    </w:p>
    <w:p>
      <w:pPr>
        <w:spacing w:after="0" w:line="194" w:lineRule="exact"/>
        <w:rPr>
          <w:sz w:val="20"/>
          <w:szCs w:val="20"/>
          <w:color w:val="auto"/>
        </w:rPr>
      </w:pPr>
    </w:p>
    <w:p>
      <w:pPr>
        <w:ind w:left="600" w:right="820" w:hanging="592"/>
        <w:spacing w:after="0" w:line="268"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grants is equal to total grants less grant cancellations. See the “Summary of Option Activity” table for detail regarding our total grants and cancellations during the six months ended May 3, 2003.</w:t>
      </w:r>
    </w:p>
    <w:p>
      <w:pPr>
        <w:spacing w:after="0" w:line="185" w:lineRule="exact"/>
        <w:rPr>
          <w:rFonts w:ascii="Arial" w:cs="Arial" w:eastAsia="Arial" w:hAnsi="Arial"/>
          <w:sz w:val="18"/>
          <w:szCs w:val="18"/>
          <w:color w:val="auto"/>
        </w:rPr>
      </w:pPr>
    </w:p>
    <w:p>
      <w:pPr>
        <w:ind w:left="600" w:right="100" w:hanging="592"/>
        <w:spacing w:after="0" w:line="306"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Options are generally granted once per year between September and January as part of our annual performance review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Option Information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Option Activity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3,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6"/>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Receiving</w:t>
            </w:r>
          </w:p>
        </w:tc>
        <w:tc>
          <w:tcPr>
            <w:tcW w:w="26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 Available</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40" w:type="dxa"/>
            <w:vAlign w:val="bottom"/>
          </w:tcPr>
          <w:p>
            <w:pPr>
              <w:ind w:left="1600"/>
              <w:spacing w:after="0"/>
              <w:rPr>
                <w:sz w:val="20"/>
                <w:szCs w:val="20"/>
                <w:color w:val="auto"/>
              </w:rPr>
            </w:pPr>
            <w:r>
              <w:rPr>
                <w:rFonts w:ascii="Arial" w:cs="Arial" w:eastAsia="Arial" w:hAnsi="Arial"/>
                <w:sz w:val="14"/>
                <w:szCs w:val="14"/>
                <w:b w:val="1"/>
                <w:bCs w:val="1"/>
                <w:color w:val="auto"/>
              </w:rPr>
              <w:t>(shares in thousands)</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Grants (#)</w:t>
            </w:r>
          </w:p>
        </w:tc>
        <w:tc>
          <w:tcPr>
            <w:tcW w:w="260" w:type="dxa"/>
            <w:vAlign w:val="bottom"/>
          </w:tcPr>
          <w:p>
            <w:pPr>
              <w:spacing w:after="0"/>
              <w:rPr>
                <w:sz w:val="15"/>
                <w:szCs w:val="15"/>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for Options (#)</w:t>
            </w: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 (#)</w:t>
            </w:r>
          </w:p>
        </w:tc>
        <w:tc>
          <w:tcPr>
            <w:tcW w:w="88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Last Fiscal</w:t>
            </w:r>
          </w:p>
        </w:tc>
        <w:tc>
          <w:tcPr>
            <w:tcW w:w="440" w:type="dxa"/>
            <w:vAlign w:val="bottom"/>
            <w:shd w:val="clear" w:color="auto" w:fill="EEEEEE"/>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November 3, 2001</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22,184</w:t>
            </w: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63,737</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Additional shares reserved-12/2001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48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w w:val="96"/>
              </w:rPr>
              <w:t>Shares cancelled upon termination of expired stock plans</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(2,196)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Grants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FY02 Annual retention 1/22/02</w:t>
            </w:r>
          </w:p>
        </w:tc>
        <w:tc>
          <w:tcPr>
            <w:tcW w:w="108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8"/>
              </w:rPr>
              <w:t>4,341</w:t>
            </w:r>
          </w:p>
        </w:tc>
        <w:tc>
          <w:tcPr>
            <w:tcW w:w="15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(13,082)</w:t>
            </w: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13,082</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41.06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FY03 Annual retention 9/24/02</w:t>
            </w:r>
          </w:p>
        </w:tc>
        <w:tc>
          <w:tcPr>
            <w:tcW w:w="10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4,530</w:t>
            </w:r>
          </w:p>
        </w:tc>
        <w:tc>
          <w:tcPr>
            <w:tcW w:w="1540" w:type="dxa"/>
            <w:vAlign w:val="bottom"/>
            <w:gridSpan w:val="4"/>
          </w:tcPr>
          <w:p>
            <w:pPr>
              <w:jc w:val="right"/>
              <w:ind w:right="380"/>
              <w:spacing w:after="0"/>
              <w:rPr>
                <w:sz w:val="20"/>
                <w:szCs w:val="20"/>
                <w:color w:val="auto"/>
              </w:rPr>
            </w:pPr>
            <w:r>
              <w:rPr>
                <w:rFonts w:ascii="Arial" w:cs="Arial" w:eastAsia="Arial" w:hAnsi="Arial"/>
                <w:sz w:val="18"/>
                <w:szCs w:val="18"/>
                <w:color w:val="auto"/>
              </w:rPr>
              <w:t>(13,645)</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13,645</w:t>
            </w: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19.90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gridSpan w:val="4"/>
          </w:tcPr>
          <w:p>
            <w:pPr>
              <w:jc w:val="right"/>
              <w:ind w:right="380"/>
              <w:spacing w:after="0"/>
              <w:rPr>
                <w:sz w:val="20"/>
                <w:szCs w:val="20"/>
                <w:color w:val="auto"/>
              </w:rPr>
            </w:pPr>
            <w:r>
              <w:rPr>
                <w:rFonts w:ascii="Arial" w:cs="Arial" w:eastAsia="Arial" w:hAnsi="Arial"/>
                <w:sz w:val="18"/>
                <w:szCs w:val="18"/>
                <w:color w:val="auto"/>
              </w:rPr>
              <w:t>(28,127)</w:t>
            </w:r>
          </w:p>
        </w:tc>
        <w:tc>
          <w:tcPr>
            <w:tcW w:w="2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28,127</w:t>
            </w:r>
          </w:p>
        </w:tc>
        <w:tc>
          <w:tcPr>
            <w:tcW w:w="2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30.57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Exercises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(3,869)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48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Cancellations</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2,144</w:t>
            </w:r>
          </w:p>
        </w:tc>
        <w:tc>
          <w:tcPr>
            <w:tcW w:w="2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(2,144)</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34.24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November 2, 2002</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8"/>
                <w:szCs w:val="18"/>
                <w:color w:val="auto"/>
              </w:rPr>
              <w:t>44,005</w:t>
            </w:r>
          </w:p>
        </w:tc>
        <w:tc>
          <w:tcPr>
            <w:tcW w:w="2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85,851</w:t>
            </w:r>
          </w:p>
        </w:tc>
        <w:tc>
          <w:tcPr>
            <w:tcW w:w="2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$25.41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Fiscal</w:t>
            </w:r>
          </w:p>
        </w:tc>
        <w:tc>
          <w:tcPr>
            <w:tcW w:w="48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Grants</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27.28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Year-to-date</w:t>
            </w: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Exercises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(2,096)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 of 5/3/03)</w:t>
            </w:r>
          </w:p>
        </w:tc>
        <w:tc>
          <w:tcPr>
            <w:tcW w:w="488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Cancellations - expired plans</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(77)</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Cancellations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(1,013)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34.43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May 3, 2003</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44,410</w:t>
            </w: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83,273</w:t>
            </w:r>
          </w:p>
        </w:tc>
        <w:tc>
          <w:tcPr>
            <w:tcW w:w="2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25.77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In-the-Money and Out-of-the-Money Option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3,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5"/>
          </w:tcPr>
          <w:p>
            <w:pPr>
              <w:ind w:left="100"/>
              <w:spacing w:after="0"/>
              <w:rPr>
                <w:sz w:val="20"/>
                <w:szCs w:val="20"/>
                <w:color w:val="auto"/>
              </w:rPr>
            </w:pPr>
            <w:r>
              <w:rPr>
                <w:rFonts w:ascii="Arial" w:cs="Arial" w:eastAsia="Arial" w:hAnsi="Arial"/>
                <w:sz w:val="14"/>
                <w:szCs w:val="14"/>
                <w:b w:val="1"/>
                <w:bCs w:val="1"/>
                <w:color w:val="auto"/>
              </w:rPr>
              <w:t>Exercisable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Unexercisable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Wtd. Avg.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Wtd. Avg.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gridSpan w:val="3"/>
          </w:tcPr>
          <w:p>
            <w:pPr>
              <w:ind w:left="780"/>
              <w:spacing w:after="0"/>
              <w:rPr>
                <w:sz w:val="20"/>
                <w:szCs w:val="20"/>
                <w:color w:val="auto"/>
              </w:rPr>
            </w:pPr>
            <w:r>
              <w:rPr>
                <w:rFonts w:ascii="Arial" w:cs="Arial" w:eastAsia="Arial" w:hAnsi="Arial"/>
                <w:sz w:val="14"/>
                <w:szCs w:val="14"/>
                <w:b w:val="1"/>
                <w:bCs w:val="1"/>
                <w:color w:val="auto"/>
              </w:rPr>
              <w:t>(Shares in thousands)</w:t>
            </w: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Price ($)</w:t>
            </w:r>
          </w:p>
        </w:tc>
        <w:tc>
          <w:tcPr>
            <w:tcW w:w="220" w:type="dxa"/>
            <w:vAlign w:val="bottom"/>
          </w:tcPr>
          <w:p>
            <w:pPr>
              <w:spacing w:after="0"/>
              <w:rPr>
                <w:sz w:val="15"/>
                <w:szCs w:val="15"/>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Price ($)</w:t>
            </w:r>
          </w:p>
        </w:tc>
        <w:tc>
          <w:tcPr>
            <w:tcW w:w="240" w:type="dxa"/>
            <w:vAlign w:val="bottom"/>
          </w:tcPr>
          <w:p>
            <w:pPr>
              <w:spacing w:after="0"/>
              <w:rPr>
                <w:sz w:val="15"/>
                <w:szCs w:val="15"/>
                <w:color w:val="auto"/>
              </w:rPr>
            </w:pPr>
          </w:p>
        </w:tc>
        <w:tc>
          <w:tcPr>
            <w:tcW w:w="9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 (#)</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In-the-Money Options</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20,725</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11.91</w:t>
            </w: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33,013</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18.90</w:t>
            </w:r>
          </w:p>
        </w:tc>
        <w:tc>
          <w:tcPr>
            <w:tcW w:w="900" w:type="dxa"/>
            <w:vAlign w:val="bottom"/>
            <w:tcBorders>
              <w:right w:val="single" w:sz="8" w:color="EEEEEE"/>
            </w:tcBorders>
            <w:gridSpan w:val="3"/>
            <w:shd w:val="clear" w:color="auto" w:fill="EEEEEE"/>
          </w:tcPr>
          <w:p>
            <w:pPr>
              <w:ind w:left="400"/>
              <w:spacing w:after="0"/>
              <w:rPr>
                <w:sz w:val="20"/>
                <w:szCs w:val="20"/>
                <w:color w:val="auto"/>
              </w:rPr>
            </w:pPr>
            <w:r>
              <w:rPr>
                <w:rFonts w:ascii="Arial" w:cs="Arial" w:eastAsia="Arial" w:hAnsi="Arial"/>
                <w:sz w:val="18"/>
                <w:szCs w:val="18"/>
                <w:color w:val="auto"/>
                <w:w w:val="83"/>
              </w:rPr>
              <w:t>53,738</w:t>
            </w:r>
          </w:p>
        </w:tc>
        <w:tc>
          <w:tcPr>
            <w:tcW w:w="24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Out-of-the-Money Options</w:t>
            </w:r>
            <w:r>
              <w:rPr>
                <w:rFonts w:ascii="Arial" w:cs="Arial" w:eastAsia="Arial" w:hAnsi="Arial"/>
                <w:sz w:val="29"/>
                <w:szCs w:val="29"/>
                <w:color w:val="auto"/>
                <w:vertAlign w:val="superscript"/>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43.80</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83"/>
              </w:rPr>
              <w:t>27,336</w:t>
            </w:r>
          </w:p>
        </w:tc>
        <w:tc>
          <w:tcPr>
            <w:tcW w:w="2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43.12</w:t>
            </w:r>
          </w:p>
        </w:tc>
        <w:tc>
          <w:tcPr>
            <w:tcW w:w="900" w:type="dxa"/>
            <w:vAlign w:val="bottom"/>
            <w:gridSpan w:val="3"/>
          </w:tcPr>
          <w:p>
            <w:pPr>
              <w:ind w:left="400"/>
              <w:spacing w:after="0"/>
              <w:rPr>
                <w:sz w:val="20"/>
                <w:szCs w:val="20"/>
                <w:color w:val="auto"/>
              </w:rPr>
            </w:pPr>
            <w:r>
              <w:rPr>
                <w:rFonts w:ascii="Arial" w:cs="Arial" w:eastAsia="Arial" w:hAnsi="Arial"/>
                <w:sz w:val="18"/>
                <w:szCs w:val="18"/>
                <w:color w:val="auto"/>
                <w:w w:val="83"/>
              </w:rPr>
              <w:t>29,535</w:t>
            </w:r>
          </w:p>
        </w:tc>
        <w:tc>
          <w:tcPr>
            <w:tcW w:w="2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Options Outstanding</w:t>
            </w: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22,924</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14.97</w:t>
            </w: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60,349</w:t>
            </w:r>
          </w:p>
        </w:tc>
        <w:tc>
          <w:tcPr>
            <w:tcW w:w="2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29.87</w:t>
            </w:r>
          </w:p>
        </w:tc>
        <w:tc>
          <w:tcPr>
            <w:tcW w:w="900" w:type="dxa"/>
            <w:vAlign w:val="bottom"/>
            <w:tcBorders>
              <w:right w:val="single" w:sz="8" w:color="EEEEEE"/>
            </w:tcBorders>
            <w:gridSpan w:val="3"/>
            <w:shd w:val="clear" w:color="auto" w:fill="EEEEEE"/>
          </w:tcPr>
          <w:p>
            <w:pPr>
              <w:ind w:left="400"/>
              <w:spacing w:after="0"/>
              <w:rPr>
                <w:sz w:val="20"/>
                <w:szCs w:val="20"/>
                <w:color w:val="auto"/>
              </w:rPr>
            </w:pPr>
            <w:r>
              <w:rPr>
                <w:rFonts w:ascii="Arial" w:cs="Arial" w:eastAsia="Arial" w:hAnsi="Arial"/>
                <w:sz w:val="18"/>
                <w:szCs w:val="18"/>
                <w:color w:val="auto"/>
                <w:w w:val="83"/>
              </w:rPr>
              <w:t>83,273</w:t>
            </w:r>
          </w:p>
        </w:tc>
        <w:tc>
          <w:tcPr>
            <w:tcW w:w="24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40" w:right="44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per share equal to or greater than the closing price per share of our common stock ($33.25) on the last trading day of the second quarter of fiscal 2003 (on May 2,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to named executive officers during the six months ended May 3,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and Remaining Option Values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As of May 3, 2003</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3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3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Options as of May</w:t>
            </w:r>
          </w:p>
        </w:tc>
        <w:tc>
          <w:tcPr>
            <w:tcW w:w="220" w:type="dxa"/>
            <w:vAlign w:val="bottom"/>
          </w:tcPr>
          <w:p>
            <w:pPr>
              <w:spacing w:after="0"/>
              <w:rPr>
                <w:sz w:val="12"/>
                <w:szCs w:val="12"/>
                <w:color w:val="auto"/>
              </w:rPr>
            </w:pPr>
          </w:p>
        </w:tc>
        <w:tc>
          <w:tcPr>
            <w:tcW w:w="3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Options 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3, 2003 (#)</w:t>
            </w:r>
          </w:p>
        </w:tc>
        <w:tc>
          <w:tcPr>
            <w:tcW w:w="220" w:type="dxa"/>
            <w:vAlign w:val="bottom"/>
          </w:tcPr>
          <w:p>
            <w:pPr>
              <w:spacing w:after="0"/>
              <w:rPr>
                <w:sz w:val="15"/>
                <w:szCs w:val="15"/>
                <w:color w:val="auto"/>
              </w:rPr>
            </w:pPr>
          </w:p>
        </w:tc>
        <w:tc>
          <w:tcPr>
            <w:tcW w:w="3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May 3, 2003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Shares Acquired</w:t>
            </w: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2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20" w:type="dxa"/>
            <w:vAlign w:val="bottom"/>
          </w:tcPr>
          <w:p>
            <w:pPr>
              <w:spacing w:after="0"/>
              <w:rPr>
                <w:sz w:val="12"/>
                <w:szCs w:val="12"/>
                <w:color w:val="auto"/>
              </w:rPr>
            </w:pPr>
          </w:p>
        </w:tc>
        <w:tc>
          <w:tcPr>
            <w:tcW w:w="3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ind w:left="920"/>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 ($)</w:t>
            </w: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5"/>
                <w:szCs w:val="15"/>
                <w:color w:val="auto"/>
              </w:rPr>
            </w:pPr>
          </w:p>
        </w:tc>
        <w:tc>
          <w:tcPr>
            <w:tcW w:w="3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4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2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55,000</w:t>
            </w:r>
          </w:p>
        </w:tc>
        <w:tc>
          <w:tcPr>
            <w:tcW w:w="15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1,160,925</w:t>
            </w:r>
          </w:p>
        </w:tc>
        <w:tc>
          <w:tcPr>
            <w:tcW w:w="200" w:type="dxa"/>
            <w:vAlign w:val="bottom"/>
            <w:shd w:val="clear" w:color="auto" w:fill="EEEEEE"/>
          </w:tcPr>
          <w:p>
            <w:pPr>
              <w:spacing w:after="0"/>
              <w:rPr>
                <w:sz w:val="18"/>
                <w:szCs w:val="18"/>
                <w:color w:val="auto"/>
              </w:rPr>
            </w:pPr>
          </w:p>
        </w:tc>
        <w:tc>
          <w:tcPr>
            <w:tcW w:w="264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689,982/3,376,982</w:t>
            </w:r>
          </w:p>
        </w:tc>
        <w:tc>
          <w:tcPr>
            <w:tcW w:w="3620" w:type="dxa"/>
            <w:vAlign w:val="bottom"/>
            <w:gridSpan w:val="3"/>
            <w:shd w:val="clear" w:color="auto" w:fill="EEEEEE"/>
          </w:tcPr>
          <w:p>
            <w:pPr>
              <w:jc w:val="right"/>
              <w:ind w:right="832"/>
              <w:spacing w:after="0"/>
              <w:rPr>
                <w:sz w:val="20"/>
                <w:szCs w:val="20"/>
                <w:color w:val="auto"/>
              </w:rPr>
            </w:pPr>
            <w:r>
              <w:rPr>
                <w:rFonts w:ascii="Arial" w:cs="Arial" w:eastAsia="Arial" w:hAnsi="Arial"/>
                <w:sz w:val="18"/>
                <w:szCs w:val="18"/>
                <w:color w:val="auto"/>
              </w:rPr>
              <w:t>13,635,375/43,302,500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Brian P. McAloon</w:t>
            </w: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226,028/</w:t>
            </w:r>
          </w:p>
        </w:tc>
        <w:tc>
          <w:tcPr>
            <w:tcW w:w="1300" w:type="dxa"/>
            <w:vAlign w:val="bottom"/>
          </w:tcPr>
          <w:p>
            <w:pPr>
              <w:jc w:val="right"/>
              <w:ind w:right="572"/>
              <w:spacing w:after="0"/>
              <w:rPr>
                <w:sz w:val="20"/>
                <w:szCs w:val="20"/>
                <w:color w:val="auto"/>
              </w:rPr>
            </w:pPr>
            <w:r>
              <w:rPr>
                <w:rFonts w:ascii="Arial" w:cs="Arial" w:eastAsia="Arial" w:hAnsi="Arial"/>
                <w:sz w:val="18"/>
                <w:szCs w:val="18"/>
                <w:color w:val="auto"/>
                <w:w w:val="95"/>
              </w:rPr>
              <w:t>416,229</w:t>
            </w:r>
          </w:p>
        </w:tc>
        <w:tc>
          <w:tcPr>
            <w:tcW w:w="1940" w:type="dxa"/>
            <w:vAlign w:val="bottom"/>
            <w:gridSpan w:val="2"/>
          </w:tcPr>
          <w:p>
            <w:pPr>
              <w:jc w:val="right"/>
              <w:ind w:right="12"/>
              <w:spacing w:after="0"/>
              <w:rPr>
                <w:sz w:val="20"/>
                <w:szCs w:val="20"/>
                <w:color w:val="auto"/>
              </w:rPr>
            </w:pPr>
            <w:r>
              <w:rPr>
                <w:rFonts w:ascii="Arial" w:cs="Arial" w:eastAsia="Arial" w:hAnsi="Arial"/>
                <w:sz w:val="18"/>
                <w:szCs w:val="18"/>
                <w:color w:val="auto"/>
              </w:rPr>
              <w:t>5,150,989/</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w w:val="92"/>
              </w:rPr>
              <w:t>3,101,338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2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10,000</w:t>
            </w:r>
          </w:p>
        </w:tc>
        <w:tc>
          <w:tcPr>
            <w:tcW w:w="15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217,150</w:t>
            </w:r>
          </w:p>
        </w:tc>
        <w:tc>
          <w:tcPr>
            <w:tcW w:w="20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120,691/</w:t>
            </w:r>
          </w:p>
        </w:tc>
        <w:tc>
          <w:tcPr>
            <w:tcW w:w="130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5"/>
              </w:rPr>
              <w:t>391,573</w:t>
            </w:r>
          </w:p>
        </w:tc>
        <w:tc>
          <w:tcPr>
            <w:tcW w:w="194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2,270,846/</w:t>
            </w:r>
          </w:p>
        </w:tc>
        <w:tc>
          <w:tcPr>
            <w:tcW w:w="1680" w:type="dxa"/>
            <w:vAlign w:val="bottom"/>
            <w:shd w:val="clear" w:color="auto" w:fill="EEEEEE"/>
          </w:tcPr>
          <w:p>
            <w:pPr>
              <w:jc w:val="right"/>
              <w:ind w:right="832"/>
              <w:spacing w:after="0"/>
              <w:rPr>
                <w:sz w:val="20"/>
                <w:szCs w:val="20"/>
                <w:color w:val="auto"/>
              </w:rPr>
            </w:pPr>
            <w:r>
              <w:rPr>
                <w:rFonts w:ascii="Arial" w:cs="Arial" w:eastAsia="Arial" w:hAnsi="Arial"/>
                <w:sz w:val="18"/>
                <w:szCs w:val="18"/>
                <w:color w:val="auto"/>
                <w:w w:val="92"/>
              </w:rPr>
              <w:t>3,089,588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Samuel H. Fuller</w:t>
            </w: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110,047/</w:t>
            </w:r>
          </w:p>
        </w:tc>
        <w:tc>
          <w:tcPr>
            <w:tcW w:w="1300" w:type="dxa"/>
            <w:vAlign w:val="bottom"/>
          </w:tcPr>
          <w:p>
            <w:pPr>
              <w:jc w:val="right"/>
              <w:ind w:right="572"/>
              <w:spacing w:after="0"/>
              <w:rPr>
                <w:sz w:val="20"/>
                <w:szCs w:val="20"/>
                <w:color w:val="auto"/>
              </w:rPr>
            </w:pPr>
            <w:r>
              <w:rPr>
                <w:rFonts w:ascii="Arial" w:cs="Arial" w:eastAsia="Arial" w:hAnsi="Arial"/>
                <w:sz w:val="18"/>
                <w:szCs w:val="18"/>
                <w:color w:val="auto"/>
                <w:w w:val="95"/>
              </w:rPr>
              <w:t>232,718</w:t>
            </w:r>
          </w:p>
        </w:tc>
        <w:tc>
          <w:tcPr>
            <w:tcW w:w="1940" w:type="dxa"/>
            <w:vAlign w:val="bottom"/>
            <w:gridSpan w:val="2"/>
          </w:tcPr>
          <w:p>
            <w:pPr>
              <w:jc w:val="right"/>
              <w:ind w:right="12"/>
              <w:spacing w:after="0"/>
              <w:rPr>
                <w:sz w:val="20"/>
                <w:szCs w:val="20"/>
                <w:color w:val="auto"/>
              </w:rPr>
            </w:pPr>
            <w:r>
              <w:rPr>
                <w:rFonts w:ascii="Arial" w:cs="Arial" w:eastAsia="Arial" w:hAnsi="Arial"/>
                <w:sz w:val="18"/>
                <w:szCs w:val="18"/>
                <w:color w:val="auto"/>
              </w:rPr>
              <w:t>2,085,410/</w:t>
            </w:r>
          </w:p>
        </w:tc>
        <w:tc>
          <w:tcPr>
            <w:tcW w:w="1680" w:type="dxa"/>
            <w:vAlign w:val="bottom"/>
          </w:tcPr>
          <w:p>
            <w:pPr>
              <w:jc w:val="right"/>
              <w:ind w:right="832"/>
              <w:spacing w:after="0"/>
              <w:rPr>
                <w:sz w:val="20"/>
                <w:szCs w:val="20"/>
                <w:color w:val="auto"/>
              </w:rPr>
            </w:pPr>
            <w:r>
              <w:rPr>
                <w:rFonts w:ascii="Arial" w:cs="Arial" w:eastAsia="Arial" w:hAnsi="Arial"/>
                <w:sz w:val="18"/>
                <w:szCs w:val="18"/>
                <w:color w:val="auto"/>
                <w:w w:val="92"/>
              </w:rPr>
              <w:t>1,991,938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12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23,332</w:t>
            </w:r>
          </w:p>
        </w:tc>
        <w:tc>
          <w:tcPr>
            <w:tcW w:w="154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308,449</w:t>
            </w:r>
          </w:p>
        </w:tc>
        <w:tc>
          <w:tcPr>
            <w:tcW w:w="20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39,020/</w:t>
            </w:r>
          </w:p>
        </w:tc>
        <w:tc>
          <w:tcPr>
            <w:tcW w:w="130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5"/>
              </w:rPr>
              <w:t>196,523</w:t>
            </w:r>
          </w:p>
        </w:tc>
        <w:tc>
          <w:tcPr>
            <w:tcW w:w="194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164,997/</w:t>
            </w:r>
          </w:p>
        </w:tc>
        <w:tc>
          <w:tcPr>
            <w:tcW w:w="1680" w:type="dxa"/>
            <w:vAlign w:val="bottom"/>
            <w:shd w:val="clear" w:color="auto" w:fill="EEEEEE"/>
          </w:tcPr>
          <w:p>
            <w:pPr>
              <w:jc w:val="right"/>
              <w:ind w:right="832"/>
              <w:spacing w:after="0"/>
              <w:rPr>
                <w:sz w:val="20"/>
                <w:szCs w:val="20"/>
                <w:color w:val="auto"/>
              </w:rPr>
            </w:pPr>
            <w:r>
              <w:rPr>
                <w:rFonts w:ascii="Arial" w:cs="Arial" w:eastAsia="Arial" w:hAnsi="Arial"/>
                <w:sz w:val="18"/>
                <w:szCs w:val="18"/>
                <w:color w:val="auto"/>
                <w:w w:val="92"/>
              </w:rPr>
              <w:t>1,051,471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624"/>
              <w:spacing w:after="0"/>
              <w:rPr>
                <w:sz w:val="20"/>
                <w:szCs w:val="20"/>
                <w:color w:val="auto"/>
              </w:rPr>
            </w:pPr>
            <w:r>
              <w:rPr>
                <w:rFonts w:ascii="Arial" w:cs="Arial" w:eastAsia="Arial" w:hAnsi="Arial"/>
                <w:sz w:val="18"/>
                <w:szCs w:val="18"/>
                <w:color w:val="auto"/>
              </w:rPr>
              <w:t>26</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provides information as of May 3, 2003 about the securities authorized for issuance under our equity compensation plans, consisting of our 2001 Broad-Based Stock Option Plan, our 1998 Stock Option Plan, our Restated 1994 Director Option Plan, our Restated 1988 Stock Option Plan, our 1992 Employee Stock Purchase Plan, and our 1998 International Employee Stock Purchase Plan.</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1"/>
              </w:rPr>
              <w:t>(a)</w:t>
            </w:r>
          </w:p>
        </w:tc>
        <w:tc>
          <w:tcPr>
            <w:tcW w:w="3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38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securities to</w:t>
            </w:r>
          </w:p>
        </w:tc>
        <w:tc>
          <w:tcPr>
            <w:tcW w:w="3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38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 issued upon exercise of</w:t>
            </w:r>
          </w:p>
        </w:tc>
        <w:tc>
          <w:tcPr>
            <w:tcW w:w="3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38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3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38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 (excluding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gridSpan w:val="2"/>
          </w:tcPr>
          <w:p>
            <w:pPr>
              <w:ind w:left="1140"/>
              <w:spacing w:after="0"/>
              <w:rPr>
                <w:sz w:val="20"/>
                <w:szCs w:val="20"/>
                <w:color w:val="auto"/>
              </w:rPr>
            </w:pPr>
            <w:r>
              <w:rPr>
                <w:rFonts w:ascii="Arial" w:cs="Arial" w:eastAsia="Arial" w:hAnsi="Arial"/>
                <w:sz w:val="14"/>
                <w:szCs w:val="14"/>
                <w:b w:val="1"/>
                <w:bCs w:val="1"/>
                <w:color w:val="auto"/>
              </w:rPr>
              <w:t>Plan Category</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 (#)(1)</w:t>
            </w:r>
          </w:p>
        </w:tc>
        <w:tc>
          <w:tcPr>
            <w:tcW w:w="3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 ($)</w:t>
            </w:r>
          </w:p>
        </w:tc>
        <w:tc>
          <w:tcPr>
            <w:tcW w:w="38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 approved by</w:t>
            </w:r>
          </w:p>
        </w:tc>
        <w:tc>
          <w:tcPr>
            <w:tcW w:w="2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278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66,392,682</w:t>
            </w:r>
          </w:p>
        </w:tc>
        <w:tc>
          <w:tcPr>
            <w:tcW w:w="1860" w:type="dxa"/>
            <w:vAlign w:val="bottom"/>
            <w:gridSpan w:val="2"/>
            <w:shd w:val="clear" w:color="auto" w:fill="EEEEEE"/>
          </w:tcPr>
          <w:p>
            <w:pPr>
              <w:jc w:val="center"/>
              <w:ind w:left="292"/>
              <w:spacing w:after="0"/>
              <w:rPr>
                <w:sz w:val="20"/>
                <w:szCs w:val="20"/>
                <w:color w:val="auto"/>
              </w:rPr>
            </w:pPr>
            <w:r>
              <w:rPr>
                <w:rFonts w:ascii="Arial" w:cs="Arial" w:eastAsia="Arial" w:hAnsi="Arial"/>
                <w:sz w:val="18"/>
                <w:szCs w:val="18"/>
                <w:color w:val="auto"/>
                <w:w w:val="88"/>
              </w:rPr>
              <w:t>26.09</w:t>
            </w:r>
          </w:p>
        </w:tc>
        <w:tc>
          <w:tcPr>
            <w:tcW w:w="328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13,246,410(2)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stockholders*</w:t>
            </w:r>
          </w:p>
        </w:tc>
        <w:tc>
          <w:tcPr>
            <w:tcW w:w="2780" w:type="dxa"/>
            <w:vAlign w:val="bottom"/>
          </w:tcPr>
          <w:p>
            <w:pPr>
              <w:ind w:left="1000"/>
              <w:spacing w:after="0"/>
              <w:rPr>
                <w:sz w:val="20"/>
                <w:szCs w:val="20"/>
                <w:color w:val="auto"/>
              </w:rPr>
            </w:pPr>
            <w:r>
              <w:rPr>
                <w:rFonts w:ascii="Arial" w:cs="Arial" w:eastAsia="Arial" w:hAnsi="Arial"/>
                <w:sz w:val="18"/>
                <w:szCs w:val="18"/>
                <w:color w:val="auto"/>
              </w:rPr>
              <w:t>16,696,611(3)</w:t>
            </w:r>
          </w:p>
        </w:tc>
        <w:tc>
          <w:tcPr>
            <w:tcW w:w="186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24.73</w:t>
            </w:r>
          </w:p>
        </w:tc>
        <w:tc>
          <w:tcPr>
            <w:tcW w:w="3280" w:type="dxa"/>
            <w:vAlign w:val="bottom"/>
            <w:gridSpan w:val="2"/>
          </w:tcPr>
          <w:p>
            <w:pPr>
              <w:jc w:val="right"/>
              <w:ind w:right="772"/>
              <w:spacing w:after="0"/>
              <w:rPr>
                <w:sz w:val="20"/>
                <w:szCs w:val="20"/>
                <w:color w:val="auto"/>
              </w:rPr>
            </w:pPr>
            <w:r>
              <w:rPr>
                <w:rFonts w:ascii="Arial" w:cs="Arial" w:eastAsia="Arial" w:hAnsi="Arial"/>
                <w:sz w:val="18"/>
                <w:szCs w:val="18"/>
                <w:color w:val="auto"/>
              </w:rPr>
              <w:t>33,717,925(4)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278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83,089,293</w:t>
            </w:r>
          </w:p>
        </w:tc>
        <w:tc>
          <w:tcPr>
            <w:tcW w:w="1860" w:type="dxa"/>
            <w:vAlign w:val="bottom"/>
            <w:gridSpan w:val="2"/>
            <w:shd w:val="clear" w:color="auto" w:fill="EEEEEE"/>
          </w:tcPr>
          <w:p>
            <w:pPr>
              <w:jc w:val="center"/>
              <w:ind w:left="292"/>
              <w:spacing w:after="0"/>
              <w:rPr>
                <w:sz w:val="20"/>
                <w:szCs w:val="20"/>
                <w:color w:val="auto"/>
              </w:rPr>
            </w:pPr>
            <w:r>
              <w:rPr>
                <w:rFonts w:ascii="Arial" w:cs="Arial" w:eastAsia="Arial" w:hAnsi="Arial"/>
                <w:sz w:val="18"/>
                <w:szCs w:val="18"/>
                <w:color w:val="auto"/>
                <w:w w:val="88"/>
              </w:rPr>
              <w:t>25.81</w:t>
            </w:r>
          </w:p>
        </w:tc>
        <w:tc>
          <w:tcPr>
            <w:tcW w:w="328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46,964,335(5)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officers and directors are ineligible to receive grants under our 2001 Broad-Based Stock Option plan.</w:t>
      </w:r>
    </w:p>
    <w:p>
      <w:pPr>
        <w:spacing w:after="0" w:line="225" w:lineRule="exact"/>
        <w:rPr>
          <w:rFonts w:ascii="Arial" w:cs="Arial" w:eastAsia="Arial" w:hAnsi="Arial"/>
          <w:sz w:val="18"/>
          <w:szCs w:val="18"/>
          <w:color w:val="auto"/>
        </w:rPr>
      </w:pPr>
    </w:p>
    <w:p>
      <w:pPr>
        <w:ind w:left="880" w:right="380" w:hanging="548"/>
        <w:spacing w:after="0" w:line="268"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table excludes an aggregate of 183,433 shares issuable upon exercise of outstanding options assumed by Analog in connection with various acquisition transactions. The weighted-average exercise price of the excluded options is $5.28.</w:t>
      </w:r>
    </w:p>
    <w:p>
      <w:pPr>
        <w:spacing w:after="0" w:line="185" w:lineRule="exact"/>
        <w:rPr>
          <w:rFonts w:ascii="Arial" w:cs="Arial" w:eastAsia="Arial" w:hAnsi="Arial"/>
          <w:sz w:val="18"/>
          <w:szCs w:val="18"/>
          <w:color w:val="auto"/>
        </w:rPr>
      </w:pPr>
    </w:p>
    <w:p>
      <w:pPr>
        <w:ind w:left="880" w:right="60" w:hanging="548"/>
        <w:spacing w:after="0" w:line="268"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2,139,446 shares issuable under our 1992 Employee Stock Purchase Plan, of which up to 587,663 shares are issuable in connection with the current offering period which ends June 2, 2003.</w:t>
      </w:r>
    </w:p>
    <w:p>
      <w:pPr>
        <w:spacing w:after="0" w:line="185" w:lineRule="exact"/>
        <w:rPr>
          <w:rFonts w:ascii="Arial" w:cs="Arial" w:eastAsia="Arial" w:hAnsi="Arial"/>
          <w:sz w:val="18"/>
          <w:szCs w:val="18"/>
          <w:color w:val="auto"/>
        </w:rPr>
      </w:pPr>
    </w:p>
    <w:p>
      <w:pPr>
        <w:ind w:left="880" w:hanging="548"/>
        <w:spacing w:after="0"/>
        <w:tabs>
          <w:tab w:leader="none" w:pos="880" w:val="left"/>
        </w:tabs>
        <w:numPr>
          <w:ilvl w:val="1"/>
          <w:numId w:val="6"/>
        </w:numPr>
        <w:rPr>
          <w:rFonts w:ascii="Arial" w:cs="Arial" w:eastAsia="Arial" w:hAnsi="Arial"/>
          <w:sz w:val="15"/>
          <w:szCs w:val="15"/>
          <w:color w:val="auto"/>
        </w:rPr>
      </w:pPr>
      <w:r>
        <w:rPr>
          <w:rFonts w:ascii="Arial" w:cs="Arial" w:eastAsia="Arial" w:hAnsi="Arial"/>
          <w:sz w:val="15"/>
          <w:szCs w:val="15"/>
          <w:color w:val="auto"/>
        </w:rPr>
        <w:t>Issued pursuant to our 2001 Broad-Based Stock Option Plan, which does not require the approval of and has not been approved by our stockholders.</w:t>
      </w:r>
    </w:p>
    <w:p>
      <w:pPr>
        <w:spacing w:after="0" w:line="259" w:lineRule="exact"/>
        <w:rPr>
          <w:rFonts w:ascii="Arial" w:cs="Arial" w:eastAsia="Arial" w:hAnsi="Arial"/>
          <w:sz w:val="15"/>
          <w:szCs w:val="15"/>
          <w:color w:val="auto"/>
        </w:rPr>
      </w:pPr>
    </w:p>
    <w:p>
      <w:pPr>
        <w:ind w:left="880" w:right="780" w:hanging="548"/>
        <w:spacing w:after="0" w:line="268"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414,536 shares issuable under our 1998 International Employee Stock Purchase Plan, of which up to 95,412 shares are issuable in connection with the current offering period which ends June 2, 2003.</w:t>
      </w:r>
    </w:p>
    <w:p>
      <w:pPr>
        <w:spacing w:after="0" w:line="185" w:lineRule="exact"/>
        <w:rPr>
          <w:rFonts w:ascii="Arial" w:cs="Arial" w:eastAsia="Arial" w:hAnsi="Arial"/>
          <w:sz w:val="18"/>
          <w:szCs w:val="18"/>
          <w:color w:val="auto"/>
        </w:rPr>
      </w:pPr>
    </w:p>
    <w:p>
      <w:pPr>
        <w:ind w:left="880" w:right="420" w:hanging="548"/>
        <w:spacing w:after="0" w:line="268"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2,553,982 shares issuable under our employee stock purchase plans, of which up to 683,075 are issuable in connection with the current offering period which ends May 30,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at various times, including a decline in demand experienced since early in fiscal year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cancellation of orders leading to a sharp fall-off of sales and backlog. Further, those orders may be for products that meet the customer’s unique requirements so that those cancelled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cancellations or delays in orders for our products could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established, which could subject us to increased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Many other companies offer products that compete with our products. Some also offer other electronic products, and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 capacity and lower prices.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cyclical nature of the semiconductor industry has resulted in sustained or short-term periods when demand for our products has increased or decreased rapidly. We, and the semiconductor industry generally, experienced a period of rapid decreases in demand that began early in fiscal year 2001. As a result, we have overcapacity due to the expansion of our production facilities and increased access to third-party foundries. However, we cannot be sure that we will not encounter unanticipated production problems either at our own facilities or at third-party foundries, or that our capacity will be sufficient to satisfy demand for our products. We believe that other semiconductor manufacturers have expanded their production capacity over the past several years. This expansion by us and our competitors has led to overcapacity in our target markets and could lead to price erosion that would adversely affect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may not increase enough to offset the expense of additional capacity.</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capacity additions in fiscal year 2001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 Should we be unsuccessful in completing this expansion on time, or should customer demand fail to increase and we no longer need the additional capacity, our financial position and results of operations could be adversely impacted.</w:t>
      </w:r>
    </w:p>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18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We rely, and plan to continue to rely, on assembly and test subcontractors and on third-party wafer fabricators to supply most of our wafers that can be manufactured using industry-standard digital processes. This reliance involves several risks,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transition of products to more modern facilities and related inventory builds may not progress as planned.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transitioning products from our older four-inch wafer fabrication facilities to our six-inch and eight-inch wafer fabrication facilities. We have built inventory in preparation for this transfer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we are unable to transition our products as planned or if actual demand for products included in our inventory builds is less than our estimates, our financial position and results of operations could be adversely impacted.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technical and may be interrupted.</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both generic and proprietary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first six months of fiscal year 2003, approximately 74%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by the United States and its allies. These risks include air transportation disruptions, expropriation, currency controls and changes in currency exchange rates, tax and tariff rates, freight rates and social and political unrest.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risks associated with Severe Acute Respiratory Syndrome.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has been a recent outbreak of Severe Acute Respiratory Syndrome, or SARS, in Hong Kong and Southern China. Some of our operations and those of significant subcontractors are located in affected areas and a significant portion of our net sales is derived from China, Singapore, Hong Kong and other Southeast Asia countries affected by SARS. If the SARS outbreak leads to quarantines affecting our operations, it would likely cause serious harm to our operations in Asia. In addition, in response to the SARS outbreak, many companies have restricted travel for their employees in the affected regions, which may affect our ability to conduct sales, marketing and other operations in these areas. If the outbreak were to continue or worsen, these adverse effects could grow, as well as possibly impact the economies of the affected countries overall, and, accordingly, adversely impact our manufacturing and sales in Southeast Asia.</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our Annual Report on Form 10-K for the year ended November 2, 2002 and Item 1 of Part II of this Quarterly Report on Form 10-Q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debt service obligations may adversely affect our cash flow.</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fourth quarter of fiscal year 2000, we issued $1,200,000,000 of 4.75% convertible subordinated notes due 2005 (all of which are still outstanding) and, as a result, we have a substantial amount of outstanding indebtedness.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on page 32 of our Annual Report on Form 10-K for the year ended November 2,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40" w:firstLine="8"/>
        <w:spacing w:after="0" w:line="254" w:lineRule="auto"/>
        <w:tabs>
          <w:tab w:leader="none" w:pos="28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Within the 90-day period prior to the filing of this report, an evaluation was carried out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supervision and with the participation of our management, including our Chief Executive Officer, or CEO, and Chief Financial Officer, or CFO, of the effectiveness of the design and operation of our disclosure controls and procedures. Based on that evaluation, our CEO and CFO have concluded that our disclosure controls and procedures are designed to ensure that information required to be disclosed by us in reports that we file or submit under the Securities Exchange Act of 1934 is recorded, processed, summarized and reported within the time periods specified in SEC rules and forms and are operating in an effective manner.</w:t>
      </w:r>
    </w:p>
    <w:p>
      <w:pPr>
        <w:spacing w:after="0" w:line="198" w:lineRule="exact"/>
        <w:rPr>
          <w:rFonts w:ascii="Arial" w:cs="Arial" w:eastAsia="Arial" w:hAnsi="Arial"/>
          <w:sz w:val="18"/>
          <w:szCs w:val="18"/>
          <w:color w:val="auto"/>
        </w:rPr>
      </w:pPr>
    </w:p>
    <w:p>
      <w:pPr>
        <w:ind w:right="500" w:firstLine="8"/>
        <w:spacing w:after="0" w:line="268"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There were no significant changes in our internal controls or in other factors that could significantly affect these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to the date of their most recent evaluation.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March 4, 2003, Motorola, Inc. filed an action in the United States District Court for the Eastern District of Texas against us, alleging that we infringed five patents owned by Motorola relating to semiconductor processing and semiconductor chip design. On March 11, 2003, Motorola filed a First Amended Complaint asserting the same five patents. The First Amended Complaint seeks injunctive relief and unspecified damages. On April 17, 2003, we filed a motion under the Federal Rules of Civil Procedure for a more definite statement of Motorola’s allegations. Motorola opposed that motion, which is presently pending before the court in Texas.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February 5, 2003, we issued and delivered an aggregate of 27,136 shares of our common stock to three individuals in partial fulfillment of the payment by us of consideration to the three former stockholders of White Mountain DSP, Inc., which we acquired on February 5, 1999. We issued and delivered these shares in reliance upon an exemption from registration under Section 4(2) of the Securities Act of 1933.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the Annual Meeting of Stockholders held on March 11, 2003, our stockholders elected Messrs. James A. Champy, Kenton J. Sicchitano and Lester C. Thurow to serve as Class I Directors for a term of three years by the following votes: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ind w:left="1600"/>
              <w:spacing w:after="0"/>
              <w:rPr>
                <w:sz w:val="20"/>
                <w:szCs w:val="20"/>
                <w:color w:val="auto"/>
              </w:rPr>
            </w:pPr>
            <w:r>
              <w:rPr>
                <w:rFonts w:ascii="Arial" w:cs="Arial" w:eastAsia="Arial" w:hAnsi="Arial"/>
                <w:sz w:val="14"/>
                <w:szCs w:val="14"/>
                <w:b w:val="1"/>
                <w:bCs w:val="1"/>
                <w:color w:val="auto"/>
              </w:rPr>
              <w:t>Nominee</w:t>
            </w:r>
          </w:p>
        </w:tc>
        <w:tc>
          <w:tcPr>
            <w:tcW w:w="460" w:type="dxa"/>
            <w:vAlign w:val="bottom"/>
          </w:tcPr>
          <w:p>
            <w:pPr>
              <w:spacing w:after="0"/>
              <w:rPr>
                <w:sz w:val="15"/>
                <w:szCs w:val="15"/>
                <w:color w:val="auto"/>
              </w:rPr>
            </w:pPr>
          </w:p>
        </w:tc>
        <w:tc>
          <w:tcPr>
            <w:tcW w:w="2760" w:type="dxa"/>
            <w:vAlign w:val="bottom"/>
          </w:tcPr>
          <w:p>
            <w:pPr>
              <w:jc w:val="right"/>
              <w:ind w:right="1032"/>
              <w:spacing w:after="0"/>
              <w:rPr>
                <w:sz w:val="20"/>
                <w:szCs w:val="20"/>
                <w:color w:val="auto"/>
              </w:rPr>
            </w:pPr>
            <w:r>
              <w:rPr>
                <w:rFonts w:ascii="Arial" w:cs="Arial" w:eastAsia="Arial" w:hAnsi="Arial"/>
                <w:sz w:val="14"/>
                <w:szCs w:val="14"/>
                <w:b w:val="1"/>
                <w:bCs w:val="1"/>
                <w:color w:val="auto"/>
              </w:rPr>
              <w:t>Votes For</w:t>
            </w:r>
          </w:p>
        </w:tc>
        <w:tc>
          <w:tcPr>
            <w:tcW w:w="460" w:type="dxa"/>
            <w:vAlign w:val="bottom"/>
          </w:tcPr>
          <w:p>
            <w:pPr>
              <w:spacing w:after="0"/>
              <w:rPr>
                <w:sz w:val="15"/>
                <w:szCs w:val="15"/>
                <w:color w:val="auto"/>
              </w:rPr>
            </w:pPr>
          </w:p>
        </w:tc>
        <w:tc>
          <w:tcPr>
            <w:tcW w:w="2520" w:type="dxa"/>
            <w:vAlign w:val="bottom"/>
          </w:tcPr>
          <w:p>
            <w:pPr>
              <w:jc w:val="right"/>
              <w:ind w:right="752"/>
              <w:spacing w:after="0"/>
              <w:rPr>
                <w:sz w:val="20"/>
                <w:szCs w:val="20"/>
                <w:color w:val="auto"/>
              </w:rPr>
            </w:pPr>
            <w:r>
              <w:rPr>
                <w:rFonts w:ascii="Arial" w:cs="Arial" w:eastAsia="Arial" w:hAnsi="Arial"/>
                <w:sz w:val="14"/>
                <w:szCs w:val="14"/>
                <w:b w:val="1"/>
                <w:bCs w:val="1"/>
                <w:color w:val="auto"/>
              </w:rPr>
              <w:t>Votes Withheld</w:t>
            </w:r>
          </w:p>
        </w:tc>
        <w:tc>
          <w:tcPr>
            <w:tcW w:w="1500" w:type="dxa"/>
            <w:vAlign w:val="bottom"/>
            <w:gridSpan w:val="3"/>
          </w:tcPr>
          <w:p>
            <w:pPr>
              <w:ind w:left="460"/>
              <w:spacing w:after="0"/>
              <w:rPr>
                <w:sz w:val="20"/>
                <w:szCs w:val="20"/>
                <w:color w:val="auto"/>
              </w:rPr>
            </w:pPr>
            <w:r>
              <w:rPr>
                <w:rFonts w:ascii="Arial" w:cs="Arial" w:eastAsia="Arial" w:hAnsi="Arial"/>
                <w:sz w:val="14"/>
                <w:szCs w:val="14"/>
                <w:b w:val="1"/>
                <w:bCs w:val="1"/>
                <w:color w:val="auto"/>
                <w:w w:val="85"/>
              </w:rPr>
              <w:t>Broker Non-Votes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James A. Champy</w:t>
            </w:r>
          </w:p>
        </w:tc>
        <w:tc>
          <w:tcPr>
            <w:tcW w:w="3220" w:type="dxa"/>
            <w:vAlign w:val="bottom"/>
            <w:gridSpan w:val="2"/>
            <w:shd w:val="clear" w:color="auto" w:fill="EEEEEE"/>
          </w:tcPr>
          <w:p>
            <w:pPr>
              <w:jc w:val="right"/>
              <w:ind w:right="912"/>
              <w:spacing w:after="0"/>
              <w:rPr>
                <w:sz w:val="20"/>
                <w:szCs w:val="20"/>
                <w:color w:val="auto"/>
              </w:rPr>
            </w:pPr>
            <w:r>
              <w:rPr>
                <w:rFonts w:ascii="Arial" w:cs="Arial" w:eastAsia="Arial" w:hAnsi="Arial"/>
                <w:sz w:val="18"/>
                <w:szCs w:val="18"/>
                <w:color w:val="auto"/>
              </w:rPr>
              <w:t>309,989,921</w:t>
            </w:r>
          </w:p>
        </w:tc>
        <w:tc>
          <w:tcPr>
            <w:tcW w:w="298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14,218,090</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Kenton J. Sicchitano</w:t>
            </w:r>
          </w:p>
        </w:tc>
        <w:tc>
          <w:tcPr>
            <w:tcW w:w="3220" w:type="dxa"/>
            <w:vAlign w:val="bottom"/>
            <w:gridSpan w:val="2"/>
          </w:tcPr>
          <w:p>
            <w:pPr>
              <w:jc w:val="right"/>
              <w:ind w:right="912"/>
              <w:spacing w:after="0"/>
              <w:rPr>
                <w:sz w:val="20"/>
                <w:szCs w:val="20"/>
                <w:color w:val="auto"/>
              </w:rPr>
            </w:pPr>
            <w:r>
              <w:rPr>
                <w:rFonts w:ascii="Arial" w:cs="Arial" w:eastAsia="Arial" w:hAnsi="Arial"/>
                <w:sz w:val="18"/>
                <w:szCs w:val="18"/>
                <w:color w:val="auto"/>
              </w:rPr>
              <w:t>317,826,269</w:t>
            </w:r>
          </w:p>
        </w:tc>
        <w:tc>
          <w:tcPr>
            <w:tcW w:w="2980" w:type="dxa"/>
            <w:vAlign w:val="bottom"/>
            <w:gridSpan w:val="2"/>
          </w:tcPr>
          <w:p>
            <w:pPr>
              <w:jc w:val="right"/>
              <w:ind w:right="832"/>
              <w:spacing w:after="0"/>
              <w:rPr>
                <w:sz w:val="20"/>
                <w:szCs w:val="20"/>
                <w:color w:val="auto"/>
              </w:rPr>
            </w:pPr>
            <w:r>
              <w:rPr>
                <w:rFonts w:ascii="Arial" w:cs="Arial" w:eastAsia="Arial" w:hAnsi="Arial"/>
                <w:sz w:val="18"/>
                <w:szCs w:val="18"/>
                <w:color w:val="auto"/>
              </w:rPr>
              <w:t>6,381,742</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Lester C. Thurow</w:t>
            </w:r>
          </w:p>
        </w:tc>
        <w:tc>
          <w:tcPr>
            <w:tcW w:w="3220" w:type="dxa"/>
            <w:vAlign w:val="bottom"/>
            <w:gridSpan w:val="2"/>
            <w:shd w:val="clear" w:color="auto" w:fill="EEEEEE"/>
          </w:tcPr>
          <w:p>
            <w:pPr>
              <w:jc w:val="right"/>
              <w:ind w:right="912"/>
              <w:spacing w:after="0"/>
              <w:rPr>
                <w:sz w:val="20"/>
                <w:szCs w:val="20"/>
                <w:color w:val="auto"/>
              </w:rPr>
            </w:pPr>
            <w:r>
              <w:rPr>
                <w:rFonts w:ascii="Arial" w:cs="Arial" w:eastAsia="Arial" w:hAnsi="Arial"/>
                <w:sz w:val="18"/>
                <w:szCs w:val="18"/>
                <w:color w:val="auto"/>
              </w:rPr>
              <w:t>319,178,499</w:t>
            </w:r>
          </w:p>
        </w:tc>
        <w:tc>
          <w:tcPr>
            <w:tcW w:w="298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5,029,512</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Each of the following directors who were not up for reelection at the Annual Meeting of Stockholders continue to serve as directors since the Annual Meeting of Stockholders: Messrs. Jerald G. Fishman, F. Grant Saviers, John L. Doyle and Ray Stata.</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Stockholders also ratified the selection by the Board of Directors of Ernst &amp; Young LLP as our independent auditors for the fiscal year ending November 1, 2003, by a vote of 314,084,623 in favor, 8,103,251 opposed and 2,020,137 abstaining.</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Stockholders did not approve the proposal to establish a policy of expensing future stock option grants by a vote of 104,268,449 in favor, 171,667,320 opposed, 6,405,532 abstaining and 41,866,710 broker non-votes.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274" w:lineRule="exact"/>
        <w:rPr>
          <w:sz w:val="20"/>
          <w:szCs w:val="20"/>
          <w:color w:val="auto"/>
        </w:rPr>
      </w:pPr>
    </w:p>
    <w:p>
      <w:pPr>
        <w:ind w:left="1040" w:hanging="68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The exhibits listed in the Exhibit Index immediately preceding the exhibits are filed as part of this Quarterly Report on Form 10-Q.</w:t>
      </w:r>
    </w:p>
    <w:p>
      <w:pPr>
        <w:spacing w:after="0" w:line="225" w:lineRule="exact"/>
        <w:rPr>
          <w:rFonts w:ascii="Arial" w:cs="Arial" w:eastAsia="Arial" w:hAnsi="Arial"/>
          <w:sz w:val="18"/>
          <w:szCs w:val="18"/>
          <w:color w:val="auto"/>
        </w:rPr>
      </w:pPr>
    </w:p>
    <w:p>
      <w:pPr>
        <w:ind w:left="1040" w:hanging="68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Items 3 and 5 of PART II are not applicable and have been omitted.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80" w:val="left"/>
          <w:tab w:leader="none" w:pos="7300" w:val="left"/>
          <w:tab w:leader="none" w:pos="7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21,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80010</wp:posOffset>
            </wp:positionV>
            <wp:extent cx="2186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680" w:val="left"/>
          <w:tab w:leader="none" w:pos="7300" w:val="left"/>
          <w:tab w:leader="none" w:pos="7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21,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80010</wp:posOffset>
            </wp:positionV>
            <wp:extent cx="2186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225"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620" w:right="180" w:hanging="491"/>
        <w:spacing w:after="0" w:line="259"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620" w:right="120" w:hanging="491"/>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620" w:right="40" w:hanging="491"/>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1620" w:right="120" w:hanging="491"/>
        <w:spacing w:after="0" w:line="259"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620" w:right="220" w:hanging="491"/>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2915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225"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620" w:right="180" w:hanging="491"/>
        <w:spacing w:after="0" w:line="259"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620" w:right="120" w:hanging="491"/>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620" w:right="40" w:hanging="491"/>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1620" w:right="120" w:hanging="491"/>
        <w:spacing w:after="0" w:line="259"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620" w:right="220" w:hanging="491"/>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291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597"/>
        </w:trPr>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174"/>
        </w:trPr>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80" w:type="dxa"/>
            <w:vAlign w:val="bottom"/>
          </w:tcPr>
          <w:p>
            <w:pPr>
              <w:ind w:left="1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r>
      <w:tr>
        <w:trPr>
          <w:trHeight w:val="3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99.1</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w w:val="89"/>
              </w:rPr>
              <w:t>Certification Pursuant to 18</w:t>
            </w:r>
          </w:p>
        </w:tc>
        <w:tc>
          <w:tcPr>
            <w:tcW w:w="1480" w:type="dxa"/>
            <w:vAlign w:val="bottom"/>
          </w:tcPr>
          <w:p>
            <w:pPr>
              <w:ind w:left="20"/>
              <w:spacing w:after="0"/>
              <w:rPr>
                <w:sz w:val="20"/>
                <w:szCs w:val="20"/>
                <w:color w:val="auto"/>
              </w:rPr>
            </w:pPr>
            <w:r>
              <w:rPr>
                <w:rFonts w:ascii="Arial" w:cs="Arial" w:eastAsia="Arial" w:hAnsi="Arial"/>
                <w:sz w:val="18"/>
                <w:szCs w:val="18"/>
                <w:color w:val="auto"/>
                <w:w w:val="88"/>
              </w:rPr>
              <w:t>U.S.C. Section 1350</w:t>
            </w:r>
          </w:p>
        </w:tc>
        <w:tc>
          <w:tcPr>
            <w:tcW w:w="6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32"/>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99.2</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w w:val="89"/>
              </w:rPr>
              <w:t>Certification Pursuant to 18</w:t>
            </w:r>
          </w:p>
        </w:tc>
        <w:tc>
          <w:tcPr>
            <w:tcW w:w="1480" w:type="dxa"/>
            <w:vAlign w:val="bottom"/>
          </w:tcPr>
          <w:p>
            <w:pPr>
              <w:ind w:left="20"/>
              <w:spacing w:after="0"/>
              <w:rPr>
                <w:sz w:val="20"/>
                <w:szCs w:val="20"/>
                <w:color w:val="auto"/>
              </w:rPr>
            </w:pPr>
            <w:r>
              <w:rPr>
                <w:rFonts w:ascii="Arial" w:cs="Arial" w:eastAsia="Arial" w:hAnsi="Arial"/>
                <w:sz w:val="18"/>
                <w:szCs w:val="18"/>
                <w:color w:val="auto"/>
                <w:w w:val="88"/>
              </w:rPr>
              <w:t>U.S.C. Section 1350</w:t>
            </w:r>
          </w:p>
        </w:tc>
        <w:tc>
          <w:tcPr>
            <w:tcW w:w="6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419" w:right="239"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May 3, 2003 as filed with the Securities and Exchange Commission on the date hereof (the "Report"), the undersigned, Jerald G. Fishman, Chief Executive Officer of the Company, hereby certifies, pursuant to 18 U.S.C. Section 1350, that:</w:t>
      </w:r>
    </w:p>
    <w:p>
      <w:pPr>
        <w:spacing w:after="0" w:line="209" w:lineRule="exact"/>
        <w:rPr>
          <w:sz w:val="20"/>
          <w:szCs w:val="20"/>
          <w:color w:val="auto"/>
        </w:rPr>
      </w:pPr>
    </w:p>
    <w:p>
      <w:pPr>
        <w:jc w:val="both"/>
        <w:ind w:left="1900" w:right="2199" w:hanging="944"/>
        <w:spacing w:after="0" w:line="290"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May 21, 2003</w:t>
            </w:r>
          </w:p>
        </w:tc>
        <w:tc>
          <w:tcPr>
            <w:tcW w:w="4960" w:type="dxa"/>
            <w:vAlign w:val="bottom"/>
          </w:tcPr>
          <w:p>
            <w:pPr>
              <w:ind w:left="1260"/>
              <w:spacing w:after="0"/>
              <w:rPr>
                <w:sz w:val="20"/>
                <w:szCs w:val="20"/>
                <w:color w:val="auto"/>
              </w:rPr>
            </w:pPr>
            <w:r>
              <w:rPr>
                <w:rFonts w:ascii="Courier New" w:cs="Courier New" w:eastAsia="Courier New" w:hAnsi="Courier New"/>
                <w:sz w:val="18"/>
                <w:szCs w:val="18"/>
                <w:color w:val="auto"/>
              </w:rPr>
              <w:t>/s/ Jerald G. Fishman</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9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9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Jerald G. Fishman</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9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Chief Executive Officer</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Analog Devices, Inc. and will be retained by Analog Devices, Inc. and furnished to the Securities and Exchange Commission or its staff upon request.</w:t>
      </w:r>
    </w:p>
    <w:p>
      <w:pPr>
        <w:sectPr>
          <w:pgSz w:w="11900" w:h="16838" w:orient="portrait"/>
          <w:cols w:equalWidth="0" w:num="1">
            <w:col w:w="10219"/>
          </w:cols>
          <w:pgMar w:left="240" w:top="339" w:right="1440"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99.2</w:t>
      </w:r>
    </w:p>
    <w:p>
      <w:pPr>
        <w:jc w:val="center"/>
        <w:ind w:right="1659"/>
        <w:spacing w:after="0" w:line="238" w:lineRule="auto"/>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May 3, 2003 as filed with the Securities and Exchange Commission on the date hereof (the "Report"), the undersigned, Joseph E. McDonough, Chief Financial Officer of the Company, hereby certifies, pursuant to 18 U.S.C. Section 1350, that:</w:t>
      </w:r>
    </w:p>
    <w:p>
      <w:pPr>
        <w:spacing w:after="0" w:line="209" w:lineRule="exact"/>
        <w:rPr>
          <w:sz w:val="20"/>
          <w:szCs w:val="20"/>
          <w:color w:val="auto"/>
        </w:rPr>
      </w:pPr>
    </w:p>
    <w:p>
      <w:pPr>
        <w:jc w:val="both"/>
        <w:ind w:left="1900" w:right="2199" w:hanging="944"/>
        <w:spacing w:after="0" w:line="290" w:lineRule="auto"/>
        <w:tabs>
          <w:tab w:leader="none" w:pos="19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21,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600" w:space="720"/>
            <w:col w:w="5899"/>
          </w:cols>
          <w:pgMar w:left="240" w:top="339" w:right="1440" w:bottom="1440" w:gutter="0" w:footer="0" w:header="0"/>
          <w:type w:val="continuous"/>
        </w:sectPr>
      </w:pPr>
    </w:p>
    <w:p>
      <w:pPr>
        <w:spacing w:after="0" w:line="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Analog Devices, Inc. and will be retained by Analog Devices, Inc. and furnished to the Securities and Exchange Commission or its staff upon request.</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lvl w:ilvl="1">
      <w:lvlJc w:val="left"/>
      <w:lvlText w:val="(%2)"/>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2019-12-20T05:02:43Z</dcterms:created>
  <dcterms:modified xsi:type="dcterms:W3CDTF">2019-12-20T05:02:43Z</dcterms:modified>
</cp:coreProperties>
</file>