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9356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935672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53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STATA RAY</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9106</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THREE TECHNOLOGY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ANALOG DEVICES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ADI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11/21/2003</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1" w:lineRule="exact"/>
        <w:rPr>
          <w:sz w:val="24"/>
          <w:szCs w:val="24"/>
          <w:color w:val="auto"/>
        </w:rPr>
      </w:pPr>
    </w:p>
    <w:tbl>
      <w:tblPr>
        <w:tblLayout w:type="fixed"/>
        <w:tblInd w:w="210"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0"/>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70"/>
        <w:spacing w:after="0"/>
        <w:rPr>
          <w:sz w:val="20"/>
          <w:szCs w:val="20"/>
          <w:color w:val="auto"/>
        </w:rPr>
      </w:pPr>
      <w:r>
        <w:rPr>
          <w:rFonts w:ascii="Arial" w:cs="Arial" w:eastAsia="Arial" w:hAnsi="Arial"/>
          <w:sz w:val="17"/>
          <w:szCs w:val="17"/>
          <w:color w:val="0000FF"/>
        </w:rPr>
        <w:t>CHAIRMAN</w:t>
      </w:r>
    </w:p>
    <w:p>
      <w:pPr>
        <w:spacing w:after="0" w:line="419" w:lineRule="exact"/>
        <w:rPr>
          <w:sz w:val="24"/>
          <w:szCs w:val="24"/>
          <w:color w:val="auto"/>
        </w:rPr>
      </w:pPr>
    </w:p>
    <w:p>
      <w:pPr>
        <w:sectPr>
          <w:pgSz w:w="11900" w:h="16838" w:orient="portrait"/>
          <w:cols w:equalWidth="0" w:num="3">
            <w:col w:w="3340" w:space="720"/>
            <w:col w:w="3270" w:space="720"/>
            <w:col w:w="3470"/>
          </w:cols>
          <w:pgMar w:left="240" w:top="224" w:right="139" w:bottom="532"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NORWOOD</w:t>
            </w:r>
          </w:p>
        </w:tc>
        <w:tc>
          <w:tcPr>
            <w:tcW w:w="1040" w:type="dxa"/>
            <w:vAlign w:val="bottom"/>
          </w:tcPr>
          <w:p>
            <w:pPr>
              <w:ind w:left="200"/>
              <w:spacing w:after="0"/>
              <w:rPr>
                <w:sz w:val="20"/>
                <w:szCs w:val="20"/>
                <w:color w:val="auto"/>
              </w:rPr>
            </w:pPr>
            <w:r>
              <w:rPr>
                <w:rFonts w:ascii="Arial" w:cs="Arial" w:eastAsia="Arial" w:hAnsi="Arial"/>
                <w:sz w:val="17"/>
                <w:szCs w:val="17"/>
                <w:color w:val="0000FF"/>
              </w:rPr>
              <w:t>MA</w:t>
            </w:r>
          </w:p>
        </w:tc>
        <w:tc>
          <w:tcPr>
            <w:tcW w:w="1660" w:type="dxa"/>
            <w:vAlign w:val="bottom"/>
          </w:tcPr>
          <w:p>
            <w:pPr>
              <w:ind w:left="440"/>
              <w:spacing w:after="0"/>
              <w:rPr>
                <w:sz w:val="20"/>
                <w:szCs w:val="20"/>
                <w:color w:val="auto"/>
              </w:rPr>
            </w:pPr>
            <w:r>
              <w:rPr>
                <w:rFonts w:ascii="Arial" w:cs="Arial" w:eastAsia="Arial" w:hAnsi="Arial"/>
                <w:sz w:val="17"/>
                <w:szCs w:val="17"/>
                <w:color w:val="0000FF"/>
              </w:rPr>
              <w:t>020629106</w:t>
            </w:r>
          </w:p>
        </w:tc>
      </w:tr>
      <w:tr>
        <w:trPr>
          <w:trHeight w:val="154"/>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0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838" w:orient="portrait"/>
          <w:cols w:equalWidth="0" w:num="2">
            <w:col w:w="3900" w:space="160"/>
            <w:col w:w="7460"/>
          </w:cols>
          <w:pgMar w:left="240" w:top="224" w:right="139" w:bottom="53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8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800" w:type="dxa"/>
            <w:vAlign w:val="bottom"/>
          </w:tcPr>
          <w:p>
            <w:pPr>
              <w:spacing w:after="0"/>
              <w:rPr>
                <w:sz w:val="11"/>
                <w:szCs w:val="11"/>
                <w:color w:val="auto"/>
              </w:rPr>
            </w:pPr>
          </w:p>
        </w:tc>
        <w:tc>
          <w:tcPr>
            <w:tcW w:w="1700" w:type="dxa"/>
            <w:vAlign w:val="bottom"/>
          </w:tcPr>
          <w:p>
            <w:pPr>
              <w:ind w:left="6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8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8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8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6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8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8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8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8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8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 Stock-$.16-2/3 value</w:t>
            </w:r>
            <w:r>
              <w:rPr>
                <w:rFonts w:ascii="Arial" w:cs="Arial" w:eastAsia="Arial" w:hAnsi="Arial"/>
                <w:sz w:val="22"/>
                <w:szCs w:val="22"/>
                <w:color w:val="008000"/>
                <w:vertAlign w:val="superscript"/>
              </w:rPr>
              <w:t>(1)</w:t>
            </w: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925,014</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60" w:type="dxa"/>
            <w:vAlign w:val="bottom"/>
          </w:tcPr>
          <w:p>
            <w:pPr>
              <w:ind w:left="100"/>
              <w:spacing w:after="0"/>
              <w:rPr>
                <w:sz w:val="20"/>
                <w:szCs w:val="20"/>
                <w:color w:val="auto"/>
              </w:rPr>
            </w:pPr>
            <w:r>
              <w:rPr>
                <w:rFonts w:ascii="Arial" w:cs="Arial" w:eastAsia="Arial" w:hAnsi="Arial"/>
                <w:sz w:val="17"/>
                <w:szCs w:val="17"/>
                <w:color w:val="0000FF"/>
              </w:rPr>
              <w:t>By Mrs.</w:t>
            </w:r>
          </w:p>
        </w:tc>
        <w:tc>
          <w:tcPr>
            <w:tcW w:w="0" w:type="dxa"/>
            <w:vAlign w:val="bottom"/>
          </w:tcPr>
          <w:p>
            <w:pPr>
              <w:spacing w:after="0"/>
              <w:rPr>
                <w:sz w:val="1"/>
                <w:szCs w:val="1"/>
                <w:color w:val="auto"/>
              </w:rPr>
            </w:pPr>
          </w:p>
        </w:tc>
      </w:tr>
      <w:tr>
        <w:trPr>
          <w:trHeight w:val="212"/>
        </w:trPr>
        <w:tc>
          <w:tcPr>
            <w:tcW w:w="2800" w:type="dxa"/>
            <w:vAlign w:val="bottom"/>
          </w:tcPr>
          <w:p>
            <w:pPr>
              <w:ind w:left="60"/>
              <w:spacing w:after="0"/>
              <w:rPr>
                <w:sz w:val="20"/>
                <w:szCs w:val="20"/>
                <w:color w:val="auto"/>
              </w:rPr>
            </w:pPr>
            <w:r>
              <w:rPr>
                <w:rFonts w:ascii="Arial" w:cs="Arial" w:eastAsia="Arial" w:hAnsi="Arial"/>
                <w:sz w:val="17"/>
                <w:szCs w:val="17"/>
                <w:color w:val="0000FF"/>
              </w:rPr>
              <w:t>Comm Stock-$.16-2/3 value</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2"/>
              </w:rPr>
              <w:t>1,108,709</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60" w:type="dxa"/>
            <w:vAlign w:val="bottom"/>
          </w:tcPr>
          <w:p>
            <w:pPr>
              <w:ind w:left="100"/>
              <w:spacing w:after="0"/>
              <w:rPr>
                <w:sz w:val="20"/>
                <w:szCs w:val="20"/>
                <w:color w:val="auto"/>
              </w:rPr>
            </w:pPr>
            <w:r>
              <w:rPr>
                <w:rFonts w:ascii="Arial" w:cs="Arial" w:eastAsia="Arial" w:hAnsi="Arial"/>
                <w:sz w:val="17"/>
                <w:szCs w:val="17"/>
                <w:color w:val="0000FF"/>
              </w:rPr>
              <w:t>Stata</w:t>
            </w:r>
          </w:p>
        </w:tc>
        <w:tc>
          <w:tcPr>
            <w:tcW w:w="0" w:type="dxa"/>
            <w:vAlign w:val="bottom"/>
          </w:tcPr>
          <w:p>
            <w:pPr>
              <w:spacing w:after="0"/>
              <w:rPr>
                <w:sz w:val="1"/>
                <w:szCs w:val="1"/>
                <w:color w:val="auto"/>
              </w:rPr>
            </w:pPr>
          </w:p>
        </w:tc>
      </w:tr>
      <w:tr>
        <w:trPr>
          <w:trHeight w:val="280"/>
        </w:trPr>
        <w:tc>
          <w:tcPr>
            <w:tcW w:w="280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99"/>
              </w:rPr>
              <w:t>Directly</w:t>
            </w:r>
            <w:r>
              <w:rPr>
                <w:rFonts w:ascii="Arial" w:cs="Arial" w:eastAsia="Arial" w:hAnsi="Arial"/>
                <w:sz w:val="22"/>
                <w:szCs w:val="22"/>
                <w:color w:val="008000"/>
                <w:w w:val="99"/>
                <w:vertAlign w:val="superscript"/>
              </w:rPr>
              <w:t>(2)</w:t>
            </w:r>
          </w:p>
        </w:tc>
        <w:tc>
          <w:tcPr>
            <w:tcW w:w="0" w:type="dxa"/>
            <w:vAlign w:val="bottom"/>
          </w:tcPr>
          <w:p>
            <w:pPr>
              <w:spacing w:after="0"/>
              <w:rPr>
                <w:sz w:val="1"/>
                <w:szCs w:val="1"/>
                <w:color w:val="auto"/>
              </w:rPr>
            </w:pPr>
          </w:p>
        </w:tc>
      </w:tr>
      <w:tr>
        <w:trPr>
          <w:trHeight w:val="257"/>
        </w:trPr>
        <w:tc>
          <w:tcPr>
            <w:tcW w:w="28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60" w:type="dxa"/>
            <w:vAlign w:val="bottom"/>
          </w:tcPr>
          <w:p>
            <w:pPr>
              <w:ind w:left="100"/>
              <w:spacing w:after="0"/>
              <w:rPr>
                <w:sz w:val="20"/>
                <w:szCs w:val="20"/>
                <w:color w:val="auto"/>
              </w:rPr>
            </w:pPr>
            <w:r>
              <w:rPr>
                <w:rFonts w:ascii="Arial" w:cs="Arial" w:eastAsia="Arial" w:hAnsi="Arial"/>
                <w:sz w:val="17"/>
                <w:szCs w:val="17"/>
                <w:color w:val="0000FF"/>
              </w:rPr>
              <w:t>By Mrs.</w:t>
            </w:r>
          </w:p>
        </w:tc>
        <w:tc>
          <w:tcPr>
            <w:tcW w:w="0" w:type="dxa"/>
            <w:vAlign w:val="bottom"/>
          </w:tcPr>
          <w:p>
            <w:pPr>
              <w:spacing w:after="0"/>
              <w:rPr>
                <w:sz w:val="1"/>
                <w:szCs w:val="1"/>
                <w:color w:val="auto"/>
              </w:rPr>
            </w:pPr>
          </w:p>
        </w:tc>
      </w:tr>
      <w:tr>
        <w:trPr>
          <w:trHeight w:val="212"/>
        </w:trPr>
        <w:tc>
          <w:tcPr>
            <w:tcW w:w="28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ind w:left="100"/>
              <w:spacing w:after="0"/>
              <w:rPr>
                <w:sz w:val="20"/>
                <w:szCs w:val="20"/>
                <w:color w:val="auto"/>
              </w:rPr>
            </w:pPr>
            <w:r>
              <w:rPr>
                <w:rFonts w:ascii="Arial" w:cs="Arial" w:eastAsia="Arial" w:hAnsi="Arial"/>
                <w:sz w:val="17"/>
                <w:szCs w:val="17"/>
                <w:color w:val="0000FF"/>
              </w:rPr>
              <w:t>Stata Tr</w:t>
            </w:r>
          </w:p>
        </w:tc>
        <w:tc>
          <w:tcPr>
            <w:tcW w:w="0" w:type="dxa"/>
            <w:vAlign w:val="bottom"/>
          </w:tcPr>
          <w:p>
            <w:pPr>
              <w:spacing w:after="0"/>
              <w:rPr>
                <w:sz w:val="1"/>
                <w:szCs w:val="1"/>
                <w:color w:val="auto"/>
              </w:rPr>
            </w:pPr>
          </w:p>
        </w:tc>
      </w:tr>
      <w:tr>
        <w:trPr>
          <w:trHeight w:val="212"/>
        </w:trPr>
        <w:tc>
          <w:tcPr>
            <w:tcW w:w="2800" w:type="dxa"/>
            <w:vAlign w:val="bottom"/>
          </w:tcPr>
          <w:p>
            <w:pPr>
              <w:ind w:left="60"/>
              <w:spacing w:after="0"/>
              <w:rPr>
                <w:sz w:val="20"/>
                <w:szCs w:val="20"/>
                <w:color w:val="auto"/>
              </w:rPr>
            </w:pPr>
            <w:r>
              <w:rPr>
                <w:rFonts w:ascii="Arial" w:cs="Arial" w:eastAsia="Arial" w:hAnsi="Arial"/>
                <w:sz w:val="17"/>
                <w:szCs w:val="17"/>
                <w:color w:val="0000FF"/>
              </w:rPr>
              <w:t>Comm Stock-$.16-2/3 value</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501,632</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60" w:type="dxa"/>
            <w:vAlign w:val="bottom"/>
          </w:tcPr>
          <w:p>
            <w:pPr>
              <w:ind w:left="100"/>
              <w:spacing w:after="0"/>
              <w:rPr>
                <w:sz w:val="20"/>
                <w:szCs w:val="20"/>
                <w:color w:val="auto"/>
              </w:rPr>
            </w:pPr>
            <w:r>
              <w:rPr>
                <w:rFonts w:ascii="Arial" w:cs="Arial" w:eastAsia="Arial" w:hAnsi="Arial"/>
                <w:sz w:val="17"/>
                <w:szCs w:val="17"/>
                <w:color w:val="0000FF"/>
              </w:rPr>
              <w:t>FBO Mr.</w:t>
            </w:r>
          </w:p>
        </w:tc>
        <w:tc>
          <w:tcPr>
            <w:tcW w:w="0" w:type="dxa"/>
            <w:vAlign w:val="bottom"/>
          </w:tcPr>
          <w:p>
            <w:pPr>
              <w:spacing w:after="0"/>
              <w:rPr>
                <w:sz w:val="1"/>
                <w:szCs w:val="1"/>
                <w:color w:val="auto"/>
              </w:rPr>
            </w:pPr>
          </w:p>
        </w:tc>
      </w:tr>
      <w:tr>
        <w:trPr>
          <w:trHeight w:val="212"/>
        </w:trPr>
        <w:tc>
          <w:tcPr>
            <w:tcW w:w="28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tcPr>
          <w:p>
            <w:pPr>
              <w:ind w:left="100"/>
              <w:spacing w:after="0"/>
              <w:rPr>
                <w:sz w:val="20"/>
                <w:szCs w:val="20"/>
                <w:color w:val="auto"/>
              </w:rPr>
            </w:pPr>
            <w:r>
              <w:rPr>
                <w:rFonts w:ascii="Arial" w:cs="Arial" w:eastAsia="Arial" w:hAnsi="Arial"/>
                <w:sz w:val="17"/>
                <w:szCs w:val="17"/>
                <w:color w:val="0000FF"/>
              </w:rPr>
              <w:t>Stata's</w:t>
            </w:r>
          </w:p>
        </w:tc>
        <w:tc>
          <w:tcPr>
            <w:tcW w:w="0" w:type="dxa"/>
            <w:vAlign w:val="bottom"/>
          </w:tcPr>
          <w:p>
            <w:pPr>
              <w:spacing w:after="0"/>
              <w:rPr>
                <w:sz w:val="1"/>
                <w:szCs w:val="1"/>
                <w:color w:val="auto"/>
              </w:rPr>
            </w:pPr>
          </w:p>
        </w:tc>
      </w:tr>
      <w:tr>
        <w:trPr>
          <w:trHeight w:val="294"/>
        </w:trPr>
        <w:tc>
          <w:tcPr>
            <w:tcW w:w="28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ind w:left="100"/>
              <w:spacing w:after="0"/>
              <w:rPr>
                <w:sz w:val="20"/>
                <w:szCs w:val="20"/>
                <w:color w:val="auto"/>
              </w:rPr>
            </w:pPr>
            <w:r>
              <w:rPr>
                <w:rFonts w:ascii="Arial" w:cs="Arial" w:eastAsia="Arial" w:hAnsi="Arial"/>
                <w:sz w:val="17"/>
                <w:szCs w:val="17"/>
                <w:color w:val="0000FF"/>
              </w:rPr>
              <w:t>Chldrn</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bl>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 Stock-$.16-2/3 value</w:t>
            </w: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80" w:type="dxa"/>
            <w:vAlign w:val="bottom"/>
            <w:gridSpan w:val="2"/>
            <w:vMerge w:val="restart"/>
          </w:tcPr>
          <w:p>
            <w:pPr>
              <w:ind w:left="340"/>
              <w:spacing w:after="0"/>
              <w:rPr>
                <w:sz w:val="20"/>
                <w:szCs w:val="20"/>
                <w:color w:val="auto"/>
              </w:rPr>
            </w:pPr>
            <w:r>
              <w:rPr>
                <w:rFonts w:ascii="Arial" w:cs="Arial" w:eastAsia="Arial" w:hAnsi="Arial"/>
                <w:sz w:val="17"/>
                <w:szCs w:val="17"/>
                <w:color w:val="0000FF"/>
              </w:rPr>
              <w:t>2,487,588</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900" w:type="dxa"/>
            <w:vAlign w:val="bottom"/>
            <w:gridSpan w:val="3"/>
          </w:tcPr>
          <w:p>
            <w:pPr>
              <w:ind w:left="20"/>
              <w:spacing w:after="0"/>
              <w:rPr>
                <w:sz w:val="20"/>
                <w:szCs w:val="20"/>
                <w:color w:val="auto"/>
              </w:rPr>
            </w:pPr>
            <w:r>
              <w:rPr>
                <w:rFonts w:ascii="Arial" w:cs="Arial" w:eastAsia="Arial" w:hAnsi="Arial"/>
                <w:sz w:val="17"/>
                <w:szCs w:val="17"/>
                <w:color w:val="0000FF"/>
              </w:rPr>
              <w:t>Co-</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7"/>
                <w:szCs w:val="17"/>
                <w:color w:val="0000FF"/>
              </w:rPr>
              <w:t>Trustees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6420" w:type="dxa"/>
            <w:vAlign w:val="bottom"/>
            <w:tcBorders>
              <w:bottom w:val="single" w:sz="8" w:color="2C2C2C"/>
            </w:tcBorders>
            <w:gridSpan w:val="8"/>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20" w:type="dxa"/>
            <w:vAlign w:val="bottom"/>
            <w:tcBorders>
              <w:top w:val="single" w:sz="8" w:color="2C2C2C"/>
            </w:tcBorders>
            <w:gridSpan w:val="8"/>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00" w:type="dxa"/>
            <w:vAlign w:val="bottom"/>
            <w:gridSpan w:val="7"/>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4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 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of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93"/>
              </w:rPr>
              <w:t>Comm</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3"/>
              </w:rPr>
              <w:t>3,913</w:t>
            </w: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39.06</w:t>
            </w: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vMerge w:val="restart"/>
          </w:tcPr>
          <w:p>
            <w:pPr>
              <w:ind w:left="100"/>
              <w:spacing w:after="0" w:line="146" w:lineRule="exact"/>
              <w:rPr>
                <w:sz w:val="20"/>
                <w:szCs w:val="20"/>
                <w:color w:val="auto"/>
              </w:rPr>
            </w:pPr>
            <w:r>
              <w:rPr>
                <w:rFonts w:ascii="Arial" w:cs="Arial" w:eastAsia="Arial" w:hAnsi="Arial"/>
                <w:sz w:val="13"/>
                <w:szCs w:val="13"/>
                <w:color w:val="0000FF"/>
              </w:rPr>
              <w:t>07/18/2002</w:t>
            </w:r>
          </w:p>
        </w:tc>
        <w:tc>
          <w:tcPr>
            <w:tcW w:w="74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w w:val="98"/>
              </w:rPr>
              <w:t>07/18/2011</w:t>
            </w:r>
          </w:p>
        </w:tc>
        <w:tc>
          <w:tcPr>
            <w:tcW w:w="76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3"/>
              </w:rPr>
              <w:t>Stock-$.16-</w:t>
            </w: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3,913</w:t>
            </w:r>
          </w:p>
        </w:tc>
        <w:tc>
          <w:tcPr>
            <w:tcW w:w="62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94"/>
              </w:rPr>
              <w:t>2/3 value</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93"/>
              </w:rPr>
              <w:t>Comm</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1"/>
              </w:rPr>
              <w:t>100,000</w:t>
            </w: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41.05</w:t>
            </w: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vMerge w:val="restart"/>
          </w:tcPr>
          <w:p>
            <w:pPr>
              <w:ind w:left="100"/>
              <w:spacing w:after="0" w:line="146" w:lineRule="exact"/>
              <w:rPr>
                <w:sz w:val="20"/>
                <w:szCs w:val="20"/>
                <w:color w:val="auto"/>
              </w:rPr>
            </w:pPr>
            <w:r>
              <w:rPr>
                <w:rFonts w:ascii="Arial" w:cs="Arial" w:eastAsia="Arial" w:hAnsi="Arial"/>
                <w:sz w:val="13"/>
                <w:szCs w:val="13"/>
                <w:color w:val="0000FF"/>
              </w:rPr>
              <w:t>01/22/2005</w:t>
            </w:r>
          </w:p>
        </w:tc>
        <w:tc>
          <w:tcPr>
            <w:tcW w:w="74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w w:val="98"/>
              </w:rPr>
              <w:t>01/22/2012</w:t>
            </w:r>
          </w:p>
        </w:tc>
        <w:tc>
          <w:tcPr>
            <w:tcW w:w="76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3"/>
              </w:rPr>
              <w:t>Stock-$.16-</w:t>
            </w: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3"/>
              </w:rPr>
              <w:t>100,000</w:t>
            </w:r>
          </w:p>
        </w:tc>
        <w:tc>
          <w:tcPr>
            <w:tcW w:w="62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94"/>
              </w:rPr>
              <w:t>2/3 value</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93"/>
              </w:rPr>
              <w:t>Comm</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2"/>
              </w:rPr>
              <w:t>75,000</w:t>
            </w: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19.89</w:t>
            </w: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vMerge w:val="restart"/>
          </w:tcPr>
          <w:p>
            <w:pPr>
              <w:ind w:left="100"/>
              <w:spacing w:after="0" w:line="146" w:lineRule="exact"/>
              <w:rPr>
                <w:sz w:val="20"/>
                <w:szCs w:val="20"/>
                <w:color w:val="auto"/>
              </w:rPr>
            </w:pPr>
            <w:r>
              <w:rPr>
                <w:rFonts w:ascii="Arial" w:cs="Arial" w:eastAsia="Arial" w:hAnsi="Arial"/>
                <w:sz w:val="13"/>
                <w:szCs w:val="13"/>
                <w:color w:val="0000FF"/>
              </w:rPr>
              <w:t>09/24/2003</w:t>
            </w:r>
          </w:p>
        </w:tc>
        <w:tc>
          <w:tcPr>
            <w:tcW w:w="74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w w:val="98"/>
              </w:rPr>
              <w:t>09/24/2012</w:t>
            </w:r>
          </w:p>
        </w:tc>
        <w:tc>
          <w:tcPr>
            <w:tcW w:w="76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3"/>
              </w:rPr>
              <w:t>Stock-$.16-</w:t>
            </w: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0"/>
              </w:rPr>
              <w:t>75,000</w:t>
            </w:r>
          </w:p>
        </w:tc>
        <w:tc>
          <w:tcPr>
            <w:tcW w:w="62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94"/>
              </w:rPr>
              <w:t>2/3 value</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93"/>
              </w:rPr>
              <w:t>Comm</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2"/>
              </w:rPr>
              <w:t>93,334</w:t>
            </w: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7.375</w:t>
            </w: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vMerge w:val="restart"/>
          </w:tcPr>
          <w:p>
            <w:pPr>
              <w:ind w:left="100"/>
              <w:spacing w:after="0" w:line="146" w:lineRule="exact"/>
              <w:rPr>
                <w:sz w:val="20"/>
                <w:szCs w:val="20"/>
                <w:color w:val="auto"/>
              </w:rPr>
            </w:pPr>
            <w:r>
              <w:rPr>
                <w:rFonts w:ascii="Arial" w:cs="Arial" w:eastAsia="Arial" w:hAnsi="Arial"/>
                <w:sz w:val="13"/>
                <w:szCs w:val="13"/>
                <w:color w:val="0000FF"/>
              </w:rPr>
              <w:t>09/08/2001</w:t>
            </w:r>
          </w:p>
        </w:tc>
        <w:tc>
          <w:tcPr>
            <w:tcW w:w="74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w w:val="98"/>
              </w:rPr>
              <w:t>02/20/2007</w:t>
            </w:r>
          </w:p>
        </w:tc>
        <w:tc>
          <w:tcPr>
            <w:tcW w:w="76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3"/>
              </w:rPr>
              <w:t>Stock-$.16-</w:t>
            </w: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0"/>
              </w:rPr>
              <w:t>93,334</w:t>
            </w:r>
          </w:p>
        </w:tc>
        <w:tc>
          <w:tcPr>
            <w:tcW w:w="62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94"/>
              </w:rPr>
              <w:t>2/3 value</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20"/>
          </w:cols>
          <w:pgMar w:left="240" w:top="224" w:right="139" w:bottom="532"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324090" cy="3629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4090" cy="3629025"/>
                    </a:xfrm>
                    <a:prstGeom prst="rect">
                      <a:avLst/>
                    </a:prstGeom>
                    <a:noFill/>
                  </pic:spPr>
                </pic:pic>
              </a:graphicData>
            </a:graphic>
          </wp:anchor>
        </w:drawing>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4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 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of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93"/>
              </w:rPr>
              <w:t>Comm</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restart"/>
          </w:tcPr>
          <w:p>
            <w:pPr>
              <w:ind w:left="80"/>
              <w:spacing w:after="0"/>
              <w:rPr>
                <w:sz w:val="20"/>
                <w:szCs w:val="20"/>
                <w:color w:val="auto"/>
              </w:rPr>
            </w:pPr>
            <w:r>
              <w:rPr>
                <w:rFonts w:ascii="Arial" w:cs="Arial" w:eastAsia="Arial" w:hAnsi="Arial"/>
                <w:sz w:val="17"/>
                <w:szCs w:val="17"/>
                <w:color w:val="0000FF"/>
                <w:w w:val="97"/>
              </w:rPr>
              <w:t>106,668</w:t>
            </w: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700" w:type="dxa"/>
            <w:vAlign w:val="bottom"/>
            <w:vMerge w:val="continue"/>
          </w:tcPr>
          <w:p>
            <w:pPr>
              <w:spacing w:after="0"/>
              <w:rPr>
                <w:sz w:val="6"/>
                <w:szCs w:val="6"/>
                <w:color w:val="auto"/>
              </w:rPr>
            </w:pPr>
          </w:p>
        </w:tc>
        <w:tc>
          <w:tcPr>
            <w:tcW w:w="800" w:type="dxa"/>
            <w:vAlign w:val="bottom"/>
            <w:vMerge w:val="restart"/>
          </w:tcPr>
          <w:p>
            <w:pPr>
              <w:jc w:val="center"/>
              <w:spacing w:after="0" w:line="146"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7.375</w:t>
            </w: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vMerge w:val="restart"/>
          </w:tcPr>
          <w:p>
            <w:pPr>
              <w:ind w:left="100"/>
              <w:spacing w:after="0" w:line="146" w:lineRule="exact"/>
              <w:rPr>
                <w:sz w:val="20"/>
                <w:szCs w:val="20"/>
                <w:color w:val="auto"/>
              </w:rPr>
            </w:pPr>
            <w:r>
              <w:rPr>
                <w:rFonts w:ascii="Arial" w:cs="Arial" w:eastAsia="Arial" w:hAnsi="Arial"/>
                <w:sz w:val="13"/>
                <w:szCs w:val="13"/>
                <w:color w:val="0000FF"/>
              </w:rPr>
              <w:t>09/08/2001</w:t>
            </w:r>
          </w:p>
        </w:tc>
        <w:tc>
          <w:tcPr>
            <w:tcW w:w="74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w w:val="98"/>
              </w:rPr>
              <w:t>12/16/2007</w:t>
            </w:r>
          </w:p>
        </w:tc>
        <w:tc>
          <w:tcPr>
            <w:tcW w:w="76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3"/>
              </w:rPr>
              <w:t>Stock-$.16-</w:t>
            </w: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vMerge w:val="restart"/>
          </w:tcPr>
          <w:p>
            <w:pPr>
              <w:ind w:left="260"/>
              <w:spacing w:after="0" w:line="146" w:lineRule="exact"/>
              <w:rPr>
                <w:sz w:val="20"/>
                <w:szCs w:val="20"/>
                <w:color w:val="auto"/>
              </w:rPr>
            </w:pPr>
            <w:r>
              <w:rPr>
                <w:rFonts w:ascii="Arial" w:cs="Arial" w:eastAsia="Arial" w:hAnsi="Arial"/>
                <w:sz w:val="13"/>
                <w:szCs w:val="13"/>
                <w:color w:val="0000FF"/>
              </w:rPr>
              <w:t>106,668</w:t>
            </w:r>
          </w:p>
        </w:tc>
        <w:tc>
          <w:tcPr>
            <w:tcW w:w="76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94"/>
              </w:rPr>
              <w:t>2/3 value</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0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93"/>
              </w:rPr>
              <w:t>Comm</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restart"/>
          </w:tcPr>
          <w:p>
            <w:pPr>
              <w:ind w:left="80"/>
              <w:spacing w:after="0"/>
              <w:rPr>
                <w:sz w:val="20"/>
                <w:szCs w:val="20"/>
                <w:color w:val="auto"/>
              </w:rPr>
            </w:pPr>
            <w:r>
              <w:rPr>
                <w:rFonts w:ascii="Arial" w:cs="Arial" w:eastAsia="Arial" w:hAnsi="Arial"/>
                <w:sz w:val="17"/>
                <w:szCs w:val="17"/>
                <w:color w:val="0000FF"/>
                <w:w w:val="97"/>
              </w:rPr>
              <w:t>200,000</w:t>
            </w: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700" w:type="dxa"/>
            <w:vAlign w:val="bottom"/>
            <w:vMerge w:val="continue"/>
          </w:tcPr>
          <w:p>
            <w:pPr>
              <w:spacing w:after="0"/>
              <w:rPr>
                <w:sz w:val="6"/>
                <w:szCs w:val="6"/>
                <w:color w:val="auto"/>
              </w:rPr>
            </w:pPr>
          </w:p>
        </w:tc>
        <w:tc>
          <w:tcPr>
            <w:tcW w:w="800" w:type="dxa"/>
            <w:vAlign w:val="bottom"/>
            <w:vMerge w:val="restart"/>
          </w:tcPr>
          <w:p>
            <w:pPr>
              <w:jc w:val="center"/>
              <w:spacing w:after="0" w:line="146"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28.75</w:t>
            </w: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vMerge w:val="restart"/>
          </w:tcPr>
          <w:p>
            <w:pPr>
              <w:ind w:left="100"/>
              <w:spacing w:after="0" w:line="146" w:lineRule="exact"/>
              <w:rPr>
                <w:sz w:val="20"/>
                <w:szCs w:val="20"/>
                <w:color w:val="auto"/>
              </w:rPr>
            </w:pPr>
            <w:r>
              <w:rPr>
                <w:rFonts w:ascii="Arial" w:cs="Arial" w:eastAsia="Arial" w:hAnsi="Arial"/>
                <w:sz w:val="13"/>
                <w:szCs w:val="13"/>
                <w:color w:val="0000FF"/>
              </w:rPr>
              <w:t>11/30/2002</w:t>
            </w:r>
          </w:p>
        </w:tc>
        <w:tc>
          <w:tcPr>
            <w:tcW w:w="74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w w:val="98"/>
              </w:rPr>
              <w:t>11/30/2009</w:t>
            </w:r>
          </w:p>
        </w:tc>
        <w:tc>
          <w:tcPr>
            <w:tcW w:w="76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3"/>
              </w:rPr>
              <w:t>Stock-$.16-</w:t>
            </w: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vMerge w:val="restart"/>
          </w:tcPr>
          <w:p>
            <w:pPr>
              <w:ind w:left="260"/>
              <w:spacing w:after="0" w:line="146" w:lineRule="exact"/>
              <w:rPr>
                <w:sz w:val="20"/>
                <w:szCs w:val="20"/>
                <w:color w:val="auto"/>
              </w:rPr>
            </w:pPr>
            <w:r>
              <w:rPr>
                <w:rFonts w:ascii="Arial" w:cs="Arial" w:eastAsia="Arial" w:hAnsi="Arial"/>
                <w:sz w:val="13"/>
                <w:szCs w:val="13"/>
                <w:color w:val="0000FF"/>
              </w:rPr>
              <w:t>200,000</w:t>
            </w:r>
          </w:p>
        </w:tc>
        <w:tc>
          <w:tcPr>
            <w:tcW w:w="76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94"/>
              </w:rPr>
              <w:t>2/3 value</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0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93"/>
              </w:rPr>
              <w:t>Comm</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restart"/>
          </w:tcPr>
          <w:p>
            <w:pPr>
              <w:ind w:left="80"/>
              <w:spacing w:after="0"/>
              <w:rPr>
                <w:sz w:val="20"/>
                <w:szCs w:val="20"/>
                <w:color w:val="auto"/>
              </w:rPr>
            </w:pPr>
            <w:r>
              <w:rPr>
                <w:rFonts w:ascii="Arial" w:cs="Arial" w:eastAsia="Arial" w:hAnsi="Arial"/>
                <w:sz w:val="17"/>
                <w:szCs w:val="17"/>
                <w:color w:val="0000FF"/>
                <w:w w:val="97"/>
              </w:rPr>
              <w:t>150,000</w:t>
            </w: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700" w:type="dxa"/>
            <w:vAlign w:val="bottom"/>
            <w:vMerge w:val="continue"/>
          </w:tcPr>
          <w:p>
            <w:pPr>
              <w:spacing w:after="0"/>
              <w:rPr>
                <w:sz w:val="6"/>
                <w:szCs w:val="6"/>
                <w:color w:val="auto"/>
              </w:rPr>
            </w:pPr>
          </w:p>
        </w:tc>
        <w:tc>
          <w:tcPr>
            <w:tcW w:w="800" w:type="dxa"/>
            <w:vAlign w:val="bottom"/>
            <w:vMerge w:val="restart"/>
          </w:tcPr>
          <w:p>
            <w:pPr>
              <w:jc w:val="center"/>
              <w:spacing w:after="0" w:line="146"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44.5</w:t>
            </w: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vMerge w:val="restart"/>
          </w:tcPr>
          <w:p>
            <w:pPr>
              <w:ind w:left="100"/>
              <w:spacing w:after="0" w:line="146" w:lineRule="exact"/>
              <w:rPr>
                <w:sz w:val="20"/>
                <w:szCs w:val="20"/>
                <w:color w:val="auto"/>
              </w:rPr>
            </w:pPr>
            <w:r>
              <w:rPr>
                <w:rFonts w:ascii="Arial" w:cs="Arial" w:eastAsia="Arial" w:hAnsi="Arial"/>
                <w:sz w:val="13"/>
                <w:szCs w:val="13"/>
                <w:color w:val="0000FF"/>
              </w:rPr>
              <w:t>11/10/2003</w:t>
            </w:r>
          </w:p>
        </w:tc>
        <w:tc>
          <w:tcPr>
            <w:tcW w:w="74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w w:val="98"/>
              </w:rPr>
              <w:t>11/10/2010</w:t>
            </w:r>
          </w:p>
        </w:tc>
        <w:tc>
          <w:tcPr>
            <w:tcW w:w="76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3"/>
              </w:rPr>
              <w:t>Stock-$.16-</w:t>
            </w: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vMerge w:val="restart"/>
          </w:tcPr>
          <w:p>
            <w:pPr>
              <w:ind w:left="260"/>
              <w:spacing w:after="0" w:line="146" w:lineRule="exact"/>
              <w:rPr>
                <w:sz w:val="20"/>
                <w:szCs w:val="20"/>
                <w:color w:val="auto"/>
              </w:rPr>
            </w:pPr>
            <w:r>
              <w:rPr>
                <w:rFonts w:ascii="Arial" w:cs="Arial" w:eastAsia="Arial" w:hAnsi="Arial"/>
                <w:sz w:val="13"/>
                <w:szCs w:val="13"/>
                <w:color w:val="0000FF"/>
              </w:rPr>
              <w:t>150,000</w:t>
            </w:r>
          </w:p>
        </w:tc>
        <w:tc>
          <w:tcPr>
            <w:tcW w:w="76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7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94"/>
              </w:rPr>
              <w:t>2/3 value</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3"/>
          <w:szCs w:val="13"/>
          <w:color w:val="0000FF"/>
        </w:rPr>
        <w:t>buy)</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has consolidated the direct beneficial holdings ESPP, RSA and Others which had previously been reported separately.</w:t>
      </w:r>
    </w:p>
    <w:p>
      <w:pPr>
        <w:spacing w:after="0" w:line="49" w:lineRule="exact"/>
        <w:rPr>
          <w:rFonts w:ascii="Arial" w:cs="Arial" w:eastAsia="Arial" w:hAnsi="Arial"/>
          <w:sz w:val="13"/>
          <w:szCs w:val="13"/>
          <w:color w:val="008000"/>
        </w:rPr>
      </w:pPr>
    </w:p>
    <w:p>
      <w:pPr>
        <w:jc w:val="both"/>
        <w:ind w:left="20" w:right="380" w:firstLine="6"/>
        <w:spacing w:after="0" w:line="327" w:lineRule="auto"/>
        <w:tabs>
          <w:tab w:leader="none" w:pos="15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Since the statement for the month of November, 2002, the reporting person has incorrectly identified the trusts listed under Nature of Indirect Beneficial Ownership 1,108,709 are held directly by Mrs. Stata, 501,632 are held by Mrs. Stata as trustee FBO Mr. Stata's children and 2,487,588 are held by Mr. and Mrs. Stata, co-trustees of charitable lead trusts, with the remainder FBO Mr. Stata's children/grandchildren.</w:t>
      </w:r>
    </w:p>
    <w:p>
      <w:pPr>
        <w:ind w:left="160" w:hanging="134"/>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11/21/03, the Trust sold 92,124 shares at $47.1636</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Mr. Stata disclaims any beneficial ownership of indirect shares.</w:t>
      </w:r>
    </w:p>
    <w:p>
      <w:pPr>
        <w:spacing w:after="0" w:line="62"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rPr>
              <w:t>By: WILLIAM A. MARTIN,</w:t>
            </w:r>
          </w:p>
        </w:tc>
        <w:tc>
          <w:tcPr>
            <w:tcW w:w="26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11/25/2003</w:t>
            </w:r>
          </w:p>
        </w:tc>
        <w:tc>
          <w:tcPr>
            <w:tcW w:w="0" w:type="dxa"/>
            <w:vAlign w:val="bottom"/>
          </w:tcPr>
          <w:p>
            <w:pPr>
              <w:spacing w:after="0"/>
              <w:rPr>
                <w:sz w:val="1"/>
                <w:szCs w:val="1"/>
                <w:color w:val="auto"/>
              </w:rPr>
            </w:pPr>
          </w:p>
        </w:tc>
      </w:tr>
      <w:tr>
        <w:trPr>
          <w:trHeight w:val="91"/>
        </w:trPr>
        <w:tc>
          <w:tcPr>
            <w:tcW w:w="2300" w:type="dxa"/>
            <w:vAlign w:val="bottom"/>
            <w:gridSpan w:val="3"/>
            <w:vMerge w:val="restart"/>
          </w:tcPr>
          <w:p>
            <w:pPr>
              <w:spacing w:after="0" w:line="193" w:lineRule="exact"/>
              <w:rPr>
                <w:sz w:val="20"/>
                <w:szCs w:val="20"/>
                <w:color w:val="auto"/>
              </w:rPr>
            </w:pPr>
            <w:r>
              <w:rPr>
                <w:rFonts w:ascii="Arial" w:cs="Arial" w:eastAsia="Arial" w:hAnsi="Arial"/>
                <w:sz w:val="17"/>
                <w:szCs w:val="17"/>
                <w:color w:val="0000FF"/>
              </w:rPr>
              <w:t>Attny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820" w:firstLine="6"/>
        <w:spacing w:after="0" w:line="318" w:lineRule="auto"/>
        <w:tabs>
          <w:tab w:leader="none" w:pos="16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7"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0900729"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2019-12-16T08:38:44Z</dcterms:created>
  <dcterms:modified xsi:type="dcterms:W3CDTF">2019-12-16T08:38:44Z</dcterms:modified>
</cp:coreProperties>
</file>