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of Report (Date of earliest event reported): December 3, 2008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86"/>
              </w:rPr>
              <w:t>Massachusetts</w:t>
            </w:r>
          </w:p>
        </w:tc>
        <w:tc>
          <w:tcPr>
            <w:tcW w:w="9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9"/>
              </w:rPr>
              <w:t>1-7819</w:t>
            </w:r>
          </w:p>
        </w:tc>
        <w:tc>
          <w:tcPr>
            <w:tcW w:w="144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04-2348234</w:t>
            </w:r>
          </w:p>
        </w:tc>
      </w:tr>
      <w:tr>
        <w:trPr>
          <w:trHeight w:val="209"/>
        </w:trPr>
        <w:tc>
          <w:tcPr>
            <w:tcW w:w="34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(State or other jurisdiction</w:t>
            </w:r>
          </w:p>
        </w:tc>
        <w:tc>
          <w:tcPr>
            <w:tcW w:w="5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3"/>
          </w:tcPr>
          <w:p>
            <w:pPr>
              <w:jc w:val="center"/>
              <w:ind w:right="106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080" w:type="dxa"/>
            <w:vAlign w:val="bottom"/>
            <w:gridSpan w:val="3"/>
          </w:tcPr>
          <w:p>
            <w:pPr>
              <w:jc w:val="center"/>
              <w:ind w:right="1640"/>
              <w:spacing w:after="0"/>
              <w:rPr>
                <w:sz w:val="20"/>
                <w:szCs w:val="20"/>
                <w:color w:val="auto"/>
              </w:rPr>
            </w:pPr>
            <w:r>
              <w:rPr>
                <w:rFonts w:ascii="Arial" w:cs="Arial" w:eastAsia="Arial" w:hAnsi="Arial"/>
                <w:sz w:val="18"/>
                <w:szCs w:val="18"/>
                <w:color w:val="auto"/>
                <w:w w:val="93"/>
              </w:rPr>
              <w:t>of incorporation</w:t>
            </w:r>
          </w:p>
        </w:tc>
        <w:tc>
          <w:tcPr>
            <w:tcW w:w="2360" w:type="dxa"/>
            <w:vAlign w:val="bottom"/>
            <w:gridSpan w:val="3"/>
          </w:tcPr>
          <w:p>
            <w:pPr>
              <w:jc w:val="center"/>
              <w:ind w:right="1060"/>
              <w:spacing w:after="0"/>
              <w:rPr>
                <w:sz w:val="20"/>
                <w:szCs w:val="20"/>
                <w:color w:val="auto"/>
              </w:rPr>
            </w:pPr>
            <w:r>
              <w:rPr>
                <w:rFonts w:ascii="Arial" w:cs="Arial" w:eastAsia="Arial" w:hAnsi="Arial"/>
                <w:sz w:val="18"/>
                <w:szCs w:val="18"/>
                <w:color w:val="auto"/>
                <w:w w:val="94"/>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508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One Technology Way, Norwood, MA</w:t>
            </w:r>
          </w:p>
        </w:tc>
        <w:tc>
          <w:tcPr>
            <w:tcW w:w="3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02062</w:t>
            </w:r>
          </w:p>
        </w:tc>
      </w:tr>
      <w:tr>
        <w:trPr>
          <w:trHeight w:val="224"/>
        </w:trPr>
        <w:tc>
          <w:tcPr>
            <w:tcW w:w="5080" w:type="dxa"/>
            <w:vAlign w:val="bottom"/>
            <w:gridSpan w:val="3"/>
          </w:tcPr>
          <w:p>
            <w:pPr>
              <w:ind w:left="1280"/>
              <w:spacing w:after="0"/>
              <w:rPr>
                <w:sz w:val="20"/>
                <w:szCs w:val="20"/>
                <w:color w:val="auto"/>
              </w:rPr>
            </w:pPr>
            <w:r>
              <w:rPr>
                <w:rFonts w:ascii="Arial" w:cs="Arial" w:eastAsia="Arial" w:hAnsi="Arial"/>
                <w:sz w:val="18"/>
                <w:szCs w:val="18"/>
                <w:color w:val="auto"/>
              </w:rPr>
              <w:t>(Address of principal executive offices)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r>
        <w:trPr>
          <w:trHeight w:val="539"/>
        </w:trPr>
        <w:tc>
          <w:tcPr>
            <w:tcW w:w="5080" w:type="dxa"/>
            <w:vAlign w:val="bottom"/>
            <w:gridSpan w:val="3"/>
          </w:tcPr>
          <w:p>
            <w:pPr>
              <w:spacing w:after="0"/>
              <w:rPr>
                <w:sz w:val="20"/>
                <w:szCs w:val="20"/>
                <w:color w:val="auto"/>
              </w:rPr>
            </w:pPr>
            <w:r>
              <w:rPr>
                <w:rFonts w:ascii="Arial" w:cs="Arial" w:eastAsia="Arial" w:hAnsi="Arial"/>
                <w:sz w:val="18"/>
                <w:szCs w:val="18"/>
                <w:color w:val="auto"/>
                <w:w w:val="92"/>
              </w:rPr>
              <w:t>Registrant’s telephone number, including area code: (781) 329-4700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Certain Officers; Election of Directors; Appointment of Certain Officers;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Compensatory Arrangements of Certain Officers</w:t>
        </w:r>
      </w:hyperlink>
    </w:p>
    <w:p>
      <w:pPr>
        <w:ind w:left="320" w:right="208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5.03 Amendments to Articles of Incorporation or Bylaws; Change in Fiscal Year</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 Amended and Restated By-Laws of Analog Devices, Inc.</w:t>
      </w:r>
    </w:p>
    <w:p>
      <w:pPr>
        <w:spacing w:after="0" w:line="230" w:lineRule="auto"/>
        <w:rPr>
          <w:sz w:val="20"/>
          <w:szCs w:val="20"/>
          <w:color w:val="auto"/>
        </w:rPr>
      </w:pPr>
      <w:r>
        <w:rPr>
          <w:rFonts w:ascii="Arial" w:cs="Arial" w:eastAsia="Arial" w:hAnsi="Arial"/>
          <w:sz w:val="22"/>
          <w:szCs w:val="22"/>
          <w:u w:val="single" w:color="auto"/>
          <w:color w:val="0000EE"/>
        </w:rPr>
        <w:t>Ex-99.1 Press release dated December 3, 2008 (Zinsner)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Ex-99.2 Press release dated December 3, 2008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820" w:top="111" w:right="10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Appointment of New Chief Financial Officer</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At a meeting held on December 3, 2008, the Board of Directors of Analog Devices, Inc. appointed David A. Zinsner as Vice President of Finance and Chief Financial Officer of Analog Devices effective as of Mr. Zinsner’s first date of employment, expected to be January 12, 2009. Mr. Zinsner will succeed Joseph E. McDonough who in December 2007 announced his intention to retire as Vice President of Finance and Chief Financial Officer.</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Zinsner, 40, currently serves as the Senior Vice President and Chief Financial Officer of Intersil Corporation and has held that position since July 2005. Prior to his promotion to Chief Financial Officer, Mr. Zinsner was Intersil’s Corporate Controller and Treasurer since 1999. In that role, he oversaw various Intersil finance departments. Prior to joining Intersil, Mr. Zinsner held international finance and treasury management positions at Harris Corporation, MCI Communications and Mellon Financial Corporation. There are no reportable family relationships or related person transactions involving Analog Devices and Mr. Zinsner.</w:t>
      </w:r>
    </w:p>
    <w:p>
      <w:pPr>
        <w:spacing w:after="0" w:line="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connection with Mr. Zinsner’s appointment, the Compensation Committee approved an annual base salary for Mr. Zinsner of $450,000, effective as of his first date of employment, expected to be January 12, 2009. The Committee also set Mr. Zinsner’s target award percentage for purposes of the Corporation’s Executive Bonus Plan at 75% for the period from Mr. Zinsner’s first date of employment to the end of our 2009 fiscal year. In addition, the Committee determined that Mr. Zinsner would be granted (i) 160,000 options to purchase Analog common stock at an exercise price equal to the closing price of Analog common stock on February 17, 2009, and (ii) 35,000 restricted stock units. Each of those equity awards will be granted on February 17, 2009, in accordance with our equity award guidelines and policies. Those awards will be subject to the standard terms and conditions of our form of stock option and restricted stock unit agreements, previously filed. In addition to the same relocation benefits available to all Analog Devices employees, the Compensation Committee approved a relocation payment up to $100,000 to cover the difference, if any, between the current appraised value and actual selling price of Mr. Zinsner’s current home in California. In connection with his appointment, Analog Devices and Mr. Zinsner will enter into our standard Employment Retention Agreement for officers and key employees, previously filed.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Mr. Zinsner’s appointment is filed with this Report as 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Appointment of New Chief Accounting Officer</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Also on December 3, 2008, the Board of Directors of Analog Devices appointed Seamus Brennan to the position of Vice President, Corporate Controller and Chief Accounting Officer, and designated Mr. Brennan as principal accounting officer effective as of December 8, 2008. Mr. Brennan, 57, joined Analog Devices in 1984 and has been our Corporate Controller since 2002, managing our worldwide accounting and transaction processing, internal control, management planning and reporting, internal audit and Securities and Exchange Commission reporting functions. Prior to becoming Corporate Controller, Mr. Brennan served in various finance, accounting, and project management roles with Analog Devices. There are no reportable family relationships or related person transactions involving Analog Devices and Mr. Brennan.</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Mr. Brennan’s appointment, the Compensation Committee determined that on December 15, 2008 (in accordance with our equity award guidelines and policies), Mr. Brennan would be granted 10,000 restricted stock units, with 60% of those units vesting on December 15, 2011, 20% vesting on December 15, 2012 and 20% vesting on December 15, 2013. In connection with his appointment, Analog Devices and Mr. Brennan will enter into our standard Employment Retention Agreement for officers and key employees,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Mr. Brennan’s appointment is filed with this Report as 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Compensation Arrangement with Former Chief Financial Officer</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December 3, 2008, the Compensation Committee also approved certain compensation arrangements in connection with the continued employment of Mr. McDonough by Analog Devices as an Executive Advisor following his retirement as Chief Financial Officer, effective as of January 12, 2009. Mr. McDonough will continue to be employed by the Company as an Executive Advisor until December 31, 2009, will receive an annual base salary of $100,000, will continue to vest in his Analog equity awards, and will continue to be eligible to participate in our employee benefit plans until he reaches the age of 65. Mr. McDonough will no longer be an executive officer or eligible to participate in our Executive Bonus or Employee Profit Sharing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Executive Bonus Plan</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December 3, 2008, the Compensation Committee of our Board of Directors approved the terms of the 2009 Executive Bonus Plan. All executive officers (including our Named Executive Officers) and other senior management selected by the Chief Executive Officer will participate in the 2009 Executive Bonus Plan. Bonus payments under the 2009 Executive Bonus Plan are calculated and paid as follows:</w:t>
      </w:r>
    </w:p>
    <w:p>
      <w:pPr>
        <w:spacing w:after="0" w:line="7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Each participant’s Fiscal 2009 Bonus Target is obtained by multiplying his or her Base Salary by his or her Individual Target Bonus Percentage:</w:t>
      </w:r>
    </w:p>
    <w:p>
      <w:pPr>
        <w:spacing w:after="0" w:line="128" w:lineRule="exact"/>
        <w:rPr>
          <w:rFonts w:ascii="Arial" w:cs="Arial" w:eastAsia="Arial" w:hAnsi="Arial"/>
          <w:sz w:val="17"/>
          <w:szCs w:val="17"/>
          <w:color w:val="auto"/>
        </w:rPr>
      </w:pPr>
    </w:p>
    <w:p>
      <w:pPr>
        <w:ind w:left="440" w:hanging="216"/>
        <w:spacing w:after="0"/>
        <w:tabs>
          <w:tab w:leader="none" w:pos="44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Base Salary — the individual’s base pay during the applicable bonus period.</w:t>
      </w:r>
    </w:p>
    <w:p>
      <w:pPr>
        <w:spacing w:after="0" w:line="130" w:lineRule="exact"/>
        <w:rPr>
          <w:rFonts w:ascii="Arial" w:cs="Arial" w:eastAsia="Arial" w:hAnsi="Arial"/>
          <w:sz w:val="18"/>
          <w:szCs w:val="18"/>
          <w:b w:val="1"/>
          <w:bCs w:val="1"/>
          <w:color w:val="auto"/>
        </w:rPr>
      </w:pPr>
    </w:p>
    <w:p>
      <w:pPr>
        <w:ind w:left="440" w:right="160" w:hanging="216"/>
        <w:spacing w:after="0" w:line="277" w:lineRule="auto"/>
        <w:tabs>
          <w:tab w:leader="none" w:pos="44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Individual Target Bonus Percentage — a percentage of the individual’s Base Salary, determined individually for each participant by the Compensation Committee and ranging from 50% to 160%.</w:t>
      </w:r>
    </w:p>
    <w:p>
      <w:pPr>
        <w:spacing w:after="0" w:line="62" w:lineRule="exact"/>
        <w:rPr>
          <w:rFonts w:ascii="Arial" w:cs="Arial" w:eastAsia="Arial" w:hAnsi="Arial"/>
          <w:sz w:val="18"/>
          <w:szCs w:val="18"/>
          <w:b w:val="1"/>
          <w:bCs w:val="1"/>
          <w:color w:val="auto"/>
        </w:rPr>
      </w:pPr>
    </w:p>
    <w:p>
      <w:pPr>
        <w:ind w:left="240" w:right="20" w:hanging="232"/>
        <w:spacing w:after="0" w:line="309"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Each participant’s Fiscal 2009 Bonus Target is then multiplied by the Bonus Payout Factor. The Bonus Payout Factor is based on the Company’s operating profit before tax (OPBT) as a percentage of revenue for the applicable bonus period, which is adjustable by the Compensation Committee in its sole discretion to exclude special items, including but not limited to: restructuring-related expense, acquisition-related expense, gain or loss on disposition of businesses, non-recurring royalty payments, and other similar non-cash or non-recurring items. The Bonus Payout Factor can range from 0% to 300%. The Compensation Committee adopted the following Bonus Payout Factor table under the 2009 Executive Bonus Plan: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jc w:val="center"/>
              <w:spacing w:after="0"/>
              <w:rPr>
                <w:sz w:val="20"/>
                <w:szCs w:val="20"/>
                <w:color w:val="auto"/>
              </w:rPr>
            </w:pPr>
            <w:r>
              <w:rPr>
                <w:rFonts w:ascii="Arial" w:cs="Arial" w:eastAsia="Arial" w:hAnsi="Arial"/>
                <w:sz w:val="14"/>
                <w:szCs w:val="14"/>
                <w:color w:val="auto"/>
                <w:w w:val="91"/>
              </w:rPr>
              <w:t>Company Performance</w:t>
            </w:r>
          </w:p>
        </w:tc>
        <w:tc>
          <w:tcPr>
            <w:tcW w:w="1120" w:type="dxa"/>
            <w:vAlign w:val="bottom"/>
          </w:tcPr>
          <w:p>
            <w:pPr>
              <w:spacing w:after="0"/>
              <w:rPr>
                <w:sz w:val="14"/>
                <w:szCs w:val="14"/>
                <w:color w:val="auto"/>
              </w:rPr>
            </w:pPr>
          </w:p>
        </w:tc>
        <w:tc>
          <w:tcPr>
            <w:tcW w:w="5140" w:type="dxa"/>
            <w:vAlign w:val="bottom"/>
          </w:tcPr>
          <w:p>
            <w:pPr>
              <w:spacing w:after="0"/>
              <w:rPr>
                <w:sz w:val="14"/>
                <w:szCs w:val="14"/>
                <w:color w:val="auto"/>
              </w:rPr>
            </w:pPr>
          </w:p>
        </w:tc>
      </w:tr>
      <w:tr>
        <w:trPr>
          <w:trHeight w:val="16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(OPBT/Revenue)</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1980"/>
              <w:spacing w:after="0"/>
              <w:rPr>
                <w:sz w:val="20"/>
                <w:szCs w:val="20"/>
                <w:color w:val="auto"/>
              </w:rPr>
            </w:pPr>
            <w:r>
              <w:rPr>
                <w:rFonts w:ascii="Arial" w:cs="Arial" w:eastAsia="Arial" w:hAnsi="Arial"/>
                <w:sz w:val="14"/>
                <w:szCs w:val="14"/>
                <w:color w:val="auto"/>
              </w:rPr>
              <w:t>Bonus Payout Factor</w:t>
            </w:r>
          </w:p>
        </w:tc>
      </w:tr>
      <w:tr>
        <w:trPr>
          <w:trHeight w:val="210"/>
        </w:trPr>
        <w:tc>
          <w:tcPr>
            <w:tcW w:w="516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8"/>
              </w:rPr>
              <w:t>12%</w:t>
            </w:r>
          </w:p>
        </w:tc>
        <w:tc>
          <w:tcPr>
            <w:tcW w:w="626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2"/>
              </w:rPr>
              <w:t>0%</w:t>
            </w:r>
          </w:p>
        </w:tc>
      </w:tr>
      <w:tr>
        <w:trPr>
          <w:trHeight w:val="216"/>
        </w:trPr>
        <w:tc>
          <w:tcPr>
            <w:tcW w:w="5160" w:type="dxa"/>
            <w:vAlign w:val="bottom"/>
          </w:tcPr>
          <w:p>
            <w:pPr>
              <w:jc w:val="center"/>
              <w:ind w:left="96"/>
              <w:spacing w:after="0"/>
              <w:rPr>
                <w:sz w:val="20"/>
                <w:szCs w:val="20"/>
                <w:color w:val="auto"/>
              </w:rPr>
            </w:pPr>
            <w:r>
              <w:rPr>
                <w:rFonts w:ascii="Arial" w:cs="Arial" w:eastAsia="Arial" w:hAnsi="Arial"/>
                <w:sz w:val="18"/>
                <w:szCs w:val="18"/>
                <w:color w:val="auto"/>
                <w:w w:val="90"/>
              </w:rPr>
              <w:t>22.5%</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w w:val="91"/>
              </w:rPr>
              <w:t>100%</w:t>
            </w:r>
          </w:p>
        </w:tc>
      </w:tr>
      <w:tr>
        <w:trPr>
          <w:trHeight w:val="216"/>
        </w:trPr>
        <w:tc>
          <w:tcPr>
            <w:tcW w:w="516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8"/>
              </w:rPr>
              <w:t>31%</w:t>
            </w:r>
          </w:p>
        </w:tc>
        <w:tc>
          <w:tcPr>
            <w:tcW w:w="62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91"/>
              </w:rPr>
              <w:t>200%</w:t>
            </w:r>
          </w:p>
        </w:tc>
      </w:tr>
      <w:tr>
        <w:trPr>
          <w:trHeight w:val="230"/>
        </w:trPr>
        <w:tc>
          <w:tcPr>
            <w:tcW w:w="5160" w:type="dxa"/>
            <w:vAlign w:val="bottom"/>
          </w:tcPr>
          <w:p>
            <w:pPr>
              <w:jc w:val="center"/>
              <w:ind w:left="116"/>
              <w:spacing w:after="0"/>
              <w:rPr>
                <w:sz w:val="20"/>
                <w:szCs w:val="20"/>
                <w:color w:val="auto"/>
              </w:rPr>
            </w:pPr>
            <w:r>
              <w:rPr>
                <w:rFonts w:ascii="Arial" w:cs="Arial" w:eastAsia="Arial" w:hAnsi="Arial"/>
                <w:sz w:val="18"/>
                <w:szCs w:val="18"/>
                <w:color w:val="auto"/>
                <w:w w:val="88"/>
              </w:rPr>
              <w:t>36%</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w w:val="91"/>
              </w:rPr>
              <w:t>300%</w:t>
            </w:r>
          </w:p>
        </w:tc>
      </w:tr>
    </w:tbl>
    <w:p>
      <w:pPr>
        <w:spacing w:after="0" w:line="79"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color w:val="auto"/>
        </w:rPr>
        <w:t>The Bonus Payout Factor is determined quarterly and is also used to determine the bonuses paid to all other employees of the Company under our 2009 Profit Sharing Plan for Employees.</w:t>
      </w:r>
    </w:p>
    <w:p>
      <w:pPr>
        <w:spacing w:after="0" w:line="62"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color w:val="auto"/>
        </w:rPr>
        <w:t>The product obtained by multiplying a participant’s Fiscal 2009 Bonus Target by the Bonus Payout Factor shall be the Fiscal 2009 Bonus Payment for each participant. Each participant’s Fiscal 2009 Bonus Payment can therefore be reduced to zero, or increased by up to three times his or her Fiscal 2009 Bonus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40" w:hanging="252"/>
        <w:spacing w:after="0" w:line="255"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participant in the Executive Bonus Plan, other than Ray Stata and Jerald Fishman, is eligible for an additional Individual Payout Factor that can increase the calculated bonus payment by up to 30% based on superior business performance. Evidence of superior business performance will include, but is not limited to, overachievement of revenue and profitability goals, and achievement of non-financial results that contributed positively to the performance of the Company. At the end of fiscal year 2009, the Chief Executive Officer will review and assess the performance of each of the eligible participants with respect to his or her goals, and will provide his recommendations regarding each participant’s performance to the Compensation Committee. The Compensation Committee will then, in its discretion, determine whether there is superior performance justifying the application of an Individual Payout Factor.</w:t>
      </w:r>
    </w:p>
    <w:p>
      <w:pPr>
        <w:spacing w:after="0" w:line="8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The terms of the 2009 Executive Bonus Plan are identical to the 2008 Executive Bonus Plan.</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and effective as of December 3, 2008, the Board of Directors of Analog Devices approved an amendment and restatement of the Company’s By-Laws to expand the information required to be provided by any shareholder who submits a nomination for election to the Board of Directors or a shareholder proposal for consideration at meetings of shareholders. In general, the amendment requires that the shareholder’s notice must contain the following additional information:</w:t>
      </w:r>
    </w:p>
    <w:p>
      <w:pPr>
        <w:spacing w:after="0" w:line="79" w:lineRule="exact"/>
        <w:rPr>
          <w:sz w:val="20"/>
          <w:szCs w:val="20"/>
          <w:color w:val="auto"/>
        </w:rPr>
      </w:pPr>
    </w:p>
    <w:p>
      <w:pPr>
        <w:ind w:left="240" w:right="20"/>
        <w:spacing w:after="0" w:line="291" w:lineRule="auto"/>
        <w:rPr>
          <w:sz w:val="20"/>
          <w:szCs w:val="20"/>
          <w:color w:val="auto"/>
        </w:rPr>
      </w:pPr>
      <w:r>
        <w:rPr>
          <w:rFonts w:ascii="Arial" w:cs="Arial" w:eastAsia="Arial" w:hAnsi="Arial"/>
          <w:sz w:val="16"/>
          <w:szCs w:val="16"/>
          <w:color w:val="auto"/>
        </w:rPr>
        <w:t>the name and address of the shareholder; the class and number of shares owned by the shareholder; a description of any material interest of the shareholder in the director nomination or business being proposed; a description of any agreements the shareholder has with affiliates or third parties concerning the director nomination or shareholder proposal; a description of any material relationship between the shareholder and the proposed nominee; a description of any agreement, arrangement or hedging transaction, that has the effect of mitigating loss or increasing or decreasing the shareholder’s economic risk or voting power with respect to Analog Devices common stock; a representation that the shareholder intends to attend the meeting to present the director nomination or proposal; a statement whether the shareholder intends to conduct a proxy solicitation; and any other information about the shareholder that would be required to be disclosed in a proxy statement or similar filing with the Securities and Exchange Commission.</w:t>
      </w:r>
    </w:p>
    <w:p>
      <w:pPr>
        <w:spacing w:after="0" w:line="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description of the Amended and Restated By-Laws does not purport to be complete and is qualified in its entirety by reference to the Amended and Restated By-Laws filed as Exhibit 3.1 of this Report and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ind w:left="240"/>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180" w:type="dxa"/>
            <w:vAlign w:val="bottom"/>
          </w:tcPr>
          <w:p>
            <w:pPr>
              <w:spacing w:after="0"/>
              <w:rPr>
                <w:sz w:val="20"/>
                <w:szCs w:val="20"/>
                <w:color w:val="auto"/>
              </w:rPr>
            </w:pP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Description</w:t>
            </w:r>
          </w:p>
        </w:tc>
        <w:tc>
          <w:tcPr>
            <w:tcW w:w="7180" w:type="dxa"/>
            <w:vAlign w:val="bottom"/>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0120" w:type="dxa"/>
            <w:vAlign w:val="bottom"/>
            <w:gridSpan w:val="4"/>
          </w:tcPr>
          <w:p>
            <w:pPr>
              <w:ind w:left="200"/>
              <w:spacing w:after="0"/>
              <w:rPr>
                <w:sz w:val="20"/>
                <w:szCs w:val="20"/>
                <w:color w:val="auto"/>
              </w:rPr>
            </w:pPr>
            <w:r>
              <w:rPr>
                <w:rFonts w:ascii="Arial" w:cs="Arial" w:eastAsia="Arial" w:hAnsi="Arial"/>
                <w:sz w:val="18"/>
                <w:szCs w:val="18"/>
                <w:color w:val="auto"/>
              </w:rPr>
              <w:t>Amended and Restated By-Laws of Analog Devices, Inc.</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8"/>
                <w:szCs w:val="18"/>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w w:val="86"/>
              </w:rPr>
              <w:t>Press release dated December 3, 2008</w:t>
            </w:r>
          </w:p>
        </w:tc>
        <w:tc>
          <w:tcPr>
            <w:tcW w:w="7180" w:type="dxa"/>
            <w:vAlign w:val="bottom"/>
          </w:tcPr>
          <w:p>
            <w:pPr>
              <w:ind w:left="20"/>
              <w:spacing w:after="0"/>
              <w:rPr>
                <w:sz w:val="20"/>
                <w:szCs w:val="20"/>
                <w:color w:val="auto"/>
              </w:rPr>
            </w:pPr>
            <w:r>
              <w:rPr>
                <w:rFonts w:ascii="Arial" w:cs="Arial" w:eastAsia="Arial" w:hAnsi="Arial"/>
                <w:sz w:val="18"/>
                <w:szCs w:val="18"/>
                <w:color w:val="auto"/>
              </w:rPr>
              <w:t>(Zinsner)</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460" w:type="dxa"/>
            <w:vAlign w:val="bottom"/>
          </w:tcPr>
          <w:p>
            <w:pPr>
              <w:spacing w:after="0"/>
              <w:rPr>
                <w:sz w:val="20"/>
                <w:szCs w:val="20"/>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w w:val="86"/>
              </w:rPr>
              <w:t>Press release dated December 3, 2008</w:t>
            </w:r>
          </w:p>
        </w:tc>
        <w:tc>
          <w:tcPr>
            <w:tcW w:w="7180" w:type="dxa"/>
            <w:vAlign w:val="bottom"/>
          </w:tcPr>
          <w:p>
            <w:pPr>
              <w:ind w:left="20"/>
              <w:spacing w:after="0"/>
              <w:rPr>
                <w:sz w:val="20"/>
                <w:szCs w:val="20"/>
                <w:color w:val="auto"/>
              </w:rPr>
            </w:pPr>
            <w:r>
              <w:rPr>
                <w:rFonts w:ascii="Arial" w:cs="Arial" w:eastAsia="Arial" w:hAnsi="Arial"/>
                <w:sz w:val="18"/>
                <w:szCs w:val="18"/>
                <w:color w:val="auto"/>
              </w:rPr>
              <w:t>(Brennan)</w:t>
            </w:r>
          </w:p>
        </w:tc>
      </w:tr>
      <w:tr>
        <w:trPr>
          <w:trHeight w:val="632"/>
        </w:trPr>
        <w:tc>
          <w:tcPr>
            <w:tcW w:w="8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December 3, 2008</w:t>
      </w:r>
      <w:r>
        <w:rPr>
          <w:sz w:val="20"/>
          <w:szCs w:val="20"/>
          <w:color w:val="auto"/>
        </w:rPr>
        <w:tab/>
      </w:r>
      <w:r>
        <w:rPr>
          <w:rFonts w:ascii="Arial" w:cs="Arial" w:eastAsia="Arial" w:hAnsi="Arial"/>
          <w:sz w:val="17"/>
          <w:szCs w:val="17"/>
          <w:color w:val="auto"/>
        </w:rPr>
        <w:t>ANALOG DEVICES, INC.</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Joseph E. McDonough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Chief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140" w:type="dxa"/>
            <w:vAlign w:val="bottom"/>
          </w:tcPr>
          <w:p>
            <w:pPr>
              <w:ind w:left="820"/>
              <w:spacing w:after="0"/>
              <w:rPr>
                <w:sz w:val="20"/>
                <w:szCs w:val="20"/>
                <w:color w:val="auto"/>
              </w:rPr>
            </w:pPr>
            <w:r>
              <w:rPr>
                <w:rFonts w:ascii="Arial" w:cs="Arial" w:eastAsia="Arial" w:hAnsi="Arial"/>
                <w:sz w:val="18"/>
                <w:szCs w:val="18"/>
                <w:color w:val="auto"/>
                <w:w w:val="99"/>
              </w:rPr>
              <w:t>EXHIBIT INDEX</w:t>
            </w: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3060" w:type="dxa"/>
            <w:vAlign w:val="bottom"/>
            <w:gridSpan w:val="3"/>
          </w:tcPr>
          <w:p>
            <w:pPr>
              <w:ind w:left="320"/>
              <w:spacing w:after="0"/>
              <w:rPr>
                <w:sz w:val="20"/>
                <w:szCs w:val="20"/>
                <w:color w:val="auto"/>
              </w:rPr>
            </w:pPr>
            <w:r>
              <w:rPr>
                <w:rFonts w:ascii="Arial" w:cs="Arial" w:eastAsia="Arial" w:hAnsi="Arial"/>
                <w:sz w:val="18"/>
                <w:szCs w:val="18"/>
                <w:color w:val="auto"/>
              </w:rPr>
              <w:t>Description</w:t>
            </w:r>
          </w:p>
        </w:tc>
        <w:tc>
          <w:tcPr>
            <w:tcW w:w="2140" w:type="dxa"/>
            <w:vAlign w:val="bottom"/>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5200" w:type="dxa"/>
            <w:vAlign w:val="bottom"/>
            <w:gridSpan w:val="4"/>
          </w:tcPr>
          <w:p>
            <w:pPr>
              <w:ind w:left="320"/>
              <w:spacing w:after="0"/>
              <w:rPr>
                <w:sz w:val="20"/>
                <w:szCs w:val="20"/>
                <w:color w:val="auto"/>
              </w:rPr>
            </w:pPr>
            <w:r>
              <w:rPr>
                <w:rFonts w:ascii="Arial" w:cs="Arial" w:eastAsia="Arial" w:hAnsi="Arial"/>
                <w:sz w:val="18"/>
                <w:szCs w:val="18"/>
                <w:color w:val="auto"/>
              </w:rPr>
              <w:t>Amended and Restated By-Laws of Analog Devices, Inc.</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3060" w:type="dxa"/>
            <w:vAlign w:val="bottom"/>
            <w:gridSpan w:val="3"/>
          </w:tcPr>
          <w:p>
            <w:pPr>
              <w:ind w:left="320"/>
              <w:spacing w:after="0"/>
              <w:rPr>
                <w:sz w:val="20"/>
                <w:szCs w:val="20"/>
                <w:color w:val="auto"/>
              </w:rPr>
            </w:pPr>
            <w:r>
              <w:rPr>
                <w:rFonts w:ascii="Arial" w:cs="Arial" w:eastAsia="Arial" w:hAnsi="Arial"/>
                <w:sz w:val="18"/>
                <w:szCs w:val="18"/>
                <w:color w:val="auto"/>
                <w:w w:val="86"/>
              </w:rPr>
              <w:t>Press release dated December 3, 2008</w:t>
            </w:r>
          </w:p>
        </w:tc>
        <w:tc>
          <w:tcPr>
            <w:tcW w:w="2140" w:type="dxa"/>
            <w:vAlign w:val="bottom"/>
          </w:tcPr>
          <w:p>
            <w:pPr>
              <w:ind w:left="20"/>
              <w:spacing w:after="0"/>
              <w:rPr>
                <w:sz w:val="20"/>
                <w:szCs w:val="20"/>
                <w:color w:val="auto"/>
              </w:rPr>
            </w:pPr>
            <w:r>
              <w:rPr>
                <w:rFonts w:ascii="Arial" w:cs="Arial" w:eastAsia="Arial" w:hAnsi="Arial"/>
                <w:sz w:val="18"/>
                <w:szCs w:val="18"/>
                <w:color w:val="auto"/>
              </w:rPr>
              <w:t>(Zinsner)</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0"/>
                <w:szCs w:val="20"/>
                <w:color w:val="auto"/>
              </w:rPr>
            </w:pPr>
          </w:p>
        </w:tc>
        <w:tc>
          <w:tcPr>
            <w:tcW w:w="3060" w:type="dxa"/>
            <w:vAlign w:val="bottom"/>
            <w:gridSpan w:val="3"/>
          </w:tcPr>
          <w:p>
            <w:pPr>
              <w:ind w:left="320"/>
              <w:spacing w:after="0"/>
              <w:rPr>
                <w:sz w:val="20"/>
                <w:szCs w:val="20"/>
                <w:color w:val="auto"/>
              </w:rPr>
            </w:pPr>
            <w:r>
              <w:rPr>
                <w:rFonts w:ascii="Arial" w:cs="Arial" w:eastAsia="Arial" w:hAnsi="Arial"/>
                <w:sz w:val="18"/>
                <w:szCs w:val="18"/>
                <w:color w:val="auto"/>
                <w:w w:val="86"/>
              </w:rPr>
              <w:t>Press release dated December 3, 2008</w:t>
            </w:r>
          </w:p>
        </w:tc>
        <w:tc>
          <w:tcPr>
            <w:tcW w:w="2140" w:type="dxa"/>
            <w:vAlign w:val="bottom"/>
          </w:tcPr>
          <w:p>
            <w:pPr>
              <w:ind w:left="20"/>
              <w:spacing w:after="0"/>
              <w:rPr>
                <w:sz w:val="20"/>
                <w:szCs w:val="20"/>
                <w:color w:val="auto"/>
              </w:rPr>
            </w:pPr>
            <w:r>
              <w:rPr>
                <w:rFonts w:ascii="Arial" w:cs="Arial" w:eastAsia="Arial" w:hAnsi="Arial"/>
                <w:sz w:val="18"/>
                <w:szCs w:val="18"/>
                <w:color w:val="auto"/>
              </w:rPr>
              <w:t>(Brennan)</w:t>
            </w:r>
          </w:p>
        </w:tc>
      </w:tr>
    </w:tbl>
    <w:p>
      <w:pPr>
        <w:sectPr>
          <w:pgSz w:w="11900" w:h="16838" w:orient="portrait"/>
          <w:cols w:equalWidth="0" w:num="1">
            <w:col w:w="10219"/>
          </w:cols>
          <w:pgMar w:left="240" w:top="419"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3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AMENDED AND RESTATED</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BY LAWS OF ANALOG DEVICES, INC.</w:t>
      </w:r>
    </w:p>
    <w:p>
      <w:pPr>
        <w:spacing w:after="0" w:line="237"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Last updated — December 3, 2008</w:t>
      </w:r>
    </w:p>
    <w:p>
      <w:pPr>
        <w:spacing w:after="0" w:line="2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1.1. Annual Meeting. The Corporation shall hold an annual meeting of shareholders at a time to be fixed by the Board of Directors, the Chief Executive Officer or the President and stated in the notice of the meeting. The purposes for which the annual meeting is to be held, in addition to those prescribed by the Articles of Organization, shall be for electing Directors and for such other purposes as shall be specified in the notice for the meeting, and only business within such purposes may be conducted at the meeting. In the event an annual meeting is not held at the time fixed in accordance with these Bylaws or the time for an annual meeting is not fixed in accordance with these Bylaws to be held within 13 months after the last annual meeting, the Corporation may designate a special meeting as a special meeting in lieu of the annual meeting, and such meeting shall have all of the effect of an annual meeting.</w:t>
      </w:r>
    </w:p>
    <w:p>
      <w:pPr>
        <w:spacing w:after="0" w:line="5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1.2. Special Meetings. Special meetings of the shareholders may be called by the Board of Directors, the Chief Executive Officer or the President, and shall be called by the Secretary, or in case of the death, absence, incapacity or refusal of the Secretary, by another officer, if the holders of at least 80 percent, or such lesser percentage as shall constitute the maximum percentage permitted by law for this purpose at any time at which the Corporation shall have a class of voting stock registered under the Securities Exchange Act of 1934, as amended (the “Exchange Act”), of all the votes entitled to be cast on any issue to be considered at the proposed special meeting sign, date and deliver to the Secretary one or more written demands for the meeting describing the purpose for which it is to be held. Such demands must include all the information that would be required pursuant to Section 1.9 of these Bylaws in the event of an election of directors or Section 1.10 of these Bylaws in the event of any other business. Only business within the purpose or purposes described in the meeting notice may be conducted at a special shareholders’ meeting.</w:t>
      </w:r>
    </w:p>
    <w:p>
      <w:pPr>
        <w:spacing w:after="0" w:line="7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1.3. Place of Meetings. All meetings of shareholders shall be held at the principal office of the Corporation unless a different place is fixed by the Board of Directors, the Chief Executive Officer or the President and specified in the notice of the meeting.</w:t>
      </w:r>
    </w:p>
    <w:p>
      <w:pPr>
        <w:spacing w:after="0" w:line="62"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1.4. Requirement of Notice. A written notice of the date, time and place of each annual and special shareholders’ meeting describing the purposes of the meeting shall be given to shareholders entitled to vote at the meeting (and, to the extent required by law or the Articles of Organization, to shareholders not entitled to vote at the meeting) no fewer than seven nor more than 60 days before the meeting date. If an annual or special meeting of shareholders is adjourned to a different date, time or place, notice need not be given of the new date, time or place if the new date, time or place is announced at the meeting before adjournment. If a new record date for the adjourned meeting is fixed, however, notice of the adjourned meeting shall be given under this Section 1.4 to persons who are shareholders as of the new record date. All notices to shareholders shall conform to the requirements of Article III of these Bylaws.</w:t>
      </w:r>
    </w:p>
    <w:p>
      <w:pPr>
        <w:spacing w:after="0" w:line="5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1.5. Waiver of Notice. A shareholder may waive any notice required by law, the Articles of Organization or these Bylaws before or after the date and time stated in the notice. The waiver shall be in writing, be signed by the shareholder entitled to the notice, and be delivered to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ind w:right="100"/>
        <w:spacing w:after="0" w:line="259" w:lineRule="auto"/>
        <w:rPr>
          <w:sz w:val="20"/>
          <w:szCs w:val="20"/>
          <w:color w:val="auto"/>
        </w:rPr>
      </w:pPr>
      <w:r>
        <w:rPr>
          <w:rFonts w:ascii="Arial" w:cs="Arial" w:eastAsia="Arial" w:hAnsi="Arial"/>
          <w:sz w:val="18"/>
          <w:szCs w:val="18"/>
          <w:color w:val="auto"/>
        </w:rPr>
        <w:t>Corporation for inclusion with the records of the meeting. A shareholder’s attendance at a meeting: (a) waives objection to lack of notice or defective notice of the meeting, unless the shareholder at the beginning of the meeting objects to holding the meeting or transacting business at the meeting; and (b) waives objection to consideration of a particular matter at the meeting that is not within the purpose or purposes described in the meeting notice, unless the shareholder objects to considering the matter when it is presented.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 Quorum.</w:t>
      </w:r>
    </w:p>
    <w:p>
      <w:pPr>
        <w:spacing w:after="0" w:line="117" w:lineRule="exact"/>
        <w:rPr>
          <w:sz w:val="20"/>
          <w:szCs w:val="20"/>
          <w:color w:val="auto"/>
        </w:rPr>
      </w:pPr>
    </w:p>
    <w:p>
      <w:pPr>
        <w:ind w:right="20" w:firstLine="233"/>
        <w:spacing w:after="0" w:line="257"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provided by law, or in the Articles of Organization, these Bylaws or, to the extent authorized by law, a resolution of the Board of Directors requiring satisfaction of a greater quorum requirement for any voting group, a majority of the votes entitled to be cast on the matter by a voting group constitutes a quorum of that voting group for action on that matter. As used in these Bylaws, a voting group includes all shares of one or more classes or series that, under the Articles of Organization or the Massachusetts Business Corporation Act, as in effect from time to time (the “MBCA”), are entitled to vote and to be counted together collectively on a matter at a meeting of shareholders.</w:t>
      </w:r>
    </w:p>
    <w:p>
      <w:pPr>
        <w:spacing w:after="0" w:line="80" w:lineRule="exact"/>
        <w:rPr>
          <w:rFonts w:ascii="Arial" w:cs="Arial" w:eastAsia="Arial" w:hAnsi="Arial"/>
          <w:sz w:val="18"/>
          <w:szCs w:val="18"/>
          <w:color w:val="auto"/>
        </w:rPr>
      </w:pPr>
    </w:p>
    <w:p>
      <w:pPr>
        <w:ind w:right="260" w:firstLine="233"/>
        <w:spacing w:after="0" w:line="259"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share once represented for any purpose at a meeting is deemed present for quorum purposes for the remainder of the meeting and for any adjournment of that meeting unless (1) the shareholder attends solely to object to lack of notice, defective notice or the conduct of the meeting on other grounds and does not vote the shares or otherwise consent that they are to be deemed present, or (2) in the case of an adjournment, a new record date is or shall be set for that adjourned meeting.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 Voting and Proxies.</w:t>
      </w:r>
    </w:p>
    <w:p>
      <w:pPr>
        <w:spacing w:after="0" w:line="117" w:lineRule="exact"/>
        <w:rPr>
          <w:sz w:val="20"/>
          <w:szCs w:val="20"/>
          <w:color w:val="auto"/>
        </w:rPr>
      </w:pPr>
    </w:p>
    <w:p>
      <w:pPr>
        <w:ind w:firstLine="233"/>
        <w:spacing w:after="0" w:line="291" w:lineRule="auto"/>
        <w:tabs>
          <w:tab w:leader="none" w:pos="47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provided in this Section 1.7(a) or unless the Articles of Organization provide otherwise, each outstanding share, regardless of class, is entitled to one vote on each matter voted on at a shareholders’ meeting. Only shares are entitled to vote, and each fractional share, if any, is entitled to a proportional vote. Absent special circumstances, the shares of the Corporation are not entitled to vote if they are owned, directly or indirectly, by another entity of which the Corporation owns, directly or indirectly, a majority of the voting interests; provided, however, that nothing in these Bylaws shall limit the power of the Corporation to vote any shares held by it, directly or indirectly, in a fiduciary capacity. Unless the Articles of Organization provide otherwise, redeemable shares are not entitled to vote after notice of redemption is given to the holders and a sum sufficient to redeem the shares has been deposited with a bank, trust company or other financial institution under an irrevocable obligation to pay the holders the redemption price upon surrender of the shares.</w:t>
      </w:r>
    </w:p>
    <w:p>
      <w:pPr>
        <w:spacing w:after="0" w:line="59" w:lineRule="exact"/>
        <w:rPr>
          <w:rFonts w:ascii="Arial" w:cs="Arial" w:eastAsia="Arial" w:hAnsi="Arial"/>
          <w:sz w:val="16"/>
          <w:szCs w:val="16"/>
          <w:color w:val="auto"/>
        </w:rPr>
      </w:pPr>
    </w:p>
    <w:p>
      <w:pPr>
        <w:ind w:right="40" w:firstLine="233"/>
        <w:spacing w:after="0" w:line="257" w:lineRule="auto"/>
        <w:tabs>
          <w:tab w:leader="none" w:pos="47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shareholder may vote his or her shares in person or may appoint a proxy to vote or otherwise act for him or her by signing an appointment form, either personally or by his or her attorney-in-fact. An appointment of a proxy is effective when received by the Secretary or other officer or agent authorized to tabulate votes. Unless otherwise provided in the appointment form, an appointment is valid for a period of 11 months from the date the shareholder signed the form or, if it is undated, from the date of its receipt by the officer or agent. An appointment of a proxy is revocable by the shareholder unless the appointment form conspicuously states that it</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1" w:name="page12"/>
    <w:bookmarkEnd w:id="11"/>
    <w:p>
      <w:pPr>
        <w:ind w:right="60"/>
        <w:spacing w:after="0" w:line="271" w:lineRule="auto"/>
        <w:rPr>
          <w:sz w:val="20"/>
          <w:szCs w:val="20"/>
          <w:color w:val="auto"/>
        </w:rPr>
      </w:pPr>
      <w:r>
        <w:rPr>
          <w:rFonts w:ascii="Arial" w:cs="Arial" w:eastAsia="Arial" w:hAnsi="Arial"/>
          <w:sz w:val="17"/>
          <w:szCs w:val="17"/>
          <w:color w:val="auto"/>
        </w:rPr>
        <w:t>is irrevocable and the appointment is coupled with an interest, as defined in the MBCA. An appointment made irrevocable is revoked when the interest with which it is coupled is extinguished. The death or incapacity of the shareholder appointing a proxy shall not affect the right of the Corporation to accept the proxy’s authority unless notice of the death or incapacity is received by the Secretary or other officer or agent authorized to tabulate votes before the proxy exercises his or her authority under the appointment. A transferee for value of shares subject to an irrevocable appointment may revoke the appointment if he or she did not know of its existence when he or she acquired the shares and the existence of the irrevocable appointment was not noted conspicuously on the certificate representing the shares or on the information statement for shares without certificates. Subject to the provisions of Section 7.24 of the MBCA, or any successor Section thereto, and to any express limitation on the proxy’s authority appearing on the face of the appointment form, the Corporation is entitled to accept the proxy’s vote or other action as that of the shareholder making the appointment.</w:t>
      </w:r>
    </w:p>
    <w:p>
      <w:pPr>
        <w:spacing w:after="0" w:line="7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1.8. Action at Meeting. If a quorum of a voting group exists, favorable action on a matter, other than the election of a member of the Board of Directors, is taken by a voting group if the votes cast within the group favoring the action exceed the votes cast opposing the action, unless a greater number of affirmative votes is required by law, the Articles of Organization, these Bylaws or, to the extent authorized by law, a resolution of the Board of Directors requiring receipt of a greater affirmative vote of the shareholders, including more separate voting groups. Other than in a Contested Election Meeting (as defined below), when a quorum is present, a nominee for director shall be elected to the Board of Directors if the votes cast “for” such nominee’s election exceed the votes cast “against” such nominee’s election (with “abstentions,” “broker non-votes” and “withheld votes” not counted as a vote “for” or “against” such election). In a Contested Election Meeting, when a quorum is present, directors shall be elected by a plurality of the votes cast at such Contested Election Meeting. A meeting of shareholders shall be a “Contested Election Meeting” if there are more persons nominated for election as directors at such meeting than there are directors to be elected at such meeting, determined as of the tenth day preceding the date of the corporation’s first notice to shareholders of such meeting sent pursuant to Section 1.4 of these Bylaws (the “Determination Date”); provided, however, that if in accordance with Section 1.9(b) of these Bylaws, shareholders are entitled to nominate persons for election as director for a period of time that ends after the otherwise applicable Determination Date, the Determination Date shall instead be as of the end of such period. No ballot shall be required for any election unless requested by a shareholder present or represented at the meeting and entitled to vote in the election.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 Nomination of Directors.</w:t>
      </w:r>
    </w:p>
    <w:p>
      <w:pPr>
        <w:spacing w:after="0" w:line="117" w:lineRule="exact"/>
        <w:rPr>
          <w:sz w:val="20"/>
          <w:szCs w:val="20"/>
          <w:color w:val="auto"/>
        </w:rPr>
      </w:pPr>
    </w:p>
    <w:p>
      <w:pPr>
        <w:ind w:right="100" w:firstLine="233"/>
        <w:spacing w:after="0" w:line="255" w:lineRule="auto"/>
        <w:tabs>
          <w:tab w:leader="none" w:pos="47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for (1) any Directors entitled to be elected by the holders of any class or series of Preferred Stock, (2) any Directors elected by the Board of Directors in accordance with Section 2.3 of these Bylaws to fill vacancies or newly created directorships or (3) as otherwise required by applicable law or stock exchange regulation, at any meeting of shareholders, only persons who are nominated in accordance with the procedures in this Section 1.9 shall be eligible for election as Directors. Nomination for election to the Board of Directors at a meeting of shareholders may be made (i) by or at the direction of the Board of Directors or (ii) by any shareholder of the Corporation who (x) timely complies with the notice procedures in Section 1.9(b), (y) is a shareholder of record on the date of the giving of such notice and on the record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date for the determination of shareholders entitled to vote at such meeting and (z) is entitled to vote at such meeting.</w:t>
      </w:r>
    </w:p>
    <w:p>
      <w:pPr>
        <w:spacing w:after="0" w:line="117" w:lineRule="exact"/>
        <w:rPr>
          <w:sz w:val="20"/>
          <w:szCs w:val="20"/>
          <w:color w:val="auto"/>
        </w:rPr>
      </w:pPr>
    </w:p>
    <w:p>
      <w:pPr>
        <w:ind w:firstLine="233"/>
        <w:spacing w:after="0" w:line="287" w:lineRule="auto"/>
        <w:tabs>
          <w:tab w:leader="none" w:pos="477"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be timely, a shareholder’s notice must be received in writing by the Secretary at the principal executive offices of the Corporation as follows: (i) in the case of an election of Directors at an annual meeting of shareholders,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shareholder’s notice must be so received not earlier than the 120th day prior to such annual meeting and not later than the close of business on the later of (A) the 90th day prior to such annual meeting and (B) the seventh day following the day on which notice of the date of such annual meeting was mailed or public disclosure of the date of such annual meeting was made, whichever first occurs; or (ii) in the case of an election of Directors at a special meeting of shareholders, provided that the Board of Directors has determined that Directors shall be elected at such meeting, not earlier than the 120th day prior to such special meeting and not later than the close of business on the later of (x) the 90th day prior to such special meeting and (y) the seventh day following the day on which notice of the date of such special meeting was mailed or public disclosure of the date of such special meeting was made, whichever first occurs. In no event shall the adjournment or postponement of a shareholders’ meeting (or the public announcement thereof) commence a new time period (or extend any time period) for the giving of a shareholder’s notice.</w:t>
      </w:r>
    </w:p>
    <w:p>
      <w:pPr>
        <w:spacing w:after="0" w:line="65" w:lineRule="exact"/>
        <w:rPr>
          <w:sz w:val="20"/>
          <w:szCs w:val="20"/>
          <w:color w:val="auto"/>
        </w:rPr>
      </w:pPr>
    </w:p>
    <w:p>
      <w:pPr>
        <w:ind w:firstLine="222"/>
        <w:spacing w:after="0" w:line="283" w:lineRule="auto"/>
        <w:rPr>
          <w:sz w:val="20"/>
          <w:szCs w:val="20"/>
          <w:color w:val="auto"/>
        </w:rPr>
      </w:pPr>
      <w:r>
        <w:rPr>
          <w:rFonts w:ascii="Arial" w:cs="Arial" w:eastAsia="Arial" w:hAnsi="Arial"/>
          <w:sz w:val="16"/>
          <w:szCs w:val="16"/>
          <w:color w:val="auto"/>
        </w:rPr>
        <w:t>The shareholder’s notice to the Secretary shall set forth: (A) as to each proposed nominee (1) such person’s name, age, business address and, if known, residence address, (2) such person’s principal occupation or employment, (3) the class or series and number of shares of stock of the Corporation that are, directly or indirectly, beneficially owned by such person, (4) a description of all direct and indirect compensation and other material monetary agreements, arrangements and understandings during the past three years, and any other material relationships, between or among (</w:t>
      </w:r>
      <w:r>
        <w:rPr>
          <w:rFonts w:ascii="Arial" w:cs="Arial" w:eastAsia="Arial" w:hAnsi="Arial"/>
          <w:sz w:val="16"/>
          <w:szCs w:val="16"/>
          <w:b w:val="1"/>
          <w:bCs w:val="1"/>
          <w:color w:val="auto"/>
        </w:rPr>
        <w:t>x</w:t>
      </w:r>
      <w:r>
        <w:rPr>
          <w:rFonts w:ascii="Arial" w:cs="Arial" w:eastAsia="Arial" w:hAnsi="Arial"/>
          <w:sz w:val="16"/>
          <w:szCs w:val="16"/>
          <w:color w:val="auto"/>
        </w:rPr>
        <w:t>) the shareholder, the beneficial owner, if any, on whose behalf the nomination is being made and the respective affiliates and associates of, or others acting in concert with, such shareholder and such beneficial owner, on the one hand, and (</w:t>
      </w:r>
      <w:r>
        <w:rPr>
          <w:rFonts w:ascii="Arial" w:cs="Arial" w:eastAsia="Arial" w:hAnsi="Arial"/>
          <w:sz w:val="16"/>
          <w:szCs w:val="16"/>
          <w:b w:val="1"/>
          <w:bCs w:val="1"/>
          <w:color w:val="auto"/>
        </w:rPr>
        <w:t>y</w:t>
      </w:r>
      <w:r>
        <w:rPr>
          <w:rFonts w:ascii="Arial" w:cs="Arial" w:eastAsia="Arial" w:hAnsi="Arial"/>
          <w:sz w:val="16"/>
          <w:szCs w:val="16"/>
          <w:color w:val="auto"/>
        </w:rPr>
        <w:t>) each proposed nominee, and his or her respective affiliates and associates, or others acting in concert with such nominee, on the other hand, including all information that would be required to be disclosed pursuant to Item 404 of Regulation S-K if the shareholder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(5) any other information concerning such person that must be disclosed as to nominees in proxy solicitations pursuant to Regulation 14A under the Exchange Act; and</w:t>
      </w:r>
    </w:p>
    <w:p>
      <w:pPr>
        <w:spacing w:after="0" w:line="6" w:lineRule="exact"/>
        <w:rPr>
          <w:sz w:val="20"/>
          <w:szCs w:val="20"/>
          <w:color w:val="auto"/>
        </w:rPr>
      </w:pPr>
    </w:p>
    <w:p>
      <w:pPr>
        <w:ind w:right="20" w:firstLine="8"/>
        <w:spacing w:after="0" w:line="253" w:lineRule="auto"/>
        <w:tabs>
          <w:tab w:leader="none" w:pos="28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the shareholder giving the notice and the beneficial owner, if any, on whose behalf the nomination is being made (1) the name and address of such shareholder, as they appear on the Corporation’s books, and of such beneficial owner, (2) the class or series and number of shares of stock of the Corporation that are, directly or indirectly, owned, beneficially and of record, by such shareholder and such beneficial owner, (3) a description of any agreement, arrangement or understanding between such shareholder and/or such beneficial owner and each proposed nominee and any other person or persons (including their names) pursuant to which the nomination(s) are being made or who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line="284" w:lineRule="auto"/>
        <w:rPr>
          <w:sz w:val="20"/>
          <w:szCs w:val="20"/>
          <w:color w:val="auto"/>
        </w:rPr>
      </w:pPr>
      <w:r>
        <w:rPr>
          <w:rFonts w:ascii="Arial" w:cs="Arial" w:eastAsia="Arial" w:hAnsi="Arial"/>
          <w:sz w:val="16"/>
          <w:szCs w:val="16"/>
          <w:color w:val="auto"/>
        </w:rPr>
        <w:t>may participate in the solicitation of proxies in favor of electing such nominee(s), (4) a description of any agreement, arrangement or understanding (including any derivative or short positions, profit interests, options, warrants, stock appreciation or similar rights, hedging transactions, and borrowed or loaned shares) that has been entered into by, or on behalf of, such shareholder or such beneficial owner, the effect or intent of which is to mitigate loss to, manage risk or benefit of share price changes for, or increase or decrease the voting power of, such shareholder or such beneficial owner with respect to shares of stock of the Corporation, (5) any other information relating to such shareholder and such beneficial owner that would be required to be disclosed in a proxy statement or other filings required to be made in connection with solicitations of proxies for the election of such nominee in a contested election (even if an election contest is not involved) pursuant to Section 14 of the Exchange Act and the rules and regulations promulgated thereunder, (6) a representation that such shareholder and/or such beneficial owner intends to appear in person or by proxy at the meeting to nominate the person(s) named in its notice and</w:t>
      </w:r>
    </w:p>
    <w:p>
      <w:pPr>
        <w:spacing w:after="0" w:line="1" w:lineRule="exact"/>
        <w:rPr>
          <w:sz w:val="20"/>
          <w:szCs w:val="20"/>
          <w:color w:val="auto"/>
        </w:rPr>
      </w:pPr>
    </w:p>
    <w:p>
      <w:pPr>
        <w:ind w:firstLine="8"/>
        <w:spacing w:after="0" w:line="286"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representation whether such shareholder and/or such beneficial owner intends or is part of a group which intends (x) to deliver a proxy statement and/or form of proxy to holder of at least the percentage of the Corporation’s outstanding capital stock reasonably believed by such shareholder or such beneficial owner to be sufficient to elect the nominee (and such representation shall be included in any such proxy statement and form of proxy) and/or (y) otherwise to solicit proxies from shareholders in support of such nomination (and such representation shall be included in any such solicitation materials). Not later than 10 days after the record date of the meeting, the information required by Items (A)(1)-(5) and (B)(1)-(5) of the prior sentence shall be supplemented by the shareholder providing updated information as of the record date. In addition, to be effective, the shareholder’s notice must be accompanied by the written consent of the proposed nominee to serve as a Director if elected. The Corporation may require any proposed nominee to furnish such other information as may reasonably be required to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 shareholder shall not have complied with this Section 1.9 if the shareholder (or beneficial owner, if any, on whose behalf the nomination is made) solicits proxies in support of such shareholder’s nominee in contravention of the representations with respect thereto required by this Section 1.9.</w:t>
      </w:r>
    </w:p>
    <w:p>
      <w:pPr>
        <w:spacing w:after="0" w:line="58" w:lineRule="exact"/>
        <w:rPr>
          <w:rFonts w:ascii="Arial" w:cs="Arial" w:eastAsia="Arial" w:hAnsi="Arial"/>
          <w:sz w:val="16"/>
          <w:szCs w:val="16"/>
          <w:color w:val="auto"/>
        </w:rPr>
      </w:pPr>
    </w:p>
    <w:p>
      <w:pPr>
        <w:ind w:right="340" w:firstLine="233"/>
        <w:spacing w:after="0" w:line="297" w:lineRule="auto"/>
        <w:tabs>
          <w:tab w:leader="none" w:pos="467"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chairman of any meeting shall have the power and duty to determine whether a nomination was made in accordance with the provisions of this Section 1.9 (including whether the shareholder or beneficial owner, if any, on whose behalf the nomination is made solicited (or is part of a group which solicited) or did not so solicit, as the case may be, proxies in support of such shareholder’s nominee in compliance with the representations with respect thereto required by this Section 1.9), and if the chairman should determine that a nomination was not made in accordance with the provisions of this Section 1.9, the chairman shall so declare to the meeting and such nomination shall not be brought before the meeting.</w:t>
      </w:r>
    </w:p>
    <w:p>
      <w:pPr>
        <w:spacing w:after="0" w:line="50" w:lineRule="exact"/>
        <w:rPr>
          <w:rFonts w:ascii="Arial" w:cs="Arial" w:eastAsia="Arial" w:hAnsi="Arial"/>
          <w:sz w:val="16"/>
          <w:szCs w:val="16"/>
          <w:color w:val="auto"/>
        </w:rPr>
      </w:pPr>
    </w:p>
    <w:p>
      <w:pPr>
        <w:ind w:right="160" w:firstLine="233"/>
        <w:spacing w:after="0" w:line="264" w:lineRule="auto"/>
        <w:tabs>
          <w:tab w:leader="none" w:pos="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1.9 shall obligate the Corporation or the Board of Directors to include in any notice of meeting, proxy statement or other shareholder communication distributed on behalf of the Corporation or the Board of Directors information with respect to any nominee for Director submitted by a shareholder.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right="20" w:firstLine="233"/>
        <w:spacing w:after="0" w:line="273" w:lineRule="auto"/>
        <w:tabs>
          <w:tab w:leader="none" w:pos="4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1.9, if the shareholder (or a qualified representative of the shareholder) does not appear at the meeting of shareholders to present a nomination, such nomination shall not be brought before the meeting, notwithstanding that proxies in respect of such nominee may have been received by the Corporation. For purposes of this Section 1.9, to be considered a qualified representative of the shareholder, a person must be authorized by a written instrument executed by such shareholder or an electronic transmission delivered by such shareholder to act for such shareholder as proxy at the meeting of shareholders and such person must produce such written instrument or electronic transmission, or a reliable reproduction of the written instrument or electronic transmission, at the meeting of shareholders.</w:t>
      </w:r>
    </w:p>
    <w:p>
      <w:pPr>
        <w:spacing w:after="0" w:line="70" w:lineRule="exact"/>
        <w:rPr>
          <w:rFonts w:ascii="Arial" w:cs="Arial" w:eastAsia="Arial" w:hAnsi="Arial"/>
          <w:sz w:val="17"/>
          <w:szCs w:val="17"/>
          <w:color w:val="auto"/>
        </w:rPr>
      </w:pPr>
    </w:p>
    <w:p>
      <w:pPr>
        <w:ind w:right="320" w:firstLine="233"/>
        <w:spacing w:after="0" w:line="264" w:lineRule="auto"/>
        <w:tabs>
          <w:tab w:leader="none" w:pos="4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purposes of this Section 1.9, “public disclosure” shall include disclosure in a press release reported by the Dow Jones New Service, Associated Press or comparable national news service or in a document publicly filed by the Corporation with the Securities and Exchange Commission pursuant to Sections 13, 14 or 15(d) of the Exchange Act.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Notice of Business at Meetings.</w:t>
      </w:r>
    </w:p>
    <w:p>
      <w:pPr>
        <w:spacing w:after="0" w:line="117" w:lineRule="exact"/>
        <w:rPr>
          <w:sz w:val="20"/>
          <w:szCs w:val="20"/>
          <w:color w:val="auto"/>
        </w:rPr>
      </w:pPr>
    </w:p>
    <w:p>
      <w:pPr>
        <w:ind w:firstLine="233"/>
        <w:spacing w:after="0" w:line="28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any meeting of the shareholders, only such business shall be conducted as shall have been properly brought before the meeting. To be properly brought before a special meeting, business must be brought before the meeting in accordance with Section 1.2 or Section 1.9 of these Bylaws.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shareholder. For business to be properly brought before an annual meeting by a shareholder, (i) if such business relates to the nomination of a person for election as a Director of the Corporation, the procedures in Section 1.9 of these Bylaws must be complied with and (ii) if such business relates to any other matter, the business must (x) constitute a proper matter under Massachusetts law for shareholder action and (y) be within the purposes specified in the Corporation’s notice of meeting and the shareholder must (A) have given timely notice thereof and provided all required information in writing to the Secretary in accordance with the procedures in this Section 1.10, (B) be a shareholder of record on the date of the giving of such notice and on the record date for the determination of shareholders entitled to vote at such annual meeting and (C) be entitled to vote at such annual meeting.</w:t>
      </w:r>
    </w:p>
    <w:p>
      <w:pPr>
        <w:spacing w:after="0" w:line="61" w:lineRule="exact"/>
        <w:rPr>
          <w:rFonts w:ascii="Arial" w:cs="Arial" w:eastAsia="Arial" w:hAnsi="Arial"/>
          <w:sz w:val="16"/>
          <w:szCs w:val="16"/>
          <w:color w:val="auto"/>
        </w:rPr>
      </w:pPr>
    </w:p>
    <w:p>
      <w:pPr>
        <w:ind w:left="480" w:hanging="247"/>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be timely, a shareholder’s notice must be received in writing by the Secretary at the principal executive offices of the Corporation not less than</w:t>
      </w:r>
    </w:p>
    <w:p>
      <w:pPr>
        <w:spacing w:after="0" w:line="4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a shareholder’s notice must be so received not earlier than the 120th day prior to such annual meeting and not later than the close of business on the later of</w:t>
      </w:r>
    </w:p>
    <w:p>
      <w:pPr>
        <w:spacing w:after="0" w:line="2" w:lineRule="exact"/>
        <w:rPr>
          <w:sz w:val="20"/>
          <w:szCs w:val="20"/>
          <w:color w:val="auto"/>
        </w:rPr>
      </w:pPr>
    </w:p>
    <w:p>
      <w:pPr>
        <w:ind w:right="80" w:firstLine="8"/>
        <w:spacing w:after="0" w:line="323" w:lineRule="auto"/>
        <w:tabs>
          <w:tab w:leader="none" w:pos="2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90th day prior to such annual meeting and (B) the seventh day following the day on which notice of the date of such annual meeting was mailed or public disclosure of the date of such annual meeting was made, whichever first occurs. In no event shall the adjournment or postponement of a shareholders’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meeting (or the public announcement thereof) commence a new time period (or extend any time period) for the giving of a shareholder’s notice.</w:t>
      </w:r>
    </w:p>
    <w:p>
      <w:pPr>
        <w:spacing w:after="0" w:line="117"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 shareholder’s notice to the Secretary shall set forth: (A) as to each matter the shareholder proposes to bring before the annual meeting (1) a brief description of the business desired to be brought before the annual meeting, (2) the reasons for conducting such business at the annual meeting, and (3) the text of the proposal (including the exact text of any resolutions proposed for consideration and, if such business includes a proposal to amend the Bylaws, the exact text of the proposed amendment) and (B) as to the shareholder giving the notice and the beneficial owner, if any on whose behalf the proposal is being made: (1) the name and address of such shareholder, as they appear on the Corporation’s books, and of such beneficial owner, (2) the class or series and number of shares of stock of the Corporation that are, directly or indirectly, owned, beneficially and of record, by such shareholder and such beneficial owner,</w:t>
      </w:r>
    </w:p>
    <w:p>
      <w:pPr>
        <w:spacing w:after="0" w:line="5" w:lineRule="exact"/>
        <w:rPr>
          <w:sz w:val="20"/>
          <w:szCs w:val="20"/>
          <w:color w:val="auto"/>
        </w:rPr>
      </w:pPr>
    </w:p>
    <w:p>
      <w:pPr>
        <w:ind w:firstLine="8"/>
        <w:spacing w:after="0" w:line="281"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description of any material interest of such shareholder and such beneficial owner and the respective affiliates and associates of, or others acting in concert with, such shareholder and such beneficial owner in such business, (4) a description of any agreement, arrangement or understanding between such shareholder and/or such beneficial owner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profit interests, options, warrants, stock appreciation or similar rights, hedging transactions, and borrowed or loaned shares) that has been entered into by, or on behalf of, such shareholder or such beneficial owner, the effect or intent of which is to mitigate loss to, manage risk or benefit of share price changes for, or increase or decrease the voting power of, such shareholder or beneficial owner with respect to shares of stock of the Corporation, (6) any other information relating to such shareholder and such beneficial owner that would be required to be disclosed in a proxy statement or other filings required to be made in connection with solicitations of proxies for such business proposed pursuant to Section 14 of the Exchange Act and the rules and regulations promulgated thereunder, (7) a representation that such shareholder intends to appear in person or by proxy at the annual meeting to bring such business before the meeting and (8) a representation whether such shareholder and/or such beneficial owner intends or is part of a group which intends</w:t>
      </w:r>
    </w:p>
    <w:p>
      <w:pPr>
        <w:spacing w:after="0" w:line="7"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(x) to deliver a proxy statement and/or form of proxy to holders of at least the percentage of the Corporation’s outstanding capital stock reasonably believed by such shareholder or such beneficial owner to be sufficient to approve or adopt the proposal (and such representation shall be included in any such proxy statement and form of proxy) and/or (y) otherwise to solicit proxies from shareholders in support of such proposal (and such representation shall be included in any such solicitation materials). Not later than 10 days after the record date of the meeting, the information required by Items (A)(3) and (B)(1)-(6) of the prior sentence shall be supplemented by the shareholder providing updated information as of the record date. Notwithstanding anything in these Bylaws to the contrary, no business shall be conducted at any annual meeting of shareholders except in accordance with the procedures set forth in this Section 1.10; provided that nothing in this Section 1.10 shall be deemed to affect any rights of shareholders to request inclusion of proposals in the Corporation’s proxy statement pursuant to Rule 14a-8 under the Exchange Act or any successor Rule. A shareholder (or beneficial owner on whose behalf the proposal is made) shall not have complied with this Section 1.10 if the shareholder (or beneficial owner, if any, on whose behalf the proposal 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made) solicits proxies in support of such shareholder’s proposal in contravention of the representations with respect thereto required by this Section 1.10.</w:t>
      </w:r>
    </w:p>
    <w:p>
      <w:pPr>
        <w:spacing w:after="0" w:line="140" w:lineRule="exact"/>
        <w:rPr>
          <w:sz w:val="20"/>
          <w:szCs w:val="20"/>
          <w:color w:val="auto"/>
        </w:rPr>
      </w:pPr>
    </w:p>
    <w:p>
      <w:pPr>
        <w:ind w:right="20" w:firstLine="233"/>
        <w:spacing w:after="0" w:line="297" w:lineRule="auto"/>
        <w:tabs>
          <w:tab w:leader="none" w:pos="4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chairman of any meeting shall have the power and duty to determine whether business was properly brought before the meeting in accordance with the provisions of this Section 1.10 (including whether the shareholder or beneficial owner, if any, on whose behalf the proposal is made solicited (or is part of a group which solicited) or did not so solicit, as the case may be, proxies in support of such shareholder’s proposal in compliance with the representation with respect thereto required by this Section 1.10), and if the chairman should determine that business was not properly brought before the meeting in accordance with the provisions of this Section 1.10, the chairman shall so declare to the meeting and such business shall not be brought before the meeting.</w:t>
      </w:r>
    </w:p>
    <w:p>
      <w:pPr>
        <w:spacing w:after="0" w:line="50" w:lineRule="exact"/>
        <w:rPr>
          <w:rFonts w:ascii="Arial" w:cs="Arial" w:eastAsia="Arial" w:hAnsi="Arial"/>
          <w:sz w:val="16"/>
          <w:szCs w:val="16"/>
          <w:color w:val="auto"/>
        </w:rPr>
      </w:pPr>
    </w:p>
    <w:p>
      <w:pPr>
        <w:ind w:right="160" w:firstLine="233"/>
        <w:spacing w:after="0" w:line="264"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1.10 shall obligate the Corporation or the Board of Directors to include in its notice of meeting, proxy statement or other shareholder communication distributed on behalf of the Corporation or the Board of Directors information with respect to any proposal submitted by a shareholder.</w:t>
      </w:r>
    </w:p>
    <w:p>
      <w:pPr>
        <w:spacing w:after="0" w:line="73" w:lineRule="exact"/>
        <w:rPr>
          <w:rFonts w:ascii="Arial" w:cs="Arial" w:eastAsia="Arial" w:hAnsi="Arial"/>
          <w:sz w:val="18"/>
          <w:szCs w:val="18"/>
          <w:color w:val="auto"/>
        </w:rPr>
      </w:pPr>
    </w:p>
    <w:p>
      <w:pPr>
        <w:ind w:firstLine="233"/>
        <w:spacing w:after="0" w:line="273" w:lineRule="auto"/>
        <w:tabs>
          <w:tab w:leader="none" w:pos="4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1.10, if the shareholder (or a qualified representative of the shareholder) does not appear at the annual meeting of shareholders to present business, such business shall not be considered, notwithstanding that proxies in respect of such proposal may have been received by the Corporation. For purposes of this Section 1.10, to be considered a qualified representative of the shareholder, a person must be authorized by a written instrument executed by such shareholder or an electronic transmission delivered by such shareholder to act for such shareholder as a proxy at the meeting of shareholders and such person must produce such written instrument or electronic transmission, or a reliable reproduction of the written instrument or electronic transmission, at the meeting of shareholders.</w:t>
      </w:r>
    </w:p>
    <w:p>
      <w:pPr>
        <w:spacing w:after="0" w:line="70" w:lineRule="exact"/>
        <w:rPr>
          <w:rFonts w:ascii="Arial" w:cs="Arial" w:eastAsia="Arial" w:hAnsi="Arial"/>
          <w:sz w:val="17"/>
          <w:szCs w:val="17"/>
          <w:color w:val="auto"/>
        </w:rPr>
      </w:pPr>
    </w:p>
    <w:p>
      <w:pPr>
        <w:ind w:right="280" w:firstLine="233"/>
        <w:spacing w:after="0" w:line="264" w:lineRule="auto"/>
        <w:tabs>
          <w:tab w:leader="none" w:pos="4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this Section 1.10, “public disclosure” shall include disclosure in a press release reported by the Dow Jones New Service, Associated Press or comparable national news service or in a document publicly filed by the Corporation with the Securities and Exchange Commission pursuant to Section 13, 14 or 15(d) of the Exchange Act.</w:t>
      </w:r>
    </w:p>
    <w:p>
      <w:pPr>
        <w:spacing w:after="0" w:line="73" w:lineRule="exact"/>
        <w:rPr>
          <w:sz w:val="20"/>
          <w:szCs w:val="20"/>
          <w:color w:val="auto"/>
        </w:rPr>
      </w:pPr>
    </w:p>
    <w:p>
      <w:pPr>
        <w:ind w:right="120" w:firstLine="225"/>
        <w:spacing w:after="0" w:line="290" w:lineRule="auto"/>
        <w:rPr>
          <w:sz w:val="20"/>
          <w:szCs w:val="20"/>
          <w:color w:val="auto"/>
        </w:rPr>
      </w:pPr>
      <w:r>
        <w:rPr>
          <w:rFonts w:ascii="Arial" w:cs="Arial" w:eastAsia="Arial" w:hAnsi="Arial"/>
          <w:sz w:val="16"/>
          <w:szCs w:val="16"/>
          <w:color w:val="auto"/>
        </w:rPr>
        <w:t>1.11. Conduct of Meetings. The Board of Directors may adopt by resolution such rules, regulations and procedures for the conduct of any meeting of shareholders as it shall deem appropriate, including without limitation such guidelines and procedures as it may deem appropriate regarding the participation by means of remote communication of shareholders and proxyholders not physically present at a meeting. Except to the extent inconsistent with such rules, regulations and procedures as adopted by the Board of Directors,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their duly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both"/>
        <w:spacing w:after="0" w:line="312" w:lineRule="auto"/>
        <w:rPr>
          <w:sz w:val="20"/>
          <w:szCs w:val="20"/>
          <w:color w:val="auto"/>
        </w:rPr>
      </w:pPr>
      <w:r>
        <w:rPr>
          <w:rFonts w:ascii="Arial" w:cs="Arial" w:eastAsia="Arial" w:hAnsi="Arial"/>
          <w:sz w:val="16"/>
          <w:szCs w:val="16"/>
          <w:color w:val="auto"/>
        </w:rPr>
        <w:t>authorized and constituted proxies or attorneys or such other persons as shall be determined; (d) restrictions on entry to the meeting after the time fixed for the commencement thereof; and (e) limitations on the time allotted to questions or comments by participants. Unless and to the extent determined by the Board of Directors or the chairman of the meeting, meetings of shareholders shall not be required to be held in accordance with the rules of parliamentary procedure.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1.12. Action Without Meeting by Written Consent.</w:t>
      </w:r>
    </w:p>
    <w:p>
      <w:pPr>
        <w:spacing w:after="0" w:line="117" w:lineRule="exact"/>
        <w:rPr>
          <w:sz w:val="20"/>
          <w:szCs w:val="20"/>
          <w:color w:val="auto"/>
        </w:rPr>
      </w:pPr>
    </w:p>
    <w:p>
      <w:pPr>
        <w:ind w:right="200" w:firstLine="233"/>
        <w:spacing w:after="0" w:line="30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Action taken at a shareholders’ meeting may be taken without a meeting if the action is taken by all shareholders entitled to vote on the action. The action shall be evidenced by one or more written consents that describe the action taken, are signed by shareholders having the requisite votes, bear the date of the signatures of such shareholders, and are delivered to the Corporation for inclusion with the records of meetings within 60 days of the earliest dated consent delivered to the Corporation as required by this Section 1.12. A consent signed under this Section 1.12 has the effect of a vote at a meeting.</w:t>
      </w:r>
    </w:p>
    <w:p>
      <w:pPr>
        <w:spacing w:after="0" w:line="46" w:lineRule="exact"/>
        <w:rPr>
          <w:rFonts w:ascii="Arial" w:cs="Arial" w:eastAsia="Arial" w:hAnsi="Arial"/>
          <w:sz w:val="16"/>
          <w:szCs w:val="16"/>
          <w:color w:val="auto"/>
        </w:rPr>
      </w:pPr>
    </w:p>
    <w:p>
      <w:pPr>
        <w:jc w:val="both"/>
        <w:ind w:right="40" w:firstLine="233"/>
        <w:spacing w:after="0" w:line="257"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action is to be taken pursuant to the consent of voting shareholders without a meeting, the Corporation, at least seven days before the action pursuant to the consent is taken, shall give notice, which complies in form with the requirements of Article III of these Bylaws, of the action to nonvoting shareholders in any case where such notice would be required by law if the action were to be taken pursuant to a vote by voting shareholders at a meeting. The notice shall contain, or be accompanied by, the same material that would have been required by law to be sent to shareholders in or with the notice of a meeting at which the action would have been submitted to the shareholders for approval.</w:t>
      </w:r>
    </w:p>
    <w:p>
      <w:pPr>
        <w:spacing w:after="0" w:line="80" w:lineRule="exact"/>
        <w:rPr>
          <w:sz w:val="20"/>
          <w:szCs w:val="20"/>
          <w:color w:val="auto"/>
        </w:rPr>
      </w:pPr>
    </w:p>
    <w:p>
      <w:pPr>
        <w:ind w:right="160" w:firstLine="225"/>
        <w:spacing w:after="0" w:line="270" w:lineRule="auto"/>
        <w:rPr>
          <w:sz w:val="20"/>
          <w:szCs w:val="20"/>
          <w:color w:val="auto"/>
        </w:rPr>
      </w:pPr>
      <w:r>
        <w:rPr>
          <w:rFonts w:ascii="Arial" w:cs="Arial" w:eastAsia="Arial" w:hAnsi="Arial"/>
          <w:sz w:val="17"/>
          <w:szCs w:val="17"/>
          <w:color w:val="auto"/>
        </w:rPr>
        <w:t>1.13. Record Date. The Board of Directors may fix the record date in order to determine the shareholders entitled to notice of a shareholders’ meeting, to demand a special meeting, to vote or to take any other action. If a record date for a specific action is not fixed by the Board of Directors, and is not supplied by law, the record date shall be (a) the close of business either on the day before the first notice is sent to shareholders, or, if no notice is sent, on the day before the meeting or (b) in the case of action without a meeting by written consent, the date the first shareholder signs the consent or (c) for purposes of determining shareholders entitled to demand a special meeting of shareholders, the date the first shareholder signs the demand or (d) for purposes of determining shareholders entitled to a distribution, other than one involving a purchase, redemption or other acquisition of the Corporation’s shares, the date the Board of Directors authorizes the distribution. A record date fixed under this Section 1.13 may not be more than 70 days before the meeting or action requiring a determination of shareholders. A determination of shareholders entitled to notice of or to vote at a shareholders’ meeting is effective for any adjournment of the meeting unless the Board of Directors fixes a new record date, which it shall do if the meeting is adjourned to a date more than 120 days after the date fixed for the original meeting.</w:t>
      </w:r>
    </w:p>
    <w:p>
      <w:pPr>
        <w:spacing w:after="0" w:line="70"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1.14. Meetings by Remote Communication. Unless otherwise provided in the Articles of Organization, if authorized by the Board of Directors: subject to such guidelines and procedures as the Board of Directors may adopt, shareholders and proxyholders not physically present at a meeting of shareholders may, by means of remote communication: (a) participate in a meeting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40"/>
        <w:spacing w:after="0" w:line="291" w:lineRule="auto"/>
        <w:rPr>
          <w:sz w:val="20"/>
          <w:szCs w:val="20"/>
          <w:color w:val="auto"/>
        </w:rPr>
      </w:pPr>
      <w:r>
        <w:rPr>
          <w:rFonts w:ascii="Arial" w:cs="Arial" w:eastAsia="Arial" w:hAnsi="Arial"/>
          <w:sz w:val="16"/>
          <w:szCs w:val="16"/>
          <w:color w:val="auto"/>
        </w:rPr>
        <w:t>shareholders; and (b) be deemed present in person and vote at a meeting of shareholders, provided that: (1) the Corporation shall implement reasonable measures to verify that each person deemed present and permitted to vote at the meeting by means of remote communication is a shareholder or proxyholder;</w:t>
      </w:r>
    </w:p>
    <w:p>
      <w:pPr>
        <w:ind w:right="60" w:firstLine="8"/>
        <w:spacing w:after="0" w:line="25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 shall implement reasonable measures to provide such shareholders and proxyholders a reasonable opportunity to participate in the meeting and to vote on matters submitted to the shareholders, including an opportunity to read or hear the proceedings of the meeting substantially concurrently with such proceedings; and (3) if any shareholder or proxyholder votes or takes other action at the meeting by means of remote communication, a record of such vote or other action shall be maintained by the Corporation.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1.15. Form of Shareholder Action.</w:t>
      </w:r>
    </w:p>
    <w:p>
      <w:pPr>
        <w:spacing w:after="0" w:line="117" w:lineRule="exact"/>
        <w:rPr>
          <w:sz w:val="20"/>
          <w:szCs w:val="20"/>
          <w:color w:val="auto"/>
        </w:rPr>
      </w:pPr>
    </w:p>
    <w:p>
      <w:pPr>
        <w:ind w:right="20" w:firstLine="233"/>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vote, consent, waiver, proxy appointment or other action by a shareholder or by the proxy or other agent of any shareholder shall be considered given in writing, dated and signed, if, in lieu of any other means permitted by law, it consists of an electronic transmission that sets forth or is delivered with information from which the Corporation can determine (1) that the electronic transmission was transmitted by the shareholder, proxy or agent or by a person authorized to act for the shareholder, proxy or agent; and (2) the date on which such shareholder, proxy, agent or authorized person transmitted the electronic transmission. The date on which the electronic transmission is transmitted shall be considered to be the date on which it was signed. The electronic transmission shall be considered received by the Corporation if it has been sent to any address specified by the Corporation for the purpose or, if no address has been specified, to the principal office of the Corporation, addressed to the Secretary or other officer or agent having custody of the records of proceedings of shareholders.</w:t>
      </w:r>
    </w:p>
    <w:p>
      <w:pPr>
        <w:spacing w:after="0" w:line="84" w:lineRule="exact"/>
        <w:rPr>
          <w:rFonts w:ascii="Arial" w:cs="Arial" w:eastAsia="Arial" w:hAnsi="Arial"/>
          <w:sz w:val="18"/>
          <w:szCs w:val="18"/>
          <w:color w:val="auto"/>
        </w:rPr>
      </w:pPr>
    </w:p>
    <w:p>
      <w:pPr>
        <w:ind w:right="120" w:firstLine="233"/>
        <w:spacing w:after="0" w:line="264"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copy, facsimile or other reliable reproduction of a vote, consent, waiver, proxy appointment or other action by a shareholder or by the proxy or other agent of any shareholder may be substituted or used in lieu of the original writing for any purpose for which the original writing could be used, but the copy, facsimile or other reproduction shall be a complete reproduction of the entire original writing.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1.16. Shareholder List for Meeting.</w:t>
      </w:r>
    </w:p>
    <w:p>
      <w:pPr>
        <w:spacing w:after="0" w:line="117" w:lineRule="exact"/>
        <w:rPr>
          <w:sz w:val="20"/>
          <w:szCs w:val="20"/>
          <w:color w:val="auto"/>
        </w:rPr>
      </w:pPr>
    </w:p>
    <w:p>
      <w:pPr>
        <w:ind w:firstLine="233"/>
        <w:spacing w:after="0" w:line="31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After fixing a record date for a shareholders’ meeting, the Corporation shall prepare an alphabetical list of the names of all its shareholders who are entitled to notice of the meeting. The list shall be arranged by voting group, and within each voting group by class or series of shares, and show the address of and number of shares held by each shareholder, but need not include an electronic mail address or other electronic contact information for any shareholder.</w:t>
      </w:r>
    </w:p>
    <w:p>
      <w:pPr>
        <w:spacing w:after="0" w:line="38" w:lineRule="exact"/>
        <w:rPr>
          <w:rFonts w:ascii="Arial" w:cs="Arial" w:eastAsia="Arial" w:hAnsi="Arial"/>
          <w:sz w:val="16"/>
          <w:szCs w:val="16"/>
          <w:color w:val="auto"/>
        </w:rPr>
      </w:pPr>
    </w:p>
    <w:p>
      <w:pPr>
        <w:ind w:right="20" w:firstLine="233"/>
        <w:spacing w:after="0" w:line="259" w:lineRule="auto"/>
        <w:tabs>
          <w:tab w:leader="none" w:pos="4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 of shareholders shall be available for inspection by any shareholder, beginning two business days after notice is given of the meeting for which the list was prepared and continuing through the meeting: (1) at the Corporation’s principal office or at a place identified in the meeting notice in the city where the meeting will be held; or (2) on a reasonably accessible electronic network, provided that the information required to gain access to such list is provided with the notice of the meeting.</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jc w:val="both"/>
        <w:ind w:firstLine="233"/>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shareholder or his or her agent or attorney is entitled on written demand to inspect and, subject to the requirements of Section 6.2(c) of these Bylaws, to copy the list, during regular business hours and at his or her expense, during the period it is available for inspection. (d) The Corporation shall make the list of shareholders available at the meeting, and any shareholder or his or her agent or attorney is entitled to inspect the list at any time during the meeting or any adjournment.</w:t>
      </w:r>
    </w:p>
    <w:p>
      <w:pPr>
        <w:spacing w:after="0" w:line="29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2.1. Powers. All corporate power shall be exercised by or under the authority of, and the business and affairs of the Corporation shall be managed under the direction of, its Board of Directors.</w:t>
      </w:r>
    </w:p>
    <w:p>
      <w:pPr>
        <w:spacing w:after="0" w:line="6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2.2. Number and Election. The Board of Directors shall consist of not less than the minimum number of individuals permitted by law and, subject to the rights of holders of any class or series of Preferred Stock to elect Directors, shall be divided into three classes, such classes to be as nearly equal in number as possible. Subject to the rights of holders of any class or series of Preferred Stock to elect Directors, at each annual meeting of shareholders, the successors to the class of Directors whose term expires at that meeting shall be elected. Subject to the foregoing requirements and applicable law, the Board of Directors may, from time to time, fix the number of Directors and their respective classifications, provided that any such action does not operate to remove a Director elected by the shareholders or the Directors other than in the manner specified in the Articles of Organization or these Bylaws.</w:t>
      </w:r>
    </w:p>
    <w:p>
      <w:pPr>
        <w:spacing w:after="0" w:line="5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2.3. Vacancies. Subject to the rights of holders of any class or series of Preferred Stock, vacancies and newly created directorships, whether resulting from an increase in the size of the Board of Directors, from the death, resignation, disqualification or removal of a Director or otherwise, shall be filled solely by the affirmative vote of a majority of the remaining Directors then in office, even though less than a quorum of the Board of Directors. A vacancy that will occur at a specific later date may be filled before the vacancy occurs, but the new Director may not take office until the vacancy occurs.</w:t>
      </w:r>
    </w:p>
    <w:p>
      <w:pPr>
        <w:spacing w:after="0" w:line="46"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2.4. Change in Size of Board of Directors. Subject to the rights of holders of any class or series of Preferred Stock, the number of Directors may be fixed or changed from time to time by the Board of Directors.</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2.5. Tenure. Subject to the rights of holders of any class or series of Preferred Stock to elect Directors, each Director shall serve for a term ending on the date of the third annual meeting at which such Director was elected; provided, however, that each Director designated as a Class I Director as of the effective date of these amended and restated Bylaws shall serve for an initial term expiring at the Corporation’s annual meeting of shareholders held in 2005; each Director designated as a Class II Director as of the effective date of these amended and restated Bylaws shall serve for an initial term expiring at the Corporation’s annual meeting of shareholders held in 2006; and each Director designated as a Class III Director as of the effective date of these amended and restated Bylaws shall serve for an initial term expiring at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 w:name="page21"/>
    <w:bookmarkEnd w:id="20"/>
    <w:p>
      <w:pPr>
        <w:ind w:right="80"/>
        <w:spacing w:after="0" w:line="257" w:lineRule="auto"/>
        <w:rPr>
          <w:sz w:val="20"/>
          <w:szCs w:val="20"/>
          <w:color w:val="auto"/>
        </w:rPr>
      </w:pPr>
      <w:r>
        <w:rPr>
          <w:rFonts w:ascii="Arial" w:cs="Arial" w:eastAsia="Arial" w:hAnsi="Arial"/>
          <w:sz w:val="18"/>
          <w:szCs w:val="18"/>
          <w:color w:val="auto"/>
        </w:rPr>
        <w:t>Corporation’s annual meeting of shareholders held in 2007; and provided further, however, that the term of each Director shall continue until the election and qualification of a successor and be subject to such Director’s earlier death, resignation or removal. No decrease in the number of Directors constituting the Board of Directors shall shorten the term of any incumbent Director. Any Director elected to fill a vacancy shall hold office for the remainder of the full term of the class of Directors in which the vacancy occurred or the new directorship was created and until such Director’s successor shall have been elected and qualified.</w:t>
      </w:r>
    </w:p>
    <w:p>
      <w:pPr>
        <w:spacing w:after="0" w:line="8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2.6. Resignation. A Director may resign at any time by delivering written notice of resignation to the Board of Directors, the Chairman of the Board or the Corporation. A resignation is effective when the notice is delivered unless the notice specifies a later effective date.</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2.7. Removal. A Director may be removed from office (a) with or without cause by vote of a majority of the stockholders entitled to vote in the election of Directors, provided that the Directors of a class elected by a particular class of stockholders may be removed only by the vote of the holders of a majority of the shares of such class or (b) for cause by vote of a majority of the Directors then in office. A Director may be removed for cause only after reasonable notice and opportunity to be heard before the body proposing to remove him. To the extent that any of the provisions in this Section 2.7 conflicts or is inconsistent with any of the provisions of Section 8.06 of the MBCA, as amended from time to time, the provisions of Section 8.06 shall govern and control.</w:t>
      </w:r>
    </w:p>
    <w:p>
      <w:pPr>
        <w:spacing w:after="0" w:line="50" w:lineRule="exact"/>
        <w:rPr>
          <w:sz w:val="20"/>
          <w:szCs w:val="20"/>
          <w:color w:val="auto"/>
        </w:rPr>
      </w:pPr>
    </w:p>
    <w:p>
      <w:pPr>
        <w:jc w:val="both"/>
        <w:ind w:right="120" w:firstLine="225"/>
        <w:spacing w:after="0" w:line="286" w:lineRule="auto"/>
        <w:rPr>
          <w:sz w:val="20"/>
          <w:szCs w:val="20"/>
          <w:color w:val="auto"/>
        </w:rPr>
      </w:pPr>
      <w:r>
        <w:rPr>
          <w:rFonts w:ascii="Arial" w:cs="Arial" w:eastAsia="Arial" w:hAnsi="Arial"/>
          <w:sz w:val="17"/>
          <w:szCs w:val="17"/>
          <w:color w:val="auto"/>
        </w:rPr>
        <w:t>2.8. Regular Meetings. Regular meetings of the Board of Directors may be held at such times and places as shall from time to time be fixed by the Board of Directors without notice of the date, time, place or purpose of the meeting. A regular meeting may be held without a call or notice at the same place as the annual meeting of shareholders, or the special meeting held in lieu thereof, following such meeting of shareholders.</w:t>
      </w:r>
    </w:p>
    <w:p>
      <w:pPr>
        <w:spacing w:after="0" w:line="5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2.9. Special Meetings. Special meetings of the Board of Directors may be called by the Chairman of the Board, the Chief Executive Officer, the President, the Secretary, any two Directors or one Director in the event that there is only one Director.</w:t>
      </w:r>
    </w:p>
    <w:p>
      <w:pPr>
        <w:spacing w:after="0" w:line="62" w:lineRule="exact"/>
        <w:rPr>
          <w:sz w:val="20"/>
          <w:szCs w:val="20"/>
          <w:color w:val="auto"/>
        </w:rPr>
      </w:pPr>
    </w:p>
    <w:p>
      <w:pPr>
        <w:ind w:right="420" w:firstLine="225"/>
        <w:spacing w:after="0" w:line="342" w:lineRule="auto"/>
        <w:rPr>
          <w:sz w:val="20"/>
          <w:szCs w:val="20"/>
          <w:color w:val="auto"/>
        </w:rPr>
      </w:pPr>
      <w:r>
        <w:rPr>
          <w:rFonts w:ascii="Arial" w:cs="Arial" w:eastAsia="Arial" w:hAnsi="Arial"/>
          <w:sz w:val="16"/>
          <w:szCs w:val="16"/>
          <w:color w:val="auto"/>
        </w:rPr>
        <w:t>2.10. Notice. Special meetings of the Board of Directors must be preceded by at least two days’ notice of the date, time and place of the meeting. The notice need not describe the purpose of the special meeting. All notices to Directors shall conform to the requirements of Article III of these Bylaws.</w:t>
      </w:r>
    </w:p>
    <w:p>
      <w:pPr>
        <w:spacing w:after="0" w:line="16"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2.11. Waiver of Notice. A Director may waive any notice before or after the date and time of the meeting. The waiver shall be in writing, signed by the Director entitled to the notice, or in the form of an electronic transmission by the Director to the Corporation, and filed with the minutes or corporate records. A Director’s attendance at or participation in a meeting waives any required notice to him or her of the meeting unless the Director at the beginning of the meeting, or promptly upon his or her arrival, objects to holding the meeting or transacting business at the meeting and does not thereafter vote for or assent to action taken at the meeting.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jc w:val="both"/>
        <w:ind w:right="120" w:firstLine="225"/>
        <w:spacing w:after="0" w:line="286" w:lineRule="auto"/>
        <w:rPr>
          <w:sz w:val="20"/>
          <w:szCs w:val="20"/>
          <w:color w:val="auto"/>
        </w:rPr>
      </w:pPr>
      <w:r>
        <w:rPr>
          <w:rFonts w:ascii="Arial" w:cs="Arial" w:eastAsia="Arial" w:hAnsi="Arial"/>
          <w:sz w:val="17"/>
          <w:szCs w:val="17"/>
          <w:color w:val="auto"/>
        </w:rPr>
        <w:t>2.12. Quorum. Unless otherwise provided by law, the Articles of Organization or these Bylaws, a quorum of the Board of Directors consists of a majority of the Directors then in office, provided always that any number of Directors (whether one or more and whether or not constituting a quorum) constituting a majority of Directors present at any meeting or at any adjourned meeting may make an adjournment thereof.</w:t>
      </w:r>
    </w:p>
    <w:p>
      <w:pPr>
        <w:spacing w:after="0" w:line="5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2.13. Action at Meeting. If a quorum is present when a vote is taken, the affirmative vote of a majority of Directors present is the act of the Board of Directors unless the Articles of Organization or these Bylaws require the vote of a greater number of Directors. A Director who is present at a meeting of the Board of Directors or a committee of the Board of Directors when corporate action is taken is considered to have assented to the action taken unless: (a) he or she objects at the beginning of the meeting, or promptly upon his or her arrival, to holding it or transacting business at the meeting; (b) his or her dissent or abstention from the action taken is entered in the minutes of the meeting; or (c) he or she delivers written notice of his or her dissent or abstention to the presiding officer of the meeting before its adjournment or to the Corporation immediately after adjournment of the meeting. The right of dissent or abstention is not available to a Director who votes in favor of the action taken.</w:t>
      </w:r>
    </w:p>
    <w:p>
      <w:pPr>
        <w:spacing w:after="0" w:line="70"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2.14. Action Without Meeting. Any action required or permitted to be taken by the Directors may be taken without a meeting if the action is taken by the unanimous consent of the members of the Board of Directors. The action must be evidenced by one or more consents describing the action taken, in writing, signed by each Director, or delivered to the Corporation by electronic transmission, to the address specified by the Corporation for the purpose or, if no address has been specified, to the principal office of the Corporation, addressed to the Secretary or other officer or agent having custody of the records of proceedings of Directors, and included in the minutes or filed with the corporate records reflecting the action taken. Action taken under this Section 2.14 is effective when the last Director signs or delivers the consent, unless the consent specifies a different effective date. A consent signed or delivered under this Section 2.14 has the effect of a meeting vote and may be described as such in any document.</w:t>
      </w:r>
    </w:p>
    <w:p>
      <w:pPr>
        <w:spacing w:after="0" w:line="70"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2.15. Telephone Conference Meetings. The Board of Directors may permit any or all Directors to participate in a regular or special meeting by, or conduct the meeting through the use of, any means of communication by which all Directors participating may simultaneously hear each other during the meeting. A Director participating in a meeting by this means is considered to be present in person at the meeting.</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2.16. Committees. The Board of Directors may create one or more committees and appoint members of the Board of Directors to serve on them. Each committee may have one or more members, who serve at the pleasure of the Board of Directors. The creation of a committee and appointment of members to it must be approved by a majority of all the Directors in office when the action is taken. Article III and Sections 2.10 through 2.15 of these Bylaws shall apply to committees and their members. To the extent specified by the Board of Directors, each committee may exercise the authority of the Board of Directors to the extent permitted by law. The creation of, delegation of authority to, or action by a committee does not alone constitute compliance by a Director with the standards of conduct described in Section 2.18 of these Bylaws.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left="232"/>
        <w:spacing w:after="0"/>
        <w:rPr>
          <w:sz w:val="20"/>
          <w:szCs w:val="20"/>
          <w:color w:val="auto"/>
        </w:rPr>
      </w:pPr>
      <w:r>
        <w:rPr>
          <w:rFonts w:ascii="Arial" w:cs="Arial" w:eastAsia="Arial" w:hAnsi="Arial"/>
          <w:sz w:val="18"/>
          <w:szCs w:val="18"/>
          <w:color w:val="auto"/>
        </w:rPr>
        <w:t>2.17. Compensation. The Board of Directors may fix the compensation of Directors.</w:t>
      </w:r>
    </w:p>
    <w:p>
      <w:pPr>
        <w:spacing w:after="0" w:line="117" w:lineRule="exact"/>
        <w:rPr>
          <w:sz w:val="20"/>
          <w:szCs w:val="20"/>
          <w:color w:val="auto"/>
        </w:rPr>
      </w:pPr>
    </w:p>
    <w:p>
      <w:pPr>
        <w:ind w:left="232"/>
        <w:spacing w:after="0"/>
        <w:rPr>
          <w:sz w:val="20"/>
          <w:szCs w:val="20"/>
          <w:color w:val="auto"/>
        </w:rPr>
      </w:pPr>
      <w:r>
        <w:rPr>
          <w:rFonts w:ascii="Arial" w:cs="Arial" w:eastAsia="Arial" w:hAnsi="Arial"/>
          <w:sz w:val="18"/>
          <w:szCs w:val="18"/>
          <w:color w:val="auto"/>
        </w:rPr>
        <w:t>2.18. Standard of Conduct for Directors.</w:t>
      </w:r>
    </w:p>
    <w:p>
      <w:pPr>
        <w:spacing w:after="0" w:line="117" w:lineRule="exact"/>
        <w:rPr>
          <w:sz w:val="20"/>
          <w:szCs w:val="20"/>
          <w:color w:val="auto"/>
        </w:rPr>
      </w:pPr>
    </w:p>
    <w:p>
      <w:pPr>
        <w:ind w:left="-8" w:firstLine="233"/>
        <w:spacing w:after="0" w:line="273" w:lineRule="auto"/>
        <w:tabs>
          <w:tab w:leader="none" w:pos="452" w:val="left"/>
        </w:tabs>
        <w:numPr>
          <w:ilvl w:val="1"/>
          <w:numId w:val="20"/>
        </w:numPr>
        <w:rPr>
          <w:rFonts w:ascii="Arial" w:cs="Arial" w:eastAsia="Arial" w:hAnsi="Arial"/>
          <w:sz w:val="17"/>
          <w:szCs w:val="17"/>
          <w:color w:val="auto"/>
        </w:rPr>
      </w:pPr>
      <w:r>
        <w:rPr>
          <w:rFonts w:ascii="Arial" w:cs="Arial" w:eastAsia="Arial" w:hAnsi="Arial"/>
          <w:sz w:val="17"/>
          <w:szCs w:val="17"/>
          <w:color w:val="auto"/>
        </w:rPr>
        <w:t>A Director shall discharge his or her duties as a Director, including his or her duties as a member of a committee: (1) in good faith; (2) with the care that a person in a like position would reasonably believe appropriate under similar circumstances; and (3) in a manner the Director reasonably believes to be in the best interests of the Corporation. In determining what the Director reasonably believes to be in the best interests of the Corporation, a Director may consider the interests of the Corporation’s employees, suppliers, creditors and customers, the economy of the state, the region and the nation, community and societal considerations, and the long-term and short-term interests of the Corporation and its shareholders, including the possibility that these interests may be best served by the continued independence of the Corporation.</w:t>
      </w:r>
    </w:p>
    <w:p>
      <w:pPr>
        <w:spacing w:after="0" w:line="70" w:lineRule="exact"/>
        <w:rPr>
          <w:rFonts w:ascii="Arial" w:cs="Arial" w:eastAsia="Arial" w:hAnsi="Arial"/>
          <w:sz w:val="17"/>
          <w:szCs w:val="17"/>
          <w:color w:val="auto"/>
        </w:rPr>
      </w:pPr>
    </w:p>
    <w:p>
      <w:pPr>
        <w:ind w:left="-8" w:right="100" w:firstLine="233"/>
        <w:spacing w:after="0" w:line="288" w:lineRule="auto"/>
        <w:tabs>
          <w:tab w:leader="none" w:pos="472"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discharging his or her duties, a Director who does not have knowledge that makes reliance unwarranted is entitled to rely on information, opinions, reports or statements, including financial statements and other financial data, if prepared or presented by: (1) one or more officers or employees of the Corporation whom the Director reasonably believes to be reliable and competent with respect to the information, opinions, reports or statements presented;</w:t>
      </w:r>
    </w:p>
    <w:p>
      <w:pPr>
        <w:jc w:val="both"/>
        <w:ind w:left="-8" w:right="80" w:firstLine="8"/>
        <w:spacing w:after="0" w:line="277" w:lineRule="auto"/>
        <w:tabs>
          <w:tab w:leader="none" w:pos="247"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legal counsel, public accountants or other persons retained by the Corporation, as to matters involving skills or expertise the Director reasonably believes are matters (i) within the particular person’s professional or expert competence or (ii) as to which the particular person merits confidence; or (3) a committee of the Board of Directors of which the Director is not a member if the Director reasonably believes the committee merits confidence.</w:t>
      </w:r>
    </w:p>
    <w:p>
      <w:pPr>
        <w:spacing w:after="0" w:line="65" w:lineRule="exact"/>
        <w:rPr>
          <w:rFonts w:ascii="Arial" w:cs="Arial" w:eastAsia="Arial" w:hAnsi="Arial"/>
          <w:sz w:val="17"/>
          <w:szCs w:val="17"/>
          <w:color w:val="auto"/>
        </w:rPr>
      </w:pPr>
    </w:p>
    <w:p>
      <w:pPr>
        <w:ind w:left="-8" w:right="440" w:firstLine="233"/>
        <w:spacing w:after="0" w:line="277" w:lineRule="auto"/>
        <w:tabs>
          <w:tab w:leader="none" w:pos="4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Director is not liable for any action taken as a Director, or any failure to take any action, if he or she performed the duties of his or her office in compliance with this Section 2.18.</w:t>
      </w:r>
    </w:p>
    <w:p>
      <w:pPr>
        <w:spacing w:after="0" w:line="62" w:lineRule="exact"/>
        <w:rPr>
          <w:sz w:val="20"/>
          <w:szCs w:val="20"/>
          <w:color w:val="auto"/>
        </w:rPr>
      </w:pPr>
    </w:p>
    <w:p>
      <w:pPr>
        <w:ind w:left="232"/>
        <w:spacing w:after="0"/>
        <w:rPr>
          <w:sz w:val="20"/>
          <w:szCs w:val="20"/>
          <w:color w:val="auto"/>
        </w:rPr>
      </w:pPr>
      <w:r>
        <w:rPr>
          <w:rFonts w:ascii="Arial" w:cs="Arial" w:eastAsia="Arial" w:hAnsi="Arial"/>
          <w:sz w:val="18"/>
          <w:szCs w:val="18"/>
          <w:color w:val="auto"/>
        </w:rPr>
        <w:t>2.19. Conflict of Interest.</w:t>
      </w:r>
    </w:p>
    <w:p>
      <w:pPr>
        <w:spacing w:after="0" w:line="117" w:lineRule="exact"/>
        <w:rPr>
          <w:sz w:val="20"/>
          <w:szCs w:val="20"/>
          <w:color w:val="auto"/>
        </w:rPr>
      </w:pPr>
    </w:p>
    <w:p>
      <w:pPr>
        <w:jc w:val="both"/>
        <w:ind w:left="-8" w:right="20" w:firstLine="233"/>
        <w:spacing w:after="0" w:line="342"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conflict of interest transaction is a transaction with the Corporation in which a Director of the Corporation has a material direct or indirect interest. A conflict of interest transaction is not voidable by the Corporation solely because of the Director’s interest in the transaction if any one of the following is true:</w:t>
      </w:r>
    </w:p>
    <w:p>
      <w:pPr>
        <w:spacing w:after="0" w:line="16" w:lineRule="exact"/>
        <w:rPr>
          <w:sz w:val="20"/>
          <w:szCs w:val="20"/>
          <w:color w:val="auto"/>
        </w:rPr>
      </w:pPr>
    </w:p>
    <w:p>
      <w:pPr>
        <w:ind w:left="-8" w:right="500" w:firstLine="233"/>
        <w:spacing w:after="0" w:line="277" w:lineRule="auto"/>
        <w:tabs>
          <w:tab w:leader="none" w:pos="4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facts of the transaction and the Director’s interest were disclosed or known to the Board of Directors or a committee of the Board of Directors and the Board of Directors or committee authorized, approved or ratified the transaction;</w:t>
      </w:r>
    </w:p>
    <w:p>
      <w:pPr>
        <w:spacing w:after="0" w:line="62" w:lineRule="exact"/>
        <w:rPr>
          <w:rFonts w:ascii="Arial" w:cs="Arial" w:eastAsia="Arial" w:hAnsi="Arial"/>
          <w:sz w:val="18"/>
          <w:szCs w:val="18"/>
          <w:color w:val="auto"/>
        </w:rPr>
      </w:pPr>
    </w:p>
    <w:p>
      <w:pPr>
        <w:ind w:left="-8" w:right="560" w:firstLine="233"/>
        <w:spacing w:after="0" w:line="277" w:lineRule="auto"/>
        <w:tabs>
          <w:tab w:leader="none" w:pos="4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facts of the transaction and the Director’s interest were disclosed or known to the shareholders entitled to vote and they authorized, approved or ratified the transaction; or</w:t>
      </w:r>
    </w:p>
    <w:p>
      <w:pPr>
        <w:spacing w:after="0" w:line="62" w:lineRule="exact"/>
        <w:rPr>
          <w:rFonts w:ascii="Arial" w:cs="Arial" w:eastAsia="Arial" w:hAnsi="Arial"/>
          <w:sz w:val="18"/>
          <w:szCs w:val="18"/>
          <w:color w:val="auto"/>
        </w:rPr>
      </w:pPr>
    </w:p>
    <w:p>
      <w:pPr>
        <w:ind w:left="472" w:hanging="247"/>
        <w:spacing w:after="0"/>
        <w:tabs>
          <w:tab w:leader="none" w:pos="4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transaction was fair to the Corporation.</w:t>
      </w:r>
    </w:p>
    <w:p>
      <w:pPr>
        <w:spacing w:after="0" w:line="117" w:lineRule="exact"/>
        <w:rPr>
          <w:sz w:val="20"/>
          <w:szCs w:val="20"/>
          <w:color w:val="auto"/>
        </w:rPr>
      </w:pPr>
    </w:p>
    <w:p>
      <w:pPr>
        <w:ind w:left="-8" w:right="160" w:firstLine="233"/>
        <w:spacing w:after="0" w:line="277" w:lineRule="auto"/>
        <w:tabs>
          <w:tab w:leader="none" w:pos="4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purposes of this Section 2.19, and without limiting the interests that may create conflict of interest transactions, a Director of the Corporation has an indirect interest in a</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transaction if: (1) another entity in which he or she has a material financial interest or in which he or she is a general partner is a party to the transaction; or</w:t>
      </w:r>
    </w:p>
    <w:p>
      <w:pPr>
        <w:spacing w:after="0" w:line="46" w:lineRule="exact"/>
        <w:rPr>
          <w:sz w:val="20"/>
          <w:szCs w:val="20"/>
          <w:color w:val="auto"/>
        </w:rPr>
      </w:pPr>
    </w:p>
    <w:p>
      <w:pPr>
        <w:ind w:firstLine="8"/>
        <w:spacing w:after="0" w:line="26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another entity of which he or she is a director, officer or trustee or in which he or she holds another position is a party to the transaction and the transaction is or should be considered by the Board of Directors.</w:t>
      </w:r>
    </w:p>
    <w:p>
      <w:pPr>
        <w:spacing w:after="0" w:line="75" w:lineRule="exact"/>
        <w:rPr>
          <w:rFonts w:ascii="Arial" w:cs="Arial" w:eastAsia="Arial" w:hAnsi="Arial"/>
          <w:sz w:val="18"/>
          <w:szCs w:val="18"/>
          <w:color w:val="auto"/>
        </w:rPr>
      </w:pPr>
    </w:p>
    <w:p>
      <w:pPr>
        <w:ind w:right="80" w:firstLine="233"/>
        <w:spacing w:after="0" w:line="293" w:lineRule="auto"/>
        <w:tabs>
          <w:tab w:leader="none" w:pos="470" w:val="left"/>
        </w:tabs>
        <w:numPr>
          <w:ilvl w:val="1"/>
          <w:numId w:val="25"/>
        </w:numPr>
        <w:rPr>
          <w:rFonts w:ascii="Arial" w:cs="Arial" w:eastAsia="Arial" w:hAnsi="Arial"/>
          <w:sz w:val="16"/>
          <w:szCs w:val="16"/>
          <w:color w:val="auto"/>
        </w:rPr>
      </w:pPr>
      <w:r>
        <w:rPr>
          <w:rFonts w:ascii="Arial" w:cs="Arial" w:eastAsia="Arial" w:hAnsi="Arial"/>
          <w:sz w:val="16"/>
          <w:szCs w:val="16"/>
          <w:color w:val="auto"/>
        </w:rPr>
        <w:t>For purposes of clause (1) of subsection (a) of this Section 2.19, a conflict of interest transaction is authorized, approved or ratified if it receives the affirmative vote of a majority of the Directors on the Board of Directors (or on the committee) who have no direct or indirect interest in the transaction, but a transaction may not be authorized, approved or ratified under this Section 2.19 by a single Director. If a majority of the Directors who have no direct or indirect interest in the transaction vote to authorize, approve or ratify the transaction, a quorum is present for the purpose of taking action under this Section 2.19. The presence of, or a vote cast by, a Director with a direct or indirect interest in the transaction does not affect the validity of any action taken under clause (1) of subsection (a) of this Section 2.19 if the transaction is otherwise authorized, approved or ratified as provided in that subsection.</w:t>
      </w:r>
    </w:p>
    <w:p>
      <w:pPr>
        <w:spacing w:after="0" w:line="56" w:lineRule="exact"/>
        <w:rPr>
          <w:rFonts w:ascii="Arial" w:cs="Arial" w:eastAsia="Arial" w:hAnsi="Arial"/>
          <w:sz w:val="16"/>
          <w:szCs w:val="16"/>
          <w:color w:val="auto"/>
        </w:rPr>
      </w:pPr>
    </w:p>
    <w:p>
      <w:pPr>
        <w:ind w:right="20" w:firstLine="233"/>
        <w:spacing w:after="0" w:line="272" w:lineRule="auto"/>
        <w:tabs>
          <w:tab w:leader="none" w:pos="4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For purposes of clause (2) of subsection (a) of this Section 2.19, a conflict of interest transaction is authorized, approved or ratified if it receives the vote of a majority of the shares entitled to be counted under this subsection (d). Shares owned by or voted under the control of a Director who has a direct or indirect interest in the transaction, and shares owned by or voted under the control of an entity described in clause (1) of subsection (b) of this Section 2.19, may not be counted in a vote of shareholders to determine whether to authorize, approve or ratify a conflict of interest transaction under clause (2) of subsection (a) of this Section 2.19. The vote of those shares, however, is counted in determining whether the transaction is approved under other provisions of these Bylaws. A majority of the shares, whether or not present, that are entitled to be counted in a vote on the transaction under this subsection constitutes a quorum for the purpose of taking action under this Section 2.19.</w:t>
      </w:r>
    </w:p>
    <w:p>
      <w:pPr>
        <w:spacing w:after="0" w:line="28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MANNER OF NOTICE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notices provided for under these Bylaws shall conform to the following requirements:</w:t>
      </w:r>
    </w:p>
    <w:p>
      <w:pPr>
        <w:spacing w:after="0" w:line="117" w:lineRule="exact"/>
        <w:rPr>
          <w:sz w:val="20"/>
          <w:szCs w:val="20"/>
          <w:color w:val="auto"/>
        </w:rPr>
      </w:pPr>
    </w:p>
    <w:p>
      <w:pPr>
        <w:ind w:left="480" w:hanging="24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Notice shall be in writing unless oral notice is reasonable under the circumstances. Notice by electronic transmission is written notice.</w:t>
      </w:r>
    </w:p>
    <w:p>
      <w:pPr>
        <w:spacing w:after="0" w:line="117" w:lineRule="exact"/>
        <w:rPr>
          <w:rFonts w:ascii="Arial" w:cs="Arial" w:eastAsia="Arial" w:hAnsi="Arial"/>
          <w:sz w:val="18"/>
          <w:szCs w:val="18"/>
          <w:color w:val="auto"/>
        </w:rPr>
      </w:pPr>
    </w:p>
    <w:p>
      <w:pPr>
        <w:ind w:right="20" w:firstLine="233"/>
        <w:spacing w:after="0" w:line="264"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Notice may be communicated in person; by telephone, voice mail, telegraph, teletype or other electronic means; by mail; by electronic transmission; or by messenger or delivery service. If these forms of personal notice are impracticable, notice may be communicated by a newspaper of general circulation in the area where published; or by radio, television or other form of public broadcast communication.</w:t>
      </w:r>
    </w:p>
    <w:p>
      <w:pPr>
        <w:spacing w:after="0" w:line="73" w:lineRule="exact"/>
        <w:rPr>
          <w:rFonts w:ascii="Arial" w:cs="Arial" w:eastAsia="Arial" w:hAnsi="Arial"/>
          <w:sz w:val="18"/>
          <w:szCs w:val="18"/>
          <w:color w:val="auto"/>
        </w:rPr>
      </w:pPr>
    </w:p>
    <w:p>
      <w:pPr>
        <w:ind w:right="160" w:firstLine="233"/>
        <w:spacing w:after="0" w:line="277" w:lineRule="auto"/>
        <w:tabs>
          <w:tab w:leader="none" w:pos="4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Written notice, other than notice by electronic transmission, if in a comprehensible form, is effective upon deposit in the United States mail, if mailed postpaid and correctly addressed to the addressee’s address shown in the Corporation’s current records.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180" w:firstLine="233"/>
        <w:spacing w:after="0" w:line="291" w:lineRule="auto"/>
        <w:tabs>
          <w:tab w:leader="none" w:pos="477" w:val="left"/>
        </w:tabs>
        <w:numPr>
          <w:ilvl w:val="1"/>
          <w:numId w:val="27"/>
        </w:numPr>
        <w:rPr>
          <w:rFonts w:ascii="Arial" w:cs="Arial" w:eastAsia="Arial" w:hAnsi="Arial"/>
          <w:sz w:val="16"/>
          <w:szCs w:val="16"/>
          <w:color w:val="auto"/>
        </w:rPr>
      </w:pPr>
      <w:r>
        <w:rPr>
          <w:rFonts w:ascii="Arial" w:cs="Arial" w:eastAsia="Arial" w:hAnsi="Arial"/>
          <w:sz w:val="16"/>
          <w:szCs w:val="16"/>
          <w:color w:val="auto"/>
        </w:rPr>
        <w:t>Written notice by electronic transmission, if in comprehensible form, is effective: (1) if by facsimile telecommunication, when directed to a number furnished by the addressee for the purpose; (2) if by electronic mail, when directed to an electronic mail address furnished by the addressee for the purpose;</w:t>
      </w:r>
    </w:p>
    <w:p>
      <w:pPr>
        <w:ind w:right="100" w:firstLine="8"/>
        <w:spacing w:after="0" w:line="271" w:lineRule="auto"/>
        <w:tabs>
          <w:tab w:leader="none" w:pos="2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addressee of such specific posting, directed to an electronic mail address furnished by the addressee for the purpose, upon the later of (i) such posting and (ii) the giving of such separate notice; and (4) if by any other form of electronic transmission, when directed to the addressee in such manner as the addressee shall have specified to the Corporation. An affidavit of the Secretary or an Assistant Secretary of the Corporation, the transfer agent or other agent of the Corporation that the notice has been given by a form of electronic transmission shall, in the absence of fraud, be prima facie evidence of the facts stated therein.</w:t>
      </w:r>
    </w:p>
    <w:p>
      <w:pPr>
        <w:spacing w:after="0" w:line="70" w:lineRule="exact"/>
        <w:rPr>
          <w:rFonts w:ascii="Arial" w:cs="Arial" w:eastAsia="Arial" w:hAnsi="Arial"/>
          <w:sz w:val="17"/>
          <w:szCs w:val="17"/>
          <w:color w:val="auto"/>
        </w:rPr>
      </w:pPr>
    </w:p>
    <w:p>
      <w:pPr>
        <w:jc w:val="center"/>
        <w:ind w:firstLine="233"/>
        <w:spacing w:after="0" w:line="291" w:lineRule="auto"/>
        <w:tabs>
          <w:tab w:leader="none" w:pos="47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Except as provided in subsection (c) of this Article III, written notice, other than notice by electronic transmission, if in a comprehensible form, is effective at the earliest of the following: (1) when received; (2) five days after its deposit in the United States mail, if mailed postpaid and correctly addressed;</w:t>
      </w:r>
    </w:p>
    <w:p>
      <w:pPr>
        <w:ind w:right="140" w:firstLine="8"/>
        <w:spacing w:after="0" w:line="290"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the date shown on the return receipt, if sent by registered or certified mail, return receipt requested; or if sent by messenger or delivery service, on the date shown on the return receipt signed by or on behalf of the addressee; or (4) on the date of publication if notice by publication is permitted.</w:t>
      </w:r>
    </w:p>
    <w:p>
      <w:pPr>
        <w:spacing w:after="0" w:line="53" w:lineRule="exact"/>
        <w:rPr>
          <w:rFonts w:ascii="Arial" w:cs="Arial" w:eastAsia="Arial" w:hAnsi="Arial"/>
          <w:sz w:val="17"/>
          <w:szCs w:val="17"/>
          <w:color w:val="auto"/>
        </w:rPr>
      </w:pPr>
    </w:p>
    <w:p>
      <w:pPr>
        <w:ind w:left="460" w:hanging="227"/>
        <w:spacing w:after="0"/>
        <w:tabs>
          <w:tab w:leader="none" w:pos="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Oral notice is effective when communicated if communicated in a comprehensible manner.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121"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4.1. Enumeration. The Corporation shall have a President, a Treasurer, a Secretary and such other officers as may be appointed by the Board of Directors from time to time in accordance with these Bylaws, including, but not limited to, a Chairman of the Board, a Vice Chairman of the Board, a Chief Executive Officer and one or more Vice Presidents, Assistant Treasurers and Assistant Secretaries.</w:t>
      </w:r>
    </w:p>
    <w:p>
      <w:pPr>
        <w:spacing w:after="0" w:line="73"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4.2. Appointment. The officers shall be appointed by the Board of Directors. A duly appointed officer may appoint one or more officers or assistant officers if authorized by the Board of Directors. Each officer has the authority and shall perform the duties set forth in these Bylaws or, to the extent consistent with these Bylaws, the duties prescribed by the Board of Directors or by direction of an officer authorized by the Board of Directors to prescribe the duties of other officers. The appointment of an officer shall not itself create contract rights.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4.3. Qualification. The same individual may simultaneously hold more than one office in the Corporation. No officer need be a shareholder.</w:t>
      </w:r>
    </w:p>
    <w:p>
      <w:pPr>
        <w:spacing w:after="0" w:line="117"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4.4. Tenure. Except as otherwise provided by law, the Articles of Organization or these Bylaws, each officer shall hold office until his or her successor is duly appointed, unless a different term is specified in the vote appointing him or her, or until his or her earlier death, resignation or removal.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100" w:firstLine="225"/>
        <w:spacing w:after="0" w:line="279" w:lineRule="auto"/>
        <w:rPr>
          <w:sz w:val="20"/>
          <w:szCs w:val="20"/>
          <w:color w:val="auto"/>
        </w:rPr>
      </w:pPr>
      <w:r>
        <w:rPr>
          <w:rFonts w:ascii="Arial" w:cs="Arial" w:eastAsia="Arial" w:hAnsi="Arial"/>
          <w:sz w:val="17"/>
          <w:szCs w:val="17"/>
          <w:color w:val="auto"/>
        </w:rPr>
        <w:t>4.5. Resignation. An officer may resign at any time by delivering notice of the resignation to the Corporation. A resignation is effective when the notice is delivered unless the notice specifies a later effective date.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 officer’s resignation shall not affect the Corporation’s contract rights, if any, with the officer.</w:t>
      </w:r>
    </w:p>
    <w:p>
      <w:pPr>
        <w:spacing w:after="0" w:line="6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4.6. Removal. The Board of Directors may remove any officer at any time with or without cause. An officer’s removal shall not affect the officer’s contract rights, if any, with the Corporation.</w:t>
      </w:r>
    </w:p>
    <w:p>
      <w:pPr>
        <w:spacing w:after="0" w:line="62"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4.7. Vacancies. The Board of Directors may fill any vacancy occurring in any office for any reason and may, in its discretion, leave unfilled for such period as it may determine any offices other than those of President, Treasurer and Secretary. Each such successor shall hold office for the unexpired term of his or her predecessor and until his or her successor is duly appointed, or until he or she sooner dies, resigns or is removed.</w:t>
      </w:r>
    </w:p>
    <w:p>
      <w:pPr>
        <w:spacing w:after="0" w:line="5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4.8. Chairman of the Board and Vice Chairman of the Board. The Board of Directors may appoint from its members a Chairman of the Board, who need not be an employee or officer of the Corporation. If the Board of Directors appoints a Chairman of the Board, he or she shall perform such duties and possess such powers as are assigned to him or her by the Board of Directors and, if the Chairman of the Board is also designated as the Corporation’s Chief Executive Officer, shall have the powers and duties of the Chief Executive Officer prescribed in Section 4.9 of these Bylaws. Unless otherwise provided by the Board of Directors, the Chairman of the Board shall preside at all meetings of the Board of Directors and shareholders.</w:t>
      </w:r>
    </w:p>
    <w:p>
      <w:pPr>
        <w:spacing w:after="0" w:line="64"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If the Board of Directors appoints a Vice Chairman of the Board, he or she shall, in the event of the absence, inability or refusal to act of the Chairman of the Board, perform the duties and exercise the powers of the Chairman of the Board and shall perform such other duties and possess such other powers as may from time to time be vested in him or her by the Board of Directors.</w:t>
      </w:r>
    </w:p>
    <w:p>
      <w:pPr>
        <w:spacing w:after="0" w:line="73"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4.9. President; Chief Executive Officer. Unless the Board of Directors has designated the Chairman of the Board or another person as Chief Executive Officer, the President shall be the Chief Executive Officer. The Chief Executive Officer shall have general charge and supervision of the business of the Corporation, subject to the direction of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right="140" w:firstLine="225"/>
        <w:spacing w:after="0" w:line="264" w:lineRule="auto"/>
        <w:rPr>
          <w:sz w:val="20"/>
          <w:szCs w:val="20"/>
          <w:color w:val="auto"/>
        </w:rPr>
      </w:pPr>
      <w:r>
        <w:rPr>
          <w:rFonts w:ascii="Arial" w:cs="Arial" w:eastAsia="Arial" w:hAnsi="Arial"/>
          <w:sz w:val="18"/>
          <w:szCs w:val="18"/>
          <w:color w:val="auto"/>
        </w:rPr>
        <w:t>4.10. Vice Presidents. Any Vice President shall perform such duties and shall possess such powers as the Board of Directors, the Chief Executive Officer or the President may from time to time prescribe. The Board of Directors may assign to any Vice President the title Executive Vice President, Senior Vice President or any other title selected by the Board of Directors.</w:t>
      </w:r>
    </w:p>
    <w:p>
      <w:pPr>
        <w:spacing w:after="0" w:line="73"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4.11. Treasurer and Assistant Treasurers. The Treasurer shall perform such duties and shall have such powers as may from time to time be assigned to him or her by the Board of Directors, the Chief Executive Officer or the President.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to disburse such funds as ordered by the Board of Directors, the Chief Executive Officer or the President, to make proper accounts of such funds, and to render as required by the Board of Directors, the Chief Executive Officer or the President statements of all such transactions and of the financial condition of the Corporation.</w:t>
      </w:r>
    </w:p>
    <w:p>
      <w:pPr>
        <w:spacing w:after="0" w:line="70" w:lineRule="exact"/>
        <w:rPr>
          <w:sz w:val="20"/>
          <w:szCs w:val="20"/>
          <w:color w:val="auto"/>
        </w:rPr>
      </w:pPr>
    </w:p>
    <w:p>
      <w:pPr>
        <w:ind w:right="140" w:firstLine="125"/>
        <w:spacing w:after="0" w:line="312" w:lineRule="auto"/>
        <w:rPr>
          <w:sz w:val="20"/>
          <w:szCs w:val="20"/>
          <w:color w:val="auto"/>
        </w:rPr>
      </w:pPr>
      <w:r>
        <w:rPr>
          <w:rFonts w:ascii="Arial" w:cs="Arial" w:eastAsia="Arial" w:hAnsi="Arial"/>
          <w:sz w:val="16"/>
          <w:szCs w:val="16"/>
          <w:color w:val="auto"/>
        </w:rPr>
        <w:t>Any Assistant Treasurer shall perform such duties and possess such powers as the Board of Directors, the Chief Executive Officer, the President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3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4.12. Secretary and Assistant Secretaries. The Secretary shall perform such duties and shall possess such powers as the Board of Directors, the Chief Executive Officer or the President may from time to time prescribe. In addition, the Secretary shall perform such duties and shall have such powers as are incident to the office of the secretary, including without limitation the duty and power to give notices of all meetings of shareholders and Directors, to attend all meetings of shareholders and Directors, to prepare minutes of the meetings of shareholders and Directors, to authenticate the records of the Corporation, to maintain a stock ledger and prepare lists of shareholders and their addresses as required, to be custodian of corporate records and the corporate seal and to affix and attest to the same on documents.</w:t>
      </w:r>
    </w:p>
    <w:p>
      <w:pPr>
        <w:spacing w:after="0" w:line="85" w:lineRule="exact"/>
        <w:rPr>
          <w:sz w:val="20"/>
          <w:szCs w:val="20"/>
          <w:color w:val="auto"/>
        </w:rPr>
      </w:pPr>
    </w:p>
    <w:p>
      <w:pPr>
        <w:jc w:val="both"/>
        <w:ind w:right="100" w:firstLine="440"/>
        <w:spacing w:after="0" w:line="312"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3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shareholders or Directors, the person presiding at the meeting shall designate a temporary secretary to prepare the minutes of the meeting.</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4.13. Salaries. Officers of the Corporation shall be entitled to such salaries, compensation or reimbursement as shall be fixed or allowed from time to time by the Board of Directors.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firstLine="225"/>
        <w:spacing w:after="0" w:line="284" w:lineRule="auto"/>
        <w:rPr>
          <w:sz w:val="20"/>
          <w:szCs w:val="20"/>
          <w:color w:val="auto"/>
        </w:rPr>
      </w:pPr>
      <w:r>
        <w:rPr>
          <w:rFonts w:ascii="Arial" w:cs="Arial" w:eastAsia="Arial" w:hAnsi="Arial"/>
          <w:sz w:val="16"/>
          <w:szCs w:val="16"/>
          <w:color w:val="auto"/>
        </w:rPr>
        <w:t>4.14. Standard of Conduct for Officers. An officer shall discharge his or her duties: (a) in good faith; (b) with the care that a person in a like position would reasonably exercise under similar circumstances; and (c) in a manner the officer reasonably believes to be in the best interests of the Corporation. In discharging his or her duties, an officer who does not have knowledge that makes reliance unwarranted is entitled to rely on information, opinions, reports or statements, including financial statements and other financial data, if prepared or presented by: (1) one or more officers or employees of the Corporation whom the officer reasonably believes to be reliable and competent with respect to the information, opinions, reports or statements presented; or (2) legal counsel, public accountants or other persons retained by the Corporation as to matters involving skills or expertise the officer reasonably believes are matters</w:t>
      </w:r>
    </w:p>
    <w:p>
      <w:pPr>
        <w:spacing w:after="0" w:line="5" w:lineRule="exact"/>
        <w:rPr>
          <w:sz w:val="20"/>
          <w:szCs w:val="20"/>
          <w:color w:val="auto"/>
        </w:rPr>
      </w:pPr>
    </w:p>
    <w:p>
      <w:pPr>
        <w:ind w:right="60" w:firstLine="8"/>
        <w:spacing w:after="0" w:line="255"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within the particular person’s professional or expert competence or (ii) as to which the particular person merits confidence. An officer shall not be liable to the Corporation or its shareholders for any decision to take or not to take any action taken, or any failure to take any action, as an officer, if the duties of the officer are performed in compliance with this Section 4.14.</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RELATING TO SHARES</w:t>
      </w:r>
    </w:p>
    <w:p>
      <w:pPr>
        <w:spacing w:after="0" w:line="121"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5.1. Issuance and Consideration. The Board of Directors may issue the number of shares of each class or series authorized by the Articles of Organization. The Board of Directors may authorize shares to be issued for consideration consisting of any tangible or intangible property or benefit to the Corporation, including cash, promissory notes, services performed, contracts for services to be performed, or other securities of the Corporation. Before the Corporation issues shares, the Board of Directors shall determine that the consideration received or to be received for shares to be issued is adequate. The Board of Directors shall determine the terms upon which the rights, options or warrants for the purchase of shares or other securities of the Corporation are issued and the terms, including the consideration, for which the shares or other securities are to be issued.</w:t>
      </w:r>
    </w:p>
    <w:p>
      <w:pPr>
        <w:spacing w:after="0" w:line="70"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color w:val="auto"/>
        </w:rPr>
        <w:t>5.2. Share Certificates. If shares are represented by certificates, at a minimum each share certificate shall state on its face: (a) the name of the Corporation and that it is organized under the laws of The Commonwealth of Massachusetts; (b) the name of the person to whom issued; and (c) the number and class of shares and the designation of the series, if any, the certificate represents. Every certificate for shares of stock that are subject to any restriction on the transfer or registration of transfer of such shares pursuant to the Articles of Organization, these Bylaws, an agreement among shareholders or an agreement among shareholders and the Corporation, shall have conspicuously noted on the front or back of such certificate the existence of such restrictions. If different classes of shares or different series within a class are authorized, then the variations in rights, preferences and limitations applicable to each class and series, and the authority of the Board of Directors to determine variations for any future class or series, must be summarized on the front or back of each certificate. Alternatively, each certificate may state conspicuously on its front or back that the Corporation will furnish the shareholder this information on request in writing and without charge. Each share certificate shall be signed, either manually or in facsimile, by the Chief Executive Officer, the President or a Vice President and by the Treasurer or an Assistant Treasurer or the Secretary or an Assistant Secretary, or any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two officers designated by the Board of Directors, and may bear the corporate seal or its facsimile. If the person who signed, either manually or in facsimile, a share certificate no longer holds office when the certificate is issued, the certificate shall be nevertheless valid.</w:t>
      </w:r>
    </w:p>
    <w:p>
      <w:pPr>
        <w:spacing w:after="0" w:line="62"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5.3. Uncertificated Shares. The Board of Directors may authorize the issue of some or all of the shares of any or all of the Corporation’s classes or series without certificates. The authorization shall not affect shares already represented by certificates until they are surrendered to the Corporation. Within a reasonable time after the issue or transfer of shares without certificates, the Corporation shall send the shareholder a written statement of the information required by the MBCA to be on certificates.</w:t>
      </w:r>
    </w:p>
    <w:p>
      <w:pPr>
        <w:spacing w:after="0" w:line="7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5.4. Transfers; Record and Beneficial Owners. Subject to the restrictions, if any, stated or noted on the stock certificates,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The Corporation shall be entitled to treat the record holder of shares as shown on its books as the owner of such shares for all purposes, including the payment of dividends and other distributions and the right to vote with respect thereto, regardless of any transfer, pledge or other disposition of such shares until the shares have been transferred on the books of the Corporation in accordance with the requirements of these Bylaws. Notwithstanding anything to the contrary herein, to the extent the Board of Directors has established a procedure by which the beneficial owner of shares that are registered in the name of a nominee will be recognized by the Corporation as a shareholder, the Corporation shall be entitled to treat the beneficial owner of shares as the shareholder to the extent of the rights granted by a nominee certificate on file with the Corporation.</w:t>
      </w:r>
    </w:p>
    <w:p>
      <w:pPr>
        <w:spacing w:after="0" w:line="5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5.5. Replacement of Certificates. The Board of Directors may, subject to applicable law, determine the conditions upon which a new share certificate may be issued in place of any certificate alleged to have been lost, destroyed or wrongfully taken. The Board of Directors may, in its discretion, require the owner of such share certificate, or his or her legal representative, to give a bond, sufficient in its opinion, with or without surety, to indemnify the Corporation against any loss or claim which may arise by reason of the issue of the new certificate.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RECORDS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6.1. Records to be Kept.</w:t>
      </w:r>
    </w:p>
    <w:p>
      <w:pPr>
        <w:spacing w:after="0" w:line="117" w:lineRule="exact"/>
        <w:rPr>
          <w:sz w:val="20"/>
          <w:szCs w:val="20"/>
          <w:color w:val="auto"/>
        </w:rPr>
      </w:pPr>
    </w:p>
    <w:p>
      <w:pPr>
        <w:ind w:firstLine="233"/>
        <w:spacing w:after="0" w:line="257" w:lineRule="auto"/>
        <w:tabs>
          <w:tab w:leader="none" w:pos="4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shall keep as permanent records minutes of all meetings of its shareholders and Board of Directors, a record of all actions taken by the shareholders or Board of Directors without a meeting, and a record of all actions taken by a committee of the Board of Directors in place of the Board of Directors on behalf of the Corporation. The Corporation shall maintain appropriate accounting records. The Corporation or its agent shall maintain a record of its shareholders, in a form that permits preparation of a list of the names and addresses of all shareholders, in alphabetical order by class of shares showing the number and class of shares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held by each. The Corporation shall maintain its records in written form or in another form capable of conversion into written form within a reasonable time.</w:t>
      </w:r>
    </w:p>
    <w:p>
      <w:pPr>
        <w:spacing w:after="0" w:line="140" w:lineRule="exact"/>
        <w:rPr>
          <w:sz w:val="20"/>
          <w:szCs w:val="20"/>
          <w:color w:val="auto"/>
        </w:rPr>
      </w:pPr>
    </w:p>
    <w:p>
      <w:pPr>
        <w:ind w:right="520" w:firstLine="233"/>
        <w:spacing w:after="0" w:line="277" w:lineRule="auto"/>
        <w:tabs>
          <w:tab w:leader="none" w:pos="47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Corporation shall keep within The Commonwealth of Massachusetts a copy of the following records at its principal office or an office of its transfer agent or of its Secretary or Assistant Secretary or of its registered agent: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its Articles or Restated Articles of Organization and all amendments to them currently in effect;</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its Bylaws or Restated Bylaws and all amendments to them currently in effect;</w:t>
      </w:r>
    </w:p>
    <w:p>
      <w:pPr>
        <w:spacing w:after="0" w:line="117" w:lineRule="exact"/>
        <w:rPr>
          <w:rFonts w:ascii="Arial" w:cs="Arial" w:eastAsia="Arial" w:hAnsi="Arial"/>
          <w:sz w:val="18"/>
          <w:szCs w:val="18"/>
          <w:color w:val="auto"/>
        </w:rPr>
      </w:pPr>
    </w:p>
    <w:p>
      <w:pPr>
        <w:ind w:right="560" w:firstLine="458"/>
        <w:spacing w:after="0" w:line="277" w:lineRule="auto"/>
        <w:tabs>
          <w:tab w:leader="none" w:pos="7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resolutions adopted by its Board of Directors creating one or more classes or series of shares, and fixing their relative rights, preferences and limitations, if shares issued pursuant to those resolutions are outstanding;</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minutes of all shareholders’ meetings, and records of all action taken by shareholders without a meeting, for the past three years;</w:t>
      </w:r>
    </w:p>
    <w:p>
      <w:pPr>
        <w:spacing w:after="0" w:line="117" w:lineRule="exact"/>
        <w:rPr>
          <w:rFonts w:ascii="Arial" w:cs="Arial" w:eastAsia="Arial" w:hAnsi="Arial"/>
          <w:sz w:val="18"/>
          <w:szCs w:val="18"/>
          <w:color w:val="auto"/>
        </w:rPr>
      </w:pPr>
    </w:p>
    <w:p>
      <w:pPr>
        <w:ind w:firstLine="458"/>
        <w:spacing w:after="0" w:line="277" w:lineRule="auto"/>
        <w:tabs>
          <w:tab w:leader="none" w:pos="7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written communications to shareholders generally within the past three years, including the financial statements furnished under Section 16.20 of the MBCA, or any successor Section thereto, for the past three years;</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list of the names and business addresses of its current Directors and officers; and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its most recent annual report delivered to the Massachusetts Secretary of State.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6.2. Inspection of Records by Shareholders.</w:t>
      </w:r>
    </w:p>
    <w:p>
      <w:pPr>
        <w:spacing w:after="0" w:line="117" w:lineRule="exact"/>
        <w:rPr>
          <w:sz w:val="20"/>
          <w:szCs w:val="20"/>
          <w:color w:val="auto"/>
        </w:rPr>
      </w:pPr>
    </w:p>
    <w:p>
      <w:pPr>
        <w:ind w:right="40" w:firstLine="233"/>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shareholder is entitled to inspect and copy, during regular business hours at the office where they are maintained pursuant to Section 6.1(b) of these Bylaws, copies of any of the records of the Corporation described in said Section 6.1(b) if he or she gives the Corporation written notice of his or her demand at least five business days before the date on which he or she wishes to inspect and copy.</w:t>
      </w:r>
    </w:p>
    <w:p>
      <w:pPr>
        <w:spacing w:after="0" w:line="73" w:lineRule="exact"/>
        <w:rPr>
          <w:rFonts w:ascii="Arial" w:cs="Arial" w:eastAsia="Arial" w:hAnsi="Arial"/>
          <w:sz w:val="18"/>
          <w:szCs w:val="18"/>
          <w:color w:val="auto"/>
        </w:rPr>
      </w:pPr>
    </w:p>
    <w:p>
      <w:pPr>
        <w:ind w:firstLine="233"/>
        <w:spacing w:after="0" w:line="264" w:lineRule="auto"/>
        <w:tabs>
          <w:tab w:leader="none" w:pos="4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shareholder is entitled to inspect and copy, during regular business hours at a reasonable location specified by the Corporation, any of the following records of the Corporation if the shareholder meets the requirements of subsection (c) of this Section 6.2 and gives the Corporation written notice of his or her demand at least five business days before the date on which he or she wishes to inspect and copy:</w:t>
      </w:r>
    </w:p>
    <w:p>
      <w:pPr>
        <w:spacing w:after="0" w:line="73" w:lineRule="exact"/>
        <w:rPr>
          <w:rFonts w:ascii="Arial" w:cs="Arial" w:eastAsia="Arial" w:hAnsi="Arial"/>
          <w:sz w:val="18"/>
          <w:szCs w:val="18"/>
          <w:color w:val="auto"/>
        </w:rPr>
      </w:pPr>
    </w:p>
    <w:p>
      <w:pPr>
        <w:ind w:firstLine="458"/>
        <w:spacing w:after="0" w:line="286" w:lineRule="auto"/>
        <w:tabs>
          <w:tab w:leader="none" w:pos="705" w:val="left"/>
        </w:tabs>
        <w:numPr>
          <w:ilvl w:val="1"/>
          <w:numId w:val="33"/>
        </w:numPr>
        <w:rPr>
          <w:rFonts w:ascii="Arial" w:cs="Arial" w:eastAsia="Arial" w:hAnsi="Arial"/>
          <w:sz w:val="17"/>
          <w:szCs w:val="17"/>
          <w:color w:val="auto"/>
        </w:rPr>
      </w:pPr>
      <w:r>
        <w:rPr>
          <w:rFonts w:ascii="Arial" w:cs="Arial" w:eastAsia="Arial" w:hAnsi="Arial"/>
          <w:sz w:val="17"/>
          <w:szCs w:val="17"/>
          <w:color w:val="auto"/>
        </w:rPr>
        <w:t>excerpts from minutes reflecting action taken at any meeting of the Board of Directors, records of any action of a committee of the Board of Directors while acting in place of the Board of Directors on behalf of the Corporation, minutes of any meeting of the shareholders, and records of action taken by the shareholders or Board of Directors without a meeting, to the extent not subject to inspection under subsection (a) of this Section 6.2;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ind w:left="-20" w:firstLine="458"/>
        <w:spacing w:after="0" w:line="308" w:lineRule="auto"/>
        <w:tabs>
          <w:tab w:leader="none" w:pos="685" w:val="left"/>
        </w:tabs>
        <w:numPr>
          <w:ilvl w:val="1"/>
          <w:numId w:val="34"/>
        </w:numPr>
        <w:rPr>
          <w:rFonts w:ascii="Arial" w:cs="Arial" w:eastAsia="Arial" w:hAnsi="Arial"/>
          <w:sz w:val="17"/>
          <w:szCs w:val="17"/>
          <w:color w:val="auto"/>
        </w:rPr>
      </w:pPr>
      <w:r>
        <w:rPr>
          <w:rFonts w:ascii="Arial" w:cs="Arial" w:eastAsia="Arial" w:hAnsi="Arial"/>
          <w:sz w:val="17"/>
          <w:szCs w:val="17"/>
          <w:color w:val="auto"/>
        </w:rPr>
        <w:t>accounting records of the Corporation, but if the financial statements of the Corporation are audited by a certified public accountant, inspection shall be limited to the financial statements and the supporting schedules reasonably necessary to verify any line item on those statements; and</w:t>
      </w:r>
    </w:p>
    <w:p>
      <w:pPr>
        <w:spacing w:after="0" w:line="38" w:lineRule="exact"/>
        <w:rPr>
          <w:rFonts w:ascii="Arial" w:cs="Arial" w:eastAsia="Arial" w:hAnsi="Arial"/>
          <w:sz w:val="17"/>
          <w:szCs w:val="17"/>
          <w:color w:val="auto"/>
        </w:rPr>
      </w:pPr>
    </w:p>
    <w:p>
      <w:pPr>
        <w:ind w:left="700" w:hanging="262"/>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record of shareholders described in Section 6.1(a) of these Bylaws.</w:t>
      </w:r>
    </w:p>
    <w:p>
      <w:pPr>
        <w:spacing w:after="0" w:line="117" w:lineRule="exact"/>
        <w:rPr>
          <w:rFonts w:ascii="Arial" w:cs="Arial" w:eastAsia="Arial" w:hAnsi="Arial"/>
          <w:sz w:val="18"/>
          <w:szCs w:val="18"/>
          <w:color w:val="auto"/>
        </w:rPr>
      </w:pPr>
    </w:p>
    <w:p>
      <w:pPr>
        <w:ind w:left="440" w:hanging="227"/>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shareholder may inspect and copy the records described in subsection (b) of this Section 6.2 only if:</w:t>
      </w:r>
    </w:p>
    <w:p>
      <w:pPr>
        <w:spacing w:after="0" w:line="117" w:lineRule="exact"/>
        <w:rPr>
          <w:rFonts w:ascii="Arial" w:cs="Arial" w:eastAsia="Arial" w:hAnsi="Arial"/>
          <w:sz w:val="18"/>
          <w:szCs w:val="18"/>
          <w:color w:val="auto"/>
        </w:rPr>
      </w:pPr>
    </w:p>
    <w:p>
      <w:pPr>
        <w:ind w:left="700" w:hanging="262"/>
        <w:spacing w:after="0"/>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his or her demand is made in good faith and for a proper purpose;</w:t>
      </w:r>
    </w:p>
    <w:p>
      <w:pPr>
        <w:spacing w:after="0" w:line="117" w:lineRule="exact"/>
        <w:rPr>
          <w:rFonts w:ascii="Arial" w:cs="Arial" w:eastAsia="Arial" w:hAnsi="Arial"/>
          <w:sz w:val="18"/>
          <w:szCs w:val="18"/>
          <w:color w:val="auto"/>
        </w:rPr>
      </w:pPr>
    </w:p>
    <w:p>
      <w:pPr>
        <w:ind w:left="700" w:hanging="262"/>
        <w:spacing w:after="0"/>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he or she describes with reasonable particularity his or her purpose and the records he or she desires to inspect;</w:t>
      </w:r>
    </w:p>
    <w:p>
      <w:pPr>
        <w:spacing w:after="0" w:line="117" w:lineRule="exact"/>
        <w:rPr>
          <w:rFonts w:ascii="Arial" w:cs="Arial" w:eastAsia="Arial" w:hAnsi="Arial"/>
          <w:sz w:val="18"/>
          <w:szCs w:val="18"/>
          <w:color w:val="auto"/>
        </w:rPr>
      </w:pPr>
    </w:p>
    <w:p>
      <w:pPr>
        <w:ind w:left="700" w:hanging="262"/>
        <w:spacing w:after="0"/>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records are directly connected with his or her purpose; and</w:t>
      </w:r>
    </w:p>
    <w:p>
      <w:pPr>
        <w:spacing w:after="0" w:line="117" w:lineRule="exact"/>
        <w:rPr>
          <w:rFonts w:ascii="Arial" w:cs="Arial" w:eastAsia="Arial" w:hAnsi="Arial"/>
          <w:sz w:val="18"/>
          <w:szCs w:val="18"/>
          <w:color w:val="auto"/>
        </w:rPr>
      </w:pPr>
    </w:p>
    <w:p>
      <w:pPr>
        <w:ind w:left="-20" w:right="140" w:firstLine="458"/>
        <w:spacing w:after="0" w:line="264" w:lineRule="auto"/>
        <w:tabs>
          <w:tab w:leader="none" w:pos="6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Corporation shall not have determined in good faith that disclosure of the records sought would adversely affect the Corporation in the conduct of its business or, in the case of a public corporation, constitutes material non-public information at the time when the shareholder’s notice of demand to inspect and copy is received by the Corporation.</w:t>
      </w:r>
    </w:p>
    <w:p>
      <w:pPr>
        <w:spacing w:after="0" w:line="73" w:lineRule="exact"/>
        <w:rPr>
          <w:rFonts w:ascii="Arial" w:cs="Arial" w:eastAsia="Arial" w:hAnsi="Arial"/>
          <w:sz w:val="18"/>
          <w:szCs w:val="18"/>
          <w:color w:val="auto"/>
        </w:rPr>
      </w:pPr>
    </w:p>
    <w:p>
      <w:pPr>
        <w:ind w:left="220" w:right="40" w:hanging="7"/>
        <w:spacing w:after="0" w:line="375" w:lineRule="auto"/>
        <w:tabs>
          <w:tab w:leader="none" w:pos="4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purposes of this Section 6.2, “shareholder” includes a beneficial owner whose shares are held in a voting trust or by a nominee on his or her behalf. 6.3. Scope of Inspection Right.</w:t>
      </w:r>
    </w:p>
    <w:p>
      <w:pPr>
        <w:spacing w:after="0" w:line="1" w:lineRule="exact"/>
        <w:rPr>
          <w:rFonts w:ascii="Arial" w:cs="Arial" w:eastAsia="Arial" w:hAnsi="Arial"/>
          <w:sz w:val="18"/>
          <w:szCs w:val="18"/>
          <w:color w:val="auto"/>
        </w:rPr>
      </w:pPr>
    </w:p>
    <w:p>
      <w:pPr>
        <w:ind w:left="440" w:hanging="227"/>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shareholder’s agent or attorney has the same inspection and copying rights as the shareholder represented.</w:t>
      </w:r>
    </w:p>
    <w:p>
      <w:pPr>
        <w:spacing w:after="0" w:line="117" w:lineRule="exact"/>
        <w:rPr>
          <w:sz w:val="20"/>
          <w:szCs w:val="20"/>
          <w:color w:val="auto"/>
        </w:rPr>
      </w:pPr>
    </w:p>
    <w:p>
      <w:pPr>
        <w:ind w:left="-20" w:right="840" w:firstLine="233"/>
        <w:spacing w:after="0" w:line="342" w:lineRule="auto"/>
        <w:tabs>
          <w:tab w:leader="none" w:pos="45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Corporation may, if reasonable, satisfy the right of a shareholder to copy records under Section 6.2 of these Bylaws by furnishing to the shareholder copies by photocopy or other means chosen by the Corporation, including copies furnished through an electronic transmission.</w:t>
      </w:r>
    </w:p>
    <w:p>
      <w:pPr>
        <w:spacing w:after="0" w:line="15" w:lineRule="exact"/>
        <w:rPr>
          <w:rFonts w:ascii="Arial" w:cs="Arial" w:eastAsia="Arial" w:hAnsi="Arial"/>
          <w:sz w:val="16"/>
          <w:szCs w:val="16"/>
          <w:color w:val="auto"/>
        </w:rPr>
      </w:pPr>
    </w:p>
    <w:p>
      <w:pPr>
        <w:ind w:left="-20" w:right="640" w:firstLine="233"/>
        <w:spacing w:after="0" w:line="342" w:lineRule="auto"/>
        <w:tabs>
          <w:tab w:leader="none" w:pos="44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Corporation may impose a reasonable charge, covering the costs of labor, material, transmission and delivery, for copies of any documents provided to the shareholder. The charge may not exceed the estimated cost of production, reproduction, transmission or delivery of the records.</w:t>
      </w:r>
    </w:p>
    <w:p>
      <w:pPr>
        <w:spacing w:after="0" w:line="15" w:lineRule="exact"/>
        <w:rPr>
          <w:rFonts w:ascii="Arial" w:cs="Arial" w:eastAsia="Arial" w:hAnsi="Arial"/>
          <w:sz w:val="16"/>
          <w:szCs w:val="16"/>
          <w:color w:val="auto"/>
        </w:rPr>
      </w:pPr>
    </w:p>
    <w:p>
      <w:pPr>
        <w:ind w:left="-20" w:right="200" w:firstLine="233"/>
        <w:spacing w:after="0" w:line="342" w:lineRule="auto"/>
        <w:tabs>
          <w:tab w:leader="none" w:pos="45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Corporation may comply at its expense with a shareholder’s demand to inspect the record of shareholders under clause (3) of subsection (b) of Section 6.2 of these Bylaws by providing the shareholder with a list of shareholders that was compiled no earlier than the date of the shareholder’s demand.</w:t>
      </w:r>
    </w:p>
    <w:p>
      <w:pPr>
        <w:spacing w:after="0" w:line="15" w:lineRule="exact"/>
        <w:rPr>
          <w:rFonts w:ascii="Arial" w:cs="Arial" w:eastAsia="Arial" w:hAnsi="Arial"/>
          <w:sz w:val="16"/>
          <w:szCs w:val="16"/>
          <w:color w:val="auto"/>
        </w:rPr>
      </w:pPr>
    </w:p>
    <w:p>
      <w:pPr>
        <w:ind w:left="460" w:hanging="247"/>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Corporation may impose reasonable restrictions on the use or distribution of records by the demanding shareholder.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31" w:name="page32"/>
    <w:bookmarkEnd w:id="31"/>
    <w:p>
      <w:pPr>
        <w:ind w:right="100" w:firstLine="225"/>
        <w:spacing w:after="0" w:line="264" w:lineRule="auto"/>
        <w:rPr>
          <w:sz w:val="20"/>
          <w:szCs w:val="20"/>
          <w:color w:val="auto"/>
        </w:rPr>
      </w:pPr>
      <w:r>
        <w:rPr>
          <w:rFonts w:ascii="Arial" w:cs="Arial" w:eastAsia="Arial" w:hAnsi="Arial"/>
          <w:sz w:val="18"/>
          <w:szCs w:val="18"/>
          <w:color w:val="auto"/>
        </w:rPr>
        <w:t>6.4. Inspection of Records by Directors. A Director is entitled to inspect and copy the books, records and documents of the Corporation at any reasonable time to the extent reasonably related to the performance of the Director’s duties as a Director, including duties as a member of a committee, but not for any other purpose or in any manner that would violate any duty to the Corporation.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both"/>
        <w:ind w:right="40" w:firstLine="225"/>
        <w:spacing w:after="0" w:line="277" w:lineRule="auto"/>
        <w:rPr>
          <w:sz w:val="20"/>
          <w:szCs w:val="20"/>
          <w:color w:val="auto"/>
        </w:rPr>
      </w:pPr>
      <w:r>
        <w:rPr>
          <w:rFonts w:ascii="Arial" w:cs="Arial" w:eastAsia="Arial" w:hAnsi="Arial"/>
          <w:sz w:val="18"/>
          <w:szCs w:val="18"/>
          <w:color w:val="auto"/>
        </w:rPr>
        <w:t>7.1. Fiscal Year. Except as otherwise determined from time to time by the Board of Directors, the fiscal year of the Corporation shall be the 52 or 53 week period, as the case may be, ending on the Saturday which is closest to the last day in October.</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7.2. Seal. The seal of the Corporation shall, subject to alteration by the Board of Directors, bear the Corporation’s name, the word “Massachusetts” and the year of its incorporation.</w:t>
      </w:r>
    </w:p>
    <w:p>
      <w:pPr>
        <w:spacing w:after="0" w:line="62"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7.3. Voting of Securities. Except as the Board of Directors may otherwise designate, the Chief Executive Officer, President or Treasurer may waive notice of, and act as, or appoint any person or persons to act as, proxy or attorney-in-fact for the Corporation (with or without power of substitution) at, any meeting of shareholders of any other corporation or organization, the securities of which may be held by the Corporation.</w:t>
      </w:r>
    </w:p>
    <w:p>
      <w:pPr>
        <w:spacing w:after="0" w:line="57"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7.4. Evidence of Authority. A certificate by the Secretary, an Assistant Secretary or a temporary Secretary as to any action taken by the shareholders, Directors, any committee or any officer or representative of the Corporation shall as to all persons who rely on the certificate in good faith be conclusive evidence of such action.</w:t>
      </w:r>
    </w:p>
    <w:p>
      <w:pPr>
        <w:spacing w:after="0" w:line="73"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7.5. Articles of Organization. All references in these Bylaws to the Articles of Organization shall be deemed to refer to the Articles of Organization of the Corporation, as amended and in effect from time to time.</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7.6. Severability. Any determination that any provision of these Bylaws is for any reason inapplicable, illegal or ineffective shall not affect or invalidate any other provision of these Bylaws.</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7.7. Pronouns. All pronouns used in these Bylaws shall be deemed to refer to the masculine, feminine or neuter, singular or plural, as the identity of the person or persons may require.</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7.8. Massachusetts Control Share Acquisition Act. The provisions of Chapter 110D of the Massachusetts General Laws shall not apply to any “control share acquisition” of the Corporation (as such term is defined in such Chapter 110D).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 w:name="page33"/>
    <w:bookmarkEnd w:id="32"/>
    <w:p>
      <w:pPr>
        <w:ind w:left="5120"/>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These By-Laws may be amended by the affirmative vote of the holders of a majority of the shares of each class of capital stock at the time outstanding and entitled to vote at any annual or special meeting of stockholders, provided that notice of the substance of the proposed amendment is stated in the notice of such meeting. If authorized by the Articles of Organization, the Directors, by a majority of their number then in office, may also make, amend or repeal these By-Laws, in whole or in part, except with respect to (a) the provisions of these By-Laws governing (i) the removal of Directors, (ii) the indemnification of Directors and (iii) the amendment of these By-Laws and (b) any provision of these By-Laws which by law, the Articles of Organization or these By-Laws requires action by the stockholders.</w:t>
      </w:r>
    </w:p>
    <w:p>
      <w:pPr>
        <w:spacing w:after="0" w:line="85"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Not later than the time of giving notice of the meeting of stockholders next following the making, amending or repealing by the Directors of any By-Law, notice thereof stating the substance of such change shall be given to all stockholders entitled to vote on amending the By-Laws.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By-Law adopted by the Directors may be amended or repealed by the stockholders entitled to vote on amending the By-Laws.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958" w:right="2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NAMES DAVID A. ZINSNER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VICE PRESIDENT AND CHIEF FINANCIAL OFFICER</w:t>
      </w:r>
    </w:p>
    <w:p>
      <w:pPr>
        <w:spacing w:after="0" w:line="9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NORWOOD, Mass.—December 3, 2008 </w:t>
      </w:r>
      <w:r>
        <w:rPr>
          <w:rFonts w:ascii="Arial" w:cs="Arial" w:eastAsia="Arial" w:hAnsi="Arial"/>
          <w:sz w:val="18"/>
          <w:szCs w:val="18"/>
          <w:color w:val="auto"/>
        </w:rPr>
        <w:t>Analog Devices, Inc. (NYSE: ADI), a global leader in high-performance semiconductors for signal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today announced that David A. Zinsner has been appointed vice president of finance and chief financial officer, effective January 12, 2009. Mr. Zinsner will succeed Joseph E. McDonough, who will retire after serving as ADI’s chief financial officer since 1991, in accordance with his previously announced intentions. Mr. McDonough will continue to be employed by the Company as an executive advisor until December 31, 2009 in order to ensure a successful transition and complete ongoing special projects.</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Mr. Zinsner joins ADI from Intersil Corporation where he served as senior vice president and chief financial officer since 2005. Prior to his promotion to CFO, he was corporate controller and treasurer. During his nine-year tenure at Intersil, Mr. Zinsner held various positions of increasing responsibility spanning the areas of accounting, finance, investor relations and treasury, as well as strategic planning, corporate M&amp;A, and information technology. Earlier in his career, he was employed in international finance and treasury management positions at Harris Corporation, MCI Communications, and Mellon Financial Corporation. Mr. Zinsner holds a Bachelor of Science degree in Industrial Management from Carnegie Mellon University, and a Master of Business Administration degree from the Owen Graduate School of Management at Vanderbilt University.</w:t>
      </w:r>
    </w:p>
    <w:p>
      <w:pPr>
        <w:spacing w:after="0" w:line="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extremely pleased to have Dave join our executive team,” said Jerald G. Fishman, ADI president and CEO. “His knowledge of the semiconductor industry, combined with his broad-ranging financial expertise will be instrumental as we drive towards ADI’s long-term objectives for growth and profitability.”</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Fishman continued, “We thank Joe for his contributions to ADI over the past 25 years, which will endure far beyond his retirement. He is a valued business partner and friend whose strategic vision, dedication to continuous improvement, and strong integrity are woven into the fabric of ADI. Under Dave’s leadership, we look forward to leveraging this foundation of discipline and operational excellence as we strive to maximize value for our shareholders and customers.”</w:t>
      </w:r>
    </w:p>
    <w:p>
      <w:pPr>
        <w:spacing w:after="0" w:line="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 separate press release, ADI also today announced that Seamus Brennan has been promoted to vice president, corporate controller, and chief accounting officer, reporting to the CFO, effective December 8, 2008. (See press release, “</w:t>
      </w:r>
      <w:r>
        <w:rPr>
          <w:rFonts w:ascii="Arial" w:cs="Arial" w:eastAsia="Arial" w:hAnsi="Arial"/>
          <w:sz w:val="18"/>
          <w:szCs w:val="18"/>
          <w:i w:val="1"/>
          <w:iCs w:val="1"/>
          <w:color w:val="auto"/>
        </w:rPr>
        <w:t>Analog Devices Promotes Seamus Brennan to Vice President,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Controller, and Chief Accounting Officer</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Celebrating over 40 years as a leading global manufacturer of high-performance integrated circuits used in analog and digital signal processing applications, Analog Devices is headquartered in Norwood,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right="200"/>
        <w:spacing w:after="0" w:line="277" w:lineRule="auto"/>
        <w:rPr>
          <w:sz w:val="20"/>
          <w:szCs w:val="20"/>
          <w:color w:val="auto"/>
        </w:rPr>
      </w:pPr>
      <w:r>
        <w:rPr>
          <w:rFonts w:ascii="Arial" w:cs="Arial" w:eastAsia="Arial" w:hAnsi="Arial"/>
          <w:sz w:val="18"/>
          <w:szCs w:val="18"/>
          <w:color w:val="auto"/>
        </w:rPr>
        <w:t>with design and manufacturing facilities throughout the world. Analog Devices’ common stock is listed on the New York Stock Exchange under the ticker “ADI” and is included in the S&amp;P 500 Index.</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This release may be deemed to contain forward-looking statements which include, among other things, our statements regarding expected operating performance, growth strategy, organizational leadership and management transition that are based on our current expectations, beliefs, assumptions, estimates, forecasts, and projections which are subject to change. The statements contained in this release are not guarantees of future performance, are inherently uncertain, and involve certain risks, uncertainties, and assumptions that are difficult to predict.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are described in the risk factors section our most recent filings with the Securities and Exchange Commission.</w:t>
      </w:r>
    </w:p>
    <w:p>
      <w:pPr>
        <w:spacing w:after="0" w:line="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Analog Devices and the Analog Devices logo are registered trademarks or trademarks of Analog Devices, Inc. All other trademarks mentioned in this document are the property of their respective owners. The use of the word partner does not imply a partnership relationship between Analog Devices and any other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Mindy Kohl, Director of Investor Relations, 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 (phone); 781-461-3491 (fax); investor.relations@analog.com (email).</w:t>
      </w:r>
    </w:p>
    <w:p>
      <w:pPr>
        <w:sectPr>
          <w:pgSz w:w="11900" w:h="16838" w:orient="portrait"/>
          <w:cols w:equalWidth="0" w:num="1">
            <w:col w:w="11340"/>
          </w:cols>
          <w:pgMar w:left="240" w:top="936"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99.2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PROMOTES SEAMUS BRENNAN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VICE PRESIDENT, CORPORATE CONTROLLER, AND</w:t>
      </w:r>
    </w:p>
    <w:p>
      <w:pPr>
        <w:jc w:val="center"/>
        <w:spacing w:after="0"/>
        <w:rPr>
          <w:sz w:val="20"/>
          <w:szCs w:val="20"/>
          <w:color w:val="auto"/>
        </w:rPr>
      </w:pPr>
      <w:r>
        <w:rPr>
          <w:rFonts w:ascii="Arial" w:cs="Arial" w:eastAsia="Arial" w:hAnsi="Arial"/>
          <w:sz w:val="20"/>
          <w:szCs w:val="20"/>
          <w:b w:val="1"/>
          <w:bCs w:val="1"/>
          <w:color w:val="auto"/>
        </w:rPr>
        <w:t>CHIEF ACCOUNTING OFFICER</w:t>
      </w:r>
    </w:p>
    <w:p>
      <w:pPr>
        <w:spacing w:after="0" w:line="9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NORWOOD, Mass.—December 3, 2008 </w:t>
      </w:r>
      <w:r>
        <w:rPr>
          <w:rFonts w:ascii="Arial" w:cs="Arial" w:eastAsia="Arial" w:hAnsi="Arial"/>
          <w:sz w:val="18"/>
          <w:szCs w:val="18"/>
          <w:color w:val="auto"/>
        </w:rPr>
        <w:t>Analog Devices, Inc. (NYSE: ADI), a global leader in high-performance semiconductors for signal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today announced that Seamus Brennan has been promoted to vice president, corporate controller, and chief accounting officer, reporting to the CFO, effective December 8, 2008.</w:t>
      </w:r>
    </w:p>
    <w:p>
      <w:pPr>
        <w:spacing w:after="0" w:line="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“Seamus has been instrumental in building a world-class finance and accounting organization dedicated to operational excellence, and transparency,” said Jerald G. Fishman, ADI president and CEO. “In this new position, he will continue to help ADI comply with the highest standards of financial reporting and corporate governance, and maximize the efficiency of its business processes.”</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Since joining ADI in Limerick, Ireland in 1984, Mr. Brennan has played a key role in the development and implementation of the Company’s worldwide financial systems, processes, and controls. After serving as Limerick’s plant controller from 1989 to 1994, he transferred to ADI’s corporate headquarters in Norwood, Massachusetts to manage the implementation of the company’s worldwide enterprise software system for transaction processing and financial reporting. In 1997, he became assistant controller and in 2002, was promoted to corporate controller. For the past six years, Mr. Brennan has been managing ADI’s worldwide accounting and transaction processing, internal control, management planning and reporting, internal audit, and SEC reporting functions.</w:t>
      </w:r>
    </w:p>
    <w:p>
      <w:pPr>
        <w:spacing w:after="0" w:line="5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Prior to joining ADI, Mr. Brennan served for six years as a controller and financial systems manager for a regional development agency in Ireland. Earlier in his career, he spent five years in public accounting. Mr. Brennan holds a Bachelor of Commerce degree from the National University of Ireland, Galway. He is also a fellow of the Institute of Chartered Accountants in Ireland and an associate of the Irish Taxation Institute.</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In a separate press release, ADI also today announced that David A. Zinsner has been appointed vice president of finance and chief financial officer, effective January 12, 2009. (See press release, “</w:t>
      </w:r>
      <w:r>
        <w:rPr>
          <w:rFonts w:ascii="Arial" w:cs="Arial" w:eastAsia="Arial" w:hAnsi="Arial"/>
          <w:sz w:val="18"/>
          <w:szCs w:val="18"/>
          <w:i w:val="1"/>
          <w:iCs w:val="1"/>
          <w:color w:val="auto"/>
        </w:rPr>
        <w:t>Analog Devices Names David A. Zinsner Vice President and</w:t>
      </w:r>
      <w:r>
        <w:rPr>
          <w:rFonts w:ascii="Arial" w:cs="Arial" w:eastAsia="Arial" w:hAnsi="Arial"/>
          <w:sz w:val="18"/>
          <w:szCs w:val="18"/>
          <w:color w:val="auto"/>
        </w:rPr>
        <w:t xml:space="preserve"> </w:t>
      </w:r>
      <w:r>
        <w:rPr>
          <w:rFonts w:ascii="Arial" w:cs="Arial" w:eastAsia="Arial" w:hAnsi="Arial"/>
          <w:sz w:val="18"/>
          <w:szCs w:val="18"/>
          <w:i w:val="1"/>
          <w:iCs w:val="1"/>
          <w:color w:val="auto"/>
        </w:rPr>
        <w:t>Chief Financial Officer</w:t>
      </w:r>
      <w:r>
        <w:rPr>
          <w:rFonts w:ascii="Arial" w:cs="Arial" w:eastAsia="Arial" w:hAnsi="Arial"/>
          <w:sz w:val="18"/>
          <w:szCs w:val="18"/>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Celebrating over 40 years as a leading global manufacturer of high-performance integrated circuits used in analog and digital signal processing applications, Analog Devices is headquartered in Norwood, Massachusetts, with design and manufacturing facilities throughout the world. Analog Devices’ common stock is listed on the New York Stock Exchange under the ticker “ADI” and is included in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right="80"/>
        <w:spacing w:after="0" w:line="254" w:lineRule="auto"/>
        <w:rPr>
          <w:sz w:val="20"/>
          <w:szCs w:val="20"/>
          <w:color w:val="auto"/>
        </w:rPr>
      </w:pPr>
      <w:r>
        <w:rPr>
          <w:rFonts w:ascii="Arial" w:cs="Arial" w:eastAsia="Arial" w:hAnsi="Arial"/>
          <w:sz w:val="18"/>
          <w:szCs w:val="18"/>
          <w:i w:val="1"/>
          <w:iCs w:val="1"/>
          <w:color w:val="auto"/>
        </w:rPr>
        <w:t>This release may be deemed to contain forward-looking statements which include, among other things, our statements regarding expected operating performance, growth strategy, organizational leadership and management transition that are based on our current expectations, beliefs, assumptions, estimates, forecasts, and projections which are subject to change. The statements contained in this release are not guarantees of future performance, are inherently uncertain, and involve certain risks, uncertainties, and assumptions that are difficult to predict.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are described in the risk factors section our most recent filings with the Securities and Exchange Commission.</w:t>
      </w:r>
    </w:p>
    <w:p>
      <w:pPr>
        <w:spacing w:after="0" w:line="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Analog Devices and the Analog Devices logo are registered trademarks or trademarks of Analog Devices, Inc. All other trademarks mentioned in this document are the property of their respective owners. The use of the word partner does not imply a partnership relationship between Analog Devices and any other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Mindy Kohl, Director of Investor Relations, 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 (phone); 781-461-3491 (fax); investor.relations@analog.com (email).</w:t>
      </w:r>
    </w:p>
    <w:sectPr>
      <w:pgSz w:w="11900" w:h="16838" w:orient="portrait"/>
      <w:cols w:equalWidth="0" w:num="1">
        <w:col w:w="11340"/>
      </w:cols>
      <w:pgMar w:left="240" w:top="9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o"/>
      <w:numFmt w:val="bullet"/>
      <w:start w:val="1"/>
    </w:lvl>
  </w:abstractNum>
  <w:abstractNum w:abstractNumId="1">
    <w:nsid w:val="257130A3"/>
    <w:multiLevelType w:val="hybridMultilevel"/>
    <w:lvl w:ilvl="0">
      <w:lvlJc w:val="left"/>
      <w:lvlText w:val="%1."/>
      <w:numFmt w:val="decimal"/>
      <w:start w:val="1"/>
    </w:lvl>
    <w:lvl w:ilvl="1">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2"/>
    </w:lvl>
  </w:abstractNum>
  <w:abstractNum w:abstractNumId="7">
    <w:nsid w:val="2443A858"/>
    <w:multiLevelType w:val="hybridMultilevel"/>
    <w:lvl w:ilvl="0">
      <w:lvlJc w:val="left"/>
      <w:lvlText w:val="(%1)"/>
      <w:numFmt w:val="upperLetter"/>
      <w:start w:val="2"/>
    </w:lvl>
  </w:abstractNum>
  <w:abstractNum w:abstractNumId="8">
    <w:nsid w:val="2D1D5AE9"/>
    <w:multiLevelType w:val="hybridMultilevel"/>
    <w:lvl w:ilvl="0">
      <w:lvlJc w:val="left"/>
      <w:lvlText w:val="(%1)"/>
      <w:numFmt w:val="decimal"/>
      <w:start w:val="7"/>
    </w:lvl>
    <w:lvl w:ilvl="1">
      <w:lvlJc w:val="left"/>
      <w:lvlText w:val="(%2)"/>
      <w:numFmt w:val="lowerLetter"/>
      <w:start w:val="3"/>
    </w:lvl>
  </w:abstractNum>
  <w:abstractNum w:abstractNumId="9">
    <w:nsid w:val="6763845E"/>
    <w:multiLevelType w:val="hybridMultilevel"/>
    <w:lvl w:ilvl="0">
      <w:lvlJc w:val="left"/>
      <w:lvlText w:val="(%1)"/>
      <w:numFmt w:val="lowerLetter"/>
      <w:start w:val="5"/>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upperLetter"/>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lowerLetter"/>
      <w:start w:val="3"/>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decimal"/>
      <w:start w:val="2"/>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3"/>
    </w:lvl>
  </w:abstractNum>
  <w:abstractNum w:abstractNumId="19">
    <w:nsid w:val="836C40E"/>
    <w:multiLevelType w:val="hybridMultilevel"/>
    <w:lvl w:ilvl="0">
      <w:lvlJc w:val="left"/>
      <w:lvlText w:val="%1"/>
      <w:numFmt w:val="decimal"/>
      <w:start w:val="1"/>
    </w:lvl>
    <w:lvl w:ilvl="1">
      <w:lvlJc w:val="left"/>
      <w:lvlText w:val="(%2)"/>
      <w:numFmt w:val="lowerLetter"/>
      <w:start w:val="1"/>
    </w:lvl>
  </w:abstractNum>
  <w:abstractNum w:abstractNumId="20">
    <w:nsid w:val="2901D82"/>
    <w:multiLevelType w:val="hybridMultilevel"/>
    <w:lvl w:ilvl="0">
      <w:lvlJc w:val="left"/>
      <w:lvlText w:val="(%1)"/>
      <w:numFmt w:val="decimal"/>
      <w:start w:val="2"/>
    </w:lvl>
    <w:lvl w:ilvl="1">
      <w:lvlJc w:val="left"/>
      <w:lvlText w:val="(%2)"/>
      <w:numFmt w:val="lowerLetter"/>
      <w:start w:val="3"/>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decimal"/>
      <w:start w:val="2"/>
    </w:lvl>
    <w:lvl w:ilvl="1">
      <w:lvlJc w:val="left"/>
      <w:lvlText w:val="(%2)"/>
      <w:numFmt w:val="lowerLetter"/>
      <w:start w:val="3"/>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decimal"/>
      <w:start w:val="1"/>
    </w:lvl>
    <w:lvl w:ilvl="1">
      <w:lvlJc w:val="left"/>
      <w:lvlText w:val="(%2)"/>
      <w:numFmt w:val="lowerLetter"/>
      <w:start w:val="4"/>
    </w:lvl>
  </w:abstractNum>
  <w:abstractNum w:abstractNumId="27">
    <w:nsid w:val="22221A70"/>
    <w:multiLevelType w:val="hybridMultilevel"/>
    <w:lvl w:ilvl="0">
      <w:lvlJc w:val="left"/>
      <w:lvlText w:val="(%1)"/>
      <w:numFmt w:val="decimal"/>
      <w:start w:val="3"/>
    </w:lvl>
    <w:lvl w:ilvl="1">
      <w:lvlJc w:val="left"/>
      <w:lvlText w:val="(%2)"/>
      <w:numFmt w:val="lowerLetter"/>
      <w:start w:val="5"/>
    </w:lvl>
  </w:abstractNum>
  <w:abstractNum w:abstractNumId="28">
    <w:nsid w:val="4516DDE9"/>
    <w:multiLevelType w:val="hybridMultilevel"/>
    <w:lvl w:ilvl="0">
      <w:lvlJc w:val="left"/>
      <w:lvlText w:val="(%1)"/>
      <w:numFmt w:val="decimal"/>
      <w:start w:val="3"/>
    </w:lvl>
    <w:lvl w:ilvl="1">
      <w:lvlJc w:val="left"/>
      <w:lvlText w:val="(%2)"/>
      <w:numFmt w:val="lowerLetter"/>
      <w:start w:val="6"/>
    </w:lvl>
  </w:abstractNum>
  <w:abstractNum w:abstractNumId="29">
    <w:nsid w:val="3006C83E"/>
    <w:multiLevelType w:val="hybridMultilevel"/>
    <w:lvl w:ilvl="0">
      <w:lvlJc w:val="left"/>
      <w:lvlText w:val="(%1)"/>
      <w:numFmt w:val="lowerRoman"/>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2"/>
    </w:lvl>
    <w:lvl w:ilvl="1">
      <w:lvlJc w:val="left"/>
      <w:lvlText w:val="(%2)"/>
      <w:numFmt w:val="decimal"/>
      <w:start w:val="1"/>
    </w:lvl>
  </w:abstractNum>
  <w:abstractNum w:abstractNumId="32">
    <w:nsid w:val="5577F8E1"/>
    <w:multiLevelType w:val="hybridMultilevel"/>
    <w:lvl w:ilvl="0">
      <w:lvlJc w:val="left"/>
      <w:lvlText w:val="(%1)"/>
      <w:numFmt w:val="lowerLetter"/>
      <w:start w:val="1"/>
    </w:lvl>
    <w:lvl w:ilvl="1">
      <w:lvlJc w:val="left"/>
      <w:lvlText w:val="(%2)"/>
      <w:numFmt w:val="decimal"/>
      <w:start w:val="1"/>
    </w:lvl>
  </w:abstractNum>
  <w:abstractNum w:abstractNumId="33">
    <w:nsid w:val="440BADFC"/>
    <w:multiLevelType w:val="hybridMultilevel"/>
    <w:lvl w:ilvl="0">
      <w:lvlJc w:val="left"/>
      <w:lvlText w:val="%1"/>
      <w:numFmt w:val="lowerLetter"/>
      <w:start w:val="1"/>
    </w:lvl>
    <w:lvl w:ilvl="1">
      <w:lvlJc w:val="left"/>
      <w:lvlText w:val="(%2)"/>
      <w:numFmt w:val="decimal"/>
      <w:start w:val="2"/>
    </w:lvl>
  </w:abstractNum>
  <w:abstractNum w:abstractNumId="34">
    <w:nsid w:val="5072367"/>
    <w:multiLevelType w:val="hybridMultilevel"/>
    <w:lvl w:ilvl="0">
      <w:lvlJc w:val="left"/>
      <w:lvlText w:val="(%1)"/>
      <w:numFmt w:val="lowerLetter"/>
      <w:start w:val="3"/>
    </w:lvl>
    <w:lvl w:ilvl="1">
      <w:lvlJc w:val="left"/>
      <w:lvlText w:val="(%2)"/>
      <w:numFmt w:val="decimal"/>
      <w:start w:val="1"/>
    </w:lvl>
  </w:abstractNum>
  <w:abstractNum w:abstractNumId="35">
    <w:nsid w:val="3804823E"/>
    <w:multiLevelType w:val="hybridMultilevel"/>
    <w:lvl w:ilvl="0">
      <w:lvlJc w:val="left"/>
      <w:lvlText w:val="(%1)"/>
      <w:numFmt w:val="lowerLetter"/>
      <w:start w:val="1"/>
    </w:lvl>
    <w:lvl w:ilvl="1">
      <w:lvlJc w:val="left"/>
      <w:lvlText w:val="%2"/>
      <w:numFmt w:val="decimal"/>
      <w:start w:val="1"/>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2019-12-11T10:40:29Z</dcterms:created>
  <dcterms:modified xsi:type="dcterms:W3CDTF">2019-12-11T10:40:29Z</dcterms:modified>
</cp:coreProperties>
</file>