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filed with the 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on July 31, 1995</w:t>
      </w:r>
    </w:p>
    <w:p>
      <w:pPr>
        <w:spacing w:after="0" w:line="200"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Registration No. 33-</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REGISTRATION STATEMENT 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issuer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04-2348234</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500" w:space="720"/>
            <w:col w:w="3999"/>
          </w:cols>
          <w:pgMar w:left="240" w:top="244" w:right="1440" w:bottom="1440" w:gutter="0" w:footer="0" w:header="0"/>
          <w:type w:val="continuous"/>
        </w:sectPr>
      </w:pPr>
    </w:p>
    <w:p>
      <w:pPr>
        <w:spacing w:after="0" w:line="24" w:lineRule="exact"/>
        <w:rPr>
          <w:sz w:val="24"/>
          <w:szCs w:val="24"/>
          <w:color w:val="auto"/>
        </w:rPr>
      </w:pPr>
    </w:p>
    <w:p>
      <w:pPr>
        <w:ind w:left="220" w:right="960" w:hanging="210"/>
        <w:spacing w:after="0" w:line="290" w:lineRule="auto"/>
        <w:rPr>
          <w:sz w:val="20"/>
          <w:szCs w:val="20"/>
          <w:color w:val="auto"/>
        </w:rPr>
      </w:pPr>
      <w:r>
        <w:rPr>
          <w:rFonts w:ascii="Courier New" w:cs="Courier New" w:eastAsia="Courier New" w:hAnsi="Courier New"/>
          <w:sz w:val="16"/>
          <w:szCs w:val="16"/>
          <w:color w:val="auto"/>
        </w:rPr>
        <w:t>ONE TECHNOLOGY WAY, P.O. BOX 9106, NORWOOD, MA (Address of Principal Executive Offices)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820" w:space="720"/>
            <w:col w:w="3679"/>
          </w:cols>
          <w:pgMar w:left="240" w:top="244" w:right="1440" w:bottom="1440" w:gutter="0" w:footer="0" w:header="0"/>
          <w:type w:val="continuous"/>
        </w:sectPr>
      </w:pPr>
    </w:p>
    <w:p>
      <w:pPr>
        <w:spacing w:after="0" w:line="167" w:lineRule="exact"/>
        <w:rPr>
          <w:sz w:val="24"/>
          <w:szCs w:val="24"/>
          <w:color w:val="auto"/>
        </w:rPr>
      </w:pPr>
    </w:p>
    <w:p>
      <w:pPr>
        <w:jc w:val="right"/>
        <w:ind w:right="4739"/>
        <w:spacing w:after="0"/>
        <w:rPr>
          <w:sz w:val="20"/>
          <w:szCs w:val="20"/>
          <w:color w:val="auto"/>
        </w:rPr>
      </w:pPr>
      <w:r>
        <w:rPr>
          <w:rFonts w:ascii="Courier New" w:cs="Courier New" w:eastAsia="Courier New" w:hAnsi="Courier New"/>
          <w:sz w:val="18"/>
          <w:szCs w:val="18"/>
          <w:color w:val="auto"/>
        </w:rPr>
        <w:t>1994 DIRECTOR OPTION PLAN</w:t>
      </w:r>
    </w:p>
    <w:p>
      <w:pPr>
        <w:jc w:val="right"/>
        <w:ind w:right="4739"/>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PAUl P. BROUNTAS, ESQ.</w:t>
      </w:r>
    </w:p>
    <w:p>
      <w:pPr>
        <w:jc w:val="center"/>
        <w:ind w:right="1879"/>
        <w:spacing w:after="0" w:line="238" w:lineRule="auto"/>
        <w:rPr>
          <w:sz w:val="20"/>
          <w:szCs w:val="20"/>
          <w:color w:val="auto"/>
        </w:rPr>
      </w:pPr>
      <w:r>
        <w:rPr>
          <w:rFonts w:ascii="Courier New" w:cs="Courier New" w:eastAsia="Courier New" w:hAnsi="Courier New"/>
          <w:sz w:val="18"/>
          <w:szCs w:val="18"/>
          <w:color w:val="auto"/>
        </w:rPr>
        <w:t>HALE AND DORR</w:t>
      </w:r>
    </w:p>
    <w:p>
      <w:pPr>
        <w:jc w:val="center"/>
        <w:ind w:right="1879"/>
        <w:spacing w:after="0"/>
        <w:rPr>
          <w:sz w:val="20"/>
          <w:szCs w:val="20"/>
          <w:color w:val="auto"/>
        </w:rPr>
      </w:pPr>
      <w:r>
        <w:rPr>
          <w:rFonts w:ascii="Courier New" w:cs="Courier New" w:eastAsia="Courier New" w:hAnsi="Courier New"/>
          <w:sz w:val="18"/>
          <w:szCs w:val="18"/>
          <w:color w:val="auto"/>
        </w:rPr>
        <w:t>60 STATE STREET</w:t>
      </w:r>
    </w:p>
    <w:p>
      <w:pPr>
        <w:jc w:val="center"/>
        <w:ind w:right="1879"/>
        <w:spacing w:after="0" w:line="237" w:lineRule="auto"/>
        <w:rPr>
          <w:sz w:val="20"/>
          <w:szCs w:val="20"/>
          <w:color w:val="auto"/>
        </w:rPr>
      </w:pPr>
      <w:r>
        <w:rPr>
          <w:rFonts w:ascii="Courier New" w:cs="Courier New" w:eastAsia="Courier New" w:hAnsi="Courier New"/>
          <w:sz w:val="18"/>
          <w:szCs w:val="18"/>
          <w:color w:val="auto"/>
        </w:rPr>
        <w:t>BOSTON, MASSACHUSETTS 02109</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526-6000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40" w:type="dxa"/>
            <w:vAlign w:val="bottom"/>
          </w:tcPr>
          <w:p>
            <w:pPr>
              <w:ind w:left="220"/>
              <w:spacing w:after="0"/>
              <w:rPr>
                <w:sz w:val="20"/>
                <w:szCs w:val="20"/>
                <w:color w:val="auto"/>
              </w:rPr>
            </w:pPr>
            <w:r>
              <w:rPr>
                <w:rFonts w:ascii="Courier New" w:cs="Courier New" w:eastAsia="Courier New" w:hAnsi="Courier New"/>
                <w:sz w:val="18"/>
                <w:szCs w:val="18"/>
                <w:color w:val="auto"/>
              </w:rPr>
              <w:t>Proposed</w:t>
            </w:r>
          </w:p>
        </w:tc>
        <w:tc>
          <w:tcPr>
            <w:tcW w:w="1780" w:type="dxa"/>
            <w:vAlign w:val="bottom"/>
          </w:tcPr>
          <w:p>
            <w:pPr>
              <w:ind w:left="260"/>
              <w:spacing w:after="0"/>
              <w:rPr>
                <w:sz w:val="20"/>
                <w:szCs w:val="20"/>
                <w:color w:val="auto"/>
              </w:rPr>
            </w:pPr>
            <w:r>
              <w:rPr>
                <w:rFonts w:ascii="Courier New" w:cs="Courier New" w:eastAsia="Courier New" w:hAnsi="Courier New"/>
                <w:sz w:val="18"/>
                <w:szCs w:val="18"/>
                <w:color w:val="auto"/>
              </w:rPr>
              <w:t>Proposed</w:t>
            </w:r>
          </w:p>
        </w:tc>
        <w:tc>
          <w:tcPr>
            <w:tcW w:w="164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1780" w:type="dxa"/>
            <w:vAlign w:val="bottom"/>
          </w:tcPr>
          <w:p>
            <w:pPr>
              <w:spacing w:after="0"/>
              <w:rPr>
                <w:sz w:val="17"/>
                <w:szCs w:val="17"/>
                <w:color w:val="auto"/>
              </w:rPr>
            </w:pP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maximum</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maximum</w:t>
            </w:r>
          </w:p>
        </w:tc>
        <w:tc>
          <w:tcPr>
            <w:tcW w:w="164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Amount</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offering</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aggregate</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to be</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price</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offering</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registered</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fee</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780" w:type="dxa"/>
            <w:vAlign w:val="bottom"/>
          </w:tcPr>
          <w:p>
            <w:pPr>
              <w:ind w:left="300"/>
              <w:spacing w:after="0"/>
              <w:rPr>
                <w:sz w:val="20"/>
                <w:szCs w:val="20"/>
                <w:color w:val="auto"/>
              </w:rPr>
            </w:pPr>
            <w:r>
              <w:rPr>
                <w:rFonts w:ascii="Courier New" w:cs="Courier New" w:eastAsia="Courier New" w:hAnsi="Courier New"/>
                <w:sz w:val="18"/>
                <w:szCs w:val="18"/>
                <w:color w:val="auto"/>
              </w:rPr>
              <w:t>200,000</w:t>
            </w:r>
          </w:p>
        </w:tc>
        <w:tc>
          <w:tcPr>
            <w:tcW w:w="1640" w:type="dxa"/>
            <w:vAlign w:val="bottom"/>
          </w:tcPr>
          <w:p>
            <w:pPr>
              <w:ind w:left="220"/>
              <w:spacing w:after="0"/>
              <w:rPr>
                <w:sz w:val="20"/>
                <w:szCs w:val="20"/>
                <w:color w:val="auto"/>
              </w:rPr>
            </w:pPr>
            <w:r>
              <w:rPr>
                <w:rFonts w:ascii="Courier New" w:cs="Courier New" w:eastAsia="Courier New" w:hAnsi="Courier New"/>
                <w:sz w:val="18"/>
                <w:szCs w:val="18"/>
                <w:color w:val="auto"/>
              </w:rPr>
              <w:t>$35.25(1)</w:t>
            </w:r>
          </w:p>
        </w:tc>
        <w:tc>
          <w:tcPr>
            <w:tcW w:w="1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$7,050,000(1)</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$ 2,431.04</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$.16 2/3</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shares</w:t>
            </w: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par value</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left="540" w:right="199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and based upon the average of the high and low prices of the Common Stock on the New York Stock Exchange on July 25, 1995 in accordance with Rules 457(c) and 457(h) of the Securities Act of 1933.</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INFORMATION REQUIRED IN THE SECTION 10(a) PROSPECTUS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by Part I is included in documents sent or given to participants in the 1994 Director Option Plan of Analog Devices, Inc. (the "Registrant") pursuant to Rule 428(b)(1) of the Securities Act of 1933, as amended (the "Securities Act").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INFORMATION REQUIRED IN THE REGISTRATION STATEMENT</w:t>
      </w:r>
    </w:p>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filed with the Commission, are incorporated in this Registration Statement by reference:</w:t>
      </w:r>
    </w:p>
    <w:p>
      <w:pPr>
        <w:spacing w:after="0" w:line="186" w:lineRule="exact"/>
        <w:rPr>
          <w:sz w:val="20"/>
          <w:szCs w:val="20"/>
          <w:color w:val="auto"/>
        </w:rPr>
      </w:pPr>
    </w:p>
    <w:p>
      <w:pPr>
        <w:ind w:left="540" w:right="1779" w:firstLine="521"/>
        <w:spacing w:after="0" w:line="237" w:lineRule="auto"/>
        <w:tabs>
          <w:tab w:leader="none" w:pos="15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latest annual report filed pursuant to Section 13(a) or 15(d) of the Exchange Act, or the latest prospectus filed pursuant to Rule 424(b), or otherwise, under the Securities Act that contains, either directly or by incorporation by reference, audited financial statements for the Registrant's latest fiscal year for which such statements have been filed.</w:t>
      </w:r>
    </w:p>
    <w:p>
      <w:pPr>
        <w:spacing w:after="0" w:line="209"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5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 13(a) or 15(d) of the Exchange Act since the end of the fiscal year covered by the annual reports or the prospectus referred to in (1) above.</w:t>
      </w:r>
    </w:p>
    <w:p>
      <w:pPr>
        <w:spacing w:after="0" w:line="208" w:lineRule="exact"/>
        <w:rPr>
          <w:rFonts w:ascii="Courier New" w:cs="Courier New" w:eastAsia="Courier New" w:hAnsi="Courier New"/>
          <w:sz w:val="18"/>
          <w:szCs w:val="18"/>
          <w:color w:val="auto"/>
        </w:rPr>
      </w:pPr>
    </w:p>
    <w:p>
      <w:pPr>
        <w:jc w:val="both"/>
        <w:ind w:left="540" w:right="1879" w:firstLine="521"/>
        <w:spacing w:after="0" w:line="237" w:lineRule="auto"/>
        <w:tabs>
          <w:tab w:leader="none" w:pos="15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common stock of the Registrant, par value $.16 2/3 per share ("Common Stock"), contained in a registration statement filed under the Exchange Act, including any amendment or report filed for the purpose of updating such description.</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definitive proxy statement or information statement, if any, filed pursuant to Section 14 of the Exchange Act in connection with the latest annual meeting of its stockholders, and any definitive proxy or information statements so filed in connection with any subsequent special meetings of its stockholders.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as to stock options, including the amount outstanding, exercises, prices and expiration dates, included in the Registrant's definitive proxy statement, described in (4) above and which will be included in the future either in the Registrant's proxy statements, annual reports or appendices to the prospectus.</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All documents subsequently filed by the Registrant pursuant to Sections 13(a), 13(c), 14, and 15(d) of the Exchange Act prior to the filing of a post-effective amendment which indicates that all shares of Common Stock offered hereby have been sold or which deregisters all shares of Common Stock then remaining unsold, shall be deemed to be incorporated by reference herein and to be part hereof from the date of the filing of such documents.</w:t>
      </w: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Hale and Dorr, Boston, Massachusetts, will pass upon the validity of the shares offered hereby for the Company. Paul P. Brountas, a partner of Hale and Dorr, is Clerk of the Company and owns 20,544 shares of the Company's Common Stock.</w:t>
      </w:r>
    </w:p>
    <w:p>
      <w:pPr>
        <w:spacing w:after="0" w:line="202"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Article 6A of the Registrant's Restated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Article 6A of the Registrant's Articles of Organization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Article 6D of the Registrant's Articles of Organization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212"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Registrant has directors and officers liability insurance for the benefit of its directors and officers.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The Exhibit Index immediately preceding the exhibits is incorporated herein by reference.</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580" w:hanging="519"/>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hereby undertakes:</w:t>
      </w:r>
    </w:p>
    <w:p>
      <w:pPr>
        <w:spacing w:after="0" w:line="207" w:lineRule="exact"/>
        <w:rPr>
          <w:sz w:val="20"/>
          <w:szCs w:val="20"/>
          <w:color w:val="auto"/>
        </w:rPr>
      </w:pPr>
    </w:p>
    <w:p>
      <w:pPr>
        <w:ind w:left="540" w:right="2199" w:firstLine="521"/>
        <w:spacing w:after="0" w:line="290" w:lineRule="auto"/>
        <w:tabs>
          <w:tab w:leader="none" w:pos="159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1160" w:right="1999" w:firstLine="533"/>
        <w:spacing w:after="0" w:line="235" w:lineRule="auto"/>
        <w:tabs>
          <w:tab w:leader="none" w:pos="221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1160" w:right="1879" w:firstLine="428"/>
        <w:spacing w:after="0" w:line="237" w:lineRule="auto"/>
        <w:tabs>
          <w:tab w:leader="none" w:pos="221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208" w:lineRule="exact"/>
        <w:rPr>
          <w:rFonts w:ascii="Courier New" w:cs="Courier New" w:eastAsia="Courier New" w:hAnsi="Courier New"/>
          <w:sz w:val="18"/>
          <w:szCs w:val="18"/>
          <w:color w:val="auto"/>
        </w:rPr>
      </w:pPr>
    </w:p>
    <w:p>
      <w:pPr>
        <w:jc w:val="both"/>
        <w:ind w:left="1160" w:right="2199" w:firstLine="323"/>
        <w:spacing w:after="0" w:line="237" w:lineRule="auto"/>
        <w:tabs>
          <w:tab w:leader="none" w:pos="221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provided, however that paragraphs (i) and (ii) do not apply if the registration statement is on Form S-3 or Form S-8, and the information required to be included in a post-effective amendment by those paragraphs is contained in periodic reports filed by the Company pursuant to Section 13 or Section 15(d) of the Exchange Act that are incorporated by reference in the registration statement.</w:t>
      </w:r>
    </w:p>
    <w:p>
      <w:pPr>
        <w:spacing w:after="0" w:line="210" w:lineRule="exact"/>
        <w:rPr>
          <w:sz w:val="20"/>
          <w:szCs w:val="20"/>
          <w:color w:val="auto"/>
        </w:rPr>
      </w:pPr>
    </w:p>
    <w:p>
      <w:pPr>
        <w:ind w:left="540" w:right="1879" w:firstLine="521"/>
        <w:spacing w:after="0" w:line="237" w:lineRule="auto"/>
        <w:tabs>
          <w:tab w:leader="none" w:pos="159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59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right="1779" w:firstLine="535"/>
        <w:spacing w:after="0" w:line="271" w:lineRule="auto"/>
        <w:tabs>
          <w:tab w:leader="none" w:pos="73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in the initial bona fide offering thereof.</w:t>
      </w:r>
    </w:p>
    <w:p>
      <w:pPr>
        <w:spacing w:after="0" w:line="185" w:lineRule="exact"/>
        <w:rPr>
          <w:rFonts w:ascii="Courier New" w:cs="Courier New" w:eastAsia="Courier New" w:hAnsi="Courier New"/>
          <w:sz w:val="16"/>
          <w:szCs w:val="16"/>
          <w:color w:val="auto"/>
        </w:rPr>
      </w:pPr>
    </w:p>
    <w:p>
      <w:pPr>
        <w:ind w:left="-320" w:right="1779" w:firstLine="535"/>
        <w:spacing w:after="0" w:line="238" w:lineRule="auto"/>
        <w:tabs>
          <w:tab w:leader="none" w:pos="7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Town of Norwood, Commonwealth of Massachusetts on the 28th day of July, 1995.</w:t>
      </w:r>
    </w:p>
    <w:p>
      <w:pPr>
        <w:spacing w:after="0" w:line="200" w:lineRule="exact"/>
        <w:rPr>
          <w:sz w:val="20"/>
          <w:szCs w:val="20"/>
          <w:color w:val="auto"/>
        </w:rPr>
      </w:pP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RAY STATA</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Ray Stata</w:t>
      </w:r>
    </w:p>
    <w:p>
      <w:pPr>
        <w:ind w:left="4740"/>
        <w:spacing w:after="0" w:line="238" w:lineRule="auto"/>
        <w:rPr>
          <w:sz w:val="20"/>
          <w:szCs w:val="20"/>
          <w:color w:val="auto"/>
        </w:rPr>
      </w:pPr>
      <w:r>
        <w:rPr>
          <w:rFonts w:ascii="Courier New" w:cs="Courier New" w:eastAsia="Courier New" w:hAnsi="Courier New"/>
          <w:sz w:val="18"/>
          <w:szCs w:val="18"/>
          <w:color w:val="auto"/>
        </w:rPr>
        <w:t>Chairman and Chief</w:t>
      </w:r>
    </w:p>
    <w:p>
      <w:pPr>
        <w:ind w:left="474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the undersigned officers and directors of Analog Devices, Inc. hereby severally constitute Ray Stata, Joseph E. McDonough, Paul P. Brountas and Mark G. Borden,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Analog Devices, Inc.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ind w:left="540"/>
              <w:spacing w:after="0"/>
              <w:rPr>
                <w:sz w:val="20"/>
                <w:szCs w:val="20"/>
                <w:color w:val="auto"/>
              </w:rPr>
            </w:pPr>
            <w:r>
              <w:rPr>
                <w:rFonts w:ascii="Courier New" w:cs="Courier New" w:eastAsia="Courier New" w:hAnsi="Courier New"/>
                <w:sz w:val="18"/>
                <w:szCs w:val="18"/>
                <w:color w:val="auto"/>
              </w:rPr>
              <w:t>Signature</w:t>
            </w:r>
          </w:p>
        </w:tc>
        <w:tc>
          <w:tcPr>
            <w:tcW w:w="2900" w:type="dxa"/>
            <w:vAlign w:val="bottom"/>
          </w:tcPr>
          <w:p>
            <w:pPr>
              <w:ind w:left="900"/>
              <w:spacing w:after="0"/>
              <w:rPr>
                <w:sz w:val="20"/>
                <w:szCs w:val="20"/>
                <w:color w:val="auto"/>
              </w:rPr>
            </w:pPr>
            <w:r>
              <w:rPr>
                <w:rFonts w:ascii="Courier New" w:cs="Courier New" w:eastAsia="Courier New" w:hAnsi="Courier New"/>
                <w:sz w:val="18"/>
                <w:szCs w:val="18"/>
                <w:color w:val="auto"/>
              </w:rPr>
              <w:t>Title</w:t>
            </w:r>
          </w:p>
        </w:tc>
        <w:tc>
          <w:tcPr>
            <w:tcW w:w="1680" w:type="dxa"/>
            <w:vAlign w:val="bottom"/>
          </w:tcPr>
          <w:p>
            <w:pPr>
              <w:spacing w:after="0"/>
              <w:rPr>
                <w:sz w:val="17"/>
                <w:szCs w:val="17"/>
                <w:color w:val="auto"/>
              </w:rPr>
            </w:pPr>
          </w:p>
        </w:tc>
      </w:tr>
      <w:tr>
        <w:trPr>
          <w:trHeight w:val="203"/>
        </w:trPr>
        <w:tc>
          <w:tcPr>
            <w:tcW w:w="3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r>
      <w:tr>
        <w:trPr>
          <w:trHeight w:val="608"/>
        </w:trPr>
        <w:tc>
          <w:tcPr>
            <w:tcW w:w="3640" w:type="dxa"/>
            <w:vAlign w:val="bottom"/>
          </w:tcPr>
          <w:p>
            <w:pPr>
              <w:spacing w:after="0"/>
              <w:rPr>
                <w:sz w:val="20"/>
                <w:szCs w:val="20"/>
                <w:color w:val="auto"/>
              </w:rPr>
            </w:pPr>
            <w:r>
              <w:rPr>
                <w:rFonts w:ascii="Courier New" w:cs="Courier New" w:eastAsia="Courier New" w:hAnsi="Courier New"/>
                <w:sz w:val="18"/>
                <w:szCs w:val="18"/>
                <w:color w:val="auto"/>
              </w:rPr>
              <w:t>/s/ RAY STATA</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Chairman, Chief</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Ray Stata</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and Director (Principal</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 JOSEPH E. MCDONOUGH</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Vice President, Finance</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(Principal Financial</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and Accounting Officer)</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 JERALD G. FISHMAN</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President, Chief</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Operating Officer and</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Jerald G. Fishman</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L. Doyle</w:t>
            </w: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 SAMUEL H. FULLER</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 July 28, 1995</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Samuel H. Fuller</w:t>
            </w: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 PHILIP L. LOWE</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Philip L. Lowe</w:t>
            </w: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 GORDON C. MCKEAGUE</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Gordon C. McKeague</w:t>
            </w: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 JOEL MOSES</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Joel Moses</w:t>
            </w: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 LESTER C. THUROW</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Lester C. Thurow</w:t>
            </w:r>
          </w:p>
        </w:tc>
        <w:tc>
          <w:tcPr>
            <w:tcW w:w="29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1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Number</w:t>
            </w:r>
          </w:p>
        </w:tc>
        <w:tc>
          <w:tcPr>
            <w:tcW w:w="520" w:type="dxa"/>
            <w:vAlign w:val="bottom"/>
          </w:tcPr>
          <w:p>
            <w:pPr>
              <w:spacing w:after="0"/>
              <w:rPr>
                <w:sz w:val="17"/>
                <w:szCs w:val="17"/>
                <w:color w:val="auto"/>
              </w:rPr>
            </w:pPr>
          </w:p>
        </w:tc>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Description</w:t>
            </w:r>
          </w:p>
        </w:tc>
        <w:tc>
          <w:tcPr>
            <w:tcW w:w="3940" w:type="dxa"/>
            <w:vAlign w:val="bottom"/>
          </w:tcPr>
          <w:p>
            <w:pPr>
              <w:spacing w:after="0"/>
              <w:rPr>
                <w:sz w:val="17"/>
                <w:szCs w:val="17"/>
                <w:color w:val="auto"/>
              </w:rPr>
            </w:pP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Page</w:t>
            </w:r>
          </w:p>
        </w:tc>
      </w:tr>
      <w:tr>
        <w:trPr>
          <w:trHeight w:val="203"/>
        </w:trPr>
        <w:tc>
          <w:tcPr>
            <w:tcW w:w="1160" w:type="dxa"/>
            <w:vAlign w:val="bottom"/>
            <w:gridSpan w:val="2"/>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tcPr>
          <w:p>
            <w:pPr>
              <w:spacing w:after="0"/>
              <w:rPr>
                <w:sz w:val="17"/>
                <w:szCs w:val="17"/>
                <w:color w:val="auto"/>
              </w:rPr>
            </w:pPr>
          </w:p>
        </w:tc>
        <w:tc>
          <w:tcPr>
            <w:tcW w:w="7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6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4.1</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w:t>
            </w:r>
          </w:p>
        </w:tc>
        <w:tc>
          <w:tcPr>
            <w:tcW w:w="5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Restated Articles of Organization, as amended,</w:t>
            </w:r>
          </w:p>
        </w:tc>
        <w:tc>
          <w:tcPr>
            <w:tcW w:w="74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of the Company</w:t>
            </w:r>
          </w:p>
        </w:tc>
        <w:tc>
          <w:tcPr>
            <w:tcW w:w="7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4.2</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Amended and</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Restated By-laws of the Company</w:t>
            </w:r>
          </w:p>
        </w:tc>
        <w:tc>
          <w:tcPr>
            <w:tcW w:w="740" w:type="dxa"/>
            <w:vAlign w:val="bottom"/>
          </w:tcPr>
          <w:p>
            <w:pPr>
              <w:jc w:val="center"/>
              <w:ind w:left="232"/>
              <w:spacing w:after="0"/>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4.3</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(3)</w:t>
            </w:r>
          </w:p>
        </w:tc>
        <w:tc>
          <w:tcPr>
            <w:tcW w:w="5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Rights Agreement, as amended, by and between</w:t>
            </w:r>
          </w:p>
        </w:tc>
        <w:tc>
          <w:tcPr>
            <w:tcW w:w="74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Company</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The First National Bank of</w:t>
            </w:r>
          </w:p>
        </w:tc>
        <w:tc>
          <w:tcPr>
            <w:tcW w:w="7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Boston, as Rights Agent.</w:t>
            </w:r>
          </w:p>
        </w:tc>
        <w:tc>
          <w:tcPr>
            <w:tcW w:w="7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800" w:hanging="1160"/>
        <w:spacing w:after="0"/>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Hale and Dorr</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84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Consent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Ernst &amp; Young</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LLP</w:t>
            </w:r>
          </w:p>
        </w:tc>
        <w:tc>
          <w:tcPr>
            <w:tcW w:w="480" w:type="dxa"/>
            <w:vAlign w:val="bottom"/>
          </w:tcPr>
          <w:p>
            <w:pPr>
              <w:spacing w:after="0"/>
              <w:rPr>
                <w:sz w:val="17"/>
                <w:szCs w:val="17"/>
                <w:color w:val="auto"/>
              </w:rPr>
            </w:pP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Consent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Hale and Dorr</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(included in Exhibit 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574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Power of Attorney (see page 7 of this</w:t>
            </w:r>
          </w:p>
        </w:tc>
        <w:tc>
          <w:tcPr>
            <w:tcW w:w="480" w:type="dxa"/>
            <w:vAlign w:val="bottom"/>
          </w:tcPr>
          <w:p>
            <w:pPr>
              <w:spacing w:after="0"/>
              <w:rPr>
                <w:sz w:val="24"/>
                <w:szCs w:val="24"/>
                <w:color w:val="auto"/>
              </w:rPr>
            </w:pPr>
          </w:p>
        </w:tc>
      </w:tr>
      <w:tr>
        <w:trPr>
          <w:trHeight w:val="203"/>
        </w:trPr>
        <w:tc>
          <w:tcPr>
            <w:tcW w:w="840" w:type="dxa"/>
            <w:vAlign w:val="bottom"/>
          </w:tcPr>
          <w:p>
            <w:pPr>
              <w:spacing w:after="0"/>
              <w:rPr>
                <w:sz w:val="17"/>
                <w:szCs w:val="17"/>
                <w:color w:val="auto"/>
              </w:rPr>
            </w:pPr>
          </w:p>
        </w:tc>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Registration Statement)</w:t>
            </w:r>
          </w:p>
        </w:tc>
        <w:tc>
          <w:tcPr>
            <w:tcW w:w="27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879" w:hanging="532"/>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Company's Quarterly Report on Form 10-Q for the quarter ended April 29, 1995 (File No. 1-7819) and incorporated herein by reference.</w:t>
      </w:r>
    </w:p>
    <w:p>
      <w:pPr>
        <w:spacing w:after="0" w:line="208"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Company's Annual Report on Form 10-K for the fiscal year ended October 31, 1992, (File No. 1-7819) and incorporated herein by reference.</w:t>
      </w:r>
    </w:p>
    <w:p>
      <w:pPr>
        <w:spacing w:after="0" w:line="208" w:lineRule="exact"/>
        <w:rPr>
          <w:rFonts w:ascii="Courier New" w:cs="Courier New" w:eastAsia="Courier New" w:hAnsi="Courier New"/>
          <w:sz w:val="18"/>
          <w:szCs w:val="18"/>
          <w:color w:val="auto"/>
        </w:rPr>
      </w:pPr>
    </w:p>
    <w:p>
      <w:pPr>
        <w:ind w:left="540" w:right="2519" w:hanging="532"/>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Form 8, filed on June 27, 1989, amending the Registration Statement on Form 8-A relating to Common Stock Purchase Rights,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5</w:t>
      </w:r>
    </w:p>
    <w:p>
      <w:pPr>
        <w:ind w:left="3480"/>
        <w:spacing w:after="0" w:line="238" w:lineRule="auto"/>
        <w:rPr>
          <w:sz w:val="20"/>
          <w:szCs w:val="20"/>
          <w:color w:val="auto"/>
        </w:rPr>
      </w:pPr>
      <w:r>
        <w:rPr>
          <w:rFonts w:ascii="Courier New" w:cs="Courier New" w:eastAsia="Courier New" w:hAnsi="Courier New"/>
          <w:sz w:val="18"/>
          <w:szCs w:val="18"/>
          <w:color w:val="auto"/>
        </w:rPr>
        <w:t>HALE AND DORR</w:t>
      </w:r>
    </w:p>
    <w:p>
      <w:pPr>
        <w:ind w:left="3280"/>
        <w:spacing w:after="0"/>
        <w:rPr>
          <w:sz w:val="20"/>
          <w:szCs w:val="20"/>
          <w:color w:val="auto"/>
        </w:rPr>
      </w:pPr>
      <w:r>
        <w:rPr>
          <w:rFonts w:ascii="Courier New" w:cs="Courier New" w:eastAsia="Courier New" w:hAnsi="Courier New"/>
          <w:sz w:val="18"/>
          <w:szCs w:val="18"/>
          <w:color w:val="auto"/>
        </w:rPr>
        <w:t>COUNSELLORS AT LAW</w:t>
      </w:r>
    </w:p>
    <w:p>
      <w:pPr>
        <w:ind w:left="3380"/>
        <w:spacing w:after="0" w:line="237" w:lineRule="auto"/>
        <w:rPr>
          <w:sz w:val="20"/>
          <w:szCs w:val="20"/>
          <w:color w:val="auto"/>
        </w:rPr>
      </w:pPr>
      <w:r>
        <w:rPr>
          <w:rFonts w:ascii="Courier New" w:cs="Courier New" w:eastAsia="Courier New" w:hAnsi="Courier New"/>
          <w:sz w:val="18"/>
          <w:szCs w:val="18"/>
          <w:color w:val="auto"/>
        </w:rPr>
        <w:t>60 STATE STREET</w:t>
      </w:r>
    </w:p>
    <w:p>
      <w:pPr>
        <w:ind w:left="2740"/>
        <w:spacing w:after="0" w:line="238" w:lineRule="auto"/>
        <w:rPr>
          <w:sz w:val="20"/>
          <w:szCs w:val="20"/>
          <w:color w:val="auto"/>
        </w:rPr>
      </w:pPr>
      <w:r>
        <w:rPr>
          <w:rFonts w:ascii="Courier New" w:cs="Courier New" w:eastAsia="Courier New" w:hAnsi="Courier New"/>
          <w:sz w:val="18"/>
          <w:szCs w:val="18"/>
          <w:color w:val="auto"/>
        </w:rPr>
        <w:t>BOSTON, MASSACHUSETTS 02109</w:t>
      </w:r>
    </w:p>
    <w:p>
      <w:pPr>
        <w:ind w:left="2540"/>
        <w:spacing w:after="0"/>
        <w:tabs>
          <w:tab w:leader="none" w:pos="4100" w:val="left"/>
        </w:tabs>
        <w:rPr>
          <w:sz w:val="20"/>
          <w:szCs w:val="20"/>
          <w:color w:val="auto"/>
        </w:rPr>
      </w:pPr>
      <w:r>
        <w:rPr>
          <w:rFonts w:ascii="Courier New" w:cs="Courier New" w:eastAsia="Courier New" w:hAnsi="Courier New"/>
          <w:sz w:val="18"/>
          <w:szCs w:val="18"/>
          <w:color w:val="auto"/>
        </w:rPr>
        <w:t>617 526-6000</w:t>
      </w:r>
      <w:r>
        <w:rPr>
          <w:sz w:val="20"/>
          <w:szCs w:val="20"/>
          <w:color w:val="auto"/>
        </w:rPr>
        <w:tab/>
      </w:r>
      <w:r>
        <w:rPr>
          <w:rFonts w:ascii="Courier New" w:cs="Courier New" w:eastAsia="Courier New" w:hAnsi="Courier New"/>
          <w:sz w:val="16"/>
          <w:szCs w:val="16"/>
          <w:color w:val="auto"/>
        </w:rPr>
        <w:t>FAX 617 526-5000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July 28,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One Technology Way</w:t>
      </w:r>
    </w:p>
    <w:p>
      <w:pPr>
        <w:spacing w:after="0"/>
        <w:rPr>
          <w:sz w:val="20"/>
          <w:szCs w:val="20"/>
          <w:color w:val="auto"/>
        </w:rPr>
      </w:pPr>
      <w:r>
        <w:rPr>
          <w:rFonts w:ascii="Courier New" w:cs="Courier New" w:eastAsia="Courier New" w:hAnsi="Courier New"/>
          <w:sz w:val="18"/>
          <w:szCs w:val="18"/>
          <w:color w:val="auto"/>
        </w:rPr>
        <w:t>P.O. Box 9106</w:t>
      </w:r>
    </w:p>
    <w:p>
      <w:pPr>
        <w:spacing w:after="0"/>
        <w:tabs>
          <w:tab w:leader="none" w:pos="136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02062-9106</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1994 Director Option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We have assisted in the preparation of a Registration Statement on Form S-8 (the "Registration Statement") to be filed with the Securities and Exchange Commission relating to 200,000 shares of Common Stock, $.16 2/3 par value per share (the "Shares"), of Analog Devices, Inc., a Massachusetts corporation (the "Company"), issuable under the Company's 1994 Director Option Plan (the "Plan").</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examined the Restated Articles of Organization of the Company, as amended, the Amended and Restated By-laws of the Company,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examination of the foregoing documents, we have assumed the genuineness of all signatures and the authenticity of all documents submitted to us as originals, the conformity to original documents of all documents submitted to us as certified or photostatic copies, and the authenticity of the originals of such latter documents.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Based on the foregoing, we are of the opinion that the Company has duly authorized for issuance the shares of its Common Stock covered by the Registration Statement to be issued under the Plan, as described in the Registration Statement, and such shares,</w:t>
      </w:r>
    </w:p>
    <w:p>
      <w:pPr>
        <w:sectPr>
          <w:pgSz w:w="11900" w:h="16838" w:orient="portrait"/>
          <w:cols w:equalWidth="0" w:num="1">
            <w:col w:w="10219"/>
          </w:cols>
          <w:pgMar w:left="240" w:top="136"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July 28, 1995</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when issued in accordance with the terms of the Plan, will be legally issued, fully paid and nonassessable.</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We hereby consent to the filing of this opinion with the Securities and Exchange Commission in connection with the Registration Statement.</w:t>
      </w:r>
    </w:p>
    <w:p>
      <w:pPr>
        <w:spacing w:after="0" w:line="203" w:lineRule="exact"/>
        <w:rPr>
          <w:sz w:val="20"/>
          <w:szCs w:val="20"/>
          <w:color w:val="auto"/>
        </w:rPr>
      </w:pP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Paul P. Brountas, Clerk of the Company, is a partner of Hale and Dorr.</w:t>
      </w:r>
      <w:r>
        <w:rPr>
          <w:sz w:val="20"/>
          <w:szCs w:val="20"/>
          <w:color w:val="auto"/>
        </w:rPr>
        <w:tab/>
      </w:r>
      <w:r>
        <w:rPr>
          <w:rFonts w:ascii="Courier New" w:cs="Courier New" w:eastAsia="Courier New" w:hAnsi="Courier New"/>
          <w:sz w:val="16"/>
          <w:szCs w:val="16"/>
          <w:color w:val="auto"/>
        </w:rPr>
        <w:t>Mr.</w:t>
      </w:r>
    </w:p>
    <w:p>
      <w:pPr>
        <w:spacing w:after="0" w:line="238" w:lineRule="auto"/>
        <w:rPr>
          <w:sz w:val="20"/>
          <w:szCs w:val="20"/>
          <w:color w:val="auto"/>
        </w:rPr>
      </w:pPr>
      <w:r>
        <w:rPr>
          <w:rFonts w:ascii="Courier New" w:cs="Courier New" w:eastAsia="Courier New" w:hAnsi="Courier New"/>
          <w:sz w:val="18"/>
          <w:szCs w:val="18"/>
          <w:color w:val="auto"/>
        </w:rPr>
        <w:t>Brountas owns 20,544 shares of the Company's Common Stock.</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HALE AND DORR</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1994 Director Option Plan of Analog Devices, Inc. of our report dated November 29, 1994, with respect to the consolidated financial statements of Analog Devices, Inc. included in its Annual Report (Form 10-K) for the year ended October 29, 1994, filed with the Securities and Exchange Commission. Our report mentioned above includes the following explanatory paragraph: As discussed in Note 6 to the consolidated financial statements, claims and actions have been brought against Analog Devices, Inc. and the ultimate outcome of these claims and actions cannot presently be determined. Accordingly, no such provision for any liability, if any, that may result has been made in the financial statements.</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Boston, Massachusetts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28,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Ernst &amp; Young LLP</w:t>
      </w:r>
    </w:p>
    <w:sectPr>
      <w:pgSz w:w="11900" w:h="16838" w:orient="portrait"/>
      <w:cols w:equalWidth="0" w:num="2">
        <w:col w:w="4440" w:space="720"/>
        <w:col w:w="50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lvl w:ilvl="1">
      <w:lvlJc w:val="left"/>
      <w:lvlText w:val="(%2)"/>
      <w:numFmt w:val="lowerRoman"/>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5"/>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2019-12-20T05:10:31Z</dcterms:created>
  <dcterms:modified xsi:type="dcterms:W3CDTF">2019-12-20T05:10:31Z</dcterms:modified>
</cp:coreProperties>
</file>