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 SECURITIES AND EXCHANGE COMMISSION</w:t>
      </w:r>
    </w:p>
    <w:p>
      <w:pPr>
        <w:spacing w:after="0" w:line="238" w:lineRule="auto"/>
        <w:tabs>
          <w:tab w:leader="none" w:pos="1880" w:val="left"/>
        </w:tabs>
        <w:rPr>
          <w:sz w:val="20"/>
          <w:szCs w:val="20"/>
          <w:color w:val="auto"/>
        </w:rPr>
      </w:pPr>
      <w:r>
        <w:rPr>
          <w:rFonts w:ascii="Courier New" w:cs="Courier New" w:eastAsia="Courier New" w:hAnsi="Courier New"/>
          <w:sz w:val="18"/>
          <w:szCs w:val="18"/>
          <w:color w:val="auto"/>
        </w:rPr>
        <w:t>Washington, D.C.</w:t>
        <w:tab/>
        <w:t>20549</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ANALOG DEVICES</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5"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Common Stock</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873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32654105 (CUSIP Number)</w:t>
      </w: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December 31, 2007</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39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 Rule 13d-1(b)</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13d-1(c)</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7" w:lineRule="exact"/>
        <w:rPr>
          <w:sz w:val="24"/>
          <w:szCs w:val="24"/>
          <w:color w:val="auto"/>
        </w:rPr>
      </w:pPr>
    </w:p>
    <w:p>
      <w:pPr>
        <w:ind w:right="3899" w:firstLine="8"/>
        <w:spacing w:after="0" w:line="237"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w:t>
      </w:r>
    </w:p>
    <w:p>
      <w:pPr>
        <w:spacing w:after="0" w:line="5" w:lineRule="exact"/>
        <w:rPr>
          <w:sz w:val="24"/>
          <w:szCs w:val="24"/>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of the Act but shall be subject to all other provisions of the Act (however, see the Notes).</w:t>
      </w:r>
    </w:p>
    <w:p>
      <w:pPr>
        <w:spacing w:after="0" w:line="208" w:lineRule="exact"/>
        <w:rPr>
          <w:sz w:val="24"/>
          <w:szCs w:val="24"/>
          <w:color w:val="auto"/>
        </w:rPr>
      </w:pPr>
    </w:p>
    <w:p>
      <w:pPr>
        <w:ind w:right="4199"/>
        <w:spacing w:after="0" w:line="237" w:lineRule="auto"/>
        <w:rPr>
          <w:sz w:val="20"/>
          <w:szCs w:val="20"/>
          <w:color w:val="auto"/>
        </w:rPr>
      </w:pPr>
      <w:r>
        <w:rPr>
          <w:rFonts w:ascii="Courier New" w:cs="Courier New" w:eastAsia="Courier New" w:hAnsi="Courier New"/>
          <w:sz w:val="18"/>
          <w:szCs w:val="18"/>
          <w:color w:val="auto"/>
        </w:rPr>
        <w:t>Potential persons who are to respond to the collection of information contained in this form are not required to respond unless the form displays a currently valid OMB control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 1 of 5 pages</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Names of Reporting Persons and I.R.S. Identification No.</w:t>
      </w:r>
    </w:p>
    <w:p>
      <w:pPr>
        <w:spacing w:after="0" w:line="207" w:lineRule="exact"/>
        <w:rPr>
          <w:sz w:val="24"/>
          <w:szCs w:val="24"/>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UBS AG (for the benefit and on behalf of the UBS Global Asset Management business group of UBS AG (see Item 7)</w:t>
      </w:r>
    </w:p>
    <w:p>
      <w:pPr>
        <w:spacing w:after="0" w:line="208"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spacing w:after="0" w:line="202" w:lineRule="exact"/>
        <w:rPr>
          <w:sz w:val="24"/>
          <w:szCs w:val="24"/>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See Item 8 of attached schedule</w:t>
      </w:r>
    </w:p>
    <w:p>
      <w:pPr>
        <w:spacing w:after="0" w:line="5" w:lineRule="exact"/>
        <w:rPr>
          <w:sz w:val="24"/>
          <w:szCs w:val="24"/>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Switzerland</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580" w:type="dxa"/>
            <w:vAlign w:val="bottom"/>
          </w:tcPr>
          <w:p>
            <w:pPr>
              <w:ind w:left="120"/>
              <w:spacing w:after="0"/>
              <w:rPr>
                <w:sz w:val="20"/>
                <w:szCs w:val="20"/>
                <w:color w:val="auto"/>
              </w:rPr>
            </w:pPr>
            <w:r>
              <w:rPr>
                <w:rFonts w:ascii="Courier New" w:cs="Courier New" w:eastAsia="Courier New" w:hAnsi="Courier New"/>
                <w:sz w:val="18"/>
                <w:szCs w:val="18"/>
                <w:color w:val="auto"/>
              </w:rPr>
              <w:t>Sole</w:t>
            </w:r>
          </w:p>
        </w:tc>
        <w:tc>
          <w:tcPr>
            <w:tcW w:w="228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27,275,026</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8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Sole</w:t>
            </w:r>
          </w:p>
        </w:tc>
        <w:tc>
          <w:tcPr>
            <w:tcW w:w="2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Dispositive Power</w:t>
            </w: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c>
          <w:tcPr>
            <w:tcW w:w="28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30,458,259</w:t>
            </w:r>
          </w:p>
        </w:tc>
      </w:tr>
    </w:tbl>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Reporting</w:t>
      </w:r>
    </w:p>
    <w:p>
      <w:pPr>
        <w:spacing w:after="0" w:line="238" w:lineRule="auto"/>
        <w:rPr>
          <w:sz w:val="20"/>
          <w:szCs w:val="20"/>
          <w:color w:val="auto"/>
        </w:rPr>
      </w:pPr>
      <w:r>
        <w:rPr>
          <w:rFonts w:ascii="Courier New" w:cs="Courier New" w:eastAsia="Courier New" w:hAnsi="Courier New"/>
          <w:sz w:val="18"/>
          <w:szCs w:val="18"/>
          <w:color w:val="auto"/>
        </w:rPr>
        <w:t>Person With:</w:t>
      </w:r>
    </w:p>
    <w:p>
      <w:pPr>
        <w:spacing w:after="0" w:line="5" w:lineRule="exact"/>
        <w:rPr>
          <w:sz w:val="24"/>
          <w:szCs w:val="24"/>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43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30,458,259 shares*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244" w:right="1440" w:bottom="0" w:gutter="0" w:footer="0" w:header="0"/>
        </w:sectPr>
      </w:pPr>
    </w:p>
    <w:bookmarkStart w:id="1" w:name="page2"/>
    <w:bookmarkEnd w:id="1"/>
    <w:p>
      <w:pPr>
        <w:ind w:right="3999" w:firstLine="8"/>
        <w:spacing w:after="0" w:line="235" w:lineRule="auto"/>
        <w:tabs>
          <w:tab w:leader="none" w:pos="42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5"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rPr>
          <w:sz w:val="20"/>
          <w:szCs w:val="20"/>
          <w:color w:val="auto"/>
        </w:rPr>
      </w:pPr>
      <w:r>
        <w:rPr>
          <w:rFonts w:ascii="Courier New" w:cs="Courier New" w:eastAsia="Courier New" w:hAnsi="Courier New"/>
          <w:sz w:val="18"/>
          <w:szCs w:val="18"/>
          <w:color w:val="auto"/>
        </w:rPr>
        <w:t>10%</w:t>
      </w:r>
    </w:p>
    <w:p>
      <w:pPr>
        <w:spacing w:after="0" w:line="3"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 HC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right="4319"/>
        <w:spacing w:after="0" w:line="271" w:lineRule="auto"/>
        <w:rPr>
          <w:sz w:val="20"/>
          <w:szCs w:val="20"/>
          <w:color w:val="auto"/>
        </w:rPr>
      </w:pPr>
      <w:r>
        <w:rPr>
          <w:rFonts w:ascii="Courier New" w:cs="Courier New" w:eastAsia="Courier New" w:hAnsi="Courier New"/>
          <w:sz w:val="16"/>
          <w:szCs w:val="16"/>
          <w:color w:val="auto"/>
        </w:rPr>
        <w:t>UBS AG disclaims beneficial ownership of such securities pursuant to Rule 13d-4 under the Securities Exchange Act of 1934. In accordance with SEC Release No. 34-39538 (January 12, 1998), this filing reflects the securities beneficially owned by the UBS Global Asset Management business group of UBS AG and its subsidiaries and affiliates on behalf of its clients. This filing does not reflect securities, if any, beneficially owned by any other division or business group of UBS AG.</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2 of 5 pages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32654105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38" w:lineRule="auto"/>
        <w:rPr>
          <w:sz w:val="20"/>
          <w:szCs w:val="20"/>
          <w:color w:val="auto"/>
        </w:rPr>
      </w:pPr>
      <w:r>
        <w:rPr>
          <w:rFonts w:ascii="Courier New" w:cs="Courier New" w:eastAsia="Courier New" w:hAnsi="Courier New"/>
          <w:sz w:val="18"/>
          <w:szCs w:val="18"/>
          <w:color w:val="auto"/>
        </w:rPr>
        <w:t>ANALOG DEVICES</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One Technology Way</w:t>
      </w:r>
    </w:p>
    <w:p>
      <w:pPr>
        <w:spacing w:after="0"/>
        <w:rPr>
          <w:sz w:val="20"/>
          <w:szCs w:val="20"/>
          <w:color w:val="auto"/>
        </w:rPr>
      </w:pPr>
      <w:r>
        <w:rPr>
          <w:rFonts w:ascii="Courier New" w:cs="Courier New" w:eastAsia="Courier New" w:hAnsi="Courier New"/>
          <w:sz w:val="18"/>
          <w:szCs w:val="18"/>
          <w:color w:val="auto"/>
        </w:rPr>
        <w:t>Norwood, Massachusetts 02062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238" w:lineRule="auto"/>
        <w:rPr>
          <w:sz w:val="20"/>
          <w:szCs w:val="20"/>
          <w:color w:val="auto"/>
        </w:rPr>
      </w:pPr>
      <w:r>
        <w:rPr>
          <w:rFonts w:ascii="Courier New" w:cs="Courier New" w:eastAsia="Courier New" w:hAnsi="Courier New"/>
          <w:sz w:val="18"/>
          <w:szCs w:val="18"/>
          <w:color w:val="auto"/>
        </w:rPr>
        <w:t>UBS AG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 or, if none,</w:t>
      </w:r>
    </w:p>
    <w:p>
      <w:pPr>
        <w:spacing w:after="0" w:line="238" w:lineRule="auto"/>
        <w:rPr>
          <w:sz w:val="20"/>
          <w:szCs w:val="20"/>
          <w:color w:val="auto"/>
        </w:rPr>
      </w:pPr>
      <w:r>
        <w:rPr>
          <w:rFonts w:ascii="Courier New" w:cs="Courier New" w:eastAsia="Courier New" w:hAnsi="Courier New"/>
          <w:sz w:val="18"/>
          <w:szCs w:val="18"/>
          <w:color w:val="auto"/>
        </w:rPr>
        <w:t>Residence: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UBS AG's principal business office is:</w:t>
      </w:r>
    </w:p>
    <w:p>
      <w:pPr>
        <w:spacing w:after="0" w:line="238" w:lineRule="auto"/>
        <w:rPr>
          <w:sz w:val="20"/>
          <w:szCs w:val="20"/>
          <w:color w:val="auto"/>
        </w:rPr>
      </w:pPr>
      <w:r>
        <w:rPr>
          <w:rFonts w:ascii="Courier New" w:cs="Courier New" w:eastAsia="Courier New" w:hAnsi="Courier New"/>
          <w:sz w:val="18"/>
          <w:szCs w:val="18"/>
          <w:color w:val="auto"/>
        </w:rPr>
        <w:t>Bahnhofstrasse 45</w:t>
      </w:r>
    </w:p>
    <w:p>
      <w:pPr>
        <w:spacing w:after="0"/>
        <w:rPr>
          <w:sz w:val="20"/>
          <w:szCs w:val="20"/>
          <w:color w:val="auto"/>
        </w:rPr>
      </w:pPr>
      <w:r>
        <w:rPr>
          <w:rFonts w:ascii="Courier New" w:cs="Courier New" w:eastAsia="Courier New" w:hAnsi="Courier New"/>
          <w:sz w:val="18"/>
          <w:szCs w:val="18"/>
          <w:color w:val="auto"/>
        </w:rPr>
        <w:t>PO Box CH-8021</w:t>
      </w:r>
    </w:p>
    <w:p>
      <w:pPr>
        <w:spacing w:after="0" w:line="237" w:lineRule="auto"/>
        <w:rPr>
          <w:sz w:val="20"/>
          <w:szCs w:val="20"/>
          <w:color w:val="auto"/>
        </w:rPr>
      </w:pPr>
      <w:r>
        <w:rPr>
          <w:rFonts w:ascii="Courier New" w:cs="Courier New" w:eastAsia="Courier New" w:hAnsi="Courier New"/>
          <w:sz w:val="18"/>
          <w:szCs w:val="18"/>
          <w:color w:val="auto"/>
        </w:rPr>
        <w:t>Zurich, Switzerland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38" w:lineRule="auto"/>
        <w:rPr>
          <w:sz w:val="20"/>
          <w:szCs w:val="20"/>
          <w:color w:val="auto"/>
        </w:rPr>
      </w:pPr>
      <w:r>
        <w:rPr>
          <w:rFonts w:ascii="Courier New" w:cs="Courier New" w:eastAsia="Courier New" w:hAnsi="Courier New"/>
          <w:sz w:val="18"/>
          <w:szCs w:val="18"/>
          <w:color w:val="auto"/>
        </w:rPr>
        <w:t>Incorporated by reference to Item 4 of the cover pages.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38" w:lineRule="auto"/>
        <w:rPr>
          <w:sz w:val="20"/>
          <w:szCs w:val="20"/>
          <w:color w:val="auto"/>
        </w:rPr>
      </w:pPr>
      <w:r>
        <w:rPr>
          <w:rFonts w:ascii="Courier New" w:cs="Courier New" w:eastAsia="Courier New" w:hAnsi="Courier New"/>
          <w:sz w:val="18"/>
          <w:szCs w:val="18"/>
          <w:color w:val="auto"/>
        </w:rPr>
        <w:t>Common Stock (the "Common Stock")</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38" w:lineRule="auto"/>
        <w:rPr>
          <w:sz w:val="20"/>
          <w:szCs w:val="20"/>
          <w:color w:val="auto"/>
        </w:rPr>
      </w:pPr>
      <w:r>
        <w:rPr>
          <w:rFonts w:ascii="Courier New" w:cs="Courier New" w:eastAsia="Courier New" w:hAnsi="Courier New"/>
          <w:sz w:val="18"/>
          <w:szCs w:val="18"/>
          <w:color w:val="auto"/>
        </w:rPr>
        <w:t>32654105</w:t>
      </w:r>
    </w:p>
    <w:p>
      <w:pPr>
        <w:spacing w:after="0" w:line="5"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3.  Type of Person Filing:</w:t>
      </w:r>
    </w:p>
    <w:p>
      <w:pPr>
        <w:spacing w:after="0" w:line="207" w:lineRule="exact"/>
        <w:rPr>
          <w:sz w:val="20"/>
          <w:szCs w:val="20"/>
          <w:color w:val="auto"/>
        </w:rPr>
      </w:pPr>
    </w:p>
    <w:p>
      <w:pPr>
        <w:jc w:val="both"/>
        <w:ind w:right="3899"/>
        <w:spacing w:after="0" w:line="236" w:lineRule="auto"/>
        <w:rPr>
          <w:sz w:val="20"/>
          <w:szCs w:val="20"/>
          <w:color w:val="auto"/>
        </w:rPr>
      </w:pPr>
      <w:r>
        <w:rPr>
          <w:rFonts w:ascii="Courier New" w:cs="Courier New" w:eastAsia="Courier New" w:hAnsi="Courier New"/>
          <w:sz w:val="18"/>
          <w:szCs w:val="18"/>
          <w:color w:val="auto"/>
        </w:rPr>
        <w:t>UBS AG is classified as a Bank as defined in section 3(a)(6) of the Act pursuant to no action relief granted by the staff of the Securities and Exchange Commission.</w:t>
      </w:r>
    </w:p>
    <w:p>
      <w:pPr>
        <w:spacing w:after="0" w:line="6"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4 (a)-(c)(iv).  Ownership:</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Incorporated by reference to Items 5-11 of the cover pages.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3 of 5 pages</w:t>
      </w:r>
    </w:p>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32654105</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jc w:val="both"/>
        <w:ind w:right="3899"/>
        <w:spacing w:after="0" w:line="279"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w:t>
      </w:r>
    </w:p>
    <w:p>
      <w:pPr>
        <w:sectPr>
          <w:pgSz w:w="11900" w:h="16838" w:orient="portrait"/>
          <w:cols w:equalWidth="0" w:num="1">
            <w:col w:w="10219"/>
          </w:cols>
          <w:pgMar w:left="240" w:top="142"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securities, check the following / /.</w:t>
      </w:r>
    </w:p>
    <w:p>
      <w:pPr>
        <w:spacing w:after="0" w:line="4"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43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Accounts managed on a discretionary basis by the UBS Global Asset Management business group of UBS AG (UBS Global AM) have the right to receive or the power to direct the receipt of dividends from, or the proceeds from the sale of, the Common Stock. To the best of our knowledge, no account holds more than 5 percent of the outstanding Common Stock.</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jc w:val="both"/>
        <w:ind w:right="389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Identification:</w:t>
      </w:r>
      <w:r>
        <w:rPr>
          <w:sz w:val="20"/>
          <w:szCs w:val="20"/>
          <w:color w:val="auto"/>
        </w:rPr>
        <w:tab/>
      </w:r>
      <w:r>
        <w:rPr>
          <w:rFonts w:ascii="Courier New" w:cs="Courier New" w:eastAsia="Courier New" w:hAnsi="Courier New"/>
          <w:sz w:val="16"/>
          <w:szCs w:val="16"/>
          <w:color w:val="auto"/>
        </w:rPr>
        <w:t>UBS Global Asset Management (Americas) Inc.</w:t>
      </w:r>
    </w:p>
    <w:p>
      <w:pPr>
        <w:spacing w:after="0"/>
        <w:tabs>
          <w:tab w:leader="none" w:pos="1780" w:val="left"/>
        </w:tabs>
        <w:rPr>
          <w:sz w:val="20"/>
          <w:szCs w:val="20"/>
          <w:color w:val="auto"/>
        </w:rPr>
      </w:pPr>
      <w:r>
        <w:rPr>
          <w:rFonts w:ascii="Courier New" w:cs="Courier New" w:eastAsia="Courier New" w:hAnsi="Courier New"/>
          <w:sz w:val="18"/>
          <w:szCs w:val="18"/>
          <w:color w:val="auto"/>
        </w:rPr>
        <w:t>Classification:</w:t>
      </w:r>
      <w:r>
        <w:rPr>
          <w:sz w:val="20"/>
          <w:szCs w:val="20"/>
          <w:color w:val="auto"/>
        </w:rPr>
        <w:tab/>
      </w:r>
      <w:r>
        <w:rPr>
          <w:rFonts w:ascii="Courier New" w:cs="Courier New" w:eastAsia="Courier New" w:hAnsi="Courier New"/>
          <w:sz w:val="16"/>
          <w:szCs w:val="16"/>
          <w:color w:val="auto"/>
        </w:rPr>
        <w:t>IA</w:t>
      </w:r>
    </w:p>
    <w:p>
      <w:pPr>
        <w:spacing w:after="0" w:line="207" w:lineRule="exact"/>
        <w:rPr>
          <w:sz w:val="20"/>
          <w:szCs w:val="20"/>
          <w:color w:val="auto"/>
        </w:rPr>
      </w:pPr>
    </w:p>
    <w:p>
      <w:pPr>
        <w:ind w:right="4319"/>
        <w:spacing w:after="0" w:line="268" w:lineRule="auto"/>
        <w:rPr>
          <w:sz w:val="20"/>
          <w:szCs w:val="20"/>
          <w:color w:val="auto"/>
        </w:rPr>
      </w:pPr>
      <w:r>
        <w:rPr>
          <w:rFonts w:ascii="Courier New" w:cs="Courier New" w:eastAsia="Courier New" w:hAnsi="Courier New"/>
          <w:sz w:val="16"/>
          <w:szCs w:val="16"/>
          <w:color w:val="auto"/>
        </w:rPr>
        <w:t>In addition to UBS AG, the following UBS Global AM affiliates and subsidiaries are part of the UBS Global Asset Management business group included in this filing: UBS Global Asset Management (Americas) Inc., UBS Global Asset Management Trust Company, UBS Global Asset Management (Canada) Co., UBS Global Asset Management (Australia) Ltd., UBS Global Asset Management</w:t>
      </w:r>
    </w:p>
    <w:p>
      <w:pPr>
        <w:spacing w:after="0" w:line="1"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(Hong Kong) Limited, UBS (Trust &amp; Banking) Limited, UBS Global Asset Management (Japan) Ltd., UBS Global Asset Management (Singapore) Ltd., UBS Global Asset Management (Taiwan) Ltd., UBS Global Asset Management (France) SA, UBS Global Asset Management (Deutschland) GmbH, UBS Global Asset Management (Italia) SIM SpA,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UBS Espana S.A., UBS Global Asset management (UK) Ltd.</w:t>
      </w:r>
    </w:p>
    <w:p>
      <w:pPr>
        <w:spacing w:after="0" w:line="238" w:lineRule="auto"/>
        <w:rPr>
          <w:sz w:val="20"/>
          <w:szCs w:val="20"/>
          <w:color w:val="auto"/>
        </w:rPr>
      </w:pPr>
      <w:r>
        <w:rPr>
          <w:rFonts w:ascii="Courier New" w:cs="Courier New" w:eastAsia="Courier New" w:hAnsi="Courier New"/>
          <w:sz w:val="18"/>
          <w:szCs w:val="18"/>
          <w:color w:val="auto"/>
        </w:rPr>
        <w:t>and UBS Global Asset Management Life Limited.</w:t>
      </w:r>
    </w:p>
    <w:p>
      <w:pPr>
        <w:spacing w:after="0" w:line="207"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40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Identification and Classification of Members of the Group:</w:t>
      </w:r>
    </w:p>
    <w:p>
      <w:pPr>
        <w:spacing w:after="0" w:line="208" w:lineRule="exact"/>
        <w:rPr>
          <w:sz w:val="20"/>
          <w:szCs w:val="20"/>
          <w:color w:val="auto"/>
        </w:rPr>
      </w:pPr>
    </w:p>
    <w:p>
      <w:pPr>
        <w:ind w:right="4319"/>
        <w:spacing w:after="0" w:line="237" w:lineRule="auto"/>
        <w:rPr>
          <w:sz w:val="20"/>
          <w:szCs w:val="20"/>
          <w:color w:val="auto"/>
        </w:rPr>
      </w:pPr>
      <w:r>
        <w:rPr>
          <w:rFonts w:ascii="Courier New" w:cs="Courier New" w:eastAsia="Courier New" w:hAnsi="Courier New"/>
          <w:sz w:val="18"/>
          <w:szCs w:val="18"/>
          <w:color w:val="auto"/>
        </w:rPr>
        <w:t>UBS Global AM is composed of wholly-owned subsidiaries and branches of UBS AG. UBS AG is reporting direct and indirect beneficial ownership of holdings. None of the reporting persons affirm the existence of a group within the meaning of Rule 13d-5(b)(1).</w:t>
      </w:r>
    </w:p>
    <w:p>
      <w:pPr>
        <w:spacing w:after="0" w:line="6"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Page 4 of 5 pages</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32654105</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Notice of Dissolution of Group:</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37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14, 2008</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UBS AG</w:t>
      </w:r>
    </w:p>
    <w:p>
      <w:pPr>
        <w:spacing w:after="0" w:line="200" w:lineRule="exact"/>
        <w:rPr>
          <w:sz w:val="20"/>
          <w:szCs w:val="20"/>
          <w:color w:val="auto"/>
        </w:rPr>
      </w:pPr>
    </w:p>
    <w:p>
      <w:pPr>
        <w:spacing w:after="0" w:line="204" w:lineRule="exact"/>
        <w:rPr>
          <w:sz w:val="20"/>
          <w:szCs w:val="20"/>
          <w:color w:val="auto"/>
        </w:rPr>
      </w:pPr>
    </w:p>
    <w:p>
      <w:pPr>
        <w:ind w:left="3160"/>
        <w:spacing w:after="0"/>
        <w:tabs>
          <w:tab w:leader="none" w:pos="37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Thomas Madsen</w:t>
      </w:r>
    </w:p>
    <w:p>
      <w:pPr>
        <w:ind w:left="3160"/>
        <w:spacing w:after="0" w:line="238" w:lineRule="auto"/>
        <w:rPr>
          <w:sz w:val="20"/>
          <w:szCs w:val="20"/>
          <w:color w:val="auto"/>
        </w:rPr>
      </w:pPr>
      <w:r>
        <w:rPr>
          <w:rFonts w:ascii="Courier New" w:cs="Courier New" w:eastAsia="Courier New" w:hAnsi="Courier New"/>
          <w:sz w:val="18"/>
          <w:szCs w:val="18"/>
          <w:color w:val="auto"/>
        </w:rPr>
        <w:t>Thomas Madsen, Member GMB</w:t>
      </w:r>
    </w:p>
    <w:p>
      <w:pPr>
        <w:sectPr>
          <w:pgSz w:w="11900" w:h="16838" w:orient="portrait"/>
          <w:cols w:equalWidth="0" w:num="1">
            <w:col w:w="10219"/>
          </w:cols>
          <w:pgMar w:left="240" w:top="136" w:right="1440" w:bottom="0" w:gutter="0" w:footer="0" w:header="0"/>
        </w:sectPr>
      </w:pPr>
    </w:p>
    <w:bookmarkStart w:id="3" w:name="page4"/>
    <w:bookmarkEnd w:id="3"/>
    <w:p>
      <w:pPr>
        <w:ind w:left="3160"/>
        <w:spacing w:after="0"/>
        <w:tabs>
          <w:tab w:leader="none" w:pos="37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Kai R. Sotorp</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Kai R. Sotorp, Member GMB</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5 of 5 pages</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a"/>
      <w:numFmt w:val="bullet"/>
      <w:start w:val="1"/>
    </w:lvl>
  </w:abstractNum>
  <w:abstractNum w:abstractNumId="5">
    <w:nsid w:val="1190CDE7"/>
    <w:multiLevelType w:val="hybridMultilevel"/>
    <w:lvl w:ilvl="0">
      <w:lvlJc w:val="left"/>
      <w:lvlText w:val="b"/>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1."/>
      <w:numFmt w:val="decimal"/>
      <w:start w:val="10"/>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
      <w:numFmt w:val="bullet"/>
      <w:start w:val="1"/>
    </w:lvl>
  </w:abstractNum>
  <w:abstractNum w:abstractNumId="16">
    <w:nsid w:val="25E45D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2019-12-11T10:40:19Z</dcterms:created>
  <dcterms:modified xsi:type="dcterms:W3CDTF">2019-12-11T10:40:19Z</dcterms:modified>
</cp:coreProperties>
</file>