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5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ind w:left="3580"/>
        <w:spacing w:after="0" w:line="238" w:lineRule="auto"/>
        <w:rPr>
          <w:sz w:val="20"/>
          <w:szCs w:val="20"/>
          <w:color w:val="auto"/>
        </w:rPr>
      </w:pPr>
      <w:r>
        <w:rPr>
          <w:rFonts w:ascii="Courier New" w:cs="Courier New" w:eastAsia="Courier New" w:hAnsi="Courier New"/>
          <w:sz w:val="18"/>
          <w:szCs w:val="18"/>
          <w:color w:val="auto"/>
        </w:rPr>
        <w:t>(RULE 13D-2)</w:t>
      </w:r>
    </w:p>
    <w:p>
      <w:pPr>
        <w:spacing w:after="0" w:line="207" w:lineRule="exact"/>
        <w:rPr>
          <w:sz w:val="24"/>
          <w:szCs w:val="24"/>
          <w:color w:val="auto"/>
        </w:rPr>
      </w:pPr>
    </w:p>
    <w:p>
      <w:pPr>
        <w:jc w:val="center"/>
        <w:ind w:left="360" w:right="1260"/>
        <w:spacing w:after="0" w:line="236" w:lineRule="auto"/>
        <w:rPr>
          <w:sz w:val="20"/>
          <w:szCs w:val="20"/>
          <w:color w:val="auto"/>
        </w:rPr>
      </w:pPr>
      <w:r>
        <w:rPr>
          <w:rFonts w:ascii="Courier New" w:cs="Courier New" w:eastAsia="Courier New" w:hAnsi="Courier New"/>
          <w:sz w:val="18"/>
          <w:szCs w:val="18"/>
          <w:color w:val="auto"/>
        </w:rPr>
        <w:t>INFORMATION TO BE INCLUDED IN STATEMENTS FILED PURSUANT TO RULES 13D-L(B), (C) AND (D) AND AMENDMENTS THERETO FILED PURSUANT TO 13D-2</w:t>
      </w:r>
    </w:p>
    <w:p>
      <w:pPr>
        <w:spacing w:after="0" w:line="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(AMENDMENT NO. 1)*</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ANALOG DEVICES,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COMMON STOCK, $0.167 PAR VALUE</w:t>
      </w:r>
    </w:p>
    <w:p>
      <w:pPr>
        <w:ind w:left="264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03265410 A</w:t>
      </w:r>
    </w:p>
    <w:p>
      <w:pPr>
        <w:jc w:val="center"/>
        <w:ind w:right="1779"/>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DECEMBER 31, 2002</w:t>
      </w:r>
    </w:p>
    <w:p>
      <w:pPr>
        <w:jc w:val="center"/>
        <w:ind w:right="165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Check the appropriate box to designate the rule pursuant</w:t>
      </w:r>
    </w:p>
    <w:p>
      <w:pPr>
        <w:jc w:val="center"/>
        <w:ind w:right="1779"/>
        <w:spacing w:after="0" w:line="238" w:lineRule="auto"/>
        <w:rPr>
          <w:sz w:val="20"/>
          <w:szCs w:val="20"/>
          <w:color w:val="auto"/>
        </w:rPr>
      </w:pPr>
      <w:r>
        <w:rPr>
          <w:rFonts w:ascii="Courier New" w:cs="Courier New" w:eastAsia="Courier New" w:hAnsi="Courier New"/>
          <w:sz w:val="18"/>
          <w:szCs w:val="18"/>
          <w:color w:val="auto"/>
        </w:rPr>
        <w:t>to which this Schedule is filed:</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/X/ Rule 13d-l(b)</w:t>
      </w:r>
    </w:p>
    <w:p>
      <w:pPr>
        <w:spacing w:after="0" w:line="201" w:lineRule="exact"/>
        <w:rPr>
          <w:sz w:val="24"/>
          <w:szCs w:val="24"/>
          <w:color w:val="auto"/>
        </w:rPr>
      </w:pPr>
    </w:p>
    <w:p>
      <w:pPr>
        <w:ind w:left="3580" w:hanging="201"/>
        <w:spacing w:after="0"/>
        <w:tabs>
          <w:tab w:leader="none" w:pos="35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13d-l(c)</w:t>
      </w:r>
    </w:p>
    <w:p>
      <w:pPr>
        <w:spacing w:after="0" w:line="201" w:lineRule="exact"/>
        <w:rPr>
          <w:rFonts w:ascii="Courier New" w:cs="Courier New" w:eastAsia="Courier New" w:hAnsi="Courier New"/>
          <w:sz w:val="18"/>
          <w:szCs w:val="18"/>
          <w:color w:val="auto"/>
        </w:rPr>
      </w:pPr>
    </w:p>
    <w:p>
      <w:pPr>
        <w:ind w:left="3580" w:hanging="201"/>
        <w:spacing w:after="0"/>
        <w:tabs>
          <w:tab w:leader="none" w:pos="3580" w:val="left"/>
        </w:tabs>
        <w:numPr>
          <w:ilvl w:val="1"/>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Rule 13d-l(d)</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SCHEDULE 13G</w:t>
      </w:r>
    </w:p>
    <w:p>
      <w:pPr>
        <w:sectPr>
          <w:pgSz w:w="11900" w:h="16838" w:orient="portrait"/>
          <w:cols w:equalWidth="0" w:num="1">
            <w:col w:w="10219"/>
          </w:cols>
          <w:pgMar w:left="240" w:top="244" w:right="1440" w:bottom="0" w:gutter="0" w:footer="0" w:header="0"/>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720" w:space="720"/>
            <w:col w:w="3779"/>
          </w:cols>
          <w:pgMar w:left="240" w:top="244" w:right="1440"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03265410 A</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8"/>
          <w:szCs w:val="18"/>
          <w:color w:val="auto"/>
        </w:rPr>
        <w:t>PAGE 2 OF 4 PAGES</w:t>
      </w:r>
    </w:p>
    <w:p>
      <w:pPr>
        <w:spacing w:after="0" w:line="4"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500" w:space="720"/>
            <w:col w:w="3999"/>
          </w:cols>
          <w:pgMar w:left="240" w:top="244"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540" w:right="4619" w:hanging="532"/>
        <w:spacing w:after="0" w:line="268" w:lineRule="auto"/>
        <w:tabs>
          <w:tab w:leader="none" w:pos="54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SS. OR I.R.S IDENTIFICATION NO. OF ABOVE PERSON Massachusetts Financial Services Company ("MFS")</w:t>
      </w: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04-2747644</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244" w:right="1440" w:bottom="0" w:gutter="0" w:footer="0" w:header="0"/>
          <w:type w:val="continuous"/>
        </w:sectPr>
      </w:pP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CHECK THE APPROPRIATE BOX IF A MEMBER OF A GROUP*</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(b)</w:t>
      </w:r>
    </w:p>
    <w:p>
      <w:pPr>
        <w:spacing w:after="0" w:line="200" w:lineRule="exact"/>
        <w:rPr>
          <w:sz w:val="24"/>
          <w:szCs w:val="24"/>
          <w:color w:val="auto"/>
        </w:rPr>
      </w:pPr>
    </w:p>
    <w:p>
      <w:pPr>
        <w:sectPr>
          <w:pgSz w:w="11900" w:h="16838" w:orient="portrait"/>
          <w:cols w:equalWidth="0" w:num="3">
            <w:col w:w="120" w:space="420"/>
            <w:col w:w="6640" w:space="720"/>
            <w:col w:w="2319"/>
          </w:cols>
          <w:pgMar w:left="240" w:top="244" w:right="1440" w:bottom="0" w:gutter="0" w:footer="0" w:header="0"/>
          <w:type w:val="continuous"/>
        </w:sectPr>
      </w:pPr>
    </w:p>
    <w:p>
      <w:pPr>
        <w:spacing w:after="0" w:line="2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ind w:left="2440"/>
        <w:spacing w:after="0"/>
        <w:tabs>
          <w:tab w:leader="none" w:pos="2840" w:val="left"/>
        </w:tabs>
        <w:rPr>
          <w:sz w:val="20"/>
          <w:szCs w:val="20"/>
          <w:color w:val="auto"/>
        </w:rPr>
      </w:pP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8"/>
          <w:szCs w:val="18"/>
          <w:color w:val="auto"/>
        </w:rPr>
        <w:t>SOLE VOTING POWER</w:t>
      </w:r>
    </w:p>
    <w:p>
      <w:pPr>
        <w:ind w:left="640"/>
        <w:spacing w:after="0" w:line="238" w:lineRule="auto"/>
        <w:rPr>
          <w:sz w:val="20"/>
          <w:szCs w:val="20"/>
          <w:color w:val="auto"/>
        </w:rPr>
      </w:pPr>
      <w:r>
        <w:rPr>
          <w:rFonts w:ascii="Courier New" w:cs="Courier New" w:eastAsia="Courier New" w:hAnsi="Courier New"/>
          <w:sz w:val="18"/>
          <w:szCs w:val="18"/>
          <w:color w:val="auto"/>
        </w:rPr>
        <w:t>NUMBER OF</w:t>
      </w:r>
    </w:p>
    <w:p>
      <w:pPr>
        <w:sectPr>
          <w:pgSz w:w="11900" w:h="16838" w:orient="portrait"/>
          <w:cols w:equalWidth="0" w:num="1">
            <w:col w:w="10219"/>
          </w:cols>
          <w:pgMar w:left="240" w:top="244" w:right="1440" w:bottom="0" w:gutter="0" w:footer="0" w:header="0"/>
          <w:type w:val="continuous"/>
        </w:sectPr>
      </w:pPr>
    </w:p>
    <w:bookmarkStart w:id="1" w:name="page2"/>
    <w:bookmarkEnd w:id="1"/>
    <w:tbl>
      <w:tblPr>
        <w:tblLayout w:type="fixed"/>
        <w:tblInd w:w="420" w:type="dxa"/>
        <w:tblCellMar>
          <w:top w:w="0" w:type="dxa"/>
          <w:left w:w="0" w:type="dxa"/>
          <w:bottom w:w="0" w:type="dxa"/>
          <w:right w:w="0" w:type="dxa"/>
        </w:tblCellMar>
      </w:tblPr>
      <w:tr>
        <w:trPr>
          <w:trHeight w:val="204"/>
        </w:trPr>
        <w:tc>
          <w:tcPr>
            <w:tcW w:w="1640" w:type="dxa"/>
            <w:vAlign w:val="bottom"/>
          </w:tcPr>
          <w:p>
            <w:pPr>
              <w:jc w:val="center"/>
              <w:ind w:right="272"/>
              <w:spacing w:after="0"/>
              <w:rPr>
                <w:sz w:val="20"/>
                <w:szCs w:val="20"/>
                <w:color w:val="auto"/>
              </w:rPr>
            </w:pPr>
            <w:r>
              <w:rPr>
                <w:rFonts w:ascii="Courier New" w:cs="Courier New" w:eastAsia="Courier New" w:hAnsi="Courier New"/>
                <w:sz w:val="18"/>
                <w:szCs w:val="18"/>
                <w:color w:val="auto"/>
                <w:w w:val="98"/>
              </w:rPr>
              <w:t>SHARES</w:t>
            </w:r>
          </w:p>
        </w:tc>
        <w:tc>
          <w:tcPr>
            <w:tcW w:w="640" w:type="dxa"/>
            <w:vAlign w:val="bottom"/>
          </w:tcPr>
          <w:p>
            <w:pPr>
              <w:spacing w:after="0"/>
              <w:rPr>
                <w:sz w:val="17"/>
                <w:szCs w:val="17"/>
                <w:color w:val="auto"/>
              </w:rPr>
            </w:pPr>
          </w:p>
        </w:tc>
        <w:tc>
          <w:tcPr>
            <w:tcW w:w="5740" w:type="dxa"/>
            <w:vAlign w:val="bottom"/>
          </w:tcPr>
          <w:p>
            <w:pPr>
              <w:ind w:left="160"/>
              <w:spacing w:after="0"/>
              <w:rPr>
                <w:sz w:val="20"/>
                <w:szCs w:val="20"/>
                <w:color w:val="auto"/>
              </w:rPr>
            </w:pPr>
            <w:r>
              <w:rPr>
                <w:rFonts w:ascii="Courier New" w:cs="Courier New" w:eastAsia="Courier New" w:hAnsi="Courier New"/>
                <w:sz w:val="18"/>
                <w:szCs w:val="18"/>
                <w:color w:val="auto"/>
              </w:rPr>
              <w:t>21,850,319</w:t>
            </w:r>
          </w:p>
        </w:tc>
      </w:tr>
      <w:tr>
        <w:trPr>
          <w:trHeight w:val="203"/>
        </w:trPr>
        <w:tc>
          <w:tcPr>
            <w:tcW w:w="1640" w:type="dxa"/>
            <w:vAlign w:val="bottom"/>
          </w:tcPr>
          <w:p>
            <w:pPr>
              <w:spacing w:after="0"/>
              <w:rPr>
                <w:sz w:val="17"/>
                <w:szCs w:val="17"/>
                <w:color w:val="auto"/>
              </w:rPr>
            </w:pPr>
          </w:p>
        </w:tc>
        <w:tc>
          <w:tcPr>
            <w:tcW w:w="63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BENEFICIALLY</w:t>
            </w:r>
          </w:p>
        </w:tc>
        <w:tc>
          <w:tcPr>
            <w:tcW w:w="640" w:type="dxa"/>
            <w:vAlign w:val="bottom"/>
          </w:tcPr>
          <w:p>
            <w:pPr>
              <w:spacing w:after="0"/>
              <w:rPr>
                <w:sz w:val="17"/>
                <w:szCs w:val="17"/>
                <w:color w:val="auto"/>
              </w:rPr>
            </w:pPr>
          </w:p>
        </w:tc>
        <w:tc>
          <w:tcPr>
            <w:tcW w:w="5740" w:type="dxa"/>
            <w:vAlign w:val="bottom"/>
          </w:tcPr>
          <w:p>
            <w:pPr>
              <w:spacing w:after="0"/>
              <w:rPr>
                <w:sz w:val="17"/>
                <w:szCs w:val="17"/>
                <w:color w:val="auto"/>
              </w:rPr>
            </w:pP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6</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64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EACH</w:t>
            </w:r>
          </w:p>
        </w:tc>
        <w:tc>
          <w:tcPr>
            <w:tcW w:w="640" w:type="dxa"/>
            <w:vAlign w:val="bottom"/>
          </w:tcPr>
          <w:p>
            <w:pPr>
              <w:spacing w:after="0"/>
              <w:rPr>
                <w:sz w:val="17"/>
                <w:szCs w:val="17"/>
                <w:color w:val="auto"/>
              </w:rPr>
            </w:pPr>
          </w:p>
        </w:tc>
        <w:tc>
          <w:tcPr>
            <w:tcW w:w="5740" w:type="dxa"/>
            <w:vAlign w:val="bottom"/>
          </w:tcPr>
          <w:p>
            <w:pPr>
              <w:spacing w:after="0"/>
              <w:rPr>
                <w:sz w:val="17"/>
                <w:szCs w:val="17"/>
                <w:color w:val="auto"/>
              </w:rPr>
            </w:pPr>
          </w:p>
        </w:tc>
      </w:tr>
      <w:tr>
        <w:trPr>
          <w:trHeight w:val="203"/>
        </w:trPr>
        <w:tc>
          <w:tcPr>
            <w:tcW w:w="16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REPORTING</w:t>
            </w:r>
          </w:p>
        </w:tc>
        <w:tc>
          <w:tcPr>
            <w:tcW w:w="640" w:type="dxa"/>
            <w:vAlign w:val="bottom"/>
          </w:tcPr>
          <w:p>
            <w:pPr>
              <w:spacing w:after="0"/>
              <w:rPr>
                <w:sz w:val="17"/>
                <w:szCs w:val="17"/>
                <w:color w:val="auto"/>
              </w:rPr>
            </w:pP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0</w:t>
            </w:r>
          </w:p>
        </w:tc>
      </w:tr>
      <w:tr>
        <w:trPr>
          <w:trHeight w:val="405"/>
        </w:trPr>
        <w:tc>
          <w:tcPr>
            <w:tcW w:w="1640" w:type="dxa"/>
            <w:vAlign w:val="bottom"/>
          </w:tcPr>
          <w:p>
            <w:pPr>
              <w:spacing w:after="0"/>
              <w:rPr>
                <w:sz w:val="24"/>
                <w:szCs w:val="24"/>
                <w:color w:val="auto"/>
              </w:rPr>
            </w:pPr>
          </w:p>
        </w:tc>
        <w:tc>
          <w:tcPr>
            <w:tcW w:w="6380" w:type="dxa"/>
            <w:vAlign w:val="bottom"/>
            <w:gridSpan w:val="2"/>
          </w:tcPr>
          <w:p>
            <w:pPr>
              <w:ind w:left="380"/>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1640" w:type="dxa"/>
            <w:vAlign w:val="bottom"/>
          </w:tcPr>
          <w:p>
            <w:pPr>
              <w:jc w:val="center"/>
              <w:ind w:right="272"/>
              <w:spacing w:after="0" w:line="203" w:lineRule="exact"/>
              <w:rPr>
                <w:sz w:val="20"/>
                <w:szCs w:val="20"/>
                <w:color w:val="auto"/>
              </w:rPr>
            </w:pPr>
            <w:r>
              <w:rPr>
                <w:rFonts w:ascii="Courier New" w:cs="Courier New" w:eastAsia="Courier New" w:hAnsi="Courier New"/>
                <w:sz w:val="18"/>
                <w:szCs w:val="18"/>
                <w:color w:val="auto"/>
                <w:w w:val="98"/>
              </w:rPr>
              <w:t>PERSON</w:t>
            </w:r>
          </w:p>
        </w:tc>
        <w:tc>
          <w:tcPr>
            <w:tcW w:w="640" w:type="dxa"/>
            <w:vAlign w:val="bottom"/>
          </w:tcPr>
          <w:p>
            <w:pPr>
              <w:spacing w:after="0"/>
              <w:rPr>
                <w:sz w:val="17"/>
                <w:szCs w:val="17"/>
                <w:color w:val="auto"/>
              </w:rPr>
            </w:pPr>
          </w:p>
        </w:tc>
        <w:tc>
          <w:tcPr>
            <w:tcW w:w="5740" w:type="dxa"/>
            <w:vAlign w:val="bottom"/>
          </w:tcPr>
          <w:p>
            <w:pPr>
              <w:spacing w:after="0"/>
              <w:rPr>
                <w:sz w:val="17"/>
                <w:szCs w:val="17"/>
                <w:color w:val="auto"/>
              </w:rPr>
            </w:pPr>
          </w:p>
        </w:tc>
      </w:tr>
      <w:tr>
        <w:trPr>
          <w:trHeight w:val="203"/>
        </w:trPr>
        <w:tc>
          <w:tcPr>
            <w:tcW w:w="164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WITH</w:t>
            </w:r>
          </w:p>
        </w:tc>
        <w:tc>
          <w:tcPr>
            <w:tcW w:w="64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7</w:t>
            </w:r>
          </w:p>
        </w:tc>
        <w:tc>
          <w:tcPr>
            <w:tcW w:w="574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405"/>
        </w:trPr>
        <w:tc>
          <w:tcPr>
            <w:tcW w:w="1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740" w:type="dxa"/>
            <w:vAlign w:val="bottom"/>
          </w:tcPr>
          <w:p>
            <w:pPr>
              <w:ind w:left="160"/>
              <w:spacing w:after="0"/>
              <w:rPr>
                <w:sz w:val="20"/>
                <w:szCs w:val="20"/>
                <w:color w:val="auto"/>
              </w:rPr>
            </w:pPr>
            <w:r>
              <w:rPr>
                <w:rFonts w:ascii="Courier New" w:cs="Courier New" w:eastAsia="Courier New" w:hAnsi="Courier New"/>
                <w:sz w:val="18"/>
                <w:szCs w:val="18"/>
                <w:color w:val="auto"/>
              </w:rPr>
              <w:t>22,249,889</w:t>
            </w:r>
          </w:p>
        </w:tc>
      </w:tr>
      <w:tr>
        <w:trPr>
          <w:trHeight w:val="203"/>
        </w:trPr>
        <w:tc>
          <w:tcPr>
            <w:tcW w:w="1640" w:type="dxa"/>
            <w:vAlign w:val="bottom"/>
          </w:tcPr>
          <w:p>
            <w:pPr>
              <w:spacing w:after="0"/>
              <w:rPr>
                <w:sz w:val="17"/>
                <w:szCs w:val="17"/>
                <w:color w:val="auto"/>
              </w:rPr>
            </w:pPr>
          </w:p>
        </w:tc>
        <w:tc>
          <w:tcPr>
            <w:tcW w:w="6380" w:type="dxa"/>
            <w:vAlign w:val="bottom"/>
            <w:gridSpan w:val="2"/>
          </w:tcPr>
          <w:p>
            <w:pPr>
              <w:ind w:left="380"/>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7" w:lineRule="exact"/>
        <w:rPr>
          <w:sz w:val="20"/>
          <w:szCs w:val="20"/>
          <w:color w:val="auto"/>
        </w:rPr>
      </w:pPr>
    </w:p>
    <w:p>
      <w:pPr>
        <w:ind w:left="2860" w:right="4839" w:hanging="429"/>
        <w:spacing w:after="0" w:line="357" w:lineRule="auto"/>
        <w:tabs>
          <w:tab w:leader="none" w:pos="286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0</w:t>
      </w:r>
    </w:p>
    <w:p>
      <w:pPr>
        <w:spacing w:after="0" w:line="1"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540" w:right="2419" w:hanging="532"/>
        <w:spacing w:after="0" w:line="237"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22,249,889 shares of common stock** of which shares are also beneficially owned by certain other non-reporting entities as well as MFS.</w:t>
      </w:r>
    </w:p>
    <w:p>
      <w:pPr>
        <w:spacing w:after="0" w:line="5"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10   CHECK BOX IF THE AGGREGATE AMOUNT IN ROW (9) EXCLUDES CERTAIN SHARES</w:t>
      </w:r>
    </w:p>
    <w:p>
      <w:pPr>
        <w:spacing w:after="0" w:line="206"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   PERCENT OF CLASS REPRESENTED BY AMOUNT IN ROW (9)</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6.08%</w:t>
      </w:r>
    </w:p>
    <w:p>
      <w:pPr>
        <w:spacing w:after="0" w:line="4"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   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**These shares of common stock include 290,031 of common stock which may be acquired through conversion of convertible bonds.</w:t>
      </w:r>
    </w:p>
    <w:p>
      <w:pPr>
        <w:sectPr>
          <w:pgSz w:w="11900" w:h="16838" w:orient="portrait"/>
          <w:cols w:equalWidth="0" w:num="1">
            <w:col w:w="10219"/>
          </w:cols>
          <w:pgMar w:left="240" w:top="136" w:right="1440" w:bottom="1440" w:gutter="0" w:footer="0" w:header="0"/>
        </w:sectPr>
      </w:pPr>
    </w:p>
    <w:bookmarkStart w:id="2" w:name="page3"/>
    <w:bookmarkEnd w:id="2"/>
    <w:p>
      <w:pPr>
        <w:ind w:left="3580"/>
        <w:spacing w:after="0"/>
        <w:rPr>
          <w:sz w:val="20"/>
          <w:szCs w:val="20"/>
          <w:color w:val="auto"/>
        </w:rPr>
      </w:pPr>
      <w:r>
        <w:rPr>
          <w:rFonts w:ascii="Courier New" w:cs="Courier New" w:eastAsia="Courier New" w:hAnsi="Courier New"/>
          <w:sz w:val="16"/>
          <w:szCs w:val="16"/>
          <w:color w:val="auto"/>
        </w:rPr>
        <w:t>SCHEDULE 13G</w:t>
      </w:r>
    </w:p>
    <w:p>
      <w:pPr>
        <w:sectPr>
          <w:pgSz w:w="11900" w:h="16838" w:orient="portrait"/>
          <w:cols w:equalWidth="0" w:num="1">
            <w:col w:w="10219"/>
          </w:cols>
          <w:pgMar w:left="240" w:top="723" w:right="1440" w:bottom="1440" w:gutter="0" w:footer="0" w:header="0"/>
        </w:sectPr>
      </w:pP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03265410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3 OF 4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500" w:space="720"/>
            <w:col w:w="3999"/>
          </w:cols>
          <w:pgMar w:left="240" w:top="723"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One Technology Way</w:t>
      </w:r>
    </w:p>
    <w:p>
      <w:pPr>
        <w:ind w:left="960"/>
        <w:spacing w:after="0"/>
        <w:tabs>
          <w:tab w:leader="none" w:pos="2300" w:val="left"/>
        </w:tabs>
        <w:rPr>
          <w:sz w:val="20"/>
          <w:szCs w:val="20"/>
          <w:color w:val="auto"/>
        </w:rPr>
      </w:pPr>
      <w:r>
        <w:rPr>
          <w:rFonts w:ascii="Courier New" w:cs="Courier New" w:eastAsia="Courier New" w:hAnsi="Courier New"/>
          <w:sz w:val="18"/>
          <w:szCs w:val="18"/>
          <w:color w:val="auto"/>
        </w:rPr>
        <w:t>Norwood, MA</w:t>
      </w:r>
      <w:r>
        <w:rPr>
          <w:sz w:val="20"/>
          <w:szCs w:val="20"/>
          <w:color w:val="auto"/>
        </w:rPr>
        <w:tab/>
      </w:r>
      <w:r>
        <w:rPr>
          <w:rFonts w:ascii="Courier New" w:cs="Courier New" w:eastAsia="Courier New" w:hAnsi="Courier New"/>
          <w:sz w:val="16"/>
          <w:szCs w:val="16"/>
          <w:color w:val="auto"/>
        </w:rPr>
        <w:t>02062-9106</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1 on Page 1.</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 ADDRESS OF PRINCIPAL OFFICES OR, IF NONE, RESIDENCE:</w:t>
      </w:r>
    </w:p>
    <w:p>
      <w:pPr>
        <w:spacing w:after="0" w:line="2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500 Boylston Street, Boston, MA 02116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4 on Page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Cover Page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ectPr>
          <w:pgSz w:w="11900" w:h="16838" w:orient="portrait"/>
          <w:cols w:equalWidth="0" w:num="1">
            <w:col w:w="10219"/>
          </w:cols>
          <w:pgMar w:left="240" w:top="723" w:right="1440" w:bottom="1440" w:gutter="0" w:footer="0" w:header="0"/>
          <w:type w:val="continuous"/>
        </w:sectPr>
      </w:pP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See Item 12 on Page 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2519" w:firstLine="948"/>
        <w:spacing w:after="0" w:line="235" w:lineRule="auto"/>
        <w:rPr>
          <w:sz w:val="20"/>
          <w:szCs w:val="20"/>
          <w:color w:val="auto"/>
        </w:rPr>
      </w:pPr>
      <w:r>
        <w:rPr>
          <w:rFonts w:ascii="Courier New" w:cs="Courier New" w:eastAsia="Courier New" w:hAnsi="Courier New"/>
          <w:sz w:val="18"/>
          <w:szCs w:val="18"/>
          <w:color w:val="auto"/>
        </w:rPr>
        <w:t>The information in Items 5-11 on the cover page (page 2) of this Schedule 13G is incorporated by reference.</w:t>
      </w:r>
    </w:p>
    <w:p>
      <w:pPr>
        <w:sectPr>
          <w:pgSz w:w="11900" w:h="16838" w:orient="portrait"/>
          <w:cols w:equalWidth="0" w:num="1">
            <w:col w:w="10219"/>
          </w:cols>
          <w:pgMar w:left="240" w:top="723" w:right="1440" w:bottom="1440" w:gutter="0" w:footer="0" w:header="0"/>
          <w:type w:val="continuous"/>
        </w:sectPr>
      </w:pPr>
    </w:p>
    <w:bookmarkStart w:id="3" w:name="page4"/>
    <w:bookmarkEnd w:id="3"/>
    <w:p>
      <w:pPr>
        <w:ind w:left="7180"/>
        <w:spacing w:after="0"/>
        <w:rPr>
          <w:sz w:val="20"/>
          <w:szCs w:val="20"/>
          <w:color w:val="auto"/>
        </w:rPr>
      </w:pPr>
      <w:r>
        <w:rPr>
          <w:rFonts w:ascii="Courier New" w:cs="Courier New" w:eastAsia="Courier New" w:hAnsi="Courier New"/>
          <w:sz w:val="16"/>
          <w:szCs w:val="16"/>
          <w:color w:val="auto"/>
        </w:rPr>
        <w:t>SCHEDULE 13G</w:t>
      </w:r>
    </w:p>
    <w:p>
      <w:pPr>
        <w:sectPr>
          <w:pgSz w:w="11900" w:h="16838" w:orient="portrait"/>
          <w:cols w:equalWidth="0" w:num="1">
            <w:col w:w="10219"/>
          </w:cols>
          <w:pgMar w:left="240" w:top="925" w:right="1440" w:bottom="144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720" w:space="720"/>
            <w:col w:w="3779"/>
          </w:cols>
          <w:pgMar w:left="240" w:top="925"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03265410 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PAGE 3 OF 4 PAGES</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500" w:space="720"/>
            <w:col w:w="3999"/>
          </w:cols>
          <w:pgMar w:left="240" w:top="925"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1779" w:firstLine="948"/>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had ceased to be the beneficial owner of more than five percent of the class of securities, check the following / /</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960" w:right="1999" w:hanging="947"/>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1879" w:firstLine="948"/>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5" w:lineRule="exact"/>
        <w:rPr>
          <w:sz w:val="20"/>
          <w:szCs w:val="20"/>
          <w:color w:val="auto"/>
        </w:rPr>
      </w:pPr>
    </w:p>
    <w:p>
      <w:pPr>
        <w:ind w:right="1879" w:firstLine="948"/>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12, 2003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Massachusetts Financial Services Company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STEPHEN E. CAVAN</w:t>
      </w:r>
    </w:p>
    <w:p>
      <w:pPr>
        <w:ind w:left="320"/>
        <w:spacing w:after="0" w:line="238" w:lineRule="auto"/>
        <w:rPr>
          <w:sz w:val="20"/>
          <w:szCs w:val="20"/>
          <w:color w:val="auto"/>
        </w:rPr>
      </w:pPr>
      <w:r>
        <w:rPr>
          <w:rFonts w:ascii="Courier New" w:cs="Courier New" w:eastAsia="Courier New" w:hAnsi="Courier New"/>
          <w:sz w:val="18"/>
          <w:szCs w:val="18"/>
          <w:color w:val="auto"/>
        </w:rPr>
        <w:t>------------------------------------------</w:t>
      </w:r>
    </w:p>
    <w:p>
      <w:pPr>
        <w:ind w:left="320"/>
        <w:spacing w:after="0"/>
        <w:rPr>
          <w:sz w:val="20"/>
          <w:szCs w:val="20"/>
          <w:color w:val="auto"/>
        </w:rPr>
      </w:pPr>
      <w:r>
        <w:rPr>
          <w:rFonts w:ascii="Courier New" w:cs="Courier New" w:eastAsia="Courier New" w:hAnsi="Courier New"/>
          <w:sz w:val="18"/>
          <w:szCs w:val="18"/>
          <w:color w:val="auto"/>
        </w:rPr>
        <w:t>Stephen E. Cavan</w:t>
      </w:r>
    </w:p>
    <w:p>
      <w:pPr>
        <w:ind w:left="320"/>
        <w:spacing w:after="0" w:line="237" w:lineRule="auto"/>
        <w:rPr>
          <w:sz w:val="20"/>
          <w:szCs w:val="20"/>
          <w:color w:val="auto"/>
        </w:rPr>
      </w:pPr>
      <w:r>
        <w:rPr>
          <w:rFonts w:ascii="Courier New" w:cs="Courier New" w:eastAsia="Courier New" w:hAnsi="Courier New"/>
          <w:sz w:val="18"/>
          <w:szCs w:val="18"/>
          <w:color w:val="auto"/>
        </w:rPr>
        <w:t>Senior Vice President, Secretary and General Counsel</w:t>
      </w:r>
    </w:p>
    <w:p>
      <w:pPr>
        <w:sectPr>
          <w:pgSz w:w="11900" w:h="16838" w:orient="portrait"/>
          <w:cols w:equalWidth="0" w:num="1">
            <w:col w:w="10219"/>
          </w:cols>
          <w:pgMar w:left="240" w:top="925" w:right="1440" w:bottom="1440" w:gutter="0" w:footer="0" w:header="0"/>
          <w:type w:val="continuous"/>
        </w:sectPr>
      </w:pPr>
    </w:p>
    <w:bookmarkStart w:id="4" w:name="page5"/>
    <w:bookmarkEnd w:id="4"/>
    <w:p>
      <w:pPr>
        <w:ind w:right="1879" w:firstLine="948"/>
        <w:spacing w:after="0" w:line="237" w:lineRule="auto"/>
        <w:rPr>
          <w:sz w:val="20"/>
          <w:szCs w:val="20"/>
          <w:color w:val="auto"/>
        </w:rPr>
      </w:pPr>
      <w:r>
        <w:rPr>
          <w:rFonts w:ascii="Courier New" w:cs="Courier New" w:eastAsia="Courier New" w:hAnsi="Courier New"/>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14"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lvl w:ilvl="1">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8"/>
      <w:numFmt w:val="bullet"/>
      <w:start w:val="1"/>
    </w:lvl>
  </w:abstractNum>
  <w:abstractNum w:abstractNumId="5">
    <w:nsid w:val="41B71EFB"/>
    <w:multiLevelType w:val="hybridMultilevel"/>
    <w:lvl w:ilvl="0">
      <w:lvlJc w:val="left"/>
      <w:lvlText w:val="9"/>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2019-12-20T00:00:44Z</dcterms:created>
  <dcterms:modified xsi:type="dcterms:W3CDTF">2019-12-20T00:00:44Z</dcterms:modified>
</cp:coreProperties>
</file>