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Arial" w:cs="Arial" w:eastAsia="Arial" w:hAnsi="Arial"/>
          <w:sz w:val="18"/>
          <w:szCs w:val="18"/>
          <w:b w:val="1"/>
          <w:bCs w:val="1"/>
          <w:color w:val="auto"/>
        </w:rPr>
        <w:t>As filed with the Securities and Exchange Commission on March 11,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333-132409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333-156309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333-163653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333-181951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333-132409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333-156309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333-163653</w:t>
      </w:r>
    </w:p>
    <w:p>
      <w:pPr>
        <w:spacing w:after="0" w:line="1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333-181951</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333-194556</w:t>
      </w:r>
    </w:p>
    <w:p>
      <w:pPr>
        <w:jc w:val="center"/>
        <w:ind w:right="10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04-2348234</w:t>
            </w:r>
          </w:p>
        </w:tc>
      </w:tr>
      <w:tr>
        <w:trPr>
          <w:trHeight w:val="148"/>
        </w:trPr>
        <w:tc>
          <w:tcPr>
            <w:tcW w:w="434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5"/>
              </w:rPr>
              <w:t>Incorporation or Organization)</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8"/>
              </w:rPr>
              <w:t>One Technology Way</w:t>
            </w:r>
          </w:p>
        </w:tc>
        <w:tc>
          <w:tcPr>
            <w:tcW w:w="3020" w:type="dxa"/>
            <w:vAlign w:val="bottom"/>
          </w:tcPr>
          <w:p>
            <w:pPr>
              <w:spacing w:after="0"/>
              <w:rPr>
                <w:sz w:val="24"/>
                <w:szCs w:val="24"/>
                <w:color w:val="auto"/>
              </w:rPr>
            </w:pPr>
          </w:p>
        </w:tc>
      </w:tr>
      <w:tr>
        <w:trPr>
          <w:trHeight w:val="225"/>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4"/>
              </w:rPr>
              <w:t>Norwood, MA</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Amended and Restated 2006 Stock Incentive Plan</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2020 Equity Incentive Plan</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Larry Weiss</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On March 14, 2006, Analog Devices, Inc. (the “registrant”) filed a registration statement on Form S-8 (Registration No. 333-132409) with the Securities and Exchange Commission (the “Commission”) to register 15,000,000 shares of the registrant’s Common Stock, $0.16 2/3 par value per share (the “Common Stock”), authorized and issuable under the registrant’s 2006 Stock Incentive Plan (as amended and restated, the “Prior Plan”). The registrant paid a registration fee of $59,289 at that time to register such shares of Common Stock. On each of December 19, 2008, December 11, 2009, June 6, 2012 and March 14, 2014, the registrant filed a registration statement on Form S-8 (Registration Nos. 333-156309, 333-163653, 333-181951 and 333-194556, respectively) to register an additional 15,285,735, 15,257,044, 5,446,637 and 19,000,000 shares of Common Stock, respectively, issuable pursuant to the Prior Plan. The registrant paid registration fees of $11,243, $25,809, $22,278 and $125,860, respectively, to register such shares of Common Stock. The registration statements on Form S-8 filed in connection with the Prior Plan are referred to herein collectively as the “Registration Statements.” The Registration Statements also covered any additional securities that may from time to time be offered or issued to prevent dilution resulting from stock splits, stock dividends or similar transactions.</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On March 11, 2020 (the “Effective Date”), the shareholders of the registrant approved the registrant’s 2020 Equity Incentive Plan (the “2020 Plan”) at the registrant’s 2020 annual meeting of shareholders. Effective as of the Effective Date, no new awards may be granted under the Prior Plan. However, the 2020 Plan provides that such additional number of shares of Common Stock (up to 20,857,992) as is equal to the sum of (a) the number of shares of Common Stock reserved for issuance under the Prior Plan and the registrant’s Amended and Restated 2010 Equity Incentive Plan (the “2010 Plan” and, together with the Prior Plan, the “Existing Plans”) that remain available for grant under the Existing Plans immediately prior to the Effective Date and (b) the number of shares of Common Stock subject to awards granted under the Existing Plans and under the registrant’s Linear Technology Corporation Amended and Restated 2005 Equity Incentive Plan, which awards expire, terminate or are otherwise surrendered, cancelled, forfeited or repurchased by the registrant at their original issuance price pursuant to a contractual repurchase right will become available for issuance under the 2020 Plan. Up to 17,491,411 shares of Common Stock as is equal to the sum of (a) the number of shares of Common Stock reserved for issuance under the Prior Plan that remained available for grant under the Prior Plan as of the Effective Date and (b) the number of shares of Common Stock subject to awards granted under the Prior Plan, which awards expire, terminate or are otherwise surrendered, cancelled, forfeited or repurchased by the registrant at their original issuance price pursuant to a contractual repurchase right, will become available for issuance under the 2020 Plan and are collectively referred to herein as the “Carryover Shares”.</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Accordingly, pursuant to the undertaking in Item 512(a)(1)(iii) of Regulation S-K that the registrant disclose a material change in the plan of distribution as it was disclosed in the Registration Statements, the registrant is filing this Post-Effective Amendment No. 1 to the Registration Statements to reflect that, as of the Effective Date, the Carryover Shares will no longer be issued under the Prior Plan and may instead be issued under the 2020 Plan.</w:t>
      </w:r>
    </w:p>
    <w:p>
      <w:pPr>
        <w:spacing w:after="0" w:line="187"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Contemporaneously with the filing of this Post-Effective Amendment No. 1 to the Registration Statements, the registrant is filing a Registration Statement on Form S-8 to register 12,613,058 shares of Common Stock authorized for issuance pursuant to the 2020 Plan, which amount excludes the Carryover Shares. No additional shares of Common Stock are being registered by this Post-Effective Amendment No. 1 to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165" w:lineRule="exact"/>
        <w:rPr>
          <w:sz w:val="20"/>
          <w:szCs w:val="20"/>
          <w:color w:val="auto"/>
        </w:rPr>
      </w:pPr>
    </w:p>
    <w:p>
      <w:pPr>
        <w:ind w:right="60" w:firstLine="436"/>
        <w:spacing w:after="0" w:line="263"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500" w:firstLine="43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36"/>
        <w:spacing w:after="0" w:line="277"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92"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tcBorders>
              <w:top w:val="single" w:sz="8" w:color="auto"/>
            </w:tcBorders>
            <w:gridSpan w:val="11"/>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Restated Articles of Organization of Analog Devices, Inc., as amended (incorporated by reference to Exhibit 3.1 to the registrant’s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Quarterly Report on Form 10-Q for the fiscal quarter ended May 3, 2008, as filed with the Securities and Exchange Commission on</w:t>
              </w:r>
            </w:hyperlink>
          </w:p>
        </w:tc>
        <w:tc>
          <w:tcPr>
            <w:tcW w:w="50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May 20, 2008 (File No. 1-7819))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Amendment to Restated Articles of Organization of Analog Devices, Inc. (incorporated by reference to Exhibit 3.1 to the registrant’s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Current Report on Form 8-K, as filed with the Securities and Exchange Commission on December 8, 2008 (File No. 1-7819))</w:t>
              </w:r>
            </w:hyperlink>
          </w:p>
        </w:tc>
        <w:tc>
          <w:tcPr>
            <w:tcW w:w="5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Analog Devices, Inc., as of December 13, 2018 (incorporated by reference to Exhibit 3.1 to the</w:t>
              </w:r>
            </w:hyperlink>
          </w:p>
        </w:tc>
        <w:tc>
          <w:tcPr>
            <w:tcW w:w="5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registrant’s Current Report on Form 8-K, as filed with the Securities and Exchange Commission on December 17, 2018 (File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1-7819))</w:t>
              </w:r>
            </w:hyperlink>
          </w:p>
        </w:tc>
        <w:tc>
          <w:tcPr>
            <w:tcW w:w="8040" w:type="dxa"/>
            <w:vAlign w:val="bottom"/>
            <w:tcBorders>
              <w:top w:val="single" w:sz="8" w:color="0000EE"/>
            </w:tcBorders>
            <w:gridSpan w:val="5"/>
          </w:tcPr>
          <w:p>
            <w:pPr>
              <w:spacing w:after="0"/>
              <w:rPr>
                <w:sz w:val="17"/>
                <w:szCs w:val="17"/>
                <w:color w:val="auto"/>
              </w:rPr>
            </w:pPr>
          </w:p>
        </w:tc>
        <w:tc>
          <w:tcPr>
            <w:tcW w:w="1000" w:type="dxa"/>
            <w:vAlign w:val="bottom"/>
            <w:gridSpan w:val="5"/>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Opinion of Wilmer Cutler Pickering Hale and Dorr LLP, counsel to the Registrant</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880" w:type="dxa"/>
            <w:vAlign w:val="bottom"/>
            <w:tcBorders>
              <w:top w:val="single" w:sz="8" w:color="0000EE"/>
            </w:tcBorders>
            <w:gridSpan w:val="5"/>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Consent of Wilmer Cutler Pickering Hale and Dorr LLP (included in Exhibit 5.1)</w:t>
              </w:r>
            </w:hyperlink>
          </w:p>
        </w:tc>
        <w:tc>
          <w:tcPr>
            <w:tcW w:w="410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Consent of Ernst &amp; Young LLP</w:t>
              </w:r>
            </w:hyperlink>
          </w:p>
        </w:tc>
        <w:tc>
          <w:tcPr>
            <w:tcW w:w="3560" w:type="dxa"/>
            <w:vAlign w:val="bottom"/>
            <w:tcBorders>
              <w:top w:val="single" w:sz="8" w:color="0000EE"/>
            </w:tcBorders>
            <w:gridSpan w:val="2"/>
          </w:tcPr>
          <w:p>
            <w:pPr>
              <w:spacing w:after="0"/>
              <w:rPr>
                <w:sz w:val="24"/>
                <w:szCs w:val="24"/>
                <w:color w:val="auto"/>
              </w:rPr>
            </w:pPr>
          </w:p>
        </w:tc>
        <w:tc>
          <w:tcPr>
            <w:tcW w:w="4140" w:type="dxa"/>
            <w:vAlign w:val="bottom"/>
            <w:gridSpan w:val="7"/>
          </w:tcPr>
          <w:p>
            <w:pPr>
              <w:spacing w:after="0"/>
              <w:rPr>
                <w:sz w:val="24"/>
                <w:szCs w:val="24"/>
                <w:color w:val="auto"/>
              </w:rPr>
            </w:pPr>
          </w:p>
        </w:tc>
      </w:tr>
    </w:tbl>
    <w:p>
      <w:pPr>
        <w:spacing w:after="0" w:line="121" w:lineRule="exact"/>
        <w:rPr>
          <w:sz w:val="20"/>
          <w:szCs w:val="20"/>
          <w:color w:val="auto"/>
        </w:rPr>
      </w:pPr>
    </w:p>
    <w:p>
      <w:pPr>
        <w:ind w:left="5404" w:right="4120" w:hanging="5404"/>
        <w:spacing w:after="0" w:line="449" w:lineRule="auto"/>
        <w:tabs>
          <w:tab w:leader="none" w:pos="10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(included on the signature pages of this registration statement)</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-3-</w:t>
      </w:r>
    </w:p>
    <w:p>
      <w:pPr>
        <w:sectPr>
          <w:pgSz w:w="11900" w:h="16838" w:orient="portrait"/>
          <w:cols w:equalWidth="0" w:num="1">
            <w:col w:w="11024"/>
          </w:cols>
          <w:pgMar w:left="436" w:top="274" w:right="439" w:bottom="1440" w:gutter="0" w:footer="0" w:header="0"/>
        </w:sectPr>
      </w:pPr>
    </w:p>
    <w:bookmarkStart w:id="6" w:name="page7"/>
    <w:bookmarkEnd w:id="6"/>
    <w:p>
      <w:pPr>
        <w:ind w:left="664" w:right="1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99.1</w:t>
      </w:r>
      <w:r>
        <w:rPr>
          <w:sz w:val="20"/>
          <w:szCs w:val="20"/>
          <w:color w:val="auto"/>
        </w:rPr>
        <w:tab/>
      </w:r>
      <w:hyperlink r:id="rId24">
        <w:r>
          <w:rPr>
            <w:rFonts w:ascii="Arial" w:cs="Arial" w:eastAsia="Arial" w:hAnsi="Arial"/>
            <w:sz w:val="18"/>
            <w:szCs w:val="18"/>
            <w:u w:val="single" w:color="auto"/>
            <w:color w:val="0000EE"/>
          </w:rPr>
          <w:t>Analog Devices, Inc. 2020 Equity Incentive Plan (incorporated by reference to Appendix B to the registrant’s definitive proxy statement, as</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filed with the Securities and Exchange Commission on January 24, 2020 (File No. 1-7819))</w:t>
        </w:r>
      </w:hyperlink>
    </w:p>
    <w:p>
      <w:pPr>
        <w:spacing w:after="0" w:line="62" w:lineRule="exact"/>
        <w:rPr>
          <w:sz w:val="20"/>
          <w:szCs w:val="20"/>
          <w:color w:val="auto"/>
        </w:rPr>
      </w:pPr>
    </w:p>
    <w:p>
      <w:pPr>
        <w:ind w:left="664" w:right="40" w:hanging="660"/>
        <w:spacing w:after="0" w:line="26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5">
        <w:r>
          <w:rPr>
            <w:rFonts w:ascii="Arial" w:cs="Arial" w:eastAsia="Arial" w:hAnsi="Arial"/>
            <w:sz w:val="18"/>
            <w:szCs w:val="18"/>
            <w:u w:val="single" w:color="auto"/>
            <w:color w:val="0000EE"/>
          </w:rPr>
          <w:t>Analog Devices, Inc. Amended and Restated 2006 Stock Incentive Plan (incorporated by reference to Exhibit 3.1 to the registrant’s Quarterly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Report on Form 10-Q for the fiscal quarter ended February 1, 2014, as filed with the Securities and Exchange Commission on February 18,</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2014 (File No. 1-7819))</w:t>
        </w:r>
      </w:hyperlink>
    </w:p>
    <w:p>
      <w:pPr>
        <w:spacing w:after="0" w:line="328" w:lineRule="exact"/>
        <w:rPr>
          <w:rFonts w:ascii="Arial" w:cs="Arial" w:eastAsia="Arial" w:hAnsi="Arial"/>
          <w:sz w:val="18"/>
          <w:szCs w:val="18"/>
          <w:u w:val="single" w:color="auto"/>
          <w:color w:val="0000EE"/>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u w:val="single" w:color="auto"/>
          <w:color w:val="0000EE"/>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39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4" w:right="60" w:firstLine="987"/>
        <w:spacing w:after="0" w:line="277" w:lineRule="auto"/>
        <w:tabs>
          <w:tab w:leader="none" w:pos="144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u w:val="single" w:color="auto"/>
          <w:color w:val="0000EE"/>
        </w:rPr>
      </w:pPr>
    </w:p>
    <w:p>
      <w:pPr>
        <w:ind w:left="4" w:right="1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rFonts w:ascii="Arial" w:cs="Arial" w:eastAsia="Arial" w:hAnsi="Arial"/>
          <w:sz w:val="18"/>
          <w:szCs w:val="18"/>
          <w:u w:val="single" w:color="auto"/>
          <w:color w:val="0000EE"/>
        </w:rPr>
      </w:pPr>
    </w:p>
    <w:p>
      <w:pPr>
        <w:jc w:val="both"/>
        <w:ind w:left="4" w:firstLine="436"/>
        <w:spacing w:after="0" w:line="263"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4" w:right="420" w:firstLine="436"/>
        <w:spacing w:after="0" w:line="277"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00" w:hanging="4"/>
        <w:spacing w:after="0" w:line="259"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rFonts w:ascii="Arial" w:cs="Arial" w:eastAsia="Arial" w:hAnsi="Arial"/>
          <w:sz w:val="18"/>
          <w:szCs w:val="18"/>
          <w:u w:val="single" w:color="auto"/>
          <w:color w:val="0000EE"/>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382" w:right="539" w:bottom="1440" w:gutter="0" w:footer="0" w:header="0"/>
        </w:sectPr>
      </w:pPr>
    </w:p>
    <w:bookmarkStart w:id="7" w:name="page8"/>
    <w:bookmarkEnd w:id="7"/>
    <w:p>
      <w:pPr>
        <w:ind w:left="4" w:hanging="4"/>
        <w:spacing w:after="0" w:line="271"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512(h) of Regulation S-K</w:t>
      </w:r>
      <w:r>
        <w:rPr>
          <w:rFonts w:ascii="Arial" w:cs="Arial" w:eastAsia="Arial" w:hAnsi="Arial"/>
          <w:sz w:val="17"/>
          <w:szCs w:val="17"/>
          <w:color w:val="auto"/>
        </w:rPr>
        <w:t>. Insofar as indemnification for liabilities arising under the Securities Act may be permitted to directors,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Registrant Statements on Form S-8 to be signed on its behalf by the undersigned, thereunto duly authorized, in the Town of Norwood, Commonwealth of Massachusetts, on this 11</w:t>
      </w:r>
      <w:r>
        <w:rPr>
          <w:rFonts w:ascii="Arial" w:cs="Arial" w:eastAsia="Arial" w:hAnsi="Arial"/>
          <w:sz w:val="13"/>
          <w:szCs w:val="13"/>
          <w:color w:val="auto"/>
        </w:rPr>
        <w:t>th</w:t>
      </w:r>
      <w:r>
        <w:rPr>
          <w:rFonts w:ascii="Arial" w:cs="Arial" w:eastAsia="Arial" w:hAnsi="Arial"/>
          <w:sz w:val="16"/>
          <w:szCs w:val="16"/>
          <w:color w:val="auto"/>
        </w:rPr>
        <w:t xml:space="preserve"> day of March,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Roche, Prashanth Mahendra-Rajah and Larry Weiss, and each of them singly, our true and lawful attorneys with full power to them, and each of them singly, to sign for us and in our names in the capacities indicated below, the registration statement on Form S-8 (Registration No. 333-132409), the registration statement on Form S-8 (Registration No. 333-156309), the registration statement on Form S-8 (Registration No. 333-163653), the registration statement on Form S-8 (Registration No. 333-181951) and the registration statement on Form S-8 (Registration No. 333-194556) and any and all subsequent amendments to said registration statements,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statements and any and all amendments thereto.</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Statements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10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Ray Stata</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0"/>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Anantha P. Chandrakasan</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Anantha P. Chandrakasan</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Bruce R. Evans</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Karen Golz</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Karen Golz</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Mark M. Little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Susie Wee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Susie Wee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50"/>
        </w:trPr>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10700"/>
          </w:cols>
          <w:pgMar w:left="440" w:top="490" w:right="7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171450</wp:posOffset>
            </wp:positionV>
            <wp:extent cx="9429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42975" cy="17145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420370</wp:posOffset>
            </wp:positionV>
            <wp:extent cx="66040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60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Amended and Restated 2006 Stock Incentive Plan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2020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assisted in the preparation of a Post-Effective Amendment No. 1 (the “Amendment”) to each of the Registration Statement on Form S-8 (Registration No. 333-132409) (the “Initial Registration Statement”), the Registration Statement on Form S-8 (Registration No. 333-156309) (the “Second Registration Statement”), the Registration Statement on Form S-8 (Registration No. 333-163653) (the “Third Registration Statement”), the Registration Statement on Form S-8 (Registration No. 333-181951) (the “Fourth Registration Statement”) and the Registration Statement on Form S-8 (Registration Statement No. 333-194556) (the “Fifth Registration Statement” and, together with the Initial Registration Statement, the Second Registration Statement, the Third Registration Statement and the Fourth Registration Statement, the “Registration Statements”) to be filed by Analog Devices, Inc., a Massachusetts corporation (the “Company”), with the Securities and Exchange Commission (the “Commission”) under the Securities Act of 1933, as amended (the “Securities Act”). The Initial Registration Statement registered 15,000,000 shares of the Company’s common stock, $0.16 2/3 par value per share (the “Common Stock”), the Second Registration Statement registered 15,285,735 shares of Common Stock, the Third Registration Statement registered 15,257,044 shares of Common Stock, the Fourth Registration Statement registered 5,446,637 shares of Common Stock and the Fifth Registration Statement registered 19,000,000 shares of Common Stock, in each case, reserved for issuance pursuant to the Company’s Amended and Restated 2006 Stock Incentive Plan (the “2006 Stock Incentive Plan”). The Amendment reflects that a portion of the shares of Common Stock registered under the Registration Statements (up to 17,491,411 shares) will become available for issuance under the Company’s 2020 Equity Incentive Plan, as approved by the Company’s shareholders on March 11, 2020 (the “2020 Equity Incentive Plan), pursuant to the terms of the 2020 Equity Incentive Plan (such shares of Common Stock are referred to herein as the “Carryover Shares”).</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82550</wp:posOffset>
            </wp:positionV>
            <wp:extent cx="446595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46595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183515</wp:posOffset>
            </wp:positionV>
            <wp:extent cx="9429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42975" cy="1714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Carryover Shares in accordance with the 2020 Equity Incentive Plan, to register and qualify the Carryover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Carryover Shares while the Registration Statements are in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Based on the foregoing, we are of the opinion that the Carryover Shares have been duly authorized for issuance and, when the Carryover Shares are issued and paid for in accordance with the terms and conditions of the 2020 Equity Incentive Plan, the Carryover Shares will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Commission in connection with the Amendment in accordance with the requirements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Jason L. Kropp, Partner</w:t>
      </w:r>
    </w:p>
    <w:p>
      <w:pPr>
        <w:sectPr>
          <w:pgSz w:w="11900" w:h="16838" w:orient="portrait"/>
          <w:cols w:equalWidth="0" w:num="1">
            <w:col w:w="10980"/>
          </w:cols>
          <w:pgMar w:left="440" w:top="611" w:right="4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consent to the incorporation by reference in the Post Effective Amendment No. 1 to the Registration Statements (Form S-8 No. 333-132409, No. 333-156309, No. 333-163653, No. 333-181951, and No. 333-194556) pertaining to the Analog Devices, Inc. Amended and Restated 2006 Stock Incentive Plan and Analog Devices, Inc. 2020 Equity Incentive Plan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24"/>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jpeg"/><Relationship Id="rId35" Type="http://schemas.openxmlformats.org/officeDocument/2006/relationships/image" Target="media/image23.png"/><Relationship Id="rId20" Type="http://schemas.openxmlformats.org/officeDocument/2006/relationships/hyperlink" Target="http://www.sec.gov/Archives/edgar/data/6281/000095013508003842/b69749adexv3w1.htm" TargetMode="External"/><Relationship Id="rId21" Type="http://schemas.openxmlformats.org/officeDocument/2006/relationships/hyperlink" Target="http://www.sec.gov/Archives/edgar/data/6281/000095013508007881/b73171adexv3w1.htm" TargetMode="External"/><Relationship Id="rId22" Type="http://schemas.openxmlformats.org/officeDocument/2006/relationships/hyperlink" Target="http://www.sec.gov/Archives/edgar/data/6281/000000628118000132/exhibit31-restatedbylawsxf.htm" TargetMode="External"/><Relationship Id="rId24" Type="http://schemas.openxmlformats.org/officeDocument/2006/relationships/hyperlink" Target="http://www.sec.gov/Archives/edgar/data/6281/000119312520013584/d796344ddef14a.htm#toc796344_50" TargetMode="External"/><Relationship Id="rId25" Type="http://schemas.openxmlformats.org/officeDocument/2006/relationships/hyperlink" Target="http://www.sec.gov/Archives/edgar/data/6281/0000006281140000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2020-03-11T15:13:19Z</dcterms:created>
  <dcterms:modified xsi:type="dcterms:W3CDTF">2020-03-11T15:13:19Z</dcterms:modified>
</cp:coreProperties>
</file>