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85"/>
              </w:rPr>
              <w:t>Massachusetts</w:t>
            </w:r>
          </w:p>
        </w:tc>
        <w:tc>
          <w:tcPr>
            <w:tcW w:w="2420" w:type="dxa"/>
            <w:vAlign w:val="bottom"/>
          </w:tcPr>
          <w:p>
            <w:pPr>
              <w:jc w:val="center"/>
              <w:ind w:right="302"/>
              <w:spacing w:after="0"/>
              <w:rPr>
                <w:sz w:val="20"/>
                <w:szCs w:val="20"/>
                <w:color w:val="auto"/>
              </w:rPr>
            </w:pPr>
            <w:r>
              <w:rPr>
                <w:rFonts w:ascii="Arial" w:cs="Arial" w:eastAsia="Arial" w:hAnsi="Arial"/>
                <w:sz w:val="18"/>
                <w:szCs w:val="18"/>
                <w:b w:val="1"/>
                <w:bCs w:val="1"/>
                <w:color w:val="auto"/>
                <w:w w:val="92"/>
              </w:rPr>
              <w:t>1-7819</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04-2348234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jc w:val="center"/>
              <w:ind w:right="302"/>
              <w:spacing w:after="0"/>
              <w:rPr>
                <w:sz w:val="20"/>
                <w:szCs w:val="20"/>
                <w:color w:val="auto"/>
              </w:rPr>
            </w:pPr>
            <w:r>
              <w:rPr>
                <w:rFonts w:ascii="Arial" w:cs="Arial" w:eastAsia="Arial" w:hAnsi="Arial"/>
                <w:sz w:val="14"/>
                <w:szCs w:val="14"/>
                <w:b w:val="1"/>
                <w:bCs w:val="1"/>
                <w:color w:val="auto"/>
                <w:w w:val="98"/>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2"/>
              </w:rPr>
              <w:t>One Analog Way</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7"/>
              </w:rPr>
              <w:t>Wilmington,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01887</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September 28, 2021, Analog Devices, Inc. (the “Company”) issued a press release announcing that it had commenced a cash tender offer (the “Tender Offer”) for any and all of its outstanding 2.500% Senior Notes due December 2021 (the “2021 Notes”), its outstanding 2.875% Senior Notes due June 2023 (the “June 2023 Notes”), its outstanding 3.125% Senior Notes due December 2023 (the “December 2023 Notes”), its outstanding 3.900% Senior Notes due December 2025 (the “2025 Notes”), its outstanding 4.500% Senior Notes due December 2036 (the “2036 Notes”) and its outstanding 5.300% Senior Notes due December 2045 (the “2045 Notes”, and together with the 2021 Notes, the June 2023 Notes, the December 2023 Notes, the 2025 Notes and the 2036 Notes, the “Notes”). The complete terms and conditions of the Tender Offer are set forth in an offer to purchase and notice of guaranteed delivery (collectively, the “Tender Offer Documents”) that will be sent to registered holders of the Notes and be posted online at www.dfking.com/adi. The Tender Offer will expire at 5:00 p.m., New York City time, on October 4, 2021, unless extended or earlier terminated (the “Expiration Time”).</w:t>
      </w:r>
    </w:p>
    <w:p>
      <w:pPr>
        <w:spacing w:after="0" w:line="1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applicable consideration for each $1,000 principal amount of Notes validly tendered (and not validly withdrawn) prior to the Expiration Time and accepted for purchase pursuant to the Tender Offer will be determined in the manner described in the Tender Offer Documents by reference to the applicable fixed spread for such Notes plus the applicable yield based on the bid-side price of the applicable U.S. Treasury Reference Security at 2:00 p.m., New York City time, on October 4, 2021, unless extended.</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Holders will also receive accrued and unpaid interest on the Notes validly tendered (and not validly withdrawn) prior to the Expiration Time and accepted for purchase from the applicable last interest payment date up to, but not including, the date the Company initially makes payment for such Notes, which date is anticipated to be October 5, 2021 (the “Settlement Date”). Notes tendered by notice of guaranteed delivery (and not validly withdrawn) prior to the Expiration Time and accepted for purchase will be purchased on the third business day after the Expiration Time, but payment of accrued interest on such Notes will only be made to, but not including, the Settlement Date.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Tender Offer is conditioned on the Company’s successful completion of an offering of its new senior notes separately announced today and on the other general conditions described in the Tender Offer Documents.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copy of the Company’s press release is attached as Exhibit 99.1 to this Current Report on Form 8-K and is incorporated herein by reference. The information contained in Item 8.01 of this Current Report on Form 8-K and the press release attached hereto as Exhibit 99.1 is for informational purposes only and does not constitute an offer to purchase the Notes. The Tender Offer is not being made to holders of Notes in any jurisdiction in which the making or acceptance thereof would not be in compliance with the securities, blue sky or other laws of such jurisdiction.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3000" w:type="dxa"/>
            <w:vAlign w:val="bottom"/>
            <w:tcBorders>
              <w:top w:val="single" w:sz="8" w:color="auto"/>
              <w:bottom w:val="single" w:sz="8" w:color="0000EE"/>
            </w:tcBorders>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September 28, 2021.</w:t>
              </w:r>
            </w:hyperlink>
          </w:p>
        </w:tc>
        <w:tc>
          <w:tcPr>
            <w:tcW w:w="6560" w:type="dxa"/>
            <w:vAlign w:val="bottom"/>
            <w:tcBorders>
              <w:top w:val="single" w:sz="8" w:color="auto"/>
            </w:tcBorders>
          </w:tcPr>
          <w:p>
            <w:pPr>
              <w:spacing w:after="0"/>
              <w:rPr>
                <w:sz w:val="22"/>
                <w:szCs w:val="22"/>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ectPr>
          <w:pgSz w:w="11900" w:h="16838" w:orient="portrait"/>
          <w:cols w:equalWidth="0" w:num="1">
            <w:col w:w="11020"/>
          </w:cols>
          <w:pgMar w:left="440"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ANALOG DEVICES,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September 28, 2021</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Prashanth Mahendra-Rajah</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Prashanth Mahendra-Rajah</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Finance and Chief Financial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6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Analog Devices Announces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Tender Offer for Senior Notes</w:t>
      </w:r>
    </w:p>
    <w:p>
      <w:pPr>
        <w:spacing w:after="0" w:line="211" w:lineRule="exact"/>
        <w:rPr>
          <w:sz w:val="20"/>
          <w:szCs w:val="20"/>
          <w:color w:val="auto"/>
        </w:rPr>
      </w:pPr>
    </w:p>
    <w:p>
      <w:pPr>
        <w:ind w:left="4" w:right="80"/>
        <w:spacing w:after="0" w:line="290" w:lineRule="auto"/>
        <w:rPr>
          <w:sz w:val="20"/>
          <w:szCs w:val="20"/>
          <w:color w:val="auto"/>
        </w:rPr>
      </w:pPr>
      <w:r>
        <w:rPr>
          <w:rFonts w:ascii="Arial" w:cs="Arial" w:eastAsia="Arial" w:hAnsi="Arial"/>
          <w:sz w:val="16"/>
          <w:szCs w:val="16"/>
          <w:color w:val="auto"/>
        </w:rPr>
        <w:t>WILMINGTON, Mass.— September 28, 2021 —Analog Devices, Inc. (Nasdaq: ADI) (the “Company”) announced today that it has commenced a cash tender offer for any and all of its outstanding 2.500% Senior Notes due December 2021 (the “2021 Notes”), its outstanding 2.875% Senior Notes due June 2023 (the “June 2023 Notes”), its outstanding 3.125% Senior Notes due December 2023 (the “December 2023 Notes”), its outstanding 3.900% Senior Notes due December 2025 (the “2025 Notes”), its outstanding 4.500% Senior Notes due December 2036 (the “2036 Notes”) and its outstanding 5.300% Senior Notes due December 2045 (the “2045 Notes”, and together with the 2021 Notes, the June 2023 Notes, the December 2023 Notes, the 2025 Notes and the 2036 Notes, the “Notes”), on the terms and subject to the conditions set forth in the Offer to Purchase, dated the date hereof (the “Offer to Purchase”) and the related Notice of Guaranteed Delivery attached to the Offer to Purchase (the “Notice of Guaranteed Delivery”). The tender offer is referred to as the “Offer.” The Offer to Purchase and the Notice of Guaranteed Delivery are referred to together as the “Offer Documents.”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information regarding the Notes and the pricing for the Offer is set forth in the table below.</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CUSIP</w:t>
            </w:r>
          </w:p>
        </w:tc>
        <w:tc>
          <w:tcPr>
            <w:tcW w:w="100" w:type="dxa"/>
            <w:vAlign w:val="bottom"/>
          </w:tcPr>
          <w:p>
            <w:pPr>
              <w:spacing w:after="0"/>
              <w:rPr>
                <w:sz w:val="13"/>
                <w:szCs w:val="13"/>
                <w:color w:val="auto"/>
              </w:rPr>
            </w:pPr>
          </w:p>
        </w:tc>
        <w:tc>
          <w:tcPr>
            <w:tcW w:w="10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3"/>
                <w:szCs w:val="13"/>
                <w:color w:val="auto"/>
              </w:rPr>
            </w:pPr>
          </w:p>
        </w:tc>
        <w:tc>
          <w:tcPr>
            <w:tcW w:w="2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3"/>
                <w:szCs w:val="13"/>
                <w:color w:val="auto"/>
              </w:rPr>
            </w:pPr>
          </w:p>
        </w:tc>
        <w:tc>
          <w:tcPr>
            <w:tcW w:w="8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Bloomberg</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Fixed</w:t>
            </w:r>
          </w:p>
        </w:tc>
        <w:tc>
          <w:tcPr>
            <w:tcW w:w="0" w:type="dxa"/>
            <w:vAlign w:val="bottom"/>
          </w:tcPr>
          <w:p>
            <w:pPr>
              <w:spacing w:after="0"/>
              <w:rPr>
                <w:sz w:val="1"/>
                <w:szCs w:val="1"/>
                <w:color w:val="auto"/>
              </w:rPr>
            </w:pPr>
          </w:p>
        </w:tc>
      </w:tr>
      <w:tr>
        <w:trPr>
          <w:trHeight w:val="149"/>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Title of Security</w:t>
            </w:r>
          </w:p>
        </w:tc>
        <w:tc>
          <w:tcPr>
            <w:tcW w:w="240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Reference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00" w:type="dxa"/>
            <w:vAlign w:val="bottom"/>
            <w:tcBorders>
              <w:bottom w:val="single" w:sz="8" w:color="auto"/>
            </w:tcBorders>
            <w:gridSpan w:val="2"/>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780" w:type="dxa"/>
            <w:vAlign w:val="bottom"/>
          </w:tcPr>
          <w:p>
            <w:pPr>
              <w:ind w:left="140"/>
              <w:spacing w:after="0"/>
              <w:rPr>
                <w:sz w:val="20"/>
                <w:szCs w:val="20"/>
                <w:color w:val="auto"/>
              </w:rPr>
            </w:pPr>
            <w:r>
              <w:rPr>
                <w:rFonts w:ascii="Arial" w:cs="Arial" w:eastAsia="Arial" w:hAnsi="Arial"/>
                <w:sz w:val="14"/>
                <w:szCs w:val="14"/>
                <w:b w:val="1"/>
                <w:bCs w:val="1"/>
                <w:color w:val="auto"/>
              </w:rPr>
              <w:t>Number / ISIN</w:t>
            </w:r>
          </w:p>
        </w:tc>
        <w:tc>
          <w:tcPr>
            <w:tcW w:w="10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Page</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Spread</w:t>
            </w:r>
          </w:p>
        </w:tc>
        <w:tc>
          <w:tcPr>
            <w:tcW w:w="0" w:type="dxa"/>
            <w:vAlign w:val="bottom"/>
          </w:tcPr>
          <w:p>
            <w:pPr>
              <w:spacing w:after="0"/>
              <w:rPr>
                <w:sz w:val="1"/>
                <w:szCs w:val="1"/>
                <w:color w:val="auto"/>
              </w:rPr>
            </w:pPr>
          </w:p>
        </w:tc>
      </w:tr>
      <w:tr>
        <w:trPr>
          <w:trHeight w:val="189"/>
        </w:trPr>
        <w:tc>
          <w:tcPr>
            <w:tcW w:w="5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2.500%</w:t>
            </w:r>
          </w:p>
        </w:tc>
        <w:tc>
          <w:tcPr>
            <w:tcW w:w="282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Senior Notes due December 2021*</w:t>
            </w:r>
          </w:p>
        </w:tc>
        <w:tc>
          <w:tcPr>
            <w:tcW w:w="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032654</w:t>
            </w:r>
          </w:p>
        </w:tc>
        <w:tc>
          <w:tcPr>
            <w:tcW w:w="178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AL9 / US032654AL98</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$400,000,000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1.250% U.S. Treasury Notes due</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PX3</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12.5 bps</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October 31, 2021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w w:val="91"/>
              </w:rPr>
              <w:t>2.875%</w:t>
            </w:r>
          </w:p>
        </w:tc>
        <w:tc>
          <w:tcPr>
            <w:tcW w:w="28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Senior Notes due June 2023</w:t>
            </w:r>
          </w:p>
        </w:tc>
        <w:tc>
          <w:tcPr>
            <w:tcW w:w="560" w:type="dxa"/>
            <w:vAlign w:val="bottom"/>
          </w:tcPr>
          <w:p>
            <w:pPr>
              <w:spacing w:after="0" w:line="201" w:lineRule="exact"/>
              <w:rPr>
                <w:sz w:val="20"/>
                <w:szCs w:val="20"/>
                <w:color w:val="auto"/>
              </w:rPr>
            </w:pPr>
            <w:r>
              <w:rPr>
                <w:rFonts w:ascii="Arial" w:cs="Arial" w:eastAsia="Arial" w:hAnsi="Arial"/>
                <w:sz w:val="18"/>
                <w:szCs w:val="18"/>
                <w:color w:val="auto"/>
                <w:w w:val="89"/>
              </w:rPr>
              <w:t>032654</w:t>
            </w:r>
          </w:p>
        </w:tc>
        <w:tc>
          <w:tcPr>
            <w:tcW w:w="1780" w:type="dxa"/>
            <w:vAlign w:val="bottom"/>
          </w:tcPr>
          <w:p>
            <w:pPr>
              <w:ind w:left="20"/>
              <w:spacing w:after="0" w:line="201" w:lineRule="exact"/>
              <w:rPr>
                <w:sz w:val="20"/>
                <w:szCs w:val="20"/>
                <w:color w:val="auto"/>
              </w:rPr>
            </w:pPr>
            <w:r>
              <w:rPr>
                <w:rFonts w:ascii="Arial" w:cs="Arial" w:eastAsia="Arial" w:hAnsi="Arial"/>
                <w:sz w:val="18"/>
                <w:szCs w:val="18"/>
                <w:color w:val="auto"/>
                <w:w w:val="96"/>
              </w:rPr>
              <w:t>AH8 / US032654AH86</w:t>
            </w:r>
          </w:p>
        </w:tc>
        <w:tc>
          <w:tcPr>
            <w:tcW w:w="118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0"/>
              </w:rPr>
              <w:t>$500,000,000</w:t>
            </w:r>
          </w:p>
        </w:tc>
        <w:tc>
          <w:tcPr>
            <w:tcW w:w="24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89"/>
              </w:rPr>
              <w:t>0.125% U.S. Treasury Notes due</w:t>
            </w:r>
          </w:p>
        </w:tc>
        <w:tc>
          <w:tcPr>
            <w:tcW w:w="9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PX4</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15 bps</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May 31, 2023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3.125%</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Senior Notes due December 2023*</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032654 AM7 / US032654AM71</w:t>
            </w: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$550,000,000</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1.375% U.S. Treasury Notes due</w:t>
            </w: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PX5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 bps</w:t>
            </w:r>
          </w:p>
        </w:tc>
        <w:tc>
          <w:tcPr>
            <w:tcW w:w="0" w:type="dxa"/>
            <w:vAlign w:val="bottom"/>
          </w:tcPr>
          <w:p>
            <w:pPr>
              <w:spacing w:after="0"/>
              <w:rPr>
                <w:sz w:val="1"/>
                <w:szCs w:val="1"/>
                <w:color w:val="auto"/>
              </w:rPr>
            </w:pPr>
          </w:p>
        </w:tc>
      </w:tr>
      <w:tr>
        <w:trPr>
          <w:trHeight w:val="244"/>
        </w:trPr>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September 30, 2023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w w:val="91"/>
              </w:rPr>
              <w:t>3.900%</w:t>
            </w:r>
          </w:p>
        </w:tc>
        <w:tc>
          <w:tcPr>
            <w:tcW w:w="28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9"/>
              </w:rPr>
              <w:t>Senior Notes due December 2025*</w:t>
            </w:r>
          </w:p>
        </w:tc>
        <w:tc>
          <w:tcPr>
            <w:tcW w:w="560" w:type="dxa"/>
            <w:vAlign w:val="bottom"/>
          </w:tcPr>
          <w:p>
            <w:pPr>
              <w:spacing w:after="0" w:line="201" w:lineRule="exact"/>
              <w:rPr>
                <w:sz w:val="20"/>
                <w:szCs w:val="20"/>
                <w:color w:val="auto"/>
              </w:rPr>
            </w:pPr>
            <w:r>
              <w:rPr>
                <w:rFonts w:ascii="Arial" w:cs="Arial" w:eastAsia="Arial" w:hAnsi="Arial"/>
                <w:sz w:val="18"/>
                <w:szCs w:val="18"/>
                <w:color w:val="auto"/>
                <w:w w:val="89"/>
              </w:rPr>
              <w:t>032654</w:t>
            </w:r>
          </w:p>
        </w:tc>
        <w:tc>
          <w:tcPr>
            <w:tcW w:w="1780" w:type="dxa"/>
            <w:vAlign w:val="bottom"/>
          </w:tcPr>
          <w:p>
            <w:pPr>
              <w:ind w:left="20"/>
              <w:spacing w:after="0" w:line="201" w:lineRule="exact"/>
              <w:rPr>
                <w:sz w:val="20"/>
                <w:szCs w:val="20"/>
                <w:color w:val="auto"/>
              </w:rPr>
            </w:pPr>
            <w:r>
              <w:rPr>
                <w:rFonts w:ascii="Arial" w:cs="Arial" w:eastAsia="Arial" w:hAnsi="Arial"/>
                <w:sz w:val="18"/>
                <w:szCs w:val="18"/>
                <w:color w:val="auto"/>
              </w:rPr>
              <w:t>AJ4 / US032654AJ43</w:t>
            </w:r>
          </w:p>
        </w:tc>
        <w:tc>
          <w:tcPr>
            <w:tcW w:w="118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0"/>
              </w:rPr>
              <w:t>$850,000,000</w:t>
            </w:r>
          </w:p>
        </w:tc>
        <w:tc>
          <w:tcPr>
            <w:tcW w:w="24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89"/>
              </w:rPr>
              <w:t>0.250% U.S. Treasury Notes due</w:t>
            </w:r>
          </w:p>
        </w:tc>
        <w:tc>
          <w:tcPr>
            <w:tcW w:w="9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PX5</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25 bps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August 31, 2025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4.500%</w:t>
            </w:r>
          </w:p>
        </w:tc>
        <w:tc>
          <w:tcPr>
            <w:tcW w:w="28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Senior Notes due December 2036*</w:t>
            </w: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032654</w:t>
            </w:r>
          </w:p>
        </w:tc>
        <w:tc>
          <w:tcPr>
            <w:tcW w:w="1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AP0 / US032654AP03</w:t>
            </w:r>
          </w:p>
        </w:tc>
        <w:tc>
          <w:tcPr>
            <w:tcW w:w="118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$250,000,000</w:t>
            </w:r>
          </w:p>
        </w:tc>
        <w:tc>
          <w:tcPr>
            <w:tcW w:w="24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89"/>
              </w:rPr>
              <w:t>1.250% U.S. Treasury Notes due</w:t>
            </w:r>
          </w:p>
        </w:tc>
        <w:tc>
          <w:tcPr>
            <w:tcW w:w="9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PX1</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105 bps</w:t>
            </w:r>
          </w:p>
        </w:tc>
        <w:tc>
          <w:tcPr>
            <w:tcW w:w="0" w:type="dxa"/>
            <w:vAlign w:val="bottom"/>
          </w:tcPr>
          <w:p>
            <w:pPr>
              <w:spacing w:after="0"/>
              <w:rPr>
                <w:sz w:val="1"/>
                <w:szCs w:val="1"/>
                <w:color w:val="auto"/>
              </w:rPr>
            </w:pPr>
          </w:p>
        </w:tc>
      </w:tr>
      <w:tr>
        <w:trPr>
          <w:trHeight w:val="244"/>
        </w:trPr>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August 15, 2031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w w:val="91"/>
              </w:rPr>
              <w:t>5.300%</w:t>
            </w:r>
          </w:p>
        </w:tc>
        <w:tc>
          <w:tcPr>
            <w:tcW w:w="28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9"/>
              </w:rPr>
              <w:t>Senior Notes due December 2045*</w:t>
            </w:r>
          </w:p>
        </w:tc>
        <w:tc>
          <w:tcPr>
            <w:tcW w:w="560" w:type="dxa"/>
            <w:vAlign w:val="bottom"/>
          </w:tcPr>
          <w:p>
            <w:pPr>
              <w:spacing w:after="0" w:line="201" w:lineRule="exact"/>
              <w:rPr>
                <w:sz w:val="20"/>
                <w:szCs w:val="20"/>
                <w:color w:val="auto"/>
              </w:rPr>
            </w:pPr>
            <w:r>
              <w:rPr>
                <w:rFonts w:ascii="Arial" w:cs="Arial" w:eastAsia="Arial" w:hAnsi="Arial"/>
                <w:sz w:val="18"/>
                <w:szCs w:val="18"/>
                <w:color w:val="auto"/>
                <w:w w:val="89"/>
              </w:rPr>
              <w:t>032654</w:t>
            </w:r>
          </w:p>
        </w:tc>
        <w:tc>
          <w:tcPr>
            <w:tcW w:w="1780" w:type="dxa"/>
            <w:vAlign w:val="bottom"/>
          </w:tcPr>
          <w:p>
            <w:pPr>
              <w:ind w:left="20"/>
              <w:spacing w:after="0" w:line="201" w:lineRule="exact"/>
              <w:rPr>
                <w:sz w:val="20"/>
                <w:szCs w:val="20"/>
                <w:color w:val="auto"/>
              </w:rPr>
            </w:pPr>
            <w:r>
              <w:rPr>
                <w:rFonts w:ascii="Arial" w:cs="Arial" w:eastAsia="Arial" w:hAnsi="Arial"/>
                <w:sz w:val="18"/>
                <w:szCs w:val="18"/>
                <w:color w:val="auto"/>
                <w:w w:val="97"/>
              </w:rPr>
              <w:t>AK1 / US032654AK16</w:t>
            </w:r>
          </w:p>
        </w:tc>
        <w:tc>
          <w:tcPr>
            <w:tcW w:w="118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0"/>
              </w:rPr>
              <w:t>$400,000,000</w:t>
            </w:r>
          </w:p>
        </w:tc>
        <w:tc>
          <w:tcPr>
            <w:tcW w:w="24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89"/>
              </w:rPr>
              <w:t>2.375% U.S. Treasury Notes due</w:t>
            </w:r>
          </w:p>
        </w:tc>
        <w:tc>
          <w:tcPr>
            <w:tcW w:w="9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PX1</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90 bps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May 15, 2051</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24" w:right="140" w:hanging="224"/>
        <w:spacing w:after="0" w:line="308"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Denotes a series of Notes for which the calculation of the applicable Tender Offer Consideration may be performed using the value of such Notes as determined at the Price Determination Date as if the principal amount of such Notes had been due on the applicable par call date.</w:t>
      </w:r>
    </w:p>
    <w:p>
      <w:pPr>
        <w:sectPr>
          <w:pgSz w:w="11900" w:h="16838" w:orient="portrait"/>
          <w:cols w:equalWidth="0" w:num="1">
            <w:col w:w="11024"/>
          </w:cols>
          <w:pgMar w:left="436" w:top="121" w:right="4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must validly tender (and not validly withdraw) their Notes, or deliver a properly completed and duly executed Notice of Guaranteed Delivery for their Notes, at or before the Expiration Time (as defined below) in order to be eligible to receive the applicable Tender Offer Consideration (as defined below). In addition, holders whose Notes are validly tendered pursuant to the Offer (and not validly withdrawn) prior to the Expiration Time and accepted for purchase will receive accrued and unpaid interest from the last interest payment date to, but not including, the Settlement Date (as defined in the Offer to Purchase) for the applicable Notes. The Company expects the Settlement Date to occur on October 5, 2021. Notes validly tendered pursuant to the Notice of Guaranteed Delivery (and not validly withdrawn) prior to the Expiration Time and accepted for purchase will be purchased on the third business day after the Expiration Time, which is expected to be October 7, 2021, assuming the Expiration Time is not extended, but payment of accrued interest on such Notes will only be made to, but not including, the Settlement Date.</w:t>
      </w:r>
    </w:p>
    <w:p>
      <w:pPr>
        <w:spacing w:after="0" w:line="17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Offer will expire at 5:00 p.m., New York City time, on October 4, 2021 (such time and date, as it may be extended, the “Expiration Time”), unless extended or earlier terminated by the Company. Holders of the Notes may withdraw their validly tendered Notes at any time at or before the Expiration Time by following the procedures described in the Offer to Purchase.</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obligation to accept for purchase and to pay for Notes validly tendered pursuant to the Offer (and not validly withdrawn) prior to the Expiration Time is subject to the satisfaction or waiver, in the Company’s discretion, of certain conditions, which are more fully described in the Offer to Purchase, including, among others, the Company’s successful completion of an offering of its new senior notes separately announced today. Holders of the Notes are urged to read the Offer Documents carefully before making any decision with respect to the Offer.</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applicable “Tender Offer Consideration” for each $1,000 principal amount of Notes validly tendered pursuant to the Offer (and not validly withdrawn) prior to the Expiration Time and accepted for purchase will be determined in the manner described in the Offer Documents by reference to the applicable fixed spread for such Notes specified in the table above plus the yield based on the bid-side price of the applicable U.S. Treasury Reference Security specified in the table above at 2:00 p.m., New York City time, on October 4, 2021, unless extended.</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To the extent that all of the outstanding 2021 Notes, June 2023 Notes, December 2023 Notes and 2025 Notes are not tendered and purchased in the Offer, the Company may, but is not obligated to, use a portion of any remaining net proceeds from the offering of new senior notes to redeem all or a portion of the remaining 2021 Notes, June 2023 Notes, December 2023 Notes or 2025 Notes.</w:t>
      </w:r>
    </w:p>
    <w:p>
      <w:pPr>
        <w:sectPr>
          <w:pgSz w:w="11900" w:h="16838" w:orient="portrait"/>
          <w:cols w:equalWidth="0" w:num="1">
            <w:col w:w="11000"/>
          </w:cols>
          <w:pgMar w:left="440" w:top="274" w:right="459" w:bottom="1440" w:gutter="0" w:footer="0" w:header="0"/>
        </w:sectPr>
      </w:pPr>
    </w:p>
    <w:bookmarkStart w:id="5" w:name="page6"/>
    <w:bookmarkEnd w:id="5"/>
    <w:p>
      <w:pPr>
        <w:ind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retained D.F. King &amp; Co., Inc. (“D.F. King”) as the tender agent and information agent for the Offer. The Company has retained Barclays Capital Inc., Credit Suisse Securities (USA) LLC and Morgan Stanley &amp; Co. LLC as dealer managers for the Offer.</w:t>
      </w:r>
    </w:p>
    <w:p>
      <w:pPr>
        <w:spacing w:after="0" w:line="1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Holders who would like additional copies of the Offer Documents may call or email the information agent, D.F. King at (800) 549-6864 or adi@dfking.com. Copies of the Offer to Purchase and the Notice of Guaranteed Delivery are also available at the following website: www.dfking.com/adi. Questions regarding the terms of the Offer should be directed to Barclays Capital Inc. at (212) 528-7581 (collect) or (800) 438-3242 (toll-free); Credit Suisse Securities (USA) LLC at (212) 325-7823 (collect) or (800) 820- 1653 (toll-free); or Morgan Stanley &amp; Co. LLC at (212) 761-1057 (collect) or (800) 624-1808 (toll-free).</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None of the Company, its board of directors, Barclays Capital Inc., Credit Suisse Securities (USA) LLC, Morgan Stanley &amp; Co. LLC, D.F. King or the trustee for the Notes, or any of their respective affiliates, is making any recommendation as to whether holders of the Notes should tender their Notes pursuant to the Offer.</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is for informational purposes only and shall not constitute an offer to buy or a solicitation of an offer to sell any securities. This press release does not describe all the material terms of the Offers, and no decision should be made by any holder on the basis of this press release. The Offer is being made solely pursuant to the Offer Documents, and this press release must be read in conjunction with the Offer Documents. The Offer Documents contain important information that should be read carefully before any decision is made with respect to the Offers. The Offer is not being made to holders of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the Company by Barclays Capital Inc., Credit Suisse Securities (USA) LLC, Morgan Stanley &amp; Co. LLC or one or more registered brokers or dealers that are licensed under the laws of such jurisdiction. If any holder is in any doubt as to the contents of this press release, or the Offer Documents, or the action it should take, it is recommended to seek its own financial and legal advice, including in respect of any tax consequences, immediately from its stockbroker, bank manager, solicitor, accountant, or other independent financial, tax, or legal adviser.</w:t>
      </w:r>
    </w:p>
    <w:p>
      <w:pPr>
        <w:spacing w:after="0" w:line="16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Forward-Looking Statements</w:t>
      </w:r>
      <w:r>
        <w:rPr>
          <w:rFonts w:ascii="Arial" w:cs="Arial" w:eastAsia="Arial" w:hAnsi="Arial"/>
          <w:sz w:val="16"/>
          <w:szCs w:val="16"/>
          <w:color w:val="auto"/>
        </w:rPr>
        <w:t>: This press release contains “forward-looking statements” within the meaning of the federal securities laws. Forward-looking statements address a variety of subjects, including, for example, the timing for completion of the Offer, including the acceptance for purchase of any Notes validly tendered, and the expected Expiration Time and Settlement Date. Statements that are not historical facts, including statements about the Company’s beliefs, plans and expectations, are forward-looking statements. Such statements are based on the Company’s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“will,” “estimate,” “would,” “target” and similar expressions, as well as variations or negatives of these words. The following important factors and uncertainties, among others, could cause actual results to differ materially from those described in these forward-looking statements: the risks and uncertainties related to market conditions and satisfaction of customary closing conditions related to the closing of the Company’s offering of new senior notes and the risks and uncertainties described in the Offer Documents. For additional information about other factors that could cause actual results to differ materially from those described in the forward-looking statements, please refer to the Company’s periodic reports and other filings with the Securities and Exchange Commission, including the risk factors contained in the Company’s most recent Quarterly Reports on Form 10-Q and Annual Reports on Form 10-K. Forward-looking statements represent management’s current expectations and are inherently uncertain and are made only as of the date hereof. Except as required by law, the Company does not undertake or assume any obligation to update any forward-looking statements, whether as a result of new information or to reflect subsequent events or circumstances or otherwise.</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Analog Devices, Inc.</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Analog Devices, Inc. (NASDAQ: ADI) operates at the center of the modern digital economy, converting real-world phenomena into actionable insight with its comprehensive suite of analog and mixed signal, power management, radio frequency (RF), and digital and sensor technologies. ADI serves 125,000 customers worldwide with more than 75,000 products in the industrial, communications, automotive, and consumer markets. ADI is headquartered in Wilmington, MA.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investor.relations@analog.com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Ms. Brittany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917-935-1456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Brittany.Stone@teneo.com</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2021-09-28T08:17:33Z</dcterms:created>
  <dcterms:modified xsi:type="dcterms:W3CDTF">2021-09-28T08:17:33Z</dcterms:modified>
</cp:coreProperties>
</file>