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20"/>
                <w:szCs w:val="20"/>
                <w:color w:val="auto"/>
              </w:rPr>
            </w:pPr>
            <w:r>
              <w:rPr>
                <w:rFonts w:ascii="Courier New" w:cs="Courier New" w:eastAsia="Courier New" w:hAnsi="Courier New"/>
                <w:sz w:val="18"/>
                <w:szCs w:val="18"/>
                <w:color w:val="auto"/>
              </w:rPr>
              <w:t>Prospectus Supplement</w:t>
            </w:r>
          </w:p>
        </w:tc>
        <w:tc>
          <w:tcPr>
            <w:tcW w:w="2840" w:type="dxa"/>
            <w:vAlign w:val="bottom"/>
          </w:tcPr>
          <w:p>
            <w:pPr>
              <w:jc w:val="right"/>
              <w:spacing w:after="0"/>
              <w:rPr>
                <w:sz w:val="20"/>
                <w:szCs w:val="20"/>
                <w:color w:val="auto"/>
              </w:rPr>
            </w:pPr>
            <w:r>
              <w:rPr>
                <w:rFonts w:ascii="Courier New" w:cs="Courier New" w:eastAsia="Courier New" w:hAnsi="Courier New"/>
                <w:sz w:val="18"/>
                <w:szCs w:val="18"/>
                <w:color w:val="auto"/>
              </w:rPr>
              <w:t>Filed pursuant to Rule</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w w:val="96"/>
              </w:rPr>
              <w:t>424(b)(3)</w:t>
            </w:r>
          </w:p>
        </w:tc>
      </w:tr>
      <w:tr>
        <w:trPr>
          <w:trHeight w:val="296"/>
        </w:trPr>
        <w:tc>
          <w:tcPr>
            <w:tcW w:w="4600" w:type="dxa"/>
            <w:vAlign w:val="bottom"/>
          </w:tcPr>
          <w:p>
            <w:pPr>
              <w:spacing w:after="0"/>
              <w:rPr>
                <w:sz w:val="20"/>
                <w:szCs w:val="20"/>
                <w:color w:val="auto"/>
              </w:rPr>
            </w:pPr>
            <w:r>
              <w:rPr>
                <w:rFonts w:ascii="Courier New" w:cs="Courier New" w:eastAsia="Courier New" w:hAnsi="Courier New"/>
                <w:sz w:val="18"/>
                <w:szCs w:val="18"/>
                <w:color w:val="auto"/>
              </w:rPr>
              <w:t>(To Prospectus Dated December 13, 2000)</w:t>
            </w:r>
          </w:p>
        </w:tc>
        <w:tc>
          <w:tcPr>
            <w:tcW w:w="2840" w:type="dxa"/>
            <w:vAlign w:val="bottom"/>
          </w:tcPr>
          <w:p>
            <w:pPr>
              <w:jc w:val="right"/>
              <w:spacing w:after="0"/>
              <w:rPr>
                <w:sz w:val="20"/>
                <w:szCs w:val="20"/>
                <w:color w:val="auto"/>
              </w:rPr>
            </w:pPr>
            <w:r>
              <w:rPr>
                <w:rFonts w:ascii="Courier New" w:cs="Courier New" w:eastAsia="Courier New" w:hAnsi="Courier New"/>
                <w:sz w:val="18"/>
                <w:szCs w:val="18"/>
                <w:color w:val="auto"/>
              </w:rPr>
              <w:t>Registration No.</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w w:val="96"/>
              </w:rPr>
              <w:t>333-48928</w:t>
            </w:r>
          </w:p>
        </w:tc>
      </w:tr>
    </w:tbl>
    <w:p>
      <w:pPr>
        <w:spacing w:after="0" w:line="10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29"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2440"/>
        <w:spacing w:after="0" w:line="238" w:lineRule="auto"/>
        <w:rPr>
          <w:sz w:val="20"/>
          <w:szCs w:val="20"/>
          <w:color w:val="auto"/>
        </w:rPr>
      </w:pPr>
      <w:r>
        <w:rPr>
          <w:rFonts w:ascii="Courier New" w:cs="Courier New" w:eastAsia="Courier New" w:hAnsi="Courier New"/>
          <w:sz w:val="18"/>
          <w:szCs w:val="18"/>
          <w:color w:val="auto"/>
        </w:rPr>
        <w:t>1,200,000,000 PRINCIPAL AMOUNT OF</w:t>
      </w:r>
    </w:p>
    <w:p>
      <w:pPr>
        <w:ind w:left="2320"/>
        <w:spacing w:after="0"/>
        <w:rPr>
          <w:sz w:val="20"/>
          <w:szCs w:val="20"/>
          <w:color w:val="auto"/>
        </w:rPr>
      </w:pPr>
      <w:r>
        <w:rPr>
          <w:rFonts w:ascii="Courier New" w:cs="Courier New" w:eastAsia="Courier New" w:hAnsi="Courier New"/>
          <w:sz w:val="18"/>
          <w:szCs w:val="18"/>
          <w:color w:val="auto"/>
        </w:rPr>
        <w:t>4.75% CONVERTIBLE SUBORDINATED NOTES</w:t>
      </w:r>
    </w:p>
    <w:p>
      <w:pPr>
        <w:ind w:left="3800"/>
        <w:spacing w:after="0" w:line="238" w:lineRule="auto"/>
        <w:rPr>
          <w:sz w:val="20"/>
          <w:szCs w:val="20"/>
          <w:color w:val="auto"/>
        </w:rPr>
      </w:pPr>
      <w:r>
        <w:rPr>
          <w:rFonts w:ascii="Courier New" w:cs="Courier New" w:eastAsia="Courier New" w:hAnsi="Courier New"/>
          <w:sz w:val="18"/>
          <w:szCs w:val="18"/>
          <w:color w:val="auto"/>
        </w:rPr>
        <w:t>DUE 2005</w:t>
      </w:r>
    </w:p>
    <w:p>
      <w:pPr>
        <w:ind w:left="2860"/>
        <w:spacing w:after="0"/>
        <w:rPr>
          <w:sz w:val="20"/>
          <w:szCs w:val="20"/>
          <w:color w:val="auto"/>
        </w:rPr>
      </w:pPr>
      <w:r>
        <w:rPr>
          <w:rFonts w:ascii="Courier New" w:cs="Courier New" w:eastAsia="Courier New" w:hAnsi="Courier New"/>
          <w:sz w:val="18"/>
          <w:szCs w:val="18"/>
          <w:color w:val="auto"/>
        </w:rPr>
        <w:t>-------------------------</w:t>
      </w:r>
    </w:p>
    <w:p>
      <w:pPr>
        <w:ind w:left="2540"/>
        <w:spacing w:after="0" w:line="238" w:lineRule="auto"/>
        <w:rPr>
          <w:sz w:val="20"/>
          <w:szCs w:val="20"/>
          <w:color w:val="auto"/>
        </w:rPr>
      </w:pPr>
      <w:r>
        <w:rPr>
          <w:rFonts w:ascii="Courier New" w:cs="Courier New" w:eastAsia="Courier New" w:hAnsi="Courier New"/>
          <w:sz w:val="18"/>
          <w:szCs w:val="18"/>
          <w:color w:val="auto"/>
        </w:rPr>
        <w:t>9,246,720 Shares of Common Stock</w:t>
      </w:r>
    </w:p>
    <w:p>
      <w:pPr>
        <w:ind w:left="2640"/>
        <w:spacing w:after="0"/>
        <w:rPr>
          <w:sz w:val="20"/>
          <w:szCs w:val="20"/>
          <w:color w:val="auto"/>
        </w:rPr>
      </w:pPr>
      <w:r>
        <w:rPr>
          <w:rFonts w:ascii="Courier New" w:cs="Courier New" w:eastAsia="Courier New" w:hAnsi="Courier New"/>
          <w:sz w:val="18"/>
          <w:szCs w:val="18"/>
          <w:color w:val="auto"/>
        </w:rPr>
        <w:t>$0.16 2/3 par value per share</w:t>
      </w:r>
    </w:p>
    <w:p>
      <w:pPr>
        <w:spacing w:after="0" w:line="169" w:lineRule="exact"/>
        <w:rPr>
          <w:sz w:val="24"/>
          <w:szCs w:val="24"/>
          <w:color w:val="auto"/>
        </w:rPr>
      </w:pPr>
    </w:p>
    <w:p>
      <w:pPr>
        <w:ind w:right="1879" w:firstLine="316"/>
        <w:spacing w:after="0" w:line="260" w:lineRule="auto"/>
        <w:rPr>
          <w:sz w:val="20"/>
          <w:szCs w:val="20"/>
          <w:color w:val="auto"/>
        </w:rPr>
      </w:pPr>
      <w:r>
        <w:rPr>
          <w:rFonts w:ascii="Courier New" w:cs="Courier New" w:eastAsia="Courier New" w:hAnsi="Courier New"/>
          <w:sz w:val="18"/>
          <w:szCs w:val="18"/>
          <w:color w:val="auto"/>
        </w:rPr>
        <w:t>The information in this prospectus supplement concerning the selling securityholders supplements the statements set forth under the caption "Selling Securityholders" in the prospectus. Capitalized items used and not defined in this prospectus supplement shall have the meanings given to them in the prospectus. The information set forth under the caption "Selling Securityholders" in the prospectus is supplemented as follows:</w:t>
      </w:r>
    </w:p>
    <w:p>
      <w:pPr>
        <w:spacing w:after="0" w:line="9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SELLING SECURITYHOLDERS</w:t>
      </w:r>
    </w:p>
    <w:p>
      <w:pPr>
        <w:spacing w:after="0" w:line="201" w:lineRule="exact"/>
        <w:rPr>
          <w:sz w:val="24"/>
          <w:szCs w:val="24"/>
          <w:color w:val="auto"/>
        </w:rPr>
      </w:pPr>
    </w:p>
    <w:p>
      <w:pPr>
        <w:ind w:right="1879" w:firstLine="316"/>
        <w:spacing w:after="0" w:line="252" w:lineRule="auto"/>
        <w:rPr>
          <w:sz w:val="20"/>
          <w:szCs w:val="20"/>
          <w:color w:val="auto"/>
        </w:rPr>
      </w:pPr>
      <w:r>
        <w:rPr>
          <w:rFonts w:ascii="Courier New" w:cs="Courier New" w:eastAsia="Courier New" w:hAnsi="Courier New"/>
          <w:sz w:val="18"/>
          <w:szCs w:val="18"/>
          <w:color w:val="auto"/>
        </w:rPr>
        <w:t>We originally sold the notes on October 2, 2000 to Goldman, Sachs &amp; Co., SG Cowen Securities Corporation and Salomon Smith Barney Inc. The initial purchasers of the notes have advised us that the notes were resold in transactions exempt from the registration requirements of the Securities Act to "qualified institutional buyers", as defined in Rule 144A of the Securities Act. These subsequent purchasers, or their transferees, pledgees, donees or successors, may from time to time offer and sell any or all of the notes and/or shares of the common stock issuable upon conversion of the notes pursuant to this prospectus.</w:t>
      </w:r>
    </w:p>
    <w:p>
      <w:pPr>
        <w:spacing w:after="0" w:line="99" w:lineRule="exact"/>
        <w:rPr>
          <w:sz w:val="24"/>
          <w:szCs w:val="24"/>
          <w:color w:val="auto"/>
        </w:rPr>
      </w:pPr>
    </w:p>
    <w:p>
      <w:pPr>
        <w:ind w:right="1879" w:firstLine="316"/>
        <w:spacing w:after="0" w:line="260" w:lineRule="auto"/>
        <w:rPr>
          <w:sz w:val="20"/>
          <w:szCs w:val="20"/>
          <w:color w:val="auto"/>
        </w:rPr>
      </w:pPr>
      <w:r>
        <w:rPr>
          <w:rFonts w:ascii="Courier New" w:cs="Courier New" w:eastAsia="Courier New" w:hAnsi="Courier New"/>
          <w:sz w:val="18"/>
          <w:szCs w:val="18"/>
          <w:color w:val="auto"/>
        </w:rPr>
        <w:t>The notes and the shares of common stock issuable upon conversion of the notes have been registered in accordance with the registration rights agreement. Pursuant to the registration rights agreement, we are required to file a registration statement with regard to the notes and the shares of our common stock issuable upon conversion of the notes and to keep the registration statement effective until the earlier of:</w:t>
      </w:r>
    </w:p>
    <w:p>
      <w:pPr>
        <w:spacing w:after="0" w:line="93" w:lineRule="exact"/>
        <w:rPr>
          <w:sz w:val="24"/>
          <w:szCs w:val="24"/>
          <w:color w:val="auto"/>
        </w:rPr>
      </w:pPr>
    </w:p>
    <w:p>
      <w:pPr>
        <w:ind w:left="640" w:right="2099" w:hanging="421"/>
        <w:spacing w:after="0" w:line="34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all the securities registered under the registration rights agreement;</w:t>
      </w:r>
    </w:p>
    <w:p>
      <w:pPr>
        <w:spacing w:after="0" w:line="18" w:lineRule="exact"/>
        <w:rPr>
          <w:rFonts w:ascii="Courier New" w:cs="Courier New" w:eastAsia="Courier New" w:hAnsi="Courier New"/>
          <w:sz w:val="18"/>
          <w:szCs w:val="18"/>
          <w:color w:val="auto"/>
        </w:rPr>
      </w:pPr>
    </w:p>
    <w:p>
      <w:pPr>
        <w:ind w:left="640" w:right="2199" w:hanging="421"/>
        <w:spacing w:after="0" w:line="292"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of the holding period applicable to these securities under Rule 144(k) under the Securities Act with respect to persons who are not our affiliates; and</w:t>
      </w:r>
    </w:p>
    <w:p>
      <w:pPr>
        <w:spacing w:after="0" w:line="66" w:lineRule="exact"/>
        <w:rPr>
          <w:rFonts w:ascii="Courier New" w:cs="Courier New" w:eastAsia="Courier New" w:hAnsi="Courier New"/>
          <w:sz w:val="18"/>
          <w:szCs w:val="18"/>
          <w:color w:val="auto"/>
        </w:rPr>
      </w:pPr>
    </w:p>
    <w:p>
      <w:pPr>
        <w:ind w:left="640" w:right="3039" w:hanging="421"/>
        <w:spacing w:after="0" w:line="34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 years from the date the registration statement is declared effective.</w:t>
      </w:r>
    </w:p>
    <w:p>
      <w:pPr>
        <w:spacing w:after="0" w:line="18" w:lineRule="exact"/>
        <w:rPr>
          <w:sz w:val="24"/>
          <w:szCs w:val="24"/>
          <w:color w:val="auto"/>
        </w:rPr>
      </w:pPr>
    </w:p>
    <w:p>
      <w:pPr>
        <w:ind w:right="1879" w:firstLine="316"/>
        <w:spacing w:after="0" w:line="292" w:lineRule="auto"/>
        <w:rPr>
          <w:sz w:val="20"/>
          <w:szCs w:val="20"/>
          <w:color w:val="auto"/>
        </w:rPr>
      </w:pPr>
      <w:r>
        <w:rPr>
          <w:rFonts w:ascii="Courier New" w:cs="Courier New" w:eastAsia="Courier New" w:hAnsi="Courier New"/>
          <w:sz w:val="18"/>
          <w:szCs w:val="18"/>
          <w:color w:val="auto"/>
        </w:rPr>
        <w:t>The selling securityholders may choose to sell notes and/or the shares of common stock issuable upon conversion of the notes from time to time. See "Plan of Distribution".</w:t>
      </w:r>
    </w:p>
    <w:p>
      <w:pPr>
        <w:spacing w:after="0" w:line="6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The following table sets forth:</w:t>
      </w:r>
    </w:p>
    <w:p>
      <w:pPr>
        <w:spacing w:after="0" w:line="201" w:lineRule="exact"/>
        <w:rPr>
          <w:sz w:val="24"/>
          <w:szCs w:val="24"/>
          <w:color w:val="auto"/>
        </w:rPr>
      </w:pPr>
    </w:p>
    <w:p>
      <w:pPr>
        <w:ind w:left="640" w:right="2099" w:hanging="421"/>
        <w:spacing w:after="0" w:line="265"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each selling securityholder who has provided us with notice as of the date of this prospectus supplement pursuant to the registration rights agreement of their intent to sell or otherwise dispose of notes and/or shares of common stock issuable upon conversion of the notes pursuant to the registration statement,</w:t>
      </w:r>
    </w:p>
    <w:p>
      <w:pPr>
        <w:spacing w:after="0" w:line="89" w:lineRule="exact"/>
        <w:rPr>
          <w:rFonts w:ascii="Courier New" w:cs="Courier New" w:eastAsia="Courier New" w:hAnsi="Courier New"/>
          <w:sz w:val="18"/>
          <w:szCs w:val="18"/>
          <w:color w:val="auto"/>
        </w:rPr>
      </w:pPr>
    </w:p>
    <w:p>
      <w:pPr>
        <w:jc w:val="both"/>
        <w:ind w:left="640" w:right="2419" w:hanging="421"/>
        <w:spacing w:after="0" w:line="292"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notes and the number of shares of our common stock issuable upon conversion of the notes which they may sell from time to time pursuant to the registration statement, and</w:t>
      </w:r>
    </w:p>
    <w:p>
      <w:pPr>
        <w:spacing w:after="0" w:line="66" w:lineRule="exact"/>
        <w:rPr>
          <w:rFonts w:ascii="Courier New" w:cs="Courier New" w:eastAsia="Courier New" w:hAnsi="Courier New"/>
          <w:sz w:val="18"/>
          <w:szCs w:val="18"/>
          <w:color w:val="auto"/>
        </w:rPr>
      </w:pPr>
    </w:p>
    <w:p>
      <w:pPr>
        <w:ind w:left="640" w:right="2099" w:hanging="421"/>
        <w:spacing w:after="0" w:line="292"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outstanding notes and our common stock beneficially owned by the selling securityholder prior to the offering, assuming no conversion of the notes.</w:t>
      </w:r>
    </w:p>
    <w:p>
      <w:pPr>
        <w:sectPr>
          <w:pgSz w:w="11900" w:h="16838" w:orient="portrait"/>
          <w:cols w:equalWidth="0" w:num="1">
            <w:col w:w="10219"/>
          </w:cols>
          <w:pgMar w:left="240" w:top="622" w:right="1440" w:bottom="1440" w:gutter="0" w:footer="0" w:header="0"/>
        </w:sectPr>
      </w:pPr>
    </w:p>
    <w:bookmarkStart w:id="1" w:name="page2"/>
    <w:bookmarkEnd w:id="1"/>
    <w:p>
      <w:pPr>
        <w:ind w:right="1879" w:firstLine="316"/>
        <w:spacing w:after="0" w:line="274" w:lineRule="auto"/>
        <w:rPr>
          <w:sz w:val="20"/>
          <w:szCs w:val="20"/>
          <w:color w:val="auto"/>
        </w:rPr>
      </w:pPr>
      <w:r>
        <w:rPr>
          <w:rFonts w:ascii="Courier New" w:cs="Courier New" w:eastAsia="Courier New" w:hAnsi="Courier New"/>
          <w:sz w:val="18"/>
          <w:szCs w:val="18"/>
          <w:color w:val="auto"/>
        </w:rPr>
        <w:t>To our knowledge, no selling securityholder nor any of its affiliates has held any position or office with, been employed by or otherwise has had any material relationship with us or our affiliates during the three years prior to the date of this prospectus.</w:t>
      </w:r>
    </w:p>
    <w:p>
      <w:pPr>
        <w:spacing w:after="0" w:line="82" w:lineRule="exact"/>
        <w:rPr>
          <w:sz w:val="20"/>
          <w:szCs w:val="20"/>
          <w:color w:val="auto"/>
        </w:rPr>
      </w:pPr>
    </w:p>
    <w:p>
      <w:pPr>
        <w:ind w:right="1879" w:firstLine="316"/>
        <w:spacing w:after="0" w:line="252" w:lineRule="auto"/>
        <w:rPr>
          <w:sz w:val="20"/>
          <w:szCs w:val="20"/>
          <w:color w:val="auto"/>
        </w:rPr>
      </w:pPr>
      <w:r>
        <w:rPr>
          <w:rFonts w:ascii="Courier New" w:cs="Courier New" w:eastAsia="Courier New" w:hAnsi="Courier New"/>
          <w:sz w:val="18"/>
          <w:szCs w:val="18"/>
          <w:color w:val="auto"/>
        </w:rPr>
        <w:t>A selling securityholder may offer all or some portion of the notes and shares of the common stock issuable upon conversion of the notes. Accordingly, no estimate can be given as to the amount or percentage of notes or our common stock that will be held by the selling securityholders upon termination of sales pursuant to this prospectus. In addition, the selling securityholders identified below may have sold, transferred or disposed of all or a portion of their notes since the date on which they provided the information regarding their holdings in transactions exempt from the registration requirements of the Securities Act.</w:t>
      </w:r>
    </w:p>
    <w:p>
      <w:pPr>
        <w:spacing w:after="0" w:line="99" w:lineRule="exact"/>
        <w:rPr>
          <w:sz w:val="20"/>
          <w:szCs w:val="20"/>
          <w:color w:val="auto"/>
        </w:rPr>
      </w:pPr>
    </w:p>
    <w:p>
      <w:pPr>
        <w:ind w:right="1879" w:firstLine="316"/>
        <w:spacing w:after="0" w:line="274" w:lineRule="auto"/>
        <w:rPr>
          <w:sz w:val="20"/>
          <w:szCs w:val="20"/>
          <w:color w:val="auto"/>
        </w:rPr>
      </w:pPr>
      <w:r>
        <w:rPr>
          <w:rFonts w:ascii="Courier New" w:cs="Courier New" w:eastAsia="Courier New" w:hAnsi="Courier New"/>
          <w:sz w:val="18"/>
          <w:szCs w:val="18"/>
          <w:color w:val="auto"/>
        </w:rPr>
        <w:t>The information contained under the column heading "Shares That May be Sold" assumes conversion of the full amount of the notes held by the holder at the initial rate of 7.7056 shares of common stock per each $1,000 principal amount of notes.</w:t>
      </w:r>
    </w:p>
    <w:p>
      <w:pPr>
        <w:spacing w:after="0" w:line="200" w:lineRule="exact"/>
        <w:rPr>
          <w:sz w:val="20"/>
          <w:szCs w:val="20"/>
          <w:color w:val="auto"/>
        </w:rPr>
      </w:pPr>
    </w:p>
    <w:p>
      <w:pPr>
        <w:spacing w:after="0" w:line="286"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360" w:type="dxa"/>
            <w:vAlign w:val="bottom"/>
            <w:vMerge w:val="restart"/>
          </w:tcPr>
          <w:p>
            <w:pPr>
              <w:jc w:val="center"/>
              <w:ind w:left="592"/>
              <w:spacing w:after="0"/>
              <w:rPr>
                <w:sz w:val="20"/>
                <w:szCs w:val="20"/>
                <w:color w:val="auto"/>
              </w:rPr>
            </w:pPr>
            <w:r>
              <w:rPr>
                <w:rFonts w:ascii="Courier New" w:cs="Courier New" w:eastAsia="Courier New" w:hAnsi="Courier New"/>
                <w:sz w:val="18"/>
                <w:szCs w:val="18"/>
                <w:color w:val="auto"/>
                <w:w w:val="98"/>
              </w:rPr>
              <w:t>Amount Of</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Amount Of</w:t>
            </w: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Shares Of</w:t>
            </w:r>
          </w:p>
        </w:tc>
        <w:tc>
          <w:tcPr>
            <w:tcW w:w="74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5"/>
              </w:rPr>
              <w:t>Shares</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3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7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That</w:t>
            </w:r>
          </w:p>
        </w:tc>
        <w:tc>
          <w:tcPr>
            <w:tcW w:w="0" w:type="dxa"/>
            <w:vAlign w:val="bottom"/>
          </w:tcPr>
          <w:p>
            <w:pPr>
              <w:spacing w:after="0"/>
              <w:rPr>
                <w:sz w:val="1"/>
                <w:szCs w:val="1"/>
                <w:color w:val="auto"/>
              </w:rPr>
            </w:pPr>
          </w:p>
        </w:tc>
      </w:tr>
      <w:tr>
        <w:trPr>
          <w:trHeight w:val="203"/>
        </w:trPr>
        <w:tc>
          <w:tcPr>
            <w:tcW w:w="1160" w:type="dxa"/>
            <w:vAlign w:val="bottom"/>
            <w:vMerge w:val="restart"/>
          </w:tcPr>
          <w:p>
            <w:pPr>
              <w:spacing w:after="0"/>
              <w:rPr>
                <w:sz w:val="20"/>
                <w:szCs w:val="20"/>
                <w:color w:val="auto"/>
              </w:rPr>
            </w:pPr>
            <w:r>
              <w:rPr>
                <w:rFonts w:ascii="Courier New" w:cs="Courier New" w:eastAsia="Courier New" w:hAnsi="Courier New"/>
                <w:sz w:val="18"/>
                <w:szCs w:val="18"/>
                <w:color w:val="auto"/>
              </w:rPr>
              <w:t>Name</w:t>
            </w: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Notes That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7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5"/>
              </w:rPr>
              <w:t>May Be</w:t>
            </w:r>
          </w:p>
        </w:tc>
        <w:tc>
          <w:tcPr>
            <w:tcW w:w="0" w:type="dxa"/>
            <w:vAlign w:val="bottom"/>
          </w:tcPr>
          <w:p>
            <w:pPr>
              <w:spacing w:after="0"/>
              <w:rPr>
                <w:sz w:val="1"/>
                <w:szCs w:val="1"/>
                <w:color w:val="auto"/>
              </w:rPr>
            </w:pPr>
          </w:p>
        </w:tc>
      </w:tr>
      <w:tr>
        <w:trPr>
          <w:trHeight w:val="235"/>
        </w:trPr>
        <w:tc>
          <w:tcPr>
            <w:tcW w:w="1160" w:type="dxa"/>
            <w:vAlign w:val="bottom"/>
            <w:vMerge w:val="continue"/>
          </w:tcPr>
          <w:p>
            <w:pPr>
              <w:spacing w:after="0"/>
              <w:rPr>
                <w:sz w:val="20"/>
                <w:szCs w:val="20"/>
                <w:color w:val="auto"/>
              </w:rPr>
            </w:pPr>
          </w:p>
        </w:tc>
        <w:tc>
          <w:tcPr>
            <w:tcW w:w="2360" w:type="dxa"/>
            <w:vAlign w:val="bottom"/>
          </w:tcPr>
          <w:p>
            <w:pPr>
              <w:jc w:val="center"/>
              <w:ind w:left="572"/>
              <w:spacing w:after="0"/>
              <w:rPr>
                <w:sz w:val="20"/>
                <w:szCs w:val="20"/>
                <w:color w:val="auto"/>
              </w:rPr>
            </w:pPr>
            <w:r>
              <w:rPr>
                <w:rFonts w:ascii="Courier New" w:cs="Courier New" w:eastAsia="Courier New" w:hAnsi="Courier New"/>
                <w:sz w:val="18"/>
                <w:szCs w:val="18"/>
                <w:color w:val="auto"/>
                <w:w w:val="97"/>
              </w:rPr>
              <w:t>Before Offering</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May Be Sold</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9"/>
              </w:rPr>
              <w:t>Offering</w:t>
            </w:r>
          </w:p>
        </w:tc>
        <w:tc>
          <w:tcPr>
            <w:tcW w:w="74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7"/>
              </w:rPr>
              <w:t>Sold</w:t>
            </w:r>
          </w:p>
        </w:tc>
        <w:tc>
          <w:tcPr>
            <w:tcW w:w="0" w:type="dxa"/>
            <w:vAlign w:val="bottom"/>
          </w:tcPr>
          <w:p>
            <w:pPr>
              <w:spacing w:after="0"/>
              <w:rPr>
                <w:sz w:val="1"/>
                <w:szCs w:val="1"/>
                <w:color w:val="auto"/>
              </w:rPr>
            </w:pPr>
          </w:p>
        </w:tc>
      </w:tr>
    </w:tbl>
    <w:p>
      <w:pPr>
        <w:ind w:left="3160" w:hanging="1888"/>
        <w:spacing w:after="0"/>
        <w:tabs>
          <w:tab w:leader="none" w:pos="31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ABN AMRO Incorporated.......</w:t>
            </w:r>
          </w:p>
        </w:tc>
        <w:tc>
          <w:tcPr>
            <w:tcW w:w="14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$5,500,000</w:t>
            </w:r>
          </w:p>
        </w:tc>
        <w:tc>
          <w:tcPr>
            <w:tcW w:w="1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$5,500,000</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42,380</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AIG/National Union Fire</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1,030,000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1,030,000</w:t>
            </w:r>
          </w:p>
        </w:tc>
        <w:tc>
          <w:tcPr>
            <w:tcW w:w="13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7,936</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Allstate Insurance</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5,100,000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5,100,000</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276,100(2)</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39,298</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Company(1).................</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Allstate Life Insurance</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13,100,000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13,100,000</w:t>
            </w:r>
          </w:p>
        </w:tc>
        <w:tc>
          <w:tcPr>
            <w:tcW w:w="216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276,100(2) 100,943</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Company(1).................</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2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Aloha Airlines Non-Pilots</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135,000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135,000</w:t>
            </w:r>
          </w:p>
        </w:tc>
        <w:tc>
          <w:tcPr>
            <w:tcW w:w="13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1,040</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Pension Trust..............</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Aloha Pilots Retirement</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75,000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75,000</w:t>
            </w:r>
          </w:p>
        </w:tc>
        <w:tc>
          <w:tcPr>
            <w:tcW w:w="13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577</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Trust......................</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Alpha US Sub Fund VIII,</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1,200,000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1,200,000</w:t>
            </w:r>
          </w:p>
        </w:tc>
        <w:tc>
          <w:tcPr>
            <w:tcW w:w="13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9,246</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LLC........................</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Amaranth Securities L.L.C...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11,500,000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88,614</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American Century Equity</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3,200,000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3,200,000</w:t>
            </w:r>
          </w:p>
        </w:tc>
        <w:tc>
          <w:tcPr>
            <w:tcW w:w="13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24,657</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Fund................</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American Fidelity Assurance</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125,000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125,000</w:t>
            </w:r>
          </w:p>
        </w:tc>
        <w:tc>
          <w:tcPr>
            <w:tcW w:w="13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963</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American Stores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1,926</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Amerisure Companies/Michigan</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375,000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375,000</w:t>
            </w:r>
          </w:p>
        </w:tc>
        <w:tc>
          <w:tcPr>
            <w:tcW w:w="13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2,889</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Mutual Insurance Company...</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Annuity Board of the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Southern Baptist</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250,000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250,000</w:t>
            </w:r>
          </w:p>
        </w:tc>
        <w:tc>
          <w:tcPr>
            <w:tcW w:w="13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1,926</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Convention.................</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Arbitex Master Fund,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14,000,000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107,878</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Argent Classic Convertible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Arbitrage Fund (Bermuda)</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38,000,000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38,000,000</w:t>
            </w:r>
          </w:p>
        </w:tc>
        <w:tc>
          <w:tcPr>
            <w:tcW w:w="13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292,812</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L.P. ......................</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Argent Classic Convertible</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20,000,000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20,000,000</w:t>
            </w:r>
          </w:p>
        </w:tc>
        <w:tc>
          <w:tcPr>
            <w:tcW w:w="13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154,112</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Arbitrage Fund L.P.........</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Argent Convertible Arbitrage</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6,000,000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6,000,000</w:t>
            </w:r>
          </w:p>
        </w:tc>
        <w:tc>
          <w:tcPr>
            <w:tcW w:w="13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46,233</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 Ltd...................</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Arkansas PERS...............</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2,950,000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22,731</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Arlington County Employees'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Supplemental Retirement</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125,000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125,000</w:t>
            </w:r>
          </w:p>
        </w:tc>
        <w:tc>
          <w:tcPr>
            <w:tcW w:w="13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963</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System.....................</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Arpeggio Fund,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3,800,000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29,281</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Associated Electric &amp; Gas</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1,500,000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1,500,000</w:t>
            </w:r>
          </w:p>
        </w:tc>
        <w:tc>
          <w:tcPr>
            <w:tcW w:w="13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11,558</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Services Limited...........</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BBT Fund,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15,000,000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115,584</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Banc of America Securities</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750,000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750,000</w:t>
            </w:r>
          </w:p>
        </w:tc>
        <w:tc>
          <w:tcPr>
            <w:tcW w:w="13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5,779</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LLC........................</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Bancroft Convertible Fund,</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1,000,000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1,000,000</w:t>
            </w:r>
          </w:p>
        </w:tc>
        <w:tc>
          <w:tcPr>
            <w:tcW w:w="13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7,705</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Bankers Life Insurance</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145,000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145,000</w:t>
            </w:r>
          </w:p>
        </w:tc>
        <w:tc>
          <w:tcPr>
            <w:tcW w:w="13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1,117</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 of New York........</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Bankers Trust Company as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Trustee for DaimlerChrysler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 EMP #1 Pension Plan</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6,355,000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6,355,000</w:t>
            </w:r>
          </w:p>
        </w:tc>
        <w:tc>
          <w:tcPr>
            <w:tcW w:w="13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48,969</w:t>
            </w:r>
          </w:p>
        </w:tc>
        <w:tc>
          <w:tcPr>
            <w:tcW w:w="0" w:type="dxa"/>
            <w:vAlign w:val="bottom"/>
          </w:tcPr>
          <w:p>
            <w:pPr>
              <w:spacing w:after="0"/>
              <w:rPr>
                <w:sz w:val="1"/>
                <w:szCs w:val="1"/>
                <w:color w:val="auto"/>
              </w:rPr>
            </w:pPr>
          </w:p>
        </w:tc>
      </w:tr>
      <w:tr>
        <w:trPr>
          <w:trHeight w:val="296"/>
        </w:trPr>
        <w:tc>
          <w:tcPr>
            <w:tcW w:w="3160" w:type="dxa"/>
            <w:vAlign w:val="bottom"/>
          </w:tcPr>
          <w:p>
            <w:pPr>
              <w:ind w:left="120"/>
              <w:spacing w:after="0"/>
              <w:rPr>
                <w:sz w:val="20"/>
                <w:szCs w:val="20"/>
                <w:color w:val="auto"/>
              </w:rPr>
            </w:pPr>
            <w:r>
              <w:rPr>
                <w:rFonts w:ascii="Courier New" w:cs="Courier New" w:eastAsia="Courier New" w:hAnsi="Courier New"/>
                <w:sz w:val="18"/>
                <w:szCs w:val="18"/>
                <w:color w:val="auto"/>
              </w:rPr>
              <w:t>DTD 4/1/89.................</w:t>
            </w:r>
          </w:p>
        </w:tc>
        <w:tc>
          <w:tcPr>
            <w:tcW w:w="148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Bay County PERS.............</w:t>
            </w:r>
          </w:p>
        </w:tc>
        <w:tc>
          <w:tcPr>
            <w:tcW w:w="14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235,000</w:t>
            </w:r>
          </w:p>
        </w:tc>
        <w:tc>
          <w:tcPr>
            <w:tcW w:w="18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235,000</w:t>
            </w:r>
          </w:p>
        </w:tc>
        <w:tc>
          <w:tcPr>
            <w:tcW w:w="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1,810</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Bear, Stearns &amp; Co., Inc....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20,000,000</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20,000,000</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154,112</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Black Diamond Offshore,</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3,272,000</w:t>
            </w:r>
          </w:p>
        </w:tc>
        <w:tc>
          <w:tcPr>
            <w:tcW w:w="184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3,272,000</w:t>
            </w:r>
          </w:p>
        </w:tc>
        <w:tc>
          <w:tcPr>
            <w:tcW w:w="9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25,212</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Ltd........................</w:t>
            </w:r>
          </w:p>
        </w:tc>
        <w:tc>
          <w:tcPr>
            <w:tcW w:w="1480" w:type="dxa"/>
            <w:vAlign w:val="bottom"/>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Blue Cross Blue Shield of</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1,500,000</w:t>
            </w:r>
          </w:p>
        </w:tc>
        <w:tc>
          <w:tcPr>
            <w:tcW w:w="184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1,500,000</w:t>
            </w:r>
          </w:p>
        </w:tc>
        <w:tc>
          <w:tcPr>
            <w:tcW w:w="9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11,558</w:t>
            </w:r>
          </w:p>
        </w:tc>
        <w:tc>
          <w:tcPr>
            <w:tcW w:w="0" w:type="dxa"/>
            <w:vAlign w:val="bottom"/>
          </w:tcPr>
          <w:p>
            <w:pPr>
              <w:spacing w:after="0"/>
              <w:rPr>
                <w:sz w:val="1"/>
                <w:szCs w:val="1"/>
                <w:color w:val="auto"/>
              </w:rPr>
            </w:pPr>
          </w:p>
        </w:tc>
      </w:tr>
      <w:tr>
        <w:trPr>
          <w:trHeight w:val="296"/>
        </w:trPr>
        <w:tc>
          <w:tcPr>
            <w:tcW w:w="3160" w:type="dxa"/>
            <w:vAlign w:val="bottom"/>
          </w:tcPr>
          <w:p>
            <w:pPr>
              <w:ind w:left="120"/>
              <w:spacing w:after="0"/>
              <w:rPr>
                <w:sz w:val="20"/>
                <w:szCs w:val="20"/>
                <w:color w:val="auto"/>
              </w:rPr>
            </w:pPr>
            <w:r>
              <w:rPr>
                <w:rFonts w:ascii="Courier New" w:cs="Courier New" w:eastAsia="Courier New" w:hAnsi="Courier New"/>
                <w:sz w:val="18"/>
                <w:szCs w:val="18"/>
                <w:color w:val="auto"/>
              </w:rPr>
              <w:t>Florida....................</w:t>
            </w:r>
          </w:p>
        </w:tc>
        <w:tc>
          <w:tcPr>
            <w:tcW w:w="1480" w:type="dxa"/>
            <w:vAlign w:val="bottom"/>
            <w:vMerge w:val="continue"/>
          </w:tcPr>
          <w:p>
            <w:pPr>
              <w:spacing w:after="0"/>
              <w:rPr>
                <w:sz w:val="24"/>
                <w:szCs w:val="24"/>
                <w:color w:val="auto"/>
              </w:rPr>
            </w:pPr>
          </w:p>
        </w:tc>
        <w:tc>
          <w:tcPr>
            <w:tcW w:w="184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160" w:type="dxa"/>
            <w:vAlign w:val="bottom"/>
          </w:tcPr>
          <w:p>
            <w:pPr>
              <w:spacing w:after="0"/>
              <w:rPr>
                <w:sz w:val="24"/>
                <w:szCs w:val="24"/>
                <w:color w:val="auto"/>
              </w:rPr>
            </w:pPr>
          </w:p>
        </w:tc>
        <w:tc>
          <w:tcPr>
            <w:tcW w:w="14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w:t>
            </w:r>
          </w:p>
        </w:tc>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08" w:right="1440" w:bottom="1440" w:gutter="0" w:footer="0" w:header="0"/>
        </w:sectPr>
      </w:pPr>
    </w:p>
    <w:bookmarkStart w:id="3" w:name="page4"/>
    <w:bookmarkEnd w:id="3"/>
    <w:p>
      <w:pPr>
        <w:spacing w:after="0" w:line="1"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420" w:type="dxa"/>
            <w:vAlign w:val="bottom"/>
            <w:vMerge w:val="restart"/>
          </w:tcPr>
          <w:p>
            <w:pPr>
              <w:jc w:val="center"/>
              <w:ind w:left="532"/>
              <w:spacing w:after="0"/>
              <w:rPr>
                <w:sz w:val="20"/>
                <w:szCs w:val="20"/>
                <w:color w:val="auto"/>
              </w:rPr>
            </w:pPr>
            <w:r>
              <w:rPr>
                <w:rFonts w:ascii="Courier New" w:cs="Courier New" w:eastAsia="Courier New" w:hAnsi="Courier New"/>
                <w:sz w:val="18"/>
                <w:szCs w:val="18"/>
                <w:color w:val="auto"/>
                <w:w w:val="98"/>
              </w:rPr>
              <w:t>Amount Of</w:t>
            </w: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Amount Of</w:t>
            </w: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Shares Of</w:t>
            </w:r>
          </w:p>
        </w:tc>
        <w:tc>
          <w:tcPr>
            <w:tcW w:w="7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Shares</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4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That</w:t>
            </w:r>
          </w:p>
        </w:tc>
        <w:tc>
          <w:tcPr>
            <w:tcW w:w="0" w:type="dxa"/>
            <w:vAlign w:val="bottom"/>
          </w:tcPr>
          <w:p>
            <w:pPr>
              <w:spacing w:after="0"/>
              <w:rPr>
                <w:sz w:val="1"/>
                <w:szCs w:val="1"/>
                <w:color w:val="auto"/>
              </w:rPr>
            </w:pPr>
          </w:p>
        </w:tc>
      </w:tr>
      <w:tr>
        <w:trPr>
          <w:trHeight w:val="203"/>
        </w:trPr>
        <w:tc>
          <w:tcPr>
            <w:tcW w:w="1160" w:type="dxa"/>
            <w:vAlign w:val="bottom"/>
            <w:vMerge w:val="restart"/>
          </w:tcPr>
          <w:p>
            <w:pPr>
              <w:spacing w:after="0"/>
              <w:rPr>
                <w:sz w:val="20"/>
                <w:szCs w:val="20"/>
                <w:color w:val="auto"/>
              </w:rPr>
            </w:pPr>
            <w:r>
              <w:rPr>
                <w:rFonts w:ascii="Courier New" w:cs="Courier New" w:eastAsia="Courier New" w:hAnsi="Courier New"/>
                <w:sz w:val="18"/>
                <w:szCs w:val="18"/>
                <w:color w:val="auto"/>
              </w:rPr>
              <w:t>Name</w:t>
            </w:r>
          </w:p>
        </w:tc>
        <w:tc>
          <w:tcPr>
            <w:tcW w:w="2420" w:type="dxa"/>
            <w:vAlign w:val="bottom"/>
          </w:tcPr>
          <w:p>
            <w:pPr>
              <w:jc w:val="center"/>
              <w:ind w:left="53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Notes That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7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May Be</w:t>
            </w:r>
          </w:p>
        </w:tc>
        <w:tc>
          <w:tcPr>
            <w:tcW w:w="0" w:type="dxa"/>
            <w:vAlign w:val="bottom"/>
          </w:tcPr>
          <w:p>
            <w:pPr>
              <w:spacing w:after="0"/>
              <w:rPr>
                <w:sz w:val="1"/>
                <w:szCs w:val="1"/>
                <w:color w:val="auto"/>
              </w:rPr>
            </w:pPr>
          </w:p>
        </w:tc>
      </w:tr>
      <w:tr>
        <w:trPr>
          <w:trHeight w:val="235"/>
        </w:trPr>
        <w:tc>
          <w:tcPr>
            <w:tcW w:w="1160" w:type="dxa"/>
            <w:vAlign w:val="bottom"/>
            <w:vMerge w:val="continue"/>
          </w:tcPr>
          <w:p>
            <w:pPr>
              <w:spacing w:after="0"/>
              <w:rPr>
                <w:sz w:val="20"/>
                <w:szCs w:val="20"/>
                <w:color w:val="auto"/>
              </w:rPr>
            </w:pPr>
          </w:p>
        </w:tc>
        <w:tc>
          <w:tcPr>
            <w:tcW w:w="2420" w:type="dxa"/>
            <w:vAlign w:val="bottom"/>
          </w:tcPr>
          <w:p>
            <w:pPr>
              <w:jc w:val="center"/>
              <w:ind w:left="512"/>
              <w:spacing w:after="0"/>
              <w:rPr>
                <w:sz w:val="20"/>
                <w:szCs w:val="20"/>
                <w:color w:val="auto"/>
              </w:rPr>
            </w:pPr>
            <w:r>
              <w:rPr>
                <w:rFonts w:ascii="Courier New" w:cs="Courier New" w:eastAsia="Courier New" w:hAnsi="Courier New"/>
                <w:sz w:val="18"/>
                <w:szCs w:val="18"/>
                <w:color w:val="auto"/>
                <w:w w:val="97"/>
              </w:rPr>
              <w:t>Before Offering</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May Be Sold</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7"/>
              </w:rPr>
              <w:t>Offering</w:t>
            </w:r>
          </w:p>
        </w:tc>
        <w:tc>
          <w:tcPr>
            <w:tcW w:w="740" w:type="dxa"/>
            <w:vAlign w:val="bottom"/>
          </w:tcPr>
          <w:p>
            <w:pPr>
              <w:jc w:val="center"/>
              <w:spacing w:after="0"/>
              <w:rPr>
                <w:sz w:val="20"/>
                <w:szCs w:val="20"/>
                <w:color w:val="auto"/>
              </w:rPr>
            </w:pPr>
            <w:r>
              <w:rPr>
                <w:rFonts w:ascii="Courier New" w:cs="Courier New" w:eastAsia="Courier New" w:hAnsi="Courier New"/>
                <w:sz w:val="18"/>
                <w:szCs w:val="18"/>
                <w:color w:val="auto"/>
                <w:w w:val="97"/>
              </w:rPr>
              <w:t>Sold</w:t>
            </w:r>
          </w:p>
        </w:tc>
        <w:tc>
          <w:tcPr>
            <w:tcW w:w="0" w:type="dxa"/>
            <w:vAlign w:val="bottom"/>
          </w:tcPr>
          <w:p>
            <w:pPr>
              <w:spacing w:after="0"/>
              <w:rPr>
                <w:sz w:val="1"/>
                <w:szCs w:val="1"/>
                <w:color w:val="auto"/>
              </w:rPr>
            </w:pPr>
          </w:p>
        </w:tc>
      </w:tr>
    </w:tbl>
    <w:p>
      <w:pPr>
        <w:ind w:left="3160" w:hanging="1888"/>
        <w:spacing w:after="0"/>
        <w:tabs>
          <w:tab w:leader="none" w:pos="3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Boston Medical Center.......</w:t>
            </w:r>
          </w:p>
        </w:tc>
        <w:tc>
          <w:tcPr>
            <w:tcW w:w="17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100,000</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100,000</w:t>
            </w: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770</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 &amp; H Sugar Company, Inc. ..</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California State Automobile</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Association Inter-</w:t>
            </w:r>
          </w:p>
        </w:tc>
        <w:tc>
          <w:tcPr>
            <w:tcW w:w="17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1,400,000</w:t>
            </w:r>
          </w:p>
        </w:tc>
        <w:tc>
          <w:tcPr>
            <w:tcW w:w="16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1,400,000</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10,787</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w:t>
            </w:r>
          </w:p>
        </w:tc>
        <w:tc>
          <w:tcPr>
            <w:tcW w:w="17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CALAMOS Convertible</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Technology Fund - CALAMOS</w:t>
            </w:r>
          </w:p>
        </w:tc>
        <w:tc>
          <w:tcPr>
            <w:tcW w:w="17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50,000</w:t>
            </w:r>
          </w:p>
        </w:tc>
        <w:tc>
          <w:tcPr>
            <w:tcW w:w="16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50,000</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385</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Trust...........</w:t>
            </w:r>
          </w:p>
        </w:tc>
        <w:tc>
          <w:tcPr>
            <w:tcW w:w="17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CFFX, LLC...................</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4,500,000(3)</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CGU Life Insurance Company</w:t>
            </w:r>
          </w:p>
        </w:tc>
        <w:tc>
          <w:tcPr>
            <w:tcW w:w="17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1,500,000</w:t>
            </w:r>
          </w:p>
        </w:tc>
        <w:tc>
          <w:tcPr>
            <w:tcW w:w="16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1,500,000</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11,558</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America.................</w:t>
            </w:r>
          </w:p>
        </w:tc>
        <w:tc>
          <w:tcPr>
            <w:tcW w:w="17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CIBC World Markets</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International Arbitrage</w:t>
            </w:r>
          </w:p>
        </w:tc>
        <w:tc>
          <w:tcPr>
            <w:tcW w:w="17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20,000,000</w:t>
            </w:r>
          </w:p>
        </w:tc>
        <w:tc>
          <w:tcPr>
            <w:tcW w:w="16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20,000,000</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154,112</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w:t>
            </w:r>
          </w:p>
        </w:tc>
        <w:tc>
          <w:tcPr>
            <w:tcW w:w="17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CPA II......................</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2,696</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CWA/ITU Negotiated Pension</w:t>
            </w:r>
          </w:p>
        </w:tc>
        <w:tc>
          <w:tcPr>
            <w:tcW w:w="17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350,000</w:t>
            </w:r>
          </w:p>
        </w:tc>
        <w:tc>
          <w:tcPr>
            <w:tcW w:w="16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350,000</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2,696</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Plan.......................</w:t>
            </w:r>
          </w:p>
        </w:tc>
        <w:tc>
          <w:tcPr>
            <w:tcW w:w="17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CapitalCare, Inc............</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CareFirst of Maryland,</w:t>
            </w:r>
          </w:p>
        </w:tc>
        <w:tc>
          <w:tcPr>
            <w:tcW w:w="17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175,000</w:t>
            </w:r>
          </w:p>
        </w:tc>
        <w:tc>
          <w:tcPr>
            <w:tcW w:w="16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175,000</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1,348</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17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Chase Manhattan</w:t>
            </w:r>
          </w:p>
        </w:tc>
        <w:tc>
          <w:tcPr>
            <w:tcW w:w="17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22,500,000</w:t>
            </w:r>
          </w:p>
        </w:tc>
        <w:tc>
          <w:tcPr>
            <w:tcW w:w="16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22,500,000</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173,376</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International..............</w:t>
            </w:r>
          </w:p>
        </w:tc>
        <w:tc>
          <w:tcPr>
            <w:tcW w:w="17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Christiana Care Health</w:t>
            </w:r>
          </w:p>
        </w:tc>
        <w:tc>
          <w:tcPr>
            <w:tcW w:w="17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175,000</w:t>
            </w:r>
          </w:p>
        </w:tc>
        <w:tc>
          <w:tcPr>
            <w:tcW w:w="16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175,000</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1,348</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Services...................</w:t>
            </w:r>
          </w:p>
        </w:tc>
        <w:tc>
          <w:tcPr>
            <w:tcW w:w="17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Christiana Care Health</w:t>
            </w:r>
          </w:p>
        </w:tc>
        <w:tc>
          <w:tcPr>
            <w:tcW w:w="17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125,000</w:t>
            </w:r>
          </w:p>
        </w:tc>
        <w:tc>
          <w:tcPr>
            <w:tcW w:w="16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125,000</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963</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Services Retirement Trust..</w:t>
            </w:r>
          </w:p>
        </w:tc>
        <w:tc>
          <w:tcPr>
            <w:tcW w:w="17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Christiana Care Health</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Services Self Insurance</w:t>
            </w:r>
          </w:p>
        </w:tc>
        <w:tc>
          <w:tcPr>
            <w:tcW w:w="17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175,000</w:t>
            </w:r>
          </w:p>
        </w:tc>
        <w:tc>
          <w:tcPr>
            <w:tcW w:w="16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175,000</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1,348</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Reserve Fund...............</w:t>
            </w:r>
          </w:p>
        </w:tc>
        <w:tc>
          <w:tcPr>
            <w:tcW w:w="17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City of Birmingham</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Retirement &amp; Relief</w:t>
            </w:r>
          </w:p>
        </w:tc>
        <w:tc>
          <w:tcPr>
            <w:tcW w:w="17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1,015,000</w:t>
            </w:r>
          </w:p>
        </w:tc>
        <w:tc>
          <w:tcPr>
            <w:tcW w:w="16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1,015,000</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7,821</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System.....................</w:t>
            </w:r>
          </w:p>
        </w:tc>
        <w:tc>
          <w:tcPr>
            <w:tcW w:w="17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City of New Bedford</w:t>
            </w:r>
          </w:p>
        </w:tc>
        <w:tc>
          <w:tcPr>
            <w:tcW w:w="17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100,000</w:t>
            </w:r>
          </w:p>
        </w:tc>
        <w:tc>
          <w:tcPr>
            <w:tcW w:w="16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100,000</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770</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Retirement System..........</w:t>
            </w:r>
          </w:p>
        </w:tc>
        <w:tc>
          <w:tcPr>
            <w:tcW w:w="17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City of Worcester Retirement</w:t>
            </w:r>
          </w:p>
        </w:tc>
        <w:tc>
          <w:tcPr>
            <w:tcW w:w="17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150,000</w:t>
            </w:r>
          </w:p>
        </w:tc>
        <w:tc>
          <w:tcPr>
            <w:tcW w:w="16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150,000</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1,155</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System.....................</w:t>
            </w:r>
          </w:p>
        </w:tc>
        <w:tc>
          <w:tcPr>
            <w:tcW w:w="17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Clinton Riverside</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Portfolio</w:t>
            </w:r>
          </w:p>
        </w:tc>
        <w:tc>
          <w:tcPr>
            <w:tcW w:w="17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4,000,000</w:t>
            </w:r>
          </w:p>
        </w:tc>
        <w:tc>
          <w:tcPr>
            <w:tcW w:w="16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4,000,000</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30,822</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Limited....................</w:t>
            </w:r>
          </w:p>
        </w:tc>
        <w:tc>
          <w:tcPr>
            <w:tcW w:w="17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Conseco Annuity Assurance</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Company-Multi-Bucket</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Annuity Convertible Bond</w:t>
            </w:r>
          </w:p>
        </w:tc>
        <w:tc>
          <w:tcPr>
            <w:tcW w:w="17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6,500,000</w:t>
            </w:r>
          </w:p>
        </w:tc>
        <w:tc>
          <w:tcPr>
            <w:tcW w:w="16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6,500,000</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50,086</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7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Conseco Fund Group--</w:t>
            </w:r>
          </w:p>
        </w:tc>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7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1,500,000</w:t>
            </w:r>
          </w:p>
        </w:tc>
        <w:tc>
          <w:tcPr>
            <w:tcW w:w="16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1,500,000</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11,558</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7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Cornell University</w:t>
            </w:r>
          </w:p>
        </w:tc>
        <w:tc>
          <w:tcPr>
            <w:tcW w:w="17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400,000</w:t>
            </w:r>
          </w:p>
        </w:tc>
        <w:tc>
          <w:tcPr>
            <w:tcW w:w="16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400,000</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3,082</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Endowment..................</w:t>
            </w:r>
          </w:p>
        </w:tc>
        <w:tc>
          <w:tcPr>
            <w:tcW w:w="17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Suisse First Boston</w:t>
            </w:r>
          </w:p>
        </w:tc>
        <w:tc>
          <w:tcPr>
            <w:tcW w:w="17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19,315,000</w:t>
            </w:r>
          </w:p>
        </w:tc>
        <w:tc>
          <w:tcPr>
            <w:tcW w:w="16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19,315,000</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148,833</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Corporation................</w:t>
            </w:r>
          </w:p>
        </w:tc>
        <w:tc>
          <w:tcPr>
            <w:tcW w:w="17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Curtiss-Wright Retirement</w:t>
            </w:r>
          </w:p>
        </w:tc>
        <w:tc>
          <w:tcPr>
            <w:tcW w:w="17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100,000</w:t>
            </w:r>
          </w:p>
        </w:tc>
        <w:tc>
          <w:tcPr>
            <w:tcW w:w="16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100,000</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770</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Plan.......................</w:t>
            </w:r>
          </w:p>
        </w:tc>
        <w:tc>
          <w:tcPr>
            <w:tcW w:w="17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 Shaw Investments,</w:t>
            </w:r>
          </w:p>
        </w:tc>
        <w:tc>
          <w:tcPr>
            <w:tcW w:w="17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2,200,000</w:t>
            </w:r>
          </w:p>
        </w:tc>
        <w:tc>
          <w:tcPr>
            <w:tcW w:w="16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2,200,000</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16,952</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L.P........................</w:t>
            </w:r>
          </w:p>
        </w:tc>
        <w:tc>
          <w:tcPr>
            <w:tcW w:w="17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 Shaw Valence, L.P......</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8,800,000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8,800,000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67,809</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Delaware PERS...............</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2,655,000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2,655,000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20,458</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Deephaven Domestic</w:t>
            </w:r>
          </w:p>
        </w:tc>
        <w:tc>
          <w:tcPr>
            <w:tcW w:w="17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30,000,000</w:t>
            </w:r>
          </w:p>
        </w:tc>
        <w:tc>
          <w:tcPr>
            <w:tcW w:w="16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30,000,000</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231,168</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Trading Ltd....</w:t>
            </w:r>
          </w:p>
        </w:tc>
        <w:tc>
          <w:tcPr>
            <w:tcW w:w="17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Deutsche Bank Securities</w:t>
            </w:r>
          </w:p>
        </w:tc>
        <w:tc>
          <w:tcPr>
            <w:tcW w:w="17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125,500,000</w:t>
            </w:r>
          </w:p>
        </w:tc>
        <w:tc>
          <w:tcPr>
            <w:tcW w:w="16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125,500,000</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967,052</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17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Double Black Diamond</w:t>
            </w:r>
          </w:p>
        </w:tc>
        <w:tc>
          <w:tcPr>
            <w:tcW w:w="17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13,526,000</w:t>
            </w:r>
          </w:p>
        </w:tc>
        <w:tc>
          <w:tcPr>
            <w:tcW w:w="16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13,526,000</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104,225</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Offshore, LDC..............</w:t>
            </w:r>
          </w:p>
        </w:tc>
        <w:tc>
          <w:tcPr>
            <w:tcW w:w="17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Dow Corning Retirement</w:t>
            </w:r>
          </w:p>
        </w:tc>
        <w:tc>
          <w:tcPr>
            <w:tcW w:w="17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400,000</w:t>
            </w:r>
          </w:p>
        </w:tc>
        <w:tc>
          <w:tcPr>
            <w:tcW w:w="16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400,000</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3,082</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Plan.......................</w:t>
            </w:r>
          </w:p>
        </w:tc>
        <w:tc>
          <w:tcPr>
            <w:tcW w:w="17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El Paso County Retirement</w:t>
            </w:r>
          </w:p>
        </w:tc>
        <w:tc>
          <w:tcPr>
            <w:tcW w:w="17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125,000</w:t>
            </w:r>
          </w:p>
        </w:tc>
        <w:tc>
          <w:tcPr>
            <w:tcW w:w="16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125,000</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963</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Plan.......................</w:t>
            </w:r>
          </w:p>
        </w:tc>
        <w:tc>
          <w:tcPr>
            <w:tcW w:w="17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El Pomar Foundation.........</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1,926</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Elf Aquitaine...............</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325,000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325,000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2,504</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Ellsworth Convertible Growth</w:t>
            </w:r>
          </w:p>
        </w:tc>
        <w:tc>
          <w:tcPr>
            <w:tcW w:w="17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1,000,000</w:t>
            </w:r>
          </w:p>
        </w:tc>
        <w:tc>
          <w:tcPr>
            <w:tcW w:w="16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1,000,000</w:t>
            </w: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7,705</w:t>
            </w:r>
          </w:p>
        </w:tc>
        <w:tc>
          <w:tcPr>
            <w:tcW w:w="0" w:type="dxa"/>
            <w:vAlign w:val="bottom"/>
          </w:tcPr>
          <w:p>
            <w:pPr>
              <w:spacing w:after="0"/>
              <w:rPr>
                <w:sz w:val="1"/>
                <w:szCs w:val="1"/>
                <w:color w:val="auto"/>
              </w:rPr>
            </w:pPr>
          </w:p>
        </w:tc>
      </w:tr>
      <w:tr>
        <w:trPr>
          <w:trHeight w:val="296"/>
        </w:trPr>
        <w:tc>
          <w:tcPr>
            <w:tcW w:w="3160" w:type="dxa"/>
            <w:vAlign w:val="bottom"/>
          </w:tcPr>
          <w:p>
            <w:pPr>
              <w:ind w:left="120"/>
              <w:spacing w:after="0"/>
              <w:rPr>
                <w:sz w:val="20"/>
                <w:szCs w:val="20"/>
                <w:color w:val="auto"/>
              </w:rPr>
            </w:pPr>
            <w:r>
              <w:rPr>
                <w:rFonts w:ascii="Courier New" w:cs="Courier New" w:eastAsia="Courier New" w:hAnsi="Courier New"/>
                <w:sz w:val="18"/>
                <w:szCs w:val="18"/>
                <w:color w:val="auto"/>
              </w:rPr>
              <w:t>and Income Fund, Inc.......</w:t>
            </w:r>
          </w:p>
        </w:tc>
        <w:tc>
          <w:tcPr>
            <w:tcW w:w="174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094"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20"/>
                <w:szCs w:val="20"/>
                <w:color w:val="auto"/>
              </w:rPr>
            </w:pPr>
            <w:r>
              <w:rPr>
                <w:rFonts w:ascii="Courier New" w:cs="Courier New" w:eastAsia="Courier New" w:hAnsi="Courier New"/>
                <w:sz w:val="18"/>
                <w:szCs w:val="18"/>
                <w:color w:val="auto"/>
              </w:rPr>
              <w:t>Enron North America.........</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6,000,000</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6,000,000</w:t>
            </w: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46,233</w:t>
            </w:r>
          </w:p>
        </w:tc>
        <w:tc>
          <w:tcPr>
            <w:tcW w:w="0" w:type="dxa"/>
            <w:vAlign w:val="bottom"/>
          </w:tcPr>
          <w:p>
            <w:pPr>
              <w:spacing w:after="0"/>
              <w:rPr>
                <w:sz w:val="1"/>
                <w:szCs w:val="1"/>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Ensign Peak Advisors........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425,000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425,000</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3,274</w:t>
            </w:r>
          </w:p>
        </w:tc>
        <w:tc>
          <w:tcPr>
            <w:tcW w:w="0" w:type="dxa"/>
            <w:vAlign w:val="bottom"/>
          </w:tcPr>
          <w:p>
            <w:pPr>
              <w:spacing w:after="0"/>
              <w:rPr>
                <w:sz w:val="1"/>
                <w:szCs w:val="1"/>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Entergy Services, Inc.......</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125,000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125,000</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w:t>
            </w:r>
          </w:p>
        </w:tc>
        <w:tc>
          <w:tcPr>
            <w:tcW w:w="0" w:type="dxa"/>
            <w:vAlign w:val="bottom"/>
          </w:tcPr>
          <w:p>
            <w:pPr>
              <w:spacing w:after="0"/>
              <w:rPr>
                <w:sz w:val="1"/>
                <w:szCs w:val="1"/>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F.R. Convertible Securities</w:t>
            </w:r>
          </w:p>
        </w:tc>
        <w:tc>
          <w:tcPr>
            <w:tcW w:w="15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120,000</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120,000</w:t>
            </w:r>
          </w:p>
        </w:tc>
        <w:tc>
          <w:tcPr>
            <w:tcW w:w="90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0</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924</w:t>
            </w:r>
          </w:p>
        </w:tc>
        <w:tc>
          <w:tcPr>
            <w:tcW w:w="0" w:type="dxa"/>
            <w:vAlign w:val="bottom"/>
          </w:tcPr>
          <w:p>
            <w:pPr>
              <w:spacing w:after="0"/>
              <w:rPr>
                <w:sz w:val="1"/>
                <w:szCs w:val="1"/>
                <w:color w:val="auto"/>
              </w:rPr>
            </w:pPr>
          </w:p>
        </w:tc>
      </w:tr>
      <w:tr>
        <w:trPr>
          <w:trHeight w:val="203"/>
        </w:trPr>
        <w:tc>
          <w:tcPr>
            <w:tcW w:w="3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58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Fairfax County..............</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250,000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250,000</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1,926</w:t>
            </w:r>
          </w:p>
        </w:tc>
        <w:tc>
          <w:tcPr>
            <w:tcW w:w="0" w:type="dxa"/>
            <w:vAlign w:val="bottom"/>
          </w:tcPr>
          <w:p>
            <w:pPr>
              <w:spacing w:after="0"/>
              <w:rPr>
                <w:sz w:val="1"/>
                <w:szCs w:val="1"/>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Firemen's Annuity &amp; Benefit</w:t>
            </w:r>
          </w:p>
        </w:tc>
        <w:tc>
          <w:tcPr>
            <w:tcW w:w="15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200,000</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200,000</w:t>
            </w:r>
          </w:p>
        </w:tc>
        <w:tc>
          <w:tcPr>
            <w:tcW w:w="90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0</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1,541</w:t>
            </w:r>
          </w:p>
        </w:tc>
        <w:tc>
          <w:tcPr>
            <w:tcW w:w="0" w:type="dxa"/>
            <w:vAlign w:val="bottom"/>
          </w:tcPr>
          <w:p>
            <w:pPr>
              <w:spacing w:after="0"/>
              <w:rPr>
                <w:sz w:val="1"/>
                <w:szCs w:val="1"/>
                <w:color w:val="auto"/>
              </w:rPr>
            </w:pPr>
          </w:p>
        </w:tc>
      </w:tr>
      <w:tr>
        <w:trPr>
          <w:trHeight w:val="203"/>
        </w:trPr>
        <w:tc>
          <w:tcPr>
            <w:tcW w:w="3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 of Chicago............</w:t>
            </w:r>
          </w:p>
        </w:tc>
        <w:tc>
          <w:tcPr>
            <w:tcW w:w="158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280" w:type="dxa"/>
            <w:vAlign w:val="bottom"/>
          </w:tcPr>
          <w:p>
            <w:pPr>
              <w:spacing w:after="0"/>
              <w:rPr>
                <w:sz w:val="20"/>
                <w:szCs w:val="20"/>
                <w:color w:val="auto"/>
              </w:rPr>
            </w:pPr>
            <w:r>
              <w:rPr>
                <w:rFonts w:ascii="Courier New" w:cs="Courier New" w:eastAsia="Courier New" w:hAnsi="Courier New"/>
                <w:sz w:val="18"/>
                <w:szCs w:val="18"/>
                <w:color w:val="auto"/>
              </w:rPr>
              <w:t>First Republic Bank.........</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115,000</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115,000</w:t>
            </w: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886</w:t>
            </w:r>
          </w:p>
        </w:tc>
        <w:tc>
          <w:tcPr>
            <w:tcW w:w="0" w:type="dxa"/>
            <w:vAlign w:val="bottom"/>
          </w:tcPr>
          <w:p>
            <w:pPr>
              <w:spacing w:after="0"/>
              <w:rPr>
                <w:sz w:val="1"/>
                <w:szCs w:val="1"/>
                <w:color w:val="auto"/>
              </w:rPr>
            </w:pPr>
          </w:p>
        </w:tc>
      </w:tr>
      <w:tr>
        <w:trPr>
          <w:trHeight w:val="405"/>
        </w:trPr>
        <w:tc>
          <w:tcPr>
            <w:tcW w:w="328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w:t>
            </w:r>
          </w:p>
        </w:tc>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08" w:right="1440" w:bottom="1440" w:gutter="0" w:footer="0" w:header="0"/>
        </w:sectPr>
      </w:pPr>
    </w:p>
    <w:bookmarkStart w:id="5" w:name="page6"/>
    <w:bookmarkEnd w:id="5"/>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420" w:type="dxa"/>
            <w:vAlign w:val="bottom"/>
            <w:vMerge w:val="restart"/>
          </w:tcPr>
          <w:p>
            <w:pPr>
              <w:jc w:val="center"/>
              <w:ind w:left="552"/>
              <w:spacing w:after="0"/>
              <w:rPr>
                <w:sz w:val="20"/>
                <w:szCs w:val="20"/>
                <w:color w:val="auto"/>
              </w:rPr>
            </w:pPr>
            <w:r>
              <w:rPr>
                <w:rFonts w:ascii="Courier New" w:cs="Courier New" w:eastAsia="Courier New" w:hAnsi="Courier New"/>
                <w:sz w:val="18"/>
                <w:szCs w:val="18"/>
                <w:color w:val="auto"/>
                <w:w w:val="96"/>
              </w:rPr>
              <w:t>Amount Of</w:t>
            </w: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Amount Of</w:t>
            </w: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Shares Of</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4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That</w:t>
            </w:r>
          </w:p>
        </w:tc>
        <w:tc>
          <w:tcPr>
            <w:tcW w:w="0" w:type="dxa"/>
            <w:vAlign w:val="bottom"/>
          </w:tcPr>
          <w:p>
            <w:pPr>
              <w:spacing w:after="0"/>
              <w:rPr>
                <w:sz w:val="1"/>
                <w:szCs w:val="1"/>
                <w:color w:val="auto"/>
              </w:rPr>
            </w:pPr>
          </w:p>
        </w:tc>
      </w:tr>
      <w:tr>
        <w:trPr>
          <w:trHeight w:val="203"/>
        </w:trPr>
        <w:tc>
          <w:tcPr>
            <w:tcW w:w="1160" w:type="dxa"/>
            <w:vAlign w:val="bottom"/>
            <w:vMerge w:val="restart"/>
          </w:tcPr>
          <w:p>
            <w:pPr>
              <w:spacing w:after="0"/>
              <w:rPr>
                <w:sz w:val="20"/>
                <w:szCs w:val="20"/>
                <w:color w:val="auto"/>
              </w:rPr>
            </w:pPr>
            <w:r>
              <w:rPr>
                <w:rFonts w:ascii="Courier New" w:cs="Courier New" w:eastAsia="Courier New" w:hAnsi="Courier New"/>
                <w:sz w:val="18"/>
                <w:szCs w:val="18"/>
                <w:color w:val="auto"/>
              </w:rPr>
              <w:t>Name</w:t>
            </w:r>
          </w:p>
        </w:tc>
        <w:tc>
          <w:tcPr>
            <w:tcW w:w="2420" w:type="dxa"/>
            <w:vAlign w:val="bottom"/>
          </w:tcPr>
          <w:p>
            <w:pPr>
              <w:jc w:val="center"/>
              <w:ind w:left="57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Notes That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May</w:t>
            </w:r>
          </w:p>
        </w:tc>
        <w:tc>
          <w:tcPr>
            <w:tcW w:w="0" w:type="dxa"/>
            <w:vAlign w:val="bottom"/>
          </w:tcPr>
          <w:p>
            <w:pPr>
              <w:spacing w:after="0"/>
              <w:rPr>
                <w:sz w:val="1"/>
                <w:szCs w:val="1"/>
                <w:color w:val="auto"/>
              </w:rPr>
            </w:pPr>
          </w:p>
        </w:tc>
      </w:tr>
      <w:tr>
        <w:trPr>
          <w:trHeight w:val="235"/>
        </w:trPr>
        <w:tc>
          <w:tcPr>
            <w:tcW w:w="1160" w:type="dxa"/>
            <w:vAlign w:val="bottom"/>
            <w:vMerge w:val="continue"/>
          </w:tcPr>
          <w:p>
            <w:pPr>
              <w:spacing w:after="0"/>
              <w:rPr>
                <w:sz w:val="20"/>
                <w:szCs w:val="20"/>
                <w:color w:val="auto"/>
              </w:rPr>
            </w:pPr>
          </w:p>
        </w:tc>
        <w:tc>
          <w:tcPr>
            <w:tcW w:w="2420" w:type="dxa"/>
            <w:vAlign w:val="bottom"/>
          </w:tcPr>
          <w:p>
            <w:pPr>
              <w:jc w:val="center"/>
              <w:ind w:left="552"/>
              <w:spacing w:after="0"/>
              <w:rPr>
                <w:sz w:val="20"/>
                <w:szCs w:val="20"/>
                <w:color w:val="auto"/>
              </w:rPr>
            </w:pPr>
            <w:r>
              <w:rPr>
                <w:rFonts w:ascii="Courier New" w:cs="Courier New" w:eastAsia="Courier New" w:hAnsi="Courier New"/>
                <w:sz w:val="18"/>
                <w:szCs w:val="18"/>
                <w:color w:val="auto"/>
                <w:w w:val="97"/>
              </w:rPr>
              <w:t>Before Offering</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May Be Sold</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9"/>
              </w:rPr>
              <w:t>Offering</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w w:val="95"/>
              </w:rPr>
              <w:t>Be Sold</w:t>
            </w:r>
          </w:p>
        </w:tc>
        <w:tc>
          <w:tcPr>
            <w:tcW w:w="0" w:type="dxa"/>
            <w:vAlign w:val="bottom"/>
          </w:tcPr>
          <w:p>
            <w:pPr>
              <w:spacing w:after="0"/>
              <w:rPr>
                <w:sz w:val="1"/>
                <w:szCs w:val="1"/>
                <w:color w:val="auto"/>
              </w:rPr>
            </w:pPr>
          </w:p>
        </w:tc>
      </w:tr>
    </w:tbl>
    <w:p>
      <w:pPr>
        <w:ind w:left="3060" w:hanging="1893"/>
        <w:spacing w:after="0"/>
        <w:tabs>
          <w:tab w:leader="none" w:pos="30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Forest Alternative</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Strategies Fund II LP</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100,000</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100,000</w:t>
            </w:r>
          </w:p>
        </w:tc>
        <w:tc>
          <w:tcPr>
            <w:tcW w:w="9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770</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ASM.......................</w:t>
            </w:r>
          </w:p>
        </w:tc>
        <w:tc>
          <w:tcPr>
            <w:tcW w:w="16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Forest Fulcrum Fund L.P....</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1,250,000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1,250,000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9,632</w:t>
            </w: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Forest Global Convertible</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5,400,000</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5,400,000</w:t>
            </w:r>
          </w:p>
        </w:tc>
        <w:tc>
          <w:tcPr>
            <w:tcW w:w="9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41,610</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 A-5..................</w:t>
            </w:r>
          </w:p>
        </w:tc>
        <w:tc>
          <w:tcPr>
            <w:tcW w:w="16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 and Marshall</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420,000</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420,000</w:t>
            </w:r>
          </w:p>
        </w:tc>
        <w:tc>
          <w:tcPr>
            <w:tcW w:w="9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3,236</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College...................</w:t>
            </w:r>
          </w:p>
        </w:tc>
        <w:tc>
          <w:tcPr>
            <w:tcW w:w="16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FreeState Health Plan,</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45,000</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45,000</w:t>
            </w:r>
          </w:p>
        </w:tc>
        <w:tc>
          <w:tcPr>
            <w:tcW w:w="9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346</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16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Gaia Offshore Master Fund</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5,000,000</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5,000,000</w:t>
            </w:r>
          </w:p>
        </w:tc>
        <w:tc>
          <w:tcPr>
            <w:tcW w:w="9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38,528</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Ltd.......................</w:t>
            </w:r>
          </w:p>
        </w:tc>
        <w:tc>
          <w:tcPr>
            <w:tcW w:w="16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Goldman, Sachs &amp; Co........</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34,640,000(4)</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24,640,000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189,865</w:t>
            </w: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Granville Capital</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77,315,000</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77,315,000</w:t>
            </w:r>
          </w:p>
        </w:tc>
        <w:tc>
          <w:tcPr>
            <w:tcW w:w="9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595,758</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Corporation...............</w:t>
            </w:r>
          </w:p>
        </w:tc>
        <w:tc>
          <w:tcPr>
            <w:tcW w:w="16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Great-West Life &amp; Annuity</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10,000,000</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10,000,000</w:t>
            </w:r>
          </w:p>
        </w:tc>
        <w:tc>
          <w:tcPr>
            <w:tcW w:w="9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77,056</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16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Group Hospitalization and</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200,000</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200,000</w:t>
            </w:r>
          </w:p>
        </w:tc>
        <w:tc>
          <w:tcPr>
            <w:tcW w:w="9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1,541</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Medical Services, Inc. ...</w:t>
            </w:r>
          </w:p>
        </w:tc>
        <w:tc>
          <w:tcPr>
            <w:tcW w:w="16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Gryphon Domestic III, LLC..</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10,900,000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10,900,000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83,991</w:t>
            </w: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Hawaiian Airlines Pension</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Plan for Salaried</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15,000</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15,000</w:t>
            </w:r>
          </w:p>
        </w:tc>
        <w:tc>
          <w:tcPr>
            <w:tcW w:w="9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115</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Employees.................</w:t>
            </w:r>
          </w:p>
        </w:tc>
        <w:tc>
          <w:tcPr>
            <w:tcW w:w="16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Hawaiian Airlines Pilots</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120,000</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120,000</w:t>
            </w:r>
          </w:p>
        </w:tc>
        <w:tc>
          <w:tcPr>
            <w:tcW w:w="9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924</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Retirement Plan...........</w:t>
            </w:r>
          </w:p>
        </w:tc>
        <w:tc>
          <w:tcPr>
            <w:tcW w:w="16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Hawaiian Airlines Employees</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60,000</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60,000</w:t>
            </w:r>
          </w:p>
        </w:tc>
        <w:tc>
          <w:tcPr>
            <w:tcW w:w="9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462</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Pension Plan--IAM.........</w:t>
            </w:r>
          </w:p>
        </w:tc>
        <w:tc>
          <w:tcPr>
            <w:tcW w:w="16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Healthcare Underwriters</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800,000</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800,000</w:t>
            </w:r>
          </w:p>
        </w:tc>
        <w:tc>
          <w:tcPr>
            <w:tcW w:w="9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6,164</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Mutual Insurance Company..</w:t>
            </w:r>
          </w:p>
        </w:tc>
        <w:tc>
          <w:tcPr>
            <w:tcW w:w="16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Highbridge International</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36,500,000</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36,500,000</w:t>
            </w:r>
          </w:p>
        </w:tc>
        <w:tc>
          <w:tcPr>
            <w:tcW w:w="9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281,254</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LLC.......................</w:t>
            </w:r>
          </w:p>
        </w:tc>
        <w:tc>
          <w:tcPr>
            <w:tcW w:w="16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IBM Pension Plan...........</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1,450,000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1,450,000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11,173</w:t>
            </w: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ICI American Holdings</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1,235,000</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1,235,000</w:t>
            </w:r>
          </w:p>
        </w:tc>
        <w:tc>
          <w:tcPr>
            <w:tcW w:w="9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9,516</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Trust.....................</w:t>
            </w:r>
          </w:p>
        </w:tc>
        <w:tc>
          <w:tcPr>
            <w:tcW w:w="16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IL Annuity &amp; Insurance</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61,000,000</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61,000,000</w:t>
            </w:r>
          </w:p>
        </w:tc>
        <w:tc>
          <w:tcPr>
            <w:tcW w:w="9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470,041</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6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Investcorp-SAM Fund</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11,600,000</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11,600,000</w:t>
            </w:r>
          </w:p>
        </w:tc>
        <w:tc>
          <w:tcPr>
            <w:tcW w:w="9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89,384</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Limited...................</w:t>
            </w:r>
          </w:p>
        </w:tc>
        <w:tc>
          <w:tcPr>
            <w:tcW w:w="16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Island Holdings............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w:t>
            </w: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Island Insurance</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225,000</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225,000</w:t>
            </w:r>
          </w:p>
        </w:tc>
        <w:tc>
          <w:tcPr>
            <w:tcW w:w="9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1,733</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Account.......</w:t>
            </w:r>
          </w:p>
        </w:tc>
        <w:tc>
          <w:tcPr>
            <w:tcW w:w="16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JMG Capital Partners, LP...</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18,500,000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18,500,000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142,553</w:t>
            </w: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JMG Triton Offshore Fund,</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1,500,000</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1,500,000</w:t>
            </w:r>
          </w:p>
        </w:tc>
        <w:tc>
          <w:tcPr>
            <w:tcW w:w="9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11,558</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Ltd.......................</w:t>
            </w:r>
          </w:p>
        </w:tc>
        <w:tc>
          <w:tcPr>
            <w:tcW w:w="16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J.P. Morgan Securities,</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30,219,000</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30,219,000</w:t>
            </w:r>
          </w:p>
        </w:tc>
        <w:tc>
          <w:tcPr>
            <w:tcW w:w="9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232,855</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16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Julius Baer Securities,</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1,370,000</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1,370,000</w:t>
            </w:r>
          </w:p>
        </w:tc>
        <w:tc>
          <w:tcPr>
            <w:tcW w:w="9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10,556</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16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KBC Financial Products,</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8,000,000</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8,000,000</w:t>
            </w:r>
          </w:p>
        </w:tc>
        <w:tc>
          <w:tcPr>
            <w:tcW w:w="9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61,644</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16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Kentfield Trading, Ltd.....</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6,660,000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6,660,000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51,319</w:t>
            </w: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Kerr-McGee Corporation.....</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925,000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925,000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7,127</w:t>
            </w: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Agent for Aerojet Inc.</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60,000</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60,000</w:t>
            </w:r>
          </w:p>
        </w:tc>
        <w:tc>
          <w:tcPr>
            <w:tcW w:w="9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462</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Foundation................</w:t>
            </w:r>
          </w:p>
        </w:tc>
        <w:tc>
          <w:tcPr>
            <w:tcW w:w="16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Agent for the</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Charitable Convertible</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1,650,000</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1,650,000</w:t>
            </w:r>
          </w:p>
        </w:tc>
        <w:tc>
          <w:tcPr>
            <w:tcW w:w="9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12,714</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Securities Fund...........</w:t>
            </w:r>
          </w:p>
        </w:tc>
        <w:tc>
          <w:tcPr>
            <w:tcW w:w="16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Agent for the</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265,000</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265,000</w:t>
            </w:r>
          </w:p>
        </w:tc>
        <w:tc>
          <w:tcPr>
            <w:tcW w:w="9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2,041</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Charitable Income Fund....</w:t>
            </w:r>
          </w:p>
        </w:tc>
        <w:tc>
          <w:tcPr>
            <w:tcW w:w="16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Agent for the EB</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1,650,000</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1,650,000</w:t>
            </w:r>
          </w:p>
        </w:tc>
        <w:tc>
          <w:tcPr>
            <w:tcW w:w="9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12,714</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6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Agent for the Field</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75,000</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75,000</w:t>
            </w:r>
          </w:p>
        </w:tc>
        <w:tc>
          <w:tcPr>
            <w:tcW w:w="9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577</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Foundation of Illinois....</w:t>
            </w:r>
          </w:p>
        </w:tc>
        <w:tc>
          <w:tcPr>
            <w:tcW w:w="16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Key Asset Management, Inc.</w:t>
            </w:r>
          </w:p>
        </w:tc>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094"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ind w:left="120"/>
              <w:spacing w:after="0"/>
              <w:rPr>
                <w:sz w:val="20"/>
                <w:szCs w:val="20"/>
                <w:color w:val="auto"/>
              </w:rPr>
            </w:pPr>
            <w:r>
              <w:rPr>
                <w:rFonts w:ascii="Courier New" w:cs="Courier New" w:eastAsia="Courier New" w:hAnsi="Courier New"/>
                <w:sz w:val="18"/>
                <w:szCs w:val="18"/>
                <w:color w:val="auto"/>
              </w:rPr>
              <w:t>as</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Agent for</w:t>
            </w:r>
          </w:p>
        </w:tc>
        <w:tc>
          <w:tcPr>
            <w:tcW w:w="840" w:type="dxa"/>
            <w:vAlign w:val="bottom"/>
          </w:tcPr>
          <w:p>
            <w:pPr>
              <w:spacing w:after="0"/>
              <w:rPr>
                <w:sz w:val="20"/>
                <w:szCs w:val="20"/>
                <w:color w:val="auto"/>
              </w:rPr>
            </w:pPr>
            <w:r>
              <w:rPr>
                <w:rFonts w:ascii="Courier New" w:cs="Courier New" w:eastAsia="Courier New" w:hAnsi="Courier New"/>
                <w:sz w:val="18"/>
                <w:szCs w:val="18"/>
                <w:color w:val="auto"/>
              </w:rPr>
              <w:t>the Key</w:t>
            </w:r>
          </w:p>
        </w:tc>
        <w:tc>
          <w:tcPr>
            <w:tcW w:w="2420" w:type="dxa"/>
            <w:vAlign w:val="bottom"/>
          </w:tcPr>
          <w:p>
            <w:pPr>
              <w:spacing w:after="0"/>
              <w:rPr>
                <w:sz w:val="20"/>
                <w:szCs w:val="20"/>
                <w:color w:val="auto"/>
              </w:rPr>
            </w:pPr>
            <w:r>
              <w:rPr>
                <w:rFonts w:ascii="Courier New" w:cs="Courier New" w:eastAsia="Courier New" w:hAnsi="Courier New"/>
                <w:sz w:val="18"/>
                <w:szCs w:val="18"/>
                <w:color w:val="auto"/>
              </w:rPr>
              <w:t>Trust</w:t>
            </w:r>
          </w:p>
        </w:tc>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300,000</w:t>
            </w:r>
          </w:p>
        </w:tc>
        <w:tc>
          <w:tcPr>
            <w:tcW w:w="10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2,311</w:t>
            </w:r>
          </w:p>
        </w:tc>
        <w:tc>
          <w:tcPr>
            <w:tcW w:w="0" w:type="dxa"/>
            <w:vAlign w:val="bottom"/>
          </w:tcPr>
          <w:p>
            <w:pPr>
              <w:spacing w:after="0"/>
              <w:rPr>
                <w:sz w:val="1"/>
                <w:szCs w:val="1"/>
                <w:color w:val="auto"/>
              </w:rPr>
            </w:pPr>
          </w:p>
        </w:tc>
      </w:tr>
      <w:tr>
        <w:trPr>
          <w:trHeight w:val="203"/>
        </w:trPr>
        <w:tc>
          <w:tcPr>
            <w:tcW w:w="23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77"/>
              </w:rPr>
              <w:t>Fund......................</w:t>
            </w:r>
          </w:p>
        </w:tc>
        <w:tc>
          <w:tcPr>
            <w:tcW w:w="242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300,000</w:t>
            </w:r>
          </w:p>
        </w:tc>
        <w:tc>
          <w:tcPr>
            <w:tcW w:w="16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Asset Management,</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Agent for</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Key</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415,000</w:t>
            </w:r>
          </w:p>
        </w:tc>
        <w:tc>
          <w:tcPr>
            <w:tcW w:w="10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3,197</w:t>
            </w:r>
          </w:p>
        </w:tc>
        <w:tc>
          <w:tcPr>
            <w:tcW w:w="0" w:type="dxa"/>
            <w:vAlign w:val="bottom"/>
          </w:tcPr>
          <w:p>
            <w:pPr>
              <w:spacing w:after="0"/>
              <w:rPr>
                <w:sz w:val="1"/>
                <w:szCs w:val="1"/>
                <w:color w:val="auto"/>
              </w:rPr>
            </w:pPr>
          </w:p>
        </w:tc>
      </w:tr>
      <w:tr>
        <w:trPr>
          <w:trHeight w:val="203"/>
        </w:trPr>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Fixed Income</w:t>
            </w:r>
          </w:p>
        </w:tc>
        <w:tc>
          <w:tcPr>
            <w:tcW w:w="840" w:type="dxa"/>
            <w:vAlign w:val="bottom"/>
          </w:tcPr>
          <w:p>
            <w:pPr>
              <w:spacing w:after="0"/>
              <w:rPr>
                <w:sz w:val="20"/>
                <w:szCs w:val="20"/>
                <w:color w:val="auto"/>
              </w:rPr>
            </w:pPr>
            <w:r>
              <w:rPr>
                <w:rFonts w:ascii="Courier New" w:cs="Courier New" w:eastAsia="Courier New" w:hAnsi="Courier New"/>
                <w:sz w:val="15"/>
                <w:szCs w:val="15"/>
                <w:color w:val="auto"/>
                <w:w w:val="70"/>
              </w:rPr>
              <w:t>Fund.........</w:t>
            </w:r>
          </w:p>
        </w:tc>
        <w:tc>
          <w:tcPr>
            <w:tcW w:w="242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415,000</w:t>
            </w:r>
          </w:p>
        </w:tc>
        <w:tc>
          <w:tcPr>
            <w:tcW w:w="16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Asset Management,</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Agent for</w:t>
            </w:r>
          </w:p>
        </w:tc>
        <w:tc>
          <w:tcPr>
            <w:tcW w:w="3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Omnova</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110,000</w:t>
            </w:r>
          </w:p>
        </w:tc>
        <w:tc>
          <w:tcPr>
            <w:tcW w:w="10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847</w:t>
            </w:r>
          </w:p>
        </w:tc>
        <w:tc>
          <w:tcPr>
            <w:tcW w:w="0" w:type="dxa"/>
            <w:vAlign w:val="bottom"/>
          </w:tcPr>
          <w:p>
            <w:pPr>
              <w:spacing w:after="0"/>
              <w:rPr>
                <w:sz w:val="1"/>
                <w:szCs w:val="1"/>
                <w:color w:val="auto"/>
              </w:rPr>
            </w:pPr>
          </w:p>
        </w:tc>
      </w:tr>
      <w:tr>
        <w:trPr>
          <w:trHeight w:val="203"/>
        </w:trPr>
        <w:tc>
          <w:tcPr>
            <w:tcW w:w="23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77"/>
              </w:rPr>
              <w:t>Solutions.................</w:t>
            </w:r>
          </w:p>
        </w:tc>
        <w:tc>
          <w:tcPr>
            <w:tcW w:w="242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110,000</w:t>
            </w:r>
          </w:p>
        </w:tc>
        <w:tc>
          <w:tcPr>
            <w:tcW w:w="16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Asset Management,</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Agent for</w:t>
            </w:r>
          </w:p>
        </w:tc>
        <w:tc>
          <w:tcPr>
            <w:tcW w:w="3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Parker</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370,000</w:t>
            </w:r>
          </w:p>
        </w:tc>
        <w:tc>
          <w:tcPr>
            <w:tcW w:w="10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2,851</w:t>
            </w:r>
          </w:p>
        </w:tc>
        <w:tc>
          <w:tcPr>
            <w:tcW w:w="0" w:type="dxa"/>
            <w:vAlign w:val="bottom"/>
          </w:tcPr>
          <w:p>
            <w:pPr>
              <w:spacing w:after="0"/>
              <w:rPr>
                <w:sz w:val="1"/>
                <w:szCs w:val="1"/>
                <w:color w:val="auto"/>
              </w:rPr>
            </w:pPr>
          </w:p>
        </w:tc>
      </w:tr>
      <w:tr>
        <w:trPr>
          <w:trHeight w:val="203"/>
        </w:trPr>
        <w:tc>
          <w:tcPr>
            <w:tcW w:w="23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77"/>
              </w:rPr>
              <w:t>Key/Convertible Fund......</w:t>
            </w:r>
          </w:p>
        </w:tc>
        <w:tc>
          <w:tcPr>
            <w:tcW w:w="242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370,000</w:t>
            </w:r>
          </w:p>
        </w:tc>
        <w:tc>
          <w:tcPr>
            <w:tcW w:w="16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Asset Management,</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80" w:type="dxa"/>
            <w:vAlign w:val="bottom"/>
          </w:tcPr>
          <w:p>
            <w:pPr>
              <w:ind w:left="120"/>
              <w:spacing w:after="0"/>
              <w:rPr>
                <w:sz w:val="20"/>
                <w:szCs w:val="20"/>
                <w:color w:val="auto"/>
              </w:rPr>
            </w:pPr>
            <w:r>
              <w:rPr>
                <w:rFonts w:ascii="Courier New" w:cs="Courier New" w:eastAsia="Courier New" w:hAnsi="Courier New"/>
                <w:sz w:val="18"/>
                <w:szCs w:val="18"/>
                <w:color w:val="auto"/>
              </w:rPr>
              <w:t>as</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Agent for</w:t>
            </w:r>
          </w:p>
        </w:tc>
        <w:tc>
          <w:tcPr>
            <w:tcW w:w="840" w:type="dxa"/>
            <w:vAlign w:val="bottom"/>
          </w:tcPr>
          <w:p>
            <w:pPr>
              <w:spacing w:after="0"/>
              <w:rPr>
                <w:sz w:val="20"/>
                <w:szCs w:val="20"/>
                <w:color w:val="auto"/>
              </w:rPr>
            </w:pPr>
            <w:r>
              <w:rPr>
                <w:rFonts w:ascii="Courier New" w:cs="Courier New" w:eastAsia="Courier New" w:hAnsi="Courier New"/>
                <w:sz w:val="18"/>
                <w:szCs w:val="18"/>
                <w:color w:val="auto"/>
              </w:rPr>
              <w:t>Union</w:t>
            </w:r>
          </w:p>
        </w:tc>
        <w:tc>
          <w:tcPr>
            <w:tcW w:w="2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160" w:type="dxa"/>
            <w:vAlign w:val="bottom"/>
          </w:tcPr>
          <w:p>
            <w:pPr>
              <w:spacing w:after="0" w:line="170" w:lineRule="exact"/>
              <w:rPr>
                <w:sz w:val="20"/>
                <w:szCs w:val="20"/>
                <w:color w:val="auto"/>
              </w:rPr>
            </w:pPr>
            <w:r>
              <w:rPr>
                <w:rFonts w:ascii="Courier New" w:cs="Courier New" w:eastAsia="Courier New" w:hAnsi="Courier New"/>
                <w:sz w:val="18"/>
                <w:szCs w:val="18"/>
                <w:color w:val="auto"/>
              </w:rPr>
              <w:t>Security Life Insurance</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50,000</w:t>
            </w:r>
          </w:p>
        </w:tc>
        <w:tc>
          <w:tcPr>
            <w:tcW w:w="206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50,000</w:t>
            </w:r>
          </w:p>
        </w:tc>
        <w:tc>
          <w:tcPr>
            <w:tcW w:w="110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0</w:t>
            </w:r>
          </w:p>
        </w:tc>
        <w:tc>
          <w:tcPr>
            <w:tcW w:w="8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385</w:t>
            </w:r>
          </w:p>
        </w:tc>
        <w:tc>
          <w:tcPr>
            <w:tcW w:w="0" w:type="dxa"/>
            <w:vAlign w:val="bottom"/>
          </w:tcPr>
          <w:p>
            <w:pPr>
              <w:spacing w:after="0"/>
              <w:rPr>
                <w:sz w:val="1"/>
                <w:szCs w:val="1"/>
                <w:color w:val="auto"/>
              </w:rPr>
            </w:pPr>
          </w:p>
        </w:tc>
      </w:tr>
      <w:tr>
        <w:trPr>
          <w:trHeight w:val="296"/>
        </w:trPr>
        <w:tc>
          <w:tcPr>
            <w:tcW w:w="3160" w:type="dxa"/>
            <w:vAlign w:val="bottom"/>
          </w:tcPr>
          <w:p>
            <w:pPr>
              <w:spacing w:after="0"/>
              <w:rPr>
                <w:sz w:val="20"/>
                <w:szCs w:val="20"/>
                <w:color w:val="auto"/>
              </w:rPr>
            </w:pPr>
            <w:r>
              <w:rPr>
                <w:rFonts w:ascii="Courier New" w:cs="Courier New" w:eastAsia="Courier New" w:hAnsi="Courier New"/>
                <w:sz w:val="18"/>
                <w:szCs w:val="18"/>
                <w:color w:val="auto"/>
              </w:rPr>
              <w:t>Company...................</w:t>
            </w:r>
          </w:p>
        </w:tc>
        <w:tc>
          <w:tcPr>
            <w:tcW w:w="1040" w:type="dxa"/>
            <w:vAlign w:val="bottom"/>
            <w:vMerge w:val="continue"/>
          </w:tcPr>
          <w:p>
            <w:pPr>
              <w:spacing w:after="0"/>
              <w:rPr>
                <w:sz w:val="24"/>
                <w:szCs w:val="24"/>
                <w:color w:val="auto"/>
              </w:rPr>
            </w:pPr>
          </w:p>
        </w:tc>
        <w:tc>
          <w:tcPr>
            <w:tcW w:w="206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60" w:type="dxa"/>
            <w:vAlign w:val="bottom"/>
          </w:tcPr>
          <w:p>
            <w:pPr>
              <w:jc w:val="right"/>
              <w:ind w:right="1852"/>
              <w:spacing w:after="0"/>
              <w:rPr>
                <w:sz w:val="20"/>
                <w:szCs w:val="20"/>
                <w:color w:val="auto"/>
              </w:rPr>
            </w:pPr>
            <w:r>
              <w:rPr>
                <w:rFonts w:ascii="Courier New" w:cs="Courier New" w:eastAsia="Courier New" w:hAnsi="Courier New"/>
                <w:sz w:val="18"/>
                <w:szCs w:val="18"/>
                <w:color w:val="auto"/>
                <w:w w:val="92"/>
              </w:rPr>
              <w:t>4</w:t>
            </w: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08" w:right="1440" w:bottom="1440" w:gutter="0" w:footer="0" w:header="0"/>
        </w:sectPr>
      </w:pPr>
    </w:p>
    <w:bookmarkStart w:id="7" w:name="page8"/>
    <w:bookmarkEnd w:id="7"/>
    <w:p>
      <w:pPr>
        <w:spacing w:after="0" w:line="1"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360" w:type="dxa"/>
            <w:vAlign w:val="bottom"/>
            <w:vMerge w:val="restart"/>
          </w:tcPr>
          <w:p>
            <w:pPr>
              <w:jc w:val="center"/>
              <w:ind w:left="592"/>
              <w:spacing w:after="0"/>
              <w:rPr>
                <w:sz w:val="20"/>
                <w:szCs w:val="20"/>
                <w:color w:val="auto"/>
              </w:rPr>
            </w:pPr>
            <w:r>
              <w:rPr>
                <w:rFonts w:ascii="Courier New" w:cs="Courier New" w:eastAsia="Courier New" w:hAnsi="Courier New"/>
                <w:sz w:val="18"/>
                <w:szCs w:val="18"/>
                <w:color w:val="auto"/>
                <w:w w:val="98"/>
              </w:rPr>
              <w:t>Amount Of</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Amount Of</w:t>
            </w: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Shares Of</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3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That</w:t>
            </w:r>
          </w:p>
        </w:tc>
        <w:tc>
          <w:tcPr>
            <w:tcW w:w="0" w:type="dxa"/>
            <w:vAlign w:val="bottom"/>
          </w:tcPr>
          <w:p>
            <w:pPr>
              <w:spacing w:after="0"/>
              <w:rPr>
                <w:sz w:val="1"/>
                <w:szCs w:val="1"/>
                <w:color w:val="auto"/>
              </w:rPr>
            </w:pPr>
          </w:p>
        </w:tc>
      </w:tr>
      <w:tr>
        <w:trPr>
          <w:trHeight w:val="203"/>
        </w:trPr>
        <w:tc>
          <w:tcPr>
            <w:tcW w:w="1160" w:type="dxa"/>
            <w:vAlign w:val="bottom"/>
            <w:vMerge w:val="restart"/>
          </w:tcPr>
          <w:p>
            <w:pPr>
              <w:spacing w:after="0"/>
              <w:rPr>
                <w:sz w:val="20"/>
                <w:szCs w:val="20"/>
                <w:color w:val="auto"/>
              </w:rPr>
            </w:pPr>
            <w:r>
              <w:rPr>
                <w:rFonts w:ascii="Courier New" w:cs="Courier New" w:eastAsia="Courier New" w:hAnsi="Courier New"/>
                <w:sz w:val="18"/>
                <w:szCs w:val="18"/>
                <w:color w:val="auto"/>
              </w:rPr>
              <w:t>Name</w:t>
            </w: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Notes That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May</w:t>
            </w:r>
          </w:p>
        </w:tc>
        <w:tc>
          <w:tcPr>
            <w:tcW w:w="0" w:type="dxa"/>
            <w:vAlign w:val="bottom"/>
          </w:tcPr>
          <w:p>
            <w:pPr>
              <w:spacing w:after="0"/>
              <w:rPr>
                <w:sz w:val="1"/>
                <w:szCs w:val="1"/>
                <w:color w:val="auto"/>
              </w:rPr>
            </w:pPr>
          </w:p>
        </w:tc>
      </w:tr>
      <w:tr>
        <w:trPr>
          <w:trHeight w:val="235"/>
        </w:trPr>
        <w:tc>
          <w:tcPr>
            <w:tcW w:w="1160" w:type="dxa"/>
            <w:vAlign w:val="bottom"/>
            <w:vMerge w:val="continue"/>
          </w:tcPr>
          <w:p>
            <w:pPr>
              <w:spacing w:after="0"/>
              <w:rPr>
                <w:sz w:val="20"/>
                <w:szCs w:val="20"/>
                <w:color w:val="auto"/>
              </w:rPr>
            </w:pPr>
          </w:p>
        </w:tc>
        <w:tc>
          <w:tcPr>
            <w:tcW w:w="2360" w:type="dxa"/>
            <w:vAlign w:val="bottom"/>
          </w:tcPr>
          <w:p>
            <w:pPr>
              <w:jc w:val="center"/>
              <w:ind w:left="572"/>
              <w:spacing w:after="0"/>
              <w:rPr>
                <w:sz w:val="20"/>
                <w:szCs w:val="20"/>
                <w:color w:val="auto"/>
              </w:rPr>
            </w:pPr>
            <w:r>
              <w:rPr>
                <w:rFonts w:ascii="Courier New" w:cs="Courier New" w:eastAsia="Courier New" w:hAnsi="Courier New"/>
                <w:sz w:val="18"/>
                <w:szCs w:val="18"/>
                <w:color w:val="auto"/>
                <w:w w:val="97"/>
              </w:rPr>
              <w:t>Before Offering</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May Be Sold</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9"/>
              </w:rPr>
              <w:t>Offering</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w w:val="95"/>
              </w:rPr>
              <w:t>Be Sold</w:t>
            </w:r>
          </w:p>
        </w:tc>
        <w:tc>
          <w:tcPr>
            <w:tcW w:w="0" w:type="dxa"/>
            <w:vAlign w:val="bottom"/>
          </w:tcPr>
          <w:p>
            <w:pPr>
              <w:spacing w:after="0"/>
              <w:rPr>
                <w:sz w:val="1"/>
                <w:szCs w:val="1"/>
                <w:color w:val="auto"/>
              </w:rPr>
            </w:pPr>
          </w:p>
        </w:tc>
      </w:tr>
    </w:tbl>
    <w:p>
      <w:pPr>
        <w:ind w:left="3160" w:hanging="1888"/>
        <w:spacing w:after="0"/>
        <w:tabs>
          <w:tab w:leader="none" w:pos="31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Key Asset Management, Inc.</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Agent for Victory</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1,400,000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1,400,000</w:t>
            </w:r>
          </w:p>
        </w:tc>
        <w:tc>
          <w:tcPr>
            <w:tcW w:w="11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10,787</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Agent for Victory Invest</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170,000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170,000</w:t>
            </w:r>
          </w:p>
        </w:tc>
        <w:tc>
          <w:tcPr>
            <w:tcW w:w="11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1,309</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Quality Bond Fund..........</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Investment Manager for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California State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Automobile Inter-</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530,000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530,000</w:t>
            </w:r>
          </w:p>
        </w:tc>
        <w:tc>
          <w:tcPr>
            <w:tcW w:w="11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4,083</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Investment Manager for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California State Automobile</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110,000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110,000</w:t>
            </w:r>
          </w:p>
        </w:tc>
        <w:tc>
          <w:tcPr>
            <w:tcW w:w="11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847</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Retirement Pension.........</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Investment Manager for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Health Foundation of</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235,000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235,000</w:t>
            </w:r>
          </w:p>
        </w:tc>
        <w:tc>
          <w:tcPr>
            <w:tcW w:w="11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1,810</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Greater Cincinnati.........</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Investment Manager for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JCPenney Life Insurance</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1,000,000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1,000,000</w:t>
            </w:r>
          </w:p>
        </w:tc>
        <w:tc>
          <w:tcPr>
            <w:tcW w:w="11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7,705</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Investment Manager for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Potlatch-First Trust</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1,050,000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1,050,000</w:t>
            </w:r>
          </w:p>
        </w:tc>
        <w:tc>
          <w:tcPr>
            <w:tcW w:w="11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8,090</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 of St. Paul........</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Investment Manager for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Standard Insurance</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640,000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640,000</w:t>
            </w:r>
          </w:p>
        </w:tc>
        <w:tc>
          <w:tcPr>
            <w:tcW w:w="11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4,931</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Investment Manager for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University of South</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170,000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170,000</w:t>
            </w:r>
          </w:p>
        </w:tc>
        <w:tc>
          <w:tcPr>
            <w:tcW w:w="11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1,309</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Florida Foundation.........</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LLT Limited.................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1,926</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Lehman Brothers, Inc........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19,500,000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150,259</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Lipper Convertibles,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12,867,000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12,867,000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99,147</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Lipper Convertibles Series</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2,000,000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2,000,000</w:t>
            </w:r>
          </w:p>
        </w:tc>
        <w:tc>
          <w:tcPr>
            <w:tcW w:w="11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15,411</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II, L.P....................</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Lipper Offshore</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1,500,000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1,500,000</w:t>
            </w:r>
          </w:p>
        </w:tc>
        <w:tc>
          <w:tcPr>
            <w:tcW w:w="11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11,558</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Convertibles, L.P..........</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Loomis Sayles Bond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Lucent Technologies Master</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550,000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550,000</w:t>
            </w:r>
          </w:p>
        </w:tc>
        <w:tc>
          <w:tcPr>
            <w:tcW w:w="11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4,238</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Pension Trust..............</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Lutheran Brotherhood........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6,000,000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13,430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46,233</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Lydian Overseas Partners</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68,500,000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68,500,000</w:t>
            </w:r>
          </w:p>
        </w:tc>
        <w:tc>
          <w:tcPr>
            <w:tcW w:w="11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527,833</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Master Fund................</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Lyxor Master Fund c/o Forest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Management,</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2,000,000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2,000,000</w:t>
            </w:r>
          </w:p>
        </w:tc>
        <w:tc>
          <w:tcPr>
            <w:tcW w:w="11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15,411</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L.L.C......................</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MAG Mutual Insurance</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300,000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300,000</w:t>
            </w:r>
          </w:p>
        </w:tc>
        <w:tc>
          <w:tcPr>
            <w:tcW w:w="11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2,311</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MFS Total Return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1,160,000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1,160,000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8,938</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Maine State Retirement</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600,000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600,000</w:t>
            </w:r>
          </w:p>
        </w:tc>
        <w:tc>
          <w:tcPr>
            <w:tcW w:w="11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4,623</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System.....................</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Maxim Corporate Bond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750,000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5,779</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McMahan Securities Co.</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162,000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162,000</w:t>
            </w:r>
          </w:p>
        </w:tc>
        <w:tc>
          <w:tcPr>
            <w:tcW w:w="11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1,248</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L.P........................</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Medical Liability Mutual</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27,500,000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27,500,000</w:t>
            </w:r>
          </w:p>
        </w:tc>
        <w:tc>
          <w:tcPr>
            <w:tcW w:w="11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15,500</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211,904</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Merrill Lynch International</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10,000,000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10,000,000</w:t>
            </w:r>
          </w:p>
        </w:tc>
        <w:tc>
          <w:tcPr>
            <w:tcW w:w="11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77,056</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Ltd........................</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Merrill Lynch Pierce Fenner</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300,000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300,000</w:t>
            </w:r>
          </w:p>
        </w:tc>
        <w:tc>
          <w:tcPr>
            <w:tcW w:w="11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2,311</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&amp; Smith, Inc...............</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MetLife Separate Account</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500,000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500,000</w:t>
            </w:r>
          </w:p>
        </w:tc>
        <w:tc>
          <w:tcPr>
            <w:tcW w:w="11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3,852</w:t>
            </w:r>
          </w:p>
        </w:tc>
        <w:tc>
          <w:tcPr>
            <w:tcW w:w="0" w:type="dxa"/>
            <w:vAlign w:val="bottom"/>
          </w:tcPr>
          <w:p>
            <w:pPr>
              <w:spacing w:after="0"/>
              <w:rPr>
                <w:sz w:val="1"/>
                <w:szCs w:val="1"/>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235........................</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Morgan Stanley &amp; Co.........</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8,428,000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8,428,000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64,942</w:t>
            </w:r>
          </w:p>
        </w:tc>
        <w:tc>
          <w:tcPr>
            <w:tcW w:w="0" w:type="dxa"/>
            <w:vAlign w:val="bottom"/>
          </w:tcPr>
          <w:p>
            <w:pPr>
              <w:spacing w:after="0"/>
              <w:rPr>
                <w:sz w:val="1"/>
                <w:szCs w:val="1"/>
                <w:color w:val="auto"/>
              </w:rPr>
            </w:pPr>
          </w:p>
        </w:tc>
      </w:tr>
      <w:tr>
        <w:trPr>
          <w:trHeight w:val="296"/>
        </w:trPr>
        <w:tc>
          <w:tcPr>
            <w:tcW w:w="3160" w:type="dxa"/>
            <w:vAlign w:val="bottom"/>
          </w:tcPr>
          <w:p>
            <w:pPr>
              <w:spacing w:after="0"/>
              <w:rPr>
                <w:sz w:val="20"/>
                <w:szCs w:val="20"/>
                <w:color w:val="auto"/>
              </w:rPr>
            </w:pPr>
            <w:r>
              <w:rPr>
                <w:rFonts w:ascii="Courier New" w:cs="Courier New" w:eastAsia="Courier New" w:hAnsi="Courier New"/>
                <w:sz w:val="18"/>
                <w:szCs w:val="18"/>
                <w:color w:val="auto"/>
              </w:rPr>
              <w:t>Morgan Stanley Dean Witter</w:t>
            </w: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094" w:right="1440"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Convertible</w:t>
            </w:r>
          </w:p>
        </w:tc>
        <w:tc>
          <w:tcPr>
            <w:tcW w:w="14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3,500,000</w:t>
            </w:r>
          </w:p>
        </w:tc>
        <w:tc>
          <w:tcPr>
            <w:tcW w:w="15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3,500,000</w:t>
            </w: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26,969</w:t>
            </w:r>
          </w:p>
        </w:tc>
        <w:tc>
          <w:tcPr>
            <w:tcW w:w="0" w:type="dxa"/>
            <w:vAlign w:val="bottom"/>
          </w:tcPr>
          <w:p>
            <w:pPr>
              <w:spacing w:after="0"/>
              <w:rPr>
                <w:sz w:val="1"/>
                <w:szCs w:val="1"/>
                <w:color w:val="auto"/>
              </w:rPr>
            </w:pPr>
          </w:p>
        </w:tc>
      </w:tr>
      <w:tr>
        <w:trPr>
          <w:trHeight w:val="203"/>
        </w:trPr>
        <w:tc>
          <w:tcPr>
            <w:tcW w:w="32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Securities Trust...........</w:t>
            </w:r>
          </w:p>
        </w:tc>
        <w:tc>
          <w:tcPr>
            <w:tcW w:w="148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Museum of Fine Arts,</w:t>
            </w:r>
          </w:p>
        </w:tc>
        <w:tc>
          <w:tcPr>
            <w:tcW w:w="14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44,000</w:t>
            </w:r>
          </w:p>
        </w:tc>
        <w:tc>
          <w:tcPr>
            <w:tcW w:w="15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44,000</w:t>
            </w: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339</w:t>
            </w:r>
          </w:p>
        </w:tc>
        <w:tc>
          <w:tcPr>
            <w:tcW w:w="0" w:type="dxa"/>
            <w:vAlign w:val="bottom"/>
          </w:tcPr>
          <w:p>
            <w:pPr>
              <w:spacing w:after="0"/>
              <w:rPr>
                <w:sz w:val="1"/>
                <w:szCs w:val="1"/>
                <w:color w:val="auto"/>
              </w:rPr>
            </w:pPr>
          </w:p>
        </w:tc>
      </w:tr>
      <w:tr>
        <w:trPr>
          <w:trHeight w:val="203"/>
        </w:trPr>
        <w:tc>
          <w:tcPr>
            <w:tcW w:w="32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Boston.....................</w:t>
            </w:r>
          </w:p>
        </w:tc>
        <w:tc>
          <w:tcPr>
            <w:tcW w:w="148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Nalco Chemical Company......</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390,000</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390,000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3,005</w:t>
            </w:r>
          </w:p>
        </w:tc>
        <w:tc>
          <w:tcPr>
            <w:tcW w:w="0" w:type="dxa"/>
            <w:vAlign w:val="bottom"/>
          </w:tcPr>
          <w:p>
            <w:pPr>
              <w:spacing w:after="0"/>
              <w:rPr>
                <w:sz w:val="1"/>
                <w:szCs w:val="1"/>
                <w:color w:val="auto"/>
              </w:rPr>
            </w:pP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Nashville Electric Service..</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250,000</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250,000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1,926</w:t>
            </w:r>
          </w:p>
        </w:tc>
        <w:tc>
          <w:tcPr>
            <w:tcW w:w="0" w:type="dxa"/>
            <w:vAlign w:val="bottom"/>
          </w:tcPr>
          <w:p>
            <w:pPr>
              <w:spacing w:after="0"/>
              <w:rPr>
                <w:sz w:val="1"/>
                <w:szCs w:val="1"/>
                <w:color w:val="auto"/>
              </w:rPr>
            </w:pP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NCMIC Insurance Company.....</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300,000</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300,000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w:t>
            </w:r>
          </w:p>
        </w:tc>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Life Insurance</w:t>
            </w:r>
          </w:p>
        </w:tc>
        <w:tc>
          <w:tcPr>
            <w:tcW w:w="14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5,500,000</w:t>
            </w:r>
          </w:p>
        </w:tc>
        <w:tc>
          <w:tcPr>
            <w:tcW w:w="15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5,500,000</w:t>
            </w: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42,380</w:t>
            </w:r>
          </w:p>
        </w:tc>
        <w:tc>
          <w:tcPr>
            <w:tcW w:w="0" w:type="dxa"/>
            <w:vAlign w:val="bottom"/>
          </w:tcPr>
          <w:p>
            <w:pPr>
              <w:spacing w:after="0"/>
              <w:rPr>
                <w:sz w:val="1"/>
                <w:szCs w:val="1"/>
                <w:color w:val="auto"/>
              </w:rPr>
            </w:pPr>
          </w:p>
        </w:tc>
      </w:tr>
      <w:tr>
        <w:trPr>
          <w:trHeight w:val="203"/>
        </w:trPr>
        <w:tc>
          <w:tcPr>
            <w:tcW w:w="960" w:type="dxa"/>
            <w:vAlign w:val="bottom"/>
          </w:tcPr>
          <w:p>
            <w:pPr>
              <w:ind w:left="120"/>
              <w:spacing w:after="0"/>
              <w:rPr>
                <w:sz w:val="20"/>
                <w:szCs w:val="20"/>
                <w:color w:val="auto"/>
              </w:rPr>
            </w:pPr>
            <w:r>
              <w:rPr>
                <w:rFonts w:ascii="Courier New" w:cs="Courier New" w:eastAsia="Courier New" w:hAnsi="Courier New"/>
                <w:sz w:val="7"/>
                <w:szCs w:val="7"/>
                <w:color w:val="auto"/>
                <w:w w:val="72"/>
              </w:rPr>
              <w:t>Company....................</w:t>
            </w:r>
          </w:p>
        </w:tc>
        <w:tc>
          <w:tcPr>
            <w:tcW w:w="2260" w:type="dxa"/>
            <w:vAlign w:val="bottom"/>
            <w:vMerge w:val="restart"/>
          </w:tcPr>
          <w:p>
            <w:pPr>
              <w:spacing w:after="0"/>
              <w:rPr>
                <w:sz w:val="20"/>
                <w:szCs w:val="20"/>
                <w:color w:val="auto"/>
              </w:rPr>
            </w:pPr>
            <w:r>
              <w:rPr>
                <w:rFonts w:ascii="Courier New" w:cs="Courier New" w:eastAsia="Courier New" w:hAnsi="Courier New"/>
                <w:sz w:val="18"/>
                <w:szCs w:val="18"/>
                <w:color w:val="auto"/>
              </w:rPr>
              <w:t>State Electric &amp;</w:t>
            </w:r>
          </w:p>
        </w:tc>
        <w:tc>
          <w:tcPr>
            <w:tcW w:w="148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w:t>
            </w:r>
          </w:p>
        </w:tc>
        <w:tc>
          <w:tcPr>
            <w:tcW w:w="226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Gas Corp. Retirement</w:t>
            </w:r>
          </w:p>
        </w:tc>
        <w:tc>
          <w:tcPr>
            <w:tcW w:w="14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550,000</w:t>
            </w:r>
          </w:p>
        </w:tc>
        <w:tc>
          <w:tcPr>
            <w:tcW w:w="15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550,000</w:t>
            </w: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4,238</w:t>
            </w:r>
          </w:p>
        </w:tc>
        <w:tc>
          <w:tcPr>
            <w:tcW w:w="0" w:type="dxa"/>
            <w:vAlign w:val="bottom"/>
          </w:tcPr>
          <w:p>
            <w:pPr>
              <w:spacing w:after="0"/>
              <w:rPr>
                <w:sz w:val="1"/>
                <w:szCs w:val="1"/>
                <w:color w:val="auto"/>
              </w:rPr>
            </w:pPr>
          </w:p>
        </w:tc>
      </w:tr>
      <w:tr>
        <w:trPr>
          <w:trHeight w:val="203"/>
        </w:trPr>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Benefit</w:t>
            </w:r>
          </w:p>
        </w:tc>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Plan...............</w:t>
            </w:r>
          </w:p>
        </w:tc>
        <w:tc>
          <w:tcPr>
            <w:tcW w:w="148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Nicholas</w:t>
            </w:r>
          </w:p>
        </w:tc>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Applegate CBO I</w:t>
            </w:r>
          </w:p>
        </w:tc>
        <w:tc>
          <w:tcPr>
            <w:tcW w:w="14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2,000,000</w:t>
            </w:r>
          </w:p>
        </w:tc>
        <w:tc>
          <w:tcPr>
            <w:tcW w:w="15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2,000,000</w:t>
            </w: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15,411</w:t>
            </w:r>
          </w:p>
        </w:tc>
        <w:tc>
          <w:tcPr>
            <w:tcW w:w="0" w:type="dxa"/>
            <w:vAlign w:val="bottom"/>
          </w:tcPr>
          <w:p>
            <w:pPr>
              <w:spacing w:after="0"/>
              <w:rPr>
                <w:sz w:val="1"/>
                <w:szCs w:val="1"/>
                <w:color w:val="auto"/>
              </w:rPr>
            </w:pPr>
          </w:p>
        </w:tc>
      </w:tr>
      <w:tr>
        <w:trPr>
          <w:trHeight w:val="203"/>
        </w:trPr>
        <w:tc>
          <w:tcPr>
            <w:tcW w:w="960" w:type="dxa"/>
            <w:vAlign w:val="bottom"/>
          </w:tcPr>
          <w:p>
            <w:pPr>
              <w:ind w:left="120"/>
              <w:spacing w:after="0"/>
              <w:rPr>
                <w:sz w:val="20"/>
                <w:szCs w:val="20"/>
                <w:color w:val="auto"/>
              </w:rPr>
            </w:pPr>
            <w:r>
              <w:rPr>
                <w:rFonts w:ascii="Courier New" w:cs="Courier New" w:eastAsia="Courier New" w:hAnsi="Courier New"/>
                <w:sz w:val="7"/>
                <w:szCs w:val="7"/>
                <w:color w:val="auto"/>
                <w:w w:val="72"/>
              </w:rPr>
              <w:t>Limited....................</w:t>
            </w:r>
          </w:p>
        </w:tc>
        <w:tc>
          <w:tcPr>
            <w:tcW w:w="2260" w:type="dxa"/>
            <w:vAlign w:val="bottom"/>
            <w:vMerge w:val="restart"/>
          </w:tcPr>
          <w:p>
            <w:pPr>
              <w:spacing w:after="0"/>
              <w:rPr>
                <w:sz w:val="20"/>
                <w:szCs w:val="20"/>
                <w:color w:val="auto"/>
              </w:rPr>
            </w:pPr>
            <w:r>
              <w:rPr>
                <w:rFonts w:ascii="Courier New" w:cs="Courier New" w:eastAsia="Courier New" w:hAnsi="Courier New"/>
                <w:sz w:val="18"/>
                <w:szCs w:val="18"/>
                <w:color w:val="auto"/>
              </w:rPr>
              <w:t>Applegate</w:t>
            </w:r>
          </w:p>
        </w:tc>
        <w:tc>
          <w:tcPr>
            <w:tcW w:w="148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Nicholas</w:t>
            </w:r>
          </w:p>
        </w:tc>
        <w:tc>
          <w:tcPr>
            <w:tcW w:w="226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Investment Grade</w:t>
            </w:r>
          </w:p>
        </w:tc>
        <w:tc>
          <w:tcPr>
            <w:tcW w:w="14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28,000</w:t>
            </w:r>
          </w:p>
        </w:tc>
        <w:tc>
          <w:tcPr>
            <w:tcW w:w="15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28,000</w:t>
            </w: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215</w:t>
            </w:r>
          </w:p>
        </w:tc>
        <w:tc>
          <w:tcPr>
            <w:tcW w:w="0" w:type="dxa"/>
            <w:vAlign w:val="bottom"/>
          </w:tcPr>
          <w:p>
            <w:pPr>
              <w:spacing w:after="0"/>
              <w:rPr>
                <w:sz w:val="1"/>
                <w:szCs w:val="1"/>
                <w:color w:val="auto"/>
              </w:rPr>
            </w:pPr>
          </w:p>
        </w:tc>
      </w:tr>
      <w:tr>
        <w:trPr>
          <w:trHeight w:val="203"/>
        </w:trPr>
        <w:tc>
          <w:tcPr>
            <w:tcW w:w="32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Convertible................</w:t>
            </w:r>
          </w:p>
        </w:tc>
        <w:tc>
          <w:tcPr>
            <w:tcW w:w="148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Nike, Inc. Profit Sharing</w:t>
            </w:r>
          </w:p>
        </w:tc>
        <w:tc>
          <w:tcPr>
            <w:tcW w:w="14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50,000</w:t>
            </w:r>
          </w:p>
        </w:tc>
        <w:tc>
          <w:tcPr>
            <w:tcW w:w="15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50,000</w:t>
            </w: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385</w:t>
            </w:r>
          </w:p>
        </w:tc>
        <w:tc>
          <w:tcPr>
            <w:tcW w:w="0" w:type="dxa"/>
            <w:vAlign w:val="bottom"/>
          </w:tcPr>
          <w:p>
            <w:pPr>
              <w:spacing w:after="0"/>
              <w:rPr>
                <w:sz w:val="1"/>
                <w:szCs w:val="1"/>
                <w:color w:val="auto"/>
              </w:rPr>
            </w:pPr>
          </w:p>
        </w:tc>
      </w:tr>
      <w:tr>
        <w:trPr>
          <w:trHeight w:val="203"/>
        </w:trPr>
        <w:tc>
          <w:tcPr>
            <w:tcW w:w="32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Plan.......................</w:t>
            </w:r>
          </w:p>
        </w:tc>
        <w:tc>
          <w:tcPr>
            <w:tcW w:w="148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NORCAL Mutual Insurance</w:t>
            </w:r>
          </w:p>
        </w:tc>
        <w:tc>
          <w:tcPr>
            <w:tcW w:w="14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225,000</w:t>
            </w:r>
          </w:p>
        </w:tc>
        <w:tc>
          <w:tcPr>
            <w:tcW w:w="15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225,000</w:t>
            </w: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1,733</w:t>
            </w:r>
          </w:p>
        </w:tc>
        <w:tc>
          <w:tcPr>
            <w:tcW w:w="0" w:type="dxa"/>
            <w:vAlign w:val="bottom"/>
          </w:tcPr>
          <w:p>
            <w:pPr>
              <w:spacing w:after="0"/>
              <w:rPr>
                <w:sz w:val="1"/>
                <w:szCs w:val="1"/>
                <w:color w:val="auto"/>
              </w:rPr>
            </w:pPr>
          </w:p>
        </w:tc>
      </w:tr>
      <w:tr>
        <w:trPr>
          <w:trHeight w:val="203"/>
        </w:trPr>
        <w:tc>
          <w:tcPr>
            <w:tcW w:w="960" w:type="dxa"/>
            <w:vAlign w:val="bottom"/>
          </w:tcPr>
          <w:p>
            <w:pPr>
              <w:ind w:left="120"/>
              <w:spacing w:after="0"/>
              <w:rPr>
                <w:sz w:val="20"/>
                <w:szCs w:val="20"/>
                <w:color w:val="auto"/>
              </w:rPr>
            </w:pPr>
            <w:r>
              <w:rPr>
                <w:rFonts w:ascii="Courier New" w:cs="Courier New" w:eastAsia="Courier New" w:hAnsi="Courier New"/>
                <w:sz w:val="7"/>
                <w:szCs w:val="7"/>
                <w:color w:val="auto"/>
                <w:w w:val="72"/>
              </w:rPr>
              <w:t>Company....................</w:t>
            </w:r>
          </w:p>
        </w:tc>
        <w:tc>
          <w:tcPr>
            <w:tcW w:w="2260" w:type="dxa"/>
            <w:vAlign w:val="bottom"/>
            <w:vMerge w:val="restart"/>
          </w:tcPr>
          <w:p>
            <w:pPr>
              <w:spacing w:after="0"/>
              <w:rPr>
                <w:sz w:val="20"/>
                <w:szCs w:val="20"/>
                <w:color w:val="auto"/>
              </w:rPr>
            </w:pPr>
            <w:r>
              <w:rPr>
                <w:rFonts w:ascii="Courier New" w:cs="Courier New" w:eastAsia="Courier New" w:hAnsi="Courier New"/>
                <w:sz w:val="18"/>
                <w:szCs w:val="18"/>
                <w:color w:val="auto"/>
              </w:rPr>
              <w:t>Income Equity</w:t>
            </w:r>
          </w:p>
        </w:tc>
        <w:tc>
          <w:tcPr>
            <w:tcW w:w="148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Northern</w:t>
            </w:r>
          </w:p>
        </w:tc>
        <w:tc>
          <w:tcPr>
            <w:tcW w:w="2260" w:type="dxa"/>
            <w:vAlign w:val="bottom"/>
            <w:vMerge w:val="continue"/>
          </w:tcPr>
          <w:p>
            <w:pPr>
              <w:spacing w:after="0"/>
              <w:rPr>
                <w:sz w:val="17"/>
                <w:szCs w:val="17"/>
                <w:color w:val="auto"/>
              </w:rPr>
            </w:pPr>
          </w:p>
        </w:tc>
        <w:tc>
          <w:tcPr>
            <w:tcW w:w="14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2,000,000</w:t>
            </w:r>
          </w:p>
        </w:tc>
        <w:tc>
          <w:tcPr>
            <w:tcW w:w="15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2,000,000</w:t>
            </w: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15,411</w:t>
            </w:r>
          </w:p>
        </w:tc>
        <w:tc>
          <w:tcPr>
            <w:tcW w:w="0" w:type="dxa"/>
            <w:vAlign w:val="bottom"/>
          </w:tcPr>
          <w:p>
            <w:pPr>
              <w:spacing w:after="0"/>
              <w:rPr>
                <w:sz w:val="1"/>
                <w:szCs w:val="1"/>
                <w:color w:val="auto"/>
              </w:rPr>
            </w:pPr>
          </w:p>
        </w:tc>
      </w:tr>
      <w:tr>
        <w:trPr>
          <w:trHeight w:val="296"/>
        </w:trPr>
        <w:tc>
          <w:tcPr>
            <w:tcW w:w="32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Fund.......................</w:t>
            </w:r>
          </w:p>
        </w:tc>
        <w:tc>
          <w:tcPr>
            <w:tcW w:w="1480" w:type="dxa"/>
            <w:vAlign w:val="bottom"/>
            <w:vMerge w:val="continue"/>
          </w:tcPr>
          <w:p>
            <w:pPr>
              <w:spacing w:after="0"/>
              <w:rPr>
                <w:sz w:val="24"/>
                <w:szCs w:val="24"/>
                <w:color w:val="auto"/>
              </w:rPr>
            </w:pPr>
          </w:p>
        </w:tc>
        <w:tc>
          <w:tcPr>
            <w:tcW w:w="152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w:t>
            </w:r>
          </w:p>
        </w:tc>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08" w:right="1440" w:bottom="1440" w:gutter="0" w:footer="0" w:header="0"/>
        </w:sectPr>
      </w:pPr>
    </w:p>
    <w:bookmarkStart w:id="9" w:name="page10"/>
    <w:bookmarkEnd w:id="9"/>
    <w:p>
      <w:pPr>
        <w:spacing w:after="0" w:line="1"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360" w:type="dxa"/>
            <w:vAlign w:val="bottom"/>
            <w:vMerge w:val="restart"/>
          </w:tcPr>
          <w:p>
            <w:pPr>
              <w:jc w:val="center"/>
              <w:ind w:left="592"/>
              <w:spacing w:after="0"/>
              <w:rPr>
                <w:sz w:val="20"/>
                <w:szCs w:val="20"/>
                <w:color w:val="auto"/>
              </w:rPr>
            </w:pPr>
            <w:r>
              <w:rPr>
                <w:rFonts w:ascii="Courier New" w:cs="Courier New" w:eastAsia="Courier New" w:hAnsi="Courier New"/>
                <w:sz w:val="18"/>
                <w:szCs w:val="18"/>
                <w:color w:val="auto"/>
                <w:w w:val="98"/>
              </w:rPr>
              <w:t>Amount Of</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Amount Of</w:t>
            </w: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Shares Of</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3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That</w:t>
            </w:r>
          </w:p>
        </w:tc>
        <w:tc>
          <w:tcPr>
            <w:tcW w:w="0" w:type="dxa"/>
            <w:vAlign w:val="bottom"/>
          </w:tcPr>
          <w:p>
            <w:pPr>
              <w:spacing w:after="0"/>
              <w:rPr>
                <w:sz w:val="1"/>
                <w:szCs w:val="1"/>
                <w:color w:val="auto"/>
              </w:rPr>
            </w:pPr>
          </w:p>
        </w:tc>
      </w:tr>
      <w:tr>
        <w:trPr>
          <w:trHeight w:val="203"/>
        </w:trPr>
        <w:tc>
          <w:tcPr>
            <w:tcW w:w="1160" w:type="dxa"/>
            <w:vAlign w:val="bottom"/>
            <w:vMerge w:val="restart"/>
          </w:tcPr>
          <w:p>
            <w:pPr>
              <w:spacing w:after="0"/>
              <w:rPr>
                <w:sz w:val="20"/>
                <w:szCs w:val="20"/>
                <w:color w:val="auto"/>
              </w:rPr>
            </w:pPr>
            <w:r>
              <w:rPr>
                <w:rFonts w:ascii="Courier New" w:cs="Courier New" w:eastAsia="Courier New" w:hAnsi="Courier New"/>
                <w:sz w:val="18"/>
                <w:szCs w:val="18"/>
                <w:color w:val="auto"/>
              </w:rPr>
              <w:t>Name</w:t>
            </w: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Notes That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May</w:t>
            </w:r>
          </w:p>
        </w:tc>
        <w:tc>
          <w:tcPr>
            <w:tcW w:w="0" w:type="dxa"/>
            <w:vAlign w:val="bottom"/>
          </w:tcPr>
          <w:p>
            <w:pPr>
              <w:spacing w:after="0"/>
              <w:rPr>
                <w:sz w:val="1"/>
                <w:szCs w:val="1"/>
                <w:color w:val="auto"/>
              </w:rPr>
            </w:pPr>
          </w:p>
        </w:tc>
      </w:tr>
      <w:tr>
        <w:trPr>
          <w:trHeight w:val="235"/>
        </w:trPr>
        <w:tc>
          <w:tcPr>
            <w:tcW w:w="1160" w:type="dxa"/>
            <w:vAlign w:val="bottom"/>
            <w:vMerge w:val="continue"/>
          </w:tcPr>
          <w:p>
            <w:pPr>
              <w:spacing w:after="0"/>
              <w:rPr>
                <w:sz w:val="20"/>
                <w:szCs w:val="20"/>
                <w:color w:val="auto"/>
              </w:rPr>
            </w:pPr>
          </w:p>
        </w:tc>
        <w:tc>
          <w:tcPr>
            <w:tcW w:w="2360" w:type="dxa"/>
            <w:vAlign w:val="bottom"/>
          </w:tcPr>
          <w:p>
            <w:pPr>
              <w:jc w:val="center"/>
              <w:ind w:left="572"/>
              <w:spacing w:after="0"/>
              <w:rPr>
                <w:sz w:val="20"/>
                <w:szCs w:val="20"/>
                <w:color w:val="auto"/>
              </w:rPr>
            </w:pPr>
            <w:r>
              <w:rPr>
                <w:rFonts w:ascii="Courier New" w:cs="Courier New" w:eastAsia="Courier New" w:hAnsi="Courier New"/>
                <w:sz w:val="18"/>
                <w:szCs w:val="18"/>
                <w:color w:val="auto"/>
                <w:w w:val="97"/>
              </w:rPr>
              <w:t>Before Offering</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May Be Sold</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9"/>
              </w:rPr>
              <w:t>Offering</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w w:val="95"/>
              </w:rPr>
              <w:t>Be Sold</w:t>
            </w:r>
          </w:p>
        </w:tc>
        <w:tc>
          <w:tcPr>
            <w:tcW w:w="0" w:type="dxa"/>
            <w:vAlign w:val="bottom"/>
          </w:tcPr>
          <w:p>
            <w:pPr>
              <w:spacing w:after="0"/>
              <w:rPr>
                <w:sz w:val="1"/>
                <w:szCs w:val="1"/>
                <w:color w:val="auto"/>
              </w:rPr>
            </w:pPr>
          </w:p>
        </w:tc>
      </w:tr>
    </w:tbl>
    <w:p>
      <w:pPr>
        <w:ind w:left="3160" w:hanging="1888"/>
        <w:spacing w:after="0"/>
        <w:tabs>
          <w:tab w:leader="none" w:pos="31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The Northwestern Mutual Life</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16,500,000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16,500,000</w:t>
            </w:r>
          </w:p>
        </w:tc>
        <w:tc>
          <w:tcPr>
            <w:tcW w:w="216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111,600(5) 127,142</w:t>
            </w:r>
          </w:p>
        </w:tc>
        <w:tc>
          <w:tcPr>
            <w:tcW w:w="0" w:type="dxa"/>
            <w:vAlign w:val="bottom"/>
          </w:tcPr>
          <w:p>
            <w:pPr>
              <w:spacing w:after="0"/>
              <w:rPr>
                <w:sz w:val="1"/>
                <w:szCs w:val="1"/>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2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Nstar (Boston Edison) Union</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100,000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100,000</w:t>
            </w: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770</w:t>
            </w:r>
          </w:p>
        </w:tc>
        <w:tc>
          <w:tcPr>
            <w:tcW w:w="0" w:type="dxa"/>
            <w:vAlign w:val="bottom"/>
          </w:tcPr>
          <w:p>
            <w:pPr>
              <w:spacing w:after="0"/>
              <w:rPr>
                <w:sz w:val="1"/>
                <w:szCs w:val="1"/>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Medical VEBA...............</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Nuclear Electric Insurance</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775,000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775,000</w:t>
            </w: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5,971</w:t>
            </w:r>
          </w:p>
        </w:tc>
        <w:tc>
          <w:tcPr>
            <w:tcW w:w="0" w:type="dxa"/>
            <w:vAlign w:val="bottom"/>
          </w:tcPr>
          <w:p>
            <w:pPr>
              <w:spacing w:after="0"/>
              <w:rPr>
                <w:sz w:val="1"/>
                <w:szCs w:val="1"/>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Ltd........................</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OHIC Insurance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4,623</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Oppenheimer Convertible</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12,000,000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12,000,000</w:t>
            </w: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92,467</w:t>
            </w:r>
          </w:p>
        </w:tc>
        <w:tc>
          <w:tcPr>
            <w:tcW w:w="0" w:type="dxa"/>
            <w:vAlign w:val="bottom"/>
          </w:tcPr>
          <w:p>
            <w:pPr>
              <w:spacing w:after="0"/>
              <w:rPr>
                <w:sz w:val="1"/>
                <w:szCs w:val="1"/>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Securities Fund............</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Oxford, Lord Abbett &amp; Co....</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16,952</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Paloma Securities L.L.C. ...</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3,500,000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11,800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26,969</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Parker-Hannifin</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81,000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81,000</w:t>
            </w: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624</w:t>
            </w:r>
          </w:p>
        </w:tc>
        <w:tc>
          <w:tcPr>
            <w:tcW w:w="0" w:type="dxa"/>
            <w:vAlign w:val="bottom"/>
          </w:tcPr>
          <w:p>
            <w:pPr>
              <w:spacing w:after="0"/>
              <w:rPr>
                <w:sz w:val="1"/>
                <w:szCs w:val="1"/>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Corporation................</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Pell Rudman Trust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4,335,000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4,335,000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534,052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33,403</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Penn Treaty Network America</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515,000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515,000</w:t>
            </w: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3,968</w:t>
            </w:r>
          </w:p>
        </w:tc>
        <w:tc>
          <w:tcPr>
            <w:tcW w:w="0" w:type="dxa"/>
            <w:vAlign w:val="bottom"/>
          </w:tcPr>
          <w:p>
            <w:pPr>
              <w:spacing w:after="0"/>
              <w:rPr>
                <w:sz w:val="1"/>
                <w:szCs w:val="1"/>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Pension Reserves Investment</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800,000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800,000</w:t>
            </w: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6,164</w:t>
            </w:r>
          </w:p>
        </w:tc>
        <w:tc>
          <w:tcPr>
            <w:tcW w:w="0" w:type="dxa"/>
            <w:vAlign w:val="bottom"/>
          </w:tcPr>
          <w:p>
            <w:pPr>
              <w:spacing w:after="0"/>
              <w:rPr>
                <w:sz w:val="1"/>
                <w:szCs w:val="1"/>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Trust......................</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Peoples Benefit Life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(Teamsters Separate</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5,000,000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5,000,000</w:t>
            </w: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38,528</w:t>
            </w:r>
          </w:p>
        </w:tc>
        <w:tc>
          <w:tcPr>
            <w:tcW w:w="0" w:type="dxa"/>
            <w:vAlign w:val="bottom"/>
          </w:tcPr>
          <w:p>
            <w:pPr>
              <w:spacing w:after="0"/>
              <w:rPr>
                <w:sz w:val="1"/>
                <w:szCs w:val="1"/>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Account)...................</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Physicians' Reciprocal</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1,000,000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1,000,000</w:t>
            </w: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7,705</w:t>
            </w:r>
          </w:p>
        </w:tc>
        <w:tc>
          <w:tcPr>
            <w:tcW w:w="0" w:type="dxa"/>
            <w:vAlign w:val="bottom"/>
          </w:tcPr>
          <w:p>
            <w:pPr>
              <w:spacing w:after="0"/>
              <w:rPr>
                <w:sz w:val="1"/>
                <w:szCs w:val="1"/>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Insurers Account #7........</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PIMCO Convertible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3,200,000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24,657</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PRIM Board..................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4,500,000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34,675</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Primerica Life Insurance</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2,226,000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2,226,000</w:t>
            </w: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17,152</w:t>
            </w:r>
          </w:p>
        </w:tc>
        <w:tc>
          <w:tcPr>
            <w:tcW w:w="0" w:type="dxa"/>
            <w:vAlign w:val="bottom"/>
          </w:tcPr>
          <w:p>
            <w:pPr>
              <w:spacing w:after="0"/>
              <w:rPr>
                <w:sz w:val="1"/>
                <w:szCs w:val="1"/>
                <w:color w:val="auto"/>
              </w:rPr>
            </w:pPr>
          </w:p>
        </w:tc>
      </w:tr>
      <w:tr>
        <w:trPr>
          <w:trHeight w:val="203"/>
        </w:trPr>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Company</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ProMutual...................</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162,000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162,000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1,248</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Putnam Asset Allocation</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332,000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332,000</w:t>
            </w: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2,558</w:t>
            </w:r>
          </w:p>
        </w:tc>
        <w:tc>
          <w:tcPr>
            <w:tcW w:w="0" w:type="dxa"/>
            <w:vAlign w:val="bottom"/>
          </w:tcPr>
          <w:p>
            <w:pPr>
              <w:spacing w:after="0"/>
              <w:rPr>
                <w:sz w:val="1"/>
                <w:szCs w:val="1"/>
                <w:color w:val="auto"/>
              </w:rPr>
            </w:pPr>
          </w:p>
        </w:tc>
      </w:tr>
      <w:tr>
        <w:trPr>
          <w:trHeight w:val="203"/>
        </w:trPr>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Funds--</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Balanced Portfolio..</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Putnam Asset Allocation</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Funds--</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Conservative</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199,000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199,000</w:t>
            </w: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1,533</w:t>
            </w:r>
          </w:p>
        </w:tc>
        <w:tc>
          <w:tcPr>
            <w:tcW w:w="0" w:type="dxa"/>
            <w:vAlign w:val="bottom"/>
          </w:tcPr>
          <w:p>
            <w:pPr>
              <w:spacing w:after="0"/>
              <w:rPr>
                <w:sz w:val="1"/>
                <w:szCs w:val="1"/>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Portfolio..................</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Putnam Convertible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Opportunities and Income</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109,000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109,000</w:t>
            </w: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839</w:t>
            </w:r>
          </w:p>
        </w:tc>
        <w:tc>
          <w:tcPr>
            <w:tcW w:w="0" w:type="dxa"/>
            <w:vAlign w:val="bottom"/>
          </w:tcPr>
          <w:p>
            <w:pPr>
              <w:spacing w:after="0"/>
              <w:rPr>
                <w:sz w:val="1"/>
                <w:szCs w:val="1"/>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Trust......................</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Quattro Fund, LLC ..........</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3,000,000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23,116</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Queen's Health Plan.........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45,000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RET Pension Plan of the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California State Automobile</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400,000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400,000</w:t>
            </w: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3,082</w:t>
            </w:r>
          </w:p>
        </w:tc>
        <w:tc>
          <w:tcPr>
            <w:tcW w:w="0" w:type="dxa"/>
            <w:vAlign w:val="bottom"/>
          </w:tcPr>
          <w:p>
            <w:pPr>
              <w:spacing w:after="0"/>
              <w:rPr>
                <w:sz w:val="1"/>
                <w:szCs w:val="1"/>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Association................</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Radian Guaranty, Inc........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10,017</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Reliant Energy Retirement</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150,000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150,000</w:t>
            </w: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1,155</w:t>
            </w:r>
          </w:p>
        </w:tc>
        <w:tc>
          <w:tcPr>
            <w:tcW w:w="0" w:type="dxa"/>
            <w:vAlign w:val="bottom"/>
          </w:tcPr>
          <w:p>
            <w:pPr>
              <w:spacing w:after="0"/>
              <w:rPr>
                <w:sz w:val="1"/>
                <w:szCs w:val="1"/>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Plan.......................</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Rhapsody Fund,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13,000,000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100,172</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Robertson Stephens..........</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14,800,000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14,800,000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114,042</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Rohm &amp; Haas Company Pension</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100,000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100,000</w:t>
            </w: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770</w:t>
            </w:r>
          </w:p>
        </w:tc>
        <w:tc>
          <w:tcPr>
            <w:tcW w:w="0" w:type="dxa"/>
            <w:vAlign w:val="bottom"/>
          </w:tcPr>
          <w:p>
            <w:pPr>
              <w:spacing w:after="0"/>
              <w:rPr>
                <w:sz w:val="1"/>
                <w:szCs w:val="1"/>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Royal Bank of Canada........</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17,000,000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157,230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130,995</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SG Cowen Securities Corp....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22,500,000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173,376</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Salomon Brothers Asset</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4,550,000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4,550,000</w:t>
            </w: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35,060</w:t>
            </w:r>
          </w:p>
        </w:tc>
        <w:tc>
          <w:tcPr>
            <w:tcW w:w="0" w:type="dxa"/>
            <w:vAlign w:val="bottom"/>
          </w:tcPr>
          <w:p>
            <w:pPr>
              <w:spacing w:after="0"/>
              <w:rPr>
                <w:sz w:val="1"/>
                <w:szCs w:val="1"/>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Management, Inc. ..........</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Salomon Smith Barney Inc....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Southern Farm Bureau Life</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1,530,000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1,530,000</w:t>
            </w: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11,789</w:t>
            </w:r>
          </w:p>
        </w:tc>
        <w:tc>
          <w:tcPr>
            <w:tcW w:w="0" w:type="dxa"/>
            <w:vAlign w:val="bottom"/>
          </w:tcPr>
          <w:p>
            <w:pPr>
              <w:spacing w:after="0"/>
              <w:rPr>
                <w:sz w:val="1"/>
                <w:szCs w:val="1"/>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Insurance..................</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 Albans Partners Ltd.....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38,528</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 Thomas Trading, Ltd. ...</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Starvest Combined</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1,260,000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1,260,000</w:t>
            </w: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9,709</w:t>
            </w:r>
          </w:p>
        </w:tc>
        <w:tc>
          <w:tcPr>
            <w:tcW w:w="0" w:type="dxa"/>
            <w:vAlign w:val="bottom"/>
          </w:tcPr>
          <w:p>
            <w:pPr>
              <w:spacing w:after="0"/>
              <w:rPr>
                <w:sz w:val="1"/>
                <w:szCs w:val="1"/>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Portfolio..................</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Starvest Managed Portfolio..</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of Oregon/Equity......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7,450,000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57,406</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of Oregon/SAIF</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5,350,000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5,350,000</w:t>
            </w: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41,224</w:t>
            </w:r>
          </w:p>
        </w:tc>
        <w:tc>
          <w:tcPr>
            <w:tcW w:w="0" w:type="dxa"/>
            <w:vAlign w:val="bottom"/>
          </w:tcPr>
          <w:p>
            <w:pPr>
              <w:spacing w:after="0"/>
              <w:rPr>
                <w:sz w:val="1"/>
                <w:szCs w:val="1"/>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Corporation................</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Street Bank as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Custodian for GE Pension</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3,135,000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3,135,000</w:t>
            </w: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24,157</w:t>
            </w:r>
          </w:p>
        </w:tc>
        <w:tc>
          <w:tcPr>
            <w:tcW w:w="0" w:type="dxa"/>
            <w:vAlign w:val="bottom"/>
          </w:tcPr>
          <w:p>
            <w:pPr>
              <w:spacing w:after="0"/>
              <w:rPr>
                <w:sz w:val="1"/>
                <w:szCs w:val="1"/>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Trust......................</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Sun America Style Select</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450,000</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450,000</w:t>
            </w: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3,467</w:t>
            </w:r>
          </w:p>
        </w:tc>
        <w:tc>
          <w:tcPr>
            <w:tcW w:w="0" w:type="dxa"/>
            <w:vAlign w:val="bottom"/>
          </w:tcPr>
          <w:p>
            <w:pPr>
              <w:spacing w:after="0"/>
              <w:rPr>
                <w:sz w:val="1"/>
                <w:szCs w:val="1"/>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Series Equity Income.......</w:t>
            </w:r>
          </w:p>
        </w:tc>
        <w:tc>
          <w:tcPr>
            <w:tcW w:w="14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Target Corporation..........</w:t>
            </w:r>
          </w:p>
        </w:tc>
        <w:tc>
          <w:tcPr>
            <w:tcW w:w="14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350,000</w:t>
            </w:r>
          </w:p>
        </w:tc>
        <w:tc>
          <w:tcPr>
            <w:tcW w:w="1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350,000</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2,696</w:t>
            </w:r>
          </w:p>
        </w:tc>
        <w:tc>
          <w:tcPr>
            <w:tcW w:w="0" w:type="dxa"/>
            <w:vAlign w:val="bottom"/>
          </w:tcPr>
          <w:p>
            <w:pPr>
              <w:spacing w:after="0"/>
              <w:rPr>
                <w:sz w:val="1"/>
                <w:szCs w:val="1"/>
                <w:color w:val="auto"/>
              </w:rPr>
            </w:pPr>
          </w:p>
        </w:tc>
      </w:tr>
    </w:tbl>
    <w:p>
      <w:pPr>
        <w:sectPr>
          <w:pgSz w:w="11900" w:h="16838" w:orient="portrait"/>
          <w:cols w:equalWidth="0" w:num="1">
            <w:col w:w="10219"/>
          </w:cols>
          <w:pgMar w:left="240" w:top="1094" w:right="1440"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Teachers Insurance and</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9,000,000</w:t>
            </w:r>
          </w:p>
        </w:tc>
        <w:tc>
          <w:tcPr>
            <w:tcW w:w="15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9,000,000</w:t>
            </w: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69,350</w:t>
            </w:r>
          </w:p>
        </w:tc>
        <w:tc>
          <w:tcPr>
            <w:tcW w:w="0" w:type="dxa"/>
            <w:vAlign w:val="bottom"/>
          </w:tcPr>
          <w:p>
            <w:pPr>
              <w:spacing w:after="0"/>
              <w:rPr>
                <w:sz w:val="1"/>
                <w:szCs w:val="1"/>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Annuity Association........</w:t>
            </w:r>
          </w:p>
        </w:tc>
        <w:tc>
          <w:tcPr>
            <w:tcW w:w="14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Thomas Weisel Partners LLC..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24,275,000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24,275,000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94,200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187,053</w:t>
            </w:r>
          </w:p>
        </w:tc>
        <w:tc>
          <w:tcPr>
            <w:tcW w:w="0" w:type="dxa"/>
            <w:vAlign w:val="bottom"/>
          </w:tcPr>
          <w:p>
            <w:pPr>
              <w:spacing w:after="0"/>
              <w:rPr>
                <w:sz w:val="1"/>
                <w:szCs w:val="1"/>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Toronto Dominion (New York),</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39,000,000</w:t>
            </w:r>
          </w:p>
        </w:tc>
        <w:tc>
          <w:tcPr>
            <w:tcW w:w="15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39,000,000</w:t>
            </w: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300,518</w:t>
            </w:r>
          </w:p>
        </w:tc>
        <w:tc>
          <w:tcPr>
            <w:tcW w:w="0" w:type="dxa"/>
            <w:vAlign w:val="bottom"/>
          </w:tcPr>
          <w:p>
            <w:pPr>
              <w:spacing w:after="0"/>
              <w:rPr>
                <w:sz w:val="1"/>
                <w:szCs w:val="1"/>
                <w:color w:val="auto"/>
              </w:rPr>
            </w:pPr>
          </w:p>
        </w:tc>
      </w:tr>
      <w:tr>
        <w:trPr>
          <w:trHeight w:val="203"/>
        </w:trPr>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Transamerica Life Insurance</w:t>
            </w:r>
          </w:p>
        </w:tc>
        <w:tc>
          <w:tcPr>
            <w:tcW w:w="14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7,000,000</w:t>
            </w:r>
          </w:p>
        </w:tc>
        <w:tc>
          <w:tcPr>
            <w:tcW w:w="15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7,000,000</w:t>
            </w: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53,939</w:t>
            </w:r>
          </w:p>
        </w:tc>
        <w:tc>
          <w:tcPr>
            <w:tcW w:w="0" w:type="dxa"/>
            <w:vAlign w:val="bottom"/>
          </w:tcPr>
          <w:p>
            <w:pPr>
              <w:spacing w:after="0"/>
              <w:rPr>
                <w:sz w:val="1"/>
                <w:szCs w:val="1"/>
                <w:color w:val="auto"/>
              </w:rPr>
            </w:pPr>
          </w:p>
        </w:tc>
      </w:tr>
      <w:tr>
        <w:trPr>
          <w:trHeight w:val="296"/>
        </w:trPr>
        <w:tc>
          <w:tcPr>
            <w:tcW w:w="3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and Annuity Company........</w:t>
            </w:r>
          </w:p>
        </w:tc>
        <w:tc>
          <w:tcPr>
            <w:tcW w:w="1480" w:type="dxa"/>
            <w:vAlign w:val="bottom"/>
            <w:vMerge w:val="continue"/>
          </w:tcPr>
          <w:p>
            <w:pPr>
              <w:spacing w:after="0"/>
              <w:rPr>
                <w:sz w:val="24"/>
                <w:szCs w:val="24"/>
                <w:color w:val="auto"/>
              </w:rPr>
            </w:pPr>
          </w:p>
        </w:tc>
        <w:tc>
          <w:tcPr>
            <w:tcW w:w="158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160" w:type="dxa"/>
            <w:vAlign w:val="bottom"/>
          </w:tcPr>
          <w:p>
            <w:pPr>
              <w:spacing w:after="0"/>
              <w:rPr>
                <w:sz w:val="24"/>
                <w:szCs w:val="24"/>
                <w:color w:val="auto"/>
              </w:rPr>
            </w:pPr>
          </w:p>
        </w:tc>
        <w:tc>
          <w:tcPr>
            <w:tcW w:w="14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w:t>
            </w:r>
          </w:p>
        </w:tc>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08" w:right="1440" w:bottom="1440" w:gutter="0" w:footer="0" w:header="0"/>
        </w:sectPr>
      </w:pPr>
    </w:p>
    <w:bookmarkStart w:id="11" w:name="page12"/>
    <w:bookmarkEnd w:id="11"/>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380" w:type="dxa"/>
            <w:vAlign w:val="bottom"/>
            <w:vMerge w:val="restart"/>
          </w:tcPr>
          <w:p>
            <w:pPr>
              <w:jc w:val="center"/>
              <w:ind w:left="592"/>
              <w:spacing w:after="0"/>
              <w:rPr>
                <w:sz w:val="20"/>
                <w:szCs w:val="20"/>
                <w:color w:val="auto"/>
              </w:rPr>
            </w:pPr>
            <w:r>
              <w:rPr>
                <w:rFonts w:ascii="Courier New" w:cs="Courier New" w:eastAsia="Courier New" w:hAnsi="Courier New"/>
                <w:sz w:val="18"/>
                <w:szCs w:val="18"/>
                <w:color w:val="auto"/>
                <w:w w:val="96"/>
              </w:rPr>
              <w:t>Amount Of</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Amount Of</w:t>
            </w:r>
          </w:p>
        </w:tc>
        <w:tc>
          <w:tcPr>
            <w:tcW w:w="1480" w:type="dxa"/>
            <w:vAlign w:val="bottom"/>
          </w:tcPr>
          <w:p>
            <w:pPr>
              <w:ind w:left="260"/>
              <w:spacing w:after="0"/>
              <w:rPr>
                <w:sz w:val="20"/>
                <w:szCs w:val="20"/>
                <w:color w:val="auto"/>
              </w:rPr>
            </w:pPr>
            <w:r>
              <w:rPr>
                <w:rFonts w:ascii="Courier New" w:cs="Courier New" w:eastAsia="Courier New" w:hAnsi="Courier New"/>
                <w:sz w:val="18"/>
                <w:szCs w:val="18"/>
                <w:color w:val="auto"/>
              </w:rPr>
              <w:t>Shares Of</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3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4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That</w:t>
            </w:r>
          </w:p>
        </w:tc>
        <w:tc>
          <w:tcPr>
            <w:tcW w:w="0" w:type="dxa"/>
            <w:vAlign w:val="bottom"/>
          </w:tcPr>
          <w:p>
            <w:pPr>
              <w:spacing w:after="0"/>
              <w:rPr>
                <w:sz w:val="1"/>
                <w:szCs w:val="1"/>
                <w:color w:val="auto"/>
              </w:rPr>
            </w:pPr>
          </w:p>
        </w:tc>
      </w:tr>
      <w:tr>
        <w:trPr>
          <w:trHeight w:val="203"/>
        </w:trPr>
        <w:tc>
          <w:tcPr>
            <w:tcW w:w="1160" w:type="dxa"/>
            <w:vAlign w:val="bottom"/>
            <w:vMerge w:val="restart"/>
          </w:tcPr>
          <w:p>
            <w:pPr>
              <w:spacing w:after="0"/>
              <w:rPr>
                <w:sz w:val="20"/>
                <w:szCs w:val="20"/>
                <w:color w:val="auto"/>
              </w:rPr>
            </w:pPr>
            <w:r>
              <w:rPr>
                <w:rFonts w:ascii="Courier New" w:cs="Courier New" w:eastAsia="Courier New" w:hAnsi="Courier New"/>
                <w:sz w:val="18"/>
                <w:szCs w:val="18"/>
                <w:color w:val="auto"/>
              </w:rPr>
              <w:t>Name</w:t>
            </w:r>
          </w:p>
        </w:tc>
        <w:tc>
          <w:tcPr>
            <w:tcW w:w="2380" w:type="dxa"/>
            <w:vAlign w:val="bottom"/>
          </w:tcPr>
          <w:p>
            <w:pPr>
              <w:jc w:val="center"/>
              <w:ind w:left="61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Notes That</w:t>
            </w:r>
          </w:p>
        </w:tc>
        <w:tc>
          <w:tcPr>
            <w:tcW w:w="14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May</w:t>
            </w:r>
          </w:p>
        </w:tc>
        <w:tc>
          <w:tcPr>
            <w:tcW w:w="0" w:type="dxa"/>
            <w:vAlign w:val="bottom"/>
          </w:tcPr>
          <w:p>
            <w:pPr>
              <w:spacing w:after="0"/>
              <w:rPr>
                <w:sz w:val="1"/>
                <w:szCs w:val="1"/>
                <w:color w:val="auto"/>
              </w:rPr>
            </w:pPr>
          </w:p>
        </w:tc>
      </w:tr>
      <w:tr>
        <w:trPr>
          <w:trHeight w:val="235"/>
        </w:trPr>
        <w:tc>
          <w:tcPr>
            <w:tcW w:w="1160" w:type="dxa"/>
            <w:vAlign w:val="bottom"/>
            <w:vMerge w:val="continue"/>
          </w:tcPr>
          <w:p>
            <w:pPr>
              <w:spacing w:after="0"/>
              <w:rPr>
                <w:sz w:val="20"/>
                <w:szCs w:val="20"/>
                <w:color w:val="auto"/>
              </w:rPr>
            </w:pPr>
          </w:p>
        </w:tc>
        <w:tc>
          <w:tcPr>
            <w:tcW w:w="2380" w:type="dxa"/>
            <w:vAlign w:val="bottom"/>
          </w:tcPr>
          <w:p>
            <w:pPr>
              <w:jc w:val="center"/>
              <w:ind w:left="592"/>
              <w:spacing w:after="0"/>
              <w:rPr>
                <w:sz w:val="20"/>
                <w:szCs w:val="20"/>
                <w:color w:val="auto"/>
              </w:rPr>
            </w:pPr>
            <w:r>
              <w:rPr>
                <w:rFonts w:ascii="Courier New" w:cs="Courier New" w:eastAsia="Courier New" w:hAnsi="Courier New"/>
                <w:sz w:val="18"/>
                <w:szCs w:val="18"/>
                <w:color w:val="auto"/>
                <w:w w:val="97"/>
              </w:rPr>
              <w:t>Before Offering</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w w:val="99"/>
              </w:rPr>
              <w:t>May Be Sold</w:t>
            </w:r>
          </w:p>
        </w:tc>
        <w:tc>
          <w:tcPr>
            <w:tcW w:w="148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Offering</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w w:val="95"/>
              </w:rPr>
              <w:t>Be Sold</w:t>
            </w:r>
          </w:p>
        </w:tc>
        <w:tc>
          <w:tcPr>
            <w:tcW w:w="0" w:type="dxa"/>
            <w:vAlign w:val="bottom"/>
          </w:tcPr>
          <w:p>
            <w:pPr>
              <w:spacing w:after="0"/>
              <w:rPr>
                <w:sz w:val="1"/>
                <w:szCs w:val="1"/>
                <w:color w:val="auto"/>
              </w:rPr>
            </w:pPr>
          </w:p>
        </w:tc>
      </w:tr>
    </w:tbl>
    <w:p>
      <w:pPr>
        <w:ind w:left="3060" w:hanging="1893"/>
        <w:spacing w:after="0"/>
        <w:tabs>
          <w:tab w:leader="none" w:pos="3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The Travelers Indemnity</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7,223,000</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7,223,000</w:t>
            </w:r>
          </w:p>
        </w:tc>
        <w:tc>
          <w:tcPr>
            <w:tcW w:w="15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55,657</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Travelers Insurance</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3,772,000</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3,772,000</w:t>
            </w:r>
          </w:p>
        </w:tc>
        <w:tc>
          <w:tcPr>
            <w:tcW w:w="15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29,065</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Company--Life.............</w:t>
            </w:r>
          </w:p>
        </w:tc>
        <w:tc>
          <w:tcPr>
            <w:tcW w:w="14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Travelers Insurance</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 Separate Account</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428,000</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428,000</w:t>
            </w:r>
          </w:p>
        </w:tc>
        <w:tc>
          <w:tcPr>
            <w:tcW w:w="15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3,297</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TLAC......................</w:t>
            </w:r>
          </w:p>
        </w:tc>
        <w:tc>
          <w:tcPr>
            <w:tcW w:w="14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Travelers Life and</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451,000</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451,000</w:t>
            </w:r>
          </w:p>
        </w:tc>
        <w:tc>
          <w:tcPr>
            <w:tcW w:w="15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3,475</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Annuity Company...........</w:t>
            </w:r>
          </w:p>
        </w:tc>
        <w:tc>
          <w:tcPr>
            <w:tcW w:w="14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Travelers Series</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Bond</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600,000</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600,000</w:t>
            </w:r>
          </w:p>
        </w:tc>
        <w:tc>
          <w:tcPr>
            <w:tcW w:w="15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4,623</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Portfolio.................</w:t>
            </w:r>
          </w:p>
        </w:tc>
        <w:tc>
          <w:tcPr>
            <w:tcW w:w="14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Travelers Series Managed</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300,000</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300,000</w:t>
            </w:r>
          </w:p>
        </w:tc>
        <w:tc>
          <w:tcPr>
            <w:tcW w:w="15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2,311</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Trust..............</w:t>
            </w:r>
          </w:p>
        </w:tc>
        <w:tc>
          <w:tcPr>
            <w:tcW w:w="14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UBFAM Arbitrage Fund Ltd.</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1,000,000</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1,000,000</w:t>
            </w:r>
          </w:p>
        </w:tc>
        <w:tc>
          <w:tcPr>
            <w:tcW w:w="15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7,705</w:t>
            </w:r>
          </w:p>
        </w:tc>
        <w:tc>
          <w:tcPr>
            <w:tcW w:w="0" w:type="dxa"/>
            <w:vAlign w:val="bottom"/>
          </w:tcPr>
          <w:p>
            <w:pPr>
              <w:spacing w:after="0"/>
              <w:rPr>
                <w:sz w:val="1"/>
                <w:szCs w:val="1"/>
                <w:color w:val="auto"/>
              </w:rPr>
            </w:pPr>
          </w:p>
        </w:tc>
      </w:tr>
      <w:tr>
        <w:trPr>
          <w:trHeight w:val="203"/>
        </w:trPr>
        <w:tc>
          <w:tcPr>
            <w:tcW w:w="3060" w:type="dxa"/>
            <w:vAlign w:val="bottom"/>
            <w:vMerge w:val="restart"/>
          </w:tcPr>
          <w:p>
            <w:pPr>
              <w:spacing w:after="0"/>
              <w:rPr>
                <w:sz w:val="20"/>
                <w:szCs w:val="20"/>
                <w:color w:val="auto"/>
              </w:rPr>
            </w:pPr>
            <w:r>
              <w:rPr>
                <w:rFonts w:ascii="Courier New" w:cs="Courier New" w:eastAsia="Courier New" w:hAnsi="Courier New"/>
                <w:sz w:val="23"/>
                <w:szCs w:val="23"/>
                <w:color w:val="auto"/>
                <w:w w:val="71"/>
                <w:vertAlign w:val="subscript"/>
              </w:rPr>
              <w:t>UBS</w:t>
            </w:r>
            <w:r>
              <w:rPr>
                <w:rFonts w:ascii="Courier New" w:cs="Courier New" w:eastAsia="Courier New" w:hAnsi="Courier New"/>
                <w:sz w:val="13"/>
                <w:szCs w:val="13"/>
                <w:color w:val="auto"/>
                <w:w w:val="71"/>
              </w:rPr>
              <w:t>..........................</w:t>
            </w:r>
            <w:r>
              <w:rPr>
                <w:rFonts w:ascii="Courier New" w:cs="Courier New" w:eastAsia="Courier New" w:hAnsi="Courier New"/>
                <w:sz w:val="23"/>
                <w:szCs w:val="23"/>
                <w:color w:val="auto"/>
                <w:w w:val="71"/>
                <w:vertAlign w:val="subscript"/>
              </w:rPr>
              <w:t>AG,LondonBranch......</w:t>
            </w:r>
          </w:p>
        </w:tc>
        <w:tc>
          <w:tcPr>
            <w:tcW w:w="14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vMerge w:val="continue"/>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27,500,000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27,500,000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211,904</w:t>
            </w: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U.S. Olympic Foundation....</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w:t>
            </w: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Food and Commercial</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Workers Tri-State Pension</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150,000</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150,000</w:t>
            </w:r>
          </w:p>
        </w:tc>
        <w:tc>
          <w:tcPr>
            <w:tcW w:w="15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1,155</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Healthcare Insurance</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2,000,000</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2,000,000</w:t>
            </w:r>
          </w:p>
        </w:tc>
        <w:tc>
          <w:tcPr>
            <w:tcW w:w="15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15,411</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University of Rochester....</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w:t>
            </w: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Virginia Insurance</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500,000</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500,000</w:t>
            </w:r>
          </w:p>
        </w:tc>
        <w:tc>
          <w:tcPr>
            <w:tcW w:w="15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3,852</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Reciprocal................</w:t>
            </w:r>
          </w:p>
        </w:tc>
        <w:tc>
          <w:tcPr>
            <w:tcW w:w="14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Line Convertible</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1,000,000</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1,000,000</w:t>
            </w:r>
          </w:p>
        </w:tc>
        <w:tc>
          <w:tcPr>
            <w:tcW w:w="15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7,705</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 Inc.................</w:t>
            </w:r>
          </w:p>
        </w:tc>
        <w:tc>
          <w:tcPr>
            <w:tcW w:w="14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Van Kampen Harbor Fund.....</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8,100,000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8,100,000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5,003,250(6)</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62,415</w:t>
            </w: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Whitaker Foundation....</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w:t>
            </w: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White River Securities,</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20,000,000</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20,000,000</w:t>
            </w:r>
          </w:p>
        </w:tc>
        <w:tc>
          <w:tcPr>
            <w:tcW w:w="15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154,112</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L.L.C.....................</w:t>
            </w:r>
          </w:p>
        </w:tc>
        <w:tc>
          <w:tcPr>
            <w:tcW w:w="14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Worldwide Transactions,</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702,000</w:t>
            </w:r>
          </w:p>
        </w:tc>
        <w:tc>
          <w:tcPr>
            <w:tcW w:w="1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702,000</w:t>
            </w:r>
          </w:p>
        </w:tc>
        <w:tc>
          <w:tcPr>
            <w:tcW w:w="15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5,409</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Ltd.......................</w:t>
            </w:r>
          </w:p>
        </w:tc>
        <w:tc>
          <w:tcPr>
            <w:tcW w:w="14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Zeneca AG Products, Inc....</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221,000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221,000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1,702</w:t>
            </w:r>
          </w:p>
        </w:tc>
        <w:tc>
          <w:tcPr>
            <w:tcW w:w="0" w:type="dxa"/>
            <w:vAlign w:val="bottom"/>
          </w:tcPr>
          <w:p>
            <w:pPr>
              <w:spacing w:after="0"/>
              <w:rPr>
                <w:sz w:val="1"/>
                <w:szCs w:val="1"/>
                <w:color w:val="auto"/>
              </w:rPr>
            </w:pPr>
          </w:p>
        </w:tc>
      </w:t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Zeneca Holdings Trust......</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940,000</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940,000</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7,243</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right="2519"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Allstate Life Insurance Company is a subsidiary of Allstate Insurance Company.</w:t>
      </w:r>
    </w:p>
    <w:p>
      <w:pPr>
        <w:ind w:left="420" w:right="1879"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169,500 shares of common stock held by Allstate Insurance Company, 14,100 shares of common stock held by Allstate Life Insurance Company, and 92,500 shares of common stock held by affiliates of Allstate Insurance Company and Allstate Life Insurance Company.</w:t>
      </w:r>
    </w:p>
    <w:p>
      <w:pPr>
        <w:spacing w:after="0" w:line="1" w:lineRule="exact"/>
        <w:rPr>
          <w:rFonts w:ascii="Courier New" w:cs="Courier New" w:eastAsia="Courier New" w:hAnsi="Courier New"/>
          <w:sz w:val="18"/>
          <w:szCs w:val="18"/>
          <w:color w:val="auto"/>
        </w:rPr>
      </w:pPr>
    </w:p>
    <w:p>
      <w:pPr>
        <w:ind w:left="420" w:right="1879"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$2,500,000 principal amount of registered notes that CFFX, LLC has purchased on the open market. These notes are not being offered by this prospectus.</w:t>
      </w:r>
    </w:p>
    <w:p>
      <w:pPr>
        <w:spacing w:after="0" w:line="1" w:lineRule="exact"/>
        <w:rPr>
          <w:rFonts w:ascii="Courier New" w:cs="Courier New" w:eastAsia="Courier New" w:hAnsi="Courier New"/>
          <w:sz w:val="18"/>
          <w:szCs w:val="18"/>
          <w:color w:val="auto"/>
        </w:rPr>
      </w:pPr>
    </w:p>
    <w:p>
      <w:pPr>
        <w:jc w:val="both"/>
        <w:ind w:left="420" w:right="2319"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$10,000,000 principal amount of registered notes that Goldman, Sachs &amp; Co. has purchased on the open market. These notes are not being offered by this prospectus.</w:t>
      </w:r>
    </w:p>
    <w:p>
      <w:pPr>
        <w:spacing w:after="0" w:line="1" w:lineRule="exact"/>
        <w:rPr>
          <w:rFonts w:ascii="Courier New" w:cs="Courier New" w:eastAsia="Courier New" w:hAnsi="Courier New"/>
          <w:sz w:val="18"/>
          <w:szCs w:val="18"/>
          <w:color w:val="auto"/>
        </w:rPr>
      </w:pPr>
    </w:p>
    <w:p>
      <w:pPr>
        <w:ind w:left="420" w:right="2099" w:hanging="412"/>
        <w:spacing w:after="0" w:line="268" w:lineRule="auto"/>
        <w:tabs>
          <w:tab w:leader="none" w:pos="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Northwestern Mutual Life Insurance Company is the indirect beneficial owner with shared investment and voting power of these shares of common stock, which are currently held by affiliated entities.</w:t>
      </w:r>
    </w:p>
    <w:p>
      <w:pPr>
        <w:ind w:left="420" w:right="2199" w:hanging="412"/>
        <w:spacing w:after="0" w:line="309"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these shares of common stock are held by entities affiliated with Van Kampen Harbor Fund.</w:t>
      </w:r>
    </w:p>
    <w:p>
      <w:pPr>
        <w:spacing w:after="0" w:line="51"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The date of this Prospectus Supplement is February 22, 2001.</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7</w:t>
      </w:r>
    </w:p>
    <w:sectPr>
      <w:pgSz w:w="11900" w:h="16838" w:orient="portrait"/>
      <w:cols w:equalWidth="0" w:num="1">
        <w:col w:w="10219"/>
      </w:cols>
      <w:pgMar w:left="240" w:top="10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2019-12-20T01:08:37Z</dcterms:created>
  <dcterms:modified xsi:type="dcterms:W3CDTF">2019-12-20T01:08:37Z</dcterms:modified>
</cp:coreProperties>
</file>