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August 2, 2008</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345"/>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310"/>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240" w:top="122" w:right="399" w:bottom="1440" w:gutter="0" w:footer="0" w:header="0"/>
        </w:sectPr>
      </w:pPr>
    </w:p>
    <w:p>
      <w:pPr>
        <w:spacing w:after="0" w:line="91"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120"/>
          </w:cols>
          <w:pgMar w:left="240" w:top="122" w:right="399" w:bottom="1440" w:gutter="0" w:footer="0" w:header="0"/>
          <w:type w:val="continuous"/>
        </w:sectPr>
      </w:pPr>
    </w:p>
    <w:p>
      <w:pPr>
        <w:ind w:left="220" w:right="1860" w:firstLine="1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2008 there were 290,446,240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0"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658,986</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617,431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sales (1)</w:t>
            </w: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257,192</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243,939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401,794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135,837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104,767</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227,999</w:t>
            </w: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161,190</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(8,205)</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168,731</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161,942</w:t>
            </w: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39,536</w:t>
            </w:r>
          </w:p>
        </w:tc>
        <w:tc>
          <w:tcPr>
            <w:tcW w:w="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36,536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125,406</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5,611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income (loss) from discontinued operations, net of tax</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439"/>
        </w:trPr>
        <w:tc>
          <w:tcPr>
            <w:tcW w:w="6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138,608</w:t>
            </w:r>
          </w:p>
        </w:tc>
        <w:tc>
          <w:tcPr>
            <w:tcW w:w="6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120,435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290,376</w:t>
            </w: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295,001</w:t>
            </w:r>
          </w:p>
        </w:tc>
        <w:tc>
          <w:tcPr>
            <w:tcW w:w="6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327,331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6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3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1,943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6,178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7,077</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3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5,452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6,615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1,922,235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1,806,179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Revenue from one-time IP license</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1,922,235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1,841,179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Cost of sales (1)</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748,617</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1,173,618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309,301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709,330</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(31,400)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(30,449)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(79,843)</w:t>
            </w:r>
          </w:p>
        </w:tc>
        <w:tc>
          <w:tcPr>
            <w:tcW w:w="0" w:type="dxa"/>
            <w:vAlign w:val="bottom"/>
          </w:tcPr>
          <w:p>
            <w:pPr>
              <w:spacing w:after="0"/>
              <w:rPr>
                <w:sz w:val="1"/>
                <w:szCs w:val="1"/>
                <w:color w:val="auto"/>
              </w:rPr>
            </w:pPr>
          </w:p>
        </w:tc>
      </w:tr>
      <w:tr>
        <w:trPr>
          <w:trHeight w:val="439"/>
        </w:trPr>
        <w:tc>
          <w:tcPr>
            <w:tcW w:w="72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494,737</w:t>
            </w: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113,802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Minority interest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407,437</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250,785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income (loss) from discontinued operations, net of tax</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642,413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293,302</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298,207</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5,802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8,012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4"/>
              </w:rPr>
              <w:t>17,810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22,037</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4"/>
              </w:rPr>
              <w:t>15,580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20,987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August 2,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418,456</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859,188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326,456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13,221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207,365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2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309,870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90,087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38,876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2,056,502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378,183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1,473,983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64,907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65,384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1,982,457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1,424,145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2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558,312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investments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260,152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17,372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61,992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41,876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2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477,311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3,092,125</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300" w:firstLine="8"/>
        <w:spacing w:after="0" w:line="402"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$2,566 and $3,371 related to stock-based compensation at August 2, 2008 and November 3, 2007,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August 2,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126,240</w:t>
            </w:r>
          </w:p>
        </w:tc>
        <w:tc>
          <w:tcPr>
            <w:tcW w:w="300" w:type="dxa"/>
            <w:vAlign w:val="bottom"/>
          </w:tcPr>
          <w:p>
            <w:pPr>
              <w:spacing w:after="0"/>
              <w:rPr>
                <w:sz w:val="24"/>
                <w:szCs w:val="24"/>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174,070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75,025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157,873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76,431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613,313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12,933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33,042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42,479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290,446,240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outstanding (303,354,180 on November 3, 2007)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48,409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2,320,462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21,487</w:t>
            </w:r>
          </w:p>
        </w:tc>
        <w:tc>
          <w:tcPr>
            <w:tcW w:w="3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2,390,358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3,092,125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28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93"/>
              </w:rPr>
              <w:t>August 2, 2008</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642,413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36,895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Gain on sale of business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Income tax payments related to gain on sale of businesses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(67,283)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Excess tax benefit-stock options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Gain on sale of an investment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non-cash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238,497</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527,110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(1,551,019)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(1,495,905)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1,348,947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2,397,676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proceeds from sales of businesses (See Note 13)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403,181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Proceeds from sale of an investment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791,963</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(552,380)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(1,329,521)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Increase in liability from common stock repurchases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83,005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12,967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facility fees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(164,425)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(1,381,116)</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418,456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2,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3, 2007 and related notes. The results of operations for the interim period shown in this report are not necessarily indicative of the results that may be expected for the fiscal year ending November 1, 2008 or any future period.</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August 2, 2008 and November 3, 2007. The historical results of operations of these businesses have been segregated from the Company’s consolidated financial statements and are included in income (loss) from discontinued operations, net of tax, in the consolidated statements of income.</w:t>
      </w:r>
    </w:p>
    <w:p>
      <w:pPr>
        <w:spacing w:after="0" w:line="5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2008 is a 52-week fiscal year and fiscal 2007 was a 53-week fiscal year. The additional week in fiscal 2007 was included in the first quarter ended February 3, 2007. Therefore, the first nine months of fiscal 2007 included an additional week of operations as compared to the first nine months of fiscal 2008.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prior quarter’s shipments to that distributor. In addition, distributors are allowed to return unsold products if the Company terminates the relationship with the distributor.</w:t>
      </w:r>
    </w:p>
    <w:p>
      <w:pPr>
        <w:spacing w:after="0" w:line="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accounts receivable is recorded.</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August 2, 2008 and November 3, 2007, the Company had gross deferred revenue of $272.7 million and $250.6 million, respectively, and gross deferred cost of sales of $98.6 million and $99.2 million, respectively. Deferred income on shipments to distributors increased by $22.7 million in the first nine months of fiscal 2008 as a result of the Company’s shipments to its distributors in the first nine months of fiscal 2008 exceeding the distributors’ sales to their end customers during this same time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 and nine-month periods ended August 2, 2008 and August 4, 2007.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October 30, 2005 (the first day of its 2006 fiscal year), the Company adopted Statement of Financial Accounting Standards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using the modified prospective method as permitted under SFAS 123R. Under this transition method, compensation cost recognized in future periods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Grant-Date Fair Value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during the three- and nine-month periods ended August 2, 2008 and August 4, 2007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4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August 2, 2008</w:t>
            </w:r>
          </w:p>
        </w:tc>
        <w:tc>
          <w:tcPr>
            <w:tcW w:w="14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August 4, 2007</w:t>
            </w:r>
          </w:p>
        </w:tc>
        <w:tc>
          <w:tcPr>
            <w:tcW w:w="460" w:type="dxa"/>
            <w:vAlign w:val="bottom"/>
          </w:tcPr>
          <w:p>
            <w:pPr>
              <w:spacing w:after="0"/>
              <w:rPr>
                <w:sz w:val="12"/>
                <w:szCs w:val="12"/>
                <w:color w:val="auto"/>
              </w:rPr>
            </w:pPr>
          </w:p>
        </w:tc>
        <w:tc>
          <w:tcPr>
            <w:tcW w:w="14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August 2, 2008</w:t>
            </w:r>
          </w:p>
        </w:tc>
        <w:tc>
          <w:tcPr>
            <w:tcW w:w="14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67</w:t>
            </w:r>
          </w:p>
        </w:tc>
        <w:tc>
          <w:tcPr>
            <w:tcW w:w="142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109</w:t>
            </w: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4"/>
              </w:rPr>
              <w:t>5,733</w:t>
            </w: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31.96</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$38.74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29.89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84"/>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9.07</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Assumptions: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35.1%</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32.2%</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40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5.1</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3.3%</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2.49%</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ratably over the vesting period. The expense associated with the unvested portion of the pre-adoption grants has continued to be expensed using the graded attribution method.</w:t>
      </w:r>
    </w:p>
    <w:p>
      <w:pPr>
        <w:spacing w:after="0" w:line="8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August 2, 2008. The rate of 4.3% represents the portion that is expected to be forfeited each year over the vesting period. This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analysis will be re-evaluated quarterly and the forfeiture rate adjusted as necessary. Ultimately, the actual expense recognized over the vesting period will only be for those shares that vest.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2, 2008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Options</w:t>
            </w:r>
          </w:p>
        </w:tc>
        <w:tc>
          <w:tcPr>
            <w:tcW w:w="420" w:type="dxa"/>
            <w:vAlign w:val="bottom"/>
          </w:tcPr>
          <w:p>
            <w:pPr>
              <w:spacing w:after="0"/>
              <w:rPr>
                <w:sz w:val="12"/>
                <w:szCs w:val="12"/>
                <w:color w:val="auto"/>
              </w:rPr>
            </w:pPr>
          </w:p>
        </w:tc>
        <w:tc>
          <w:tcPr>
            <w:tcW w:w="12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August 2, 2008</w:t>
            </w:r>
          </w:p>
        </w:tc>
        <w:tc>
          <w:tcPr>
            <w:tcW w:w="8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0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5140" w:type="dxa"/>
            <w:vAlign w:val="bottom"/>
            <w:gridSpan w:val="2"/>
            <w:vMerge w:val="continue"/>
          </w:tcPr>
          <w:p>
            <w:pPr>
              <w:spacing w:after="0"/>
              <w:rPr>
                <w:sz w:val="15"/>
                <w:szCs w:val="15"/>
                <w:color w:val="auto"/>
              </w:rPr>
            </w:pPr>
          </w:p>
        </w:tc>
        <w:tc>
          <w:tcPr>
            <w:tcW w:w="2080" w:type="dxa"/>
            <w:vAlign w:val="bottom"/>
            <w:gridSpan w:val="4"/>
          </w:tcPr>
          <w:p>
            <w:pPr>
              <w:jc w:val="center"/>
              <w:ind w:left="473"/>
              <w:spacing w:after="0"/>
              <w:rPr>
                <w:sz w:val="20"/>
                <w:szCs w:val="20"/>
                <w:color w:val="auto"/>
              </w:rPr>
            </w:pPr>
            <w:r>
              <w:rPr>
                <w:rFonts w:ascii="Arial" w:cs="Arial" w:eastAsia="Arial" w:hAnsi="Arial"/>
                <w:sz w:val="14"/>
                <w:szCs w:val="14"/>
                <w:b w:val="1"/>
                <w:bCs w:val="1"/>
                <w:color w:val="auto"/>
                <w:w w:val="91"/>
              </w:rPr>
              <w:t>(in thousands)</w:t>
            </w: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100" w:type="dxa"/>
            <w:vAlign w:val="bottom"/>
          </w:tcPr>
          <w:p>
            <w:pPr>
              <w:jc w:val="center"/>
              <w:ind w:lef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May 3, 2008</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74,118</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35.88</w:t>
            </w:r>
          </w:p>
        </w:tc>
        <w:tc>
          <w:tcPr>
            <w:tcW w:w="1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31.96</w:t>
            </w: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(1,125)</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18.58</w:t>
            </w: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80" w:type="dxa"/>
            <w:vAlign w:val="bottom"/>
            <w:gridSpan w:val="4"/>
          </w:tcPr>
          <w:p>
            <w:pPr>
              <w:jc w:val="right"/>
              <w:ind w:right="280"/>
              <w:spacing w:after="0"/>
              <w:rPr>
                <w:sz w:val="20"/>
                <w:szCs w:val="20"/>
                <w:color w:val="auto"/>
              </w:rPr>
            </w:pPr>
            <w:r>
              <w:rPr>
                <w:rFonts w:ascii="Arial" w:cs="Arial" w:eastAsia="Arial" w:hAnsi="Arial"/>
                <w:sz w:val="18"/>
                <w:szCs w:val="18"/>
                <w:color w:val="auto"/>
              </w:rPr>
              <w:t>(194)</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34.62</w:t>
            </w: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42.90</w:t>
            </w: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2, 2008</w:t>
            </w:r>
          </w:p>
        </w:tc>
        <w:tc>
          <w:tcPr>
            <w:tcW w:w="8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36.09</w:t>
            </w:r>
          </w:p>
        </w:tc>
        <w:tc>
          <w:tcPr>
            <w:tcW w:w="1480" w:type="dxa"/>
            <w:vAlign w:val="bottom"/>
          </w:tcPr>
          <w:p>
            <w:pPr>
              <w:jc w:val="right"/>
              <w:ind w:right="221"/>
              <w:spacing w:after="0"/>
              <w:rPr>
                <w:sz w:val="20"/>
                <w:szCs w:val="20"/>
                <w:color w:val="auto"/>
              </w:rPr>
            </w:pPr>
            <w:r>
              <w:rPr>
                <w:rFonts w:ascii="Arial" w:cs="Arial" w:eastAsia="Arial" w:hAnsi="Arial"/>
                <w:sz w:val="18"/>
                <w:szCs w:val="18"/>
                <w:color w:val="auto"/>
              </w:rPr>
              <w:t>5.0</w:t>
            </w:r>
          </w:p>
        </w:tc>
        <w:tc>
          <w:tcPr>
            <w:tcW w:w="1100" w:type="dxa"/>
            <w:vAlign w:val="bottom"/>
          </w:tcPr>
          <w:p>
            <w:pPr>
              <w:jc w:val="center"/>
              <w:ind w:left="119"/>
              <w:spacing w:after="0"/>
              <w:rPr>
                <w:sz w:val="20"/>
                <w:szCs w:val="20"/>
                <w:color w:val="auto"/>
              </w:rPr>
            </w:pPr>
            <w:r>
              <w:rPr>
                <w:rFonts w:ascii="Arial" w:cs="Arial" w:eastAsia="Arial" w:hAnsi="Arial"/>
                <w:sz w:val="18"/>
                <w:szCs w:val="18"/>
                <w:color w:val="auto"/>
                <w:w w:val="87"/>
              </w:rPr>
              <w:t>$ 113,426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August 2, 2008</w:t>
            </w:r>
          </w:p>
        </w:tc>
        <w:tc>
          <w:tcPr>
            <w:tcW w:w="8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36.63</w:t>
            </w:r>
          </w:p>
        </w:tc>
        <w:tc>
          <w:tcPr>
            <w:tcW w:w="14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3.9</w:t>
            </w:r>
          </w:p>
        </w:tc>
        <w:tc>
          <w:tcPr>
            <w:tcW w:w="110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7"/>
              </w:rPr>
              <w:t>$ 110,467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August 2, 2008 (1)</w:t>
            </w:r>
          </w:p>
        </w:tc>
        <w:tc>
          <w:tcPr>
            <w:tcW w:w="1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212"/>
              <w:spacing w:after="0"/>
              <w:rPr>
                <w:sz w:val="20"/>
                <w:szCs w:val="20"/>
                <w:color w:val="auto"/>
              </w:rPr>
            </w:pPr>
            <w:r>
              <w:rPr>
                <w:rFonts w:ascii="Arial" w:cs="Arial" w:eastAsia="Arial" w:hAnsi="Arial"/>
                <w:sz w:val="18"/>
                <w:szCs w:val="18"/>
                <w:color w:val="auto"/>
              </w:rPr>
              <w:t>36.13</w:t>
            </w:r>
          </w:p>
        </w:tc>
        <w:tc>
          <w:tcPr>
            <w:tcW w:w="1480" w:type="dxa"/>
            <w:vAlign w:val="bottom"/>
            <w:vMerge w:val="restart"/>
          </w:tcPr>
          <w:p>
            <w:pPr>
              <w:jc w:val="right"/>
              <w:ind w:right="221"/>
              <w:spacing w:after="0"/>
              <w:rPr>
                <w:sz w:val="20"/>
                <w:szCs w:val="20"/>
                <w:color w:val="auto"/>
              </w:rPr>
            </w:pPr>
            <w:r>
              <w:rPr>
                <w:rFonts w:ascii="Arial" w:cs="Arial" w:eastAsia="Arial" w:hAnsi="Arial"/>
                <w:sz w:val="18"/>
                <w:szCs w:val="18"/>
                <w:color w:val="auto"/>
              </w:rPr>
              <w:t>5.0</w:t>
            </w:r>
          </w:p>
        </w:tc>
        <w:tc>
          <w:tcPr>
            <w:tcW w:w="1100" w:type="dxa"/>
            <w:vAlign w:val="bottom"/>
            <w:vMerge w:val="restart"/>
          </w:tcPr>
          <w:p>
            <w:pPr>
              <w:jc w:val="center"/>
              <w:ind w:left="119"/>
              <w:spacing w:after="0"/>
              <w:rPr>
                <w:sz w:val="20"/>
                <w:szCs w:val="20"/>
                <w:color w:val="auto"/>
              </w:rPr>
            </w:pPr>
            <w:r>
              <w:rPr>
                <w:rFonts w:ascii="Arial" w:cs="Arial" w:eastAsia="Arial" w:hAnsi="Arial"/>
                <w:sz w:val="18"/>
                <w:szCs w:val="18"/>
                <w:color w:val="auto"/>
                <w:w w:val="87"/>
              </w:rPr>
              <w:t>$ 114,204</w:t>
            </w: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24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Weighted- Average Exercise Price</w:t>
            </w:r>
          </w:p>
        </w:tc>
        <w:tc>
          <w:tcPr>
            <w:tcW w:w="0" w:type="dxa"/>
            <w:vAlign w:val="bottom"/>
          </w:tcPr>
          <w:p>
            <w:pPr>
              <w:spacing w:after="0"/>
              <w:rPr>
                <w:sz w:val="1"/>
                <w:szCs w:val="1"/>
                <w:color w:val="auto"/>
              </w:rPr>
            </w:pPr>
          </w:p>
        </w:tc>
      </w:tr>
      <w:tr>
        <w:trPr>
          <w:trHeight w:val="149"/>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August 2, 2008</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820" w:type="dxa"/>
            <w:vAlign w:val="bottom"/>
            <w:gridSpan w:val="2"/>
            <w:vMerge w:val="continue"/>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420" w:type="dxa"/>
            <w:vAlign w:val="bottom"/>
          </w:tcPr>
          <w:p>
            <w:pPr>
              <w:jc w:val="right"/>
              <w:ind w:right="75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3, 2007</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80,158</w:t>
            </w:r>
          </w:p>
        </w:tc>
        <w:tc>
          <w:tcPr>
            <w:tcW w:w="280" w:type="dxa"/>
            <w:vAlign w:val="bottom"/>
            <w:tcBorders>
              <w:top w:val="single" w:sz="8" w:color="auto"/>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5,733</w:t>
            </w:r>
          </w:p>
        </w:tc>
        <w:tc>
          <w:tcPr>
            <w:tcW w:w="280" w:type="dxa"/>
            <w:vAlign w:val="bottom"/>
          </w:tcPr>
          <w:p>
            <w:pPr>
              <w:spacing w:after="0"/>
              <w:rPr>
                <w:sz w:val="18"/>
                <w:szCs w:val="18"/>
                <w:color w:val="auto"/>
              </w:rPr>
            </w:pPr>
          </w:p>
        </w:tc>
        <w:tc>
          <w:tcPr>
            <w:tcW w:w="2420" w:type="dxa"/>
            <w:vAlign w:val="bottom"/>
          </w:tcPr>
          <w:p>
            <w:pPr>
              <w:jc w:val="right"/>
              <w:ind w:right="634"/>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(5,991)</w:t>
            </w:r>
          </w:p>
        </w:tc>
        <w:tc>
          <w:tcPr>
            <w:tcW w:w="24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(2,346)</w:t>
            </w:r>
          </w:p>
        </w:tc>
        <w:tc>
          <w:tcPr>
            <w:tcW w:w="2420" w:type="dxa"/>
            <w:vAlign w:val="bottom"/>
          </w:tcPr>
          <w:p>
            <w:pPr>
              <w:jc w:val="right"/>
              <w:ind w:right="634"/>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(5,268)</w:t>
            </w:r>
          </w:p>
        </w:tc>
        <w:tc>
          <w:tcPr>
            <w:tcW w:w="24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2, 2008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jc w:val="right"/>
              <w:ind w:right="634"/>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nine months ended August 2, 2008, the total intrinsic value of options exercised (i.e., the difference between the market price at exercise and the price paid by the employee to exercise the options) was $18.0 million and $94.5 million, respectively, and the total amount of cash received from exercise of these options was $20.9 million and $89.4 million, respectively. The $83.0 million of net proceeds from employee stock plans in the Company’s statement of cash flows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total grant-date fair value of stock options that vested during the three and nine months ended August 2, 2008 was approximately $0.9 million and $76.6 million, respectively.</w:t>
      </w:r>
    </w:p>
    <w:p>
      <w:pPr>
        <w:spacing w:after="0" w:line="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three and nine months ended August 4, 2007, the total intrinsic value of options exercised was $19.8 million and $136.2 million, respectively, and the total amount of cash received from exercise of these options was $17.9 million and $96.2 million, respectively. The total grant-date fair value of stock options that vested during the three and nine months ended August 4, 2007 was approximately $1.0 million and $39.5 million, respectively.</w:t>
      </w:r>
    </w:p>
    <w:p>
      <w:pPr>
        <w:spacing w:after="0" w:line="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August 2, 2008 and changes during the three- and nine-month periods then ended is presented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880" w:type="dxa"/>
            <w:vAlign w:val="bottom"/>
          </w:tcPr>
          <w:p>
            <w:pPr>
              <w:jc w:val="center"/>
              <w:ind w:left="2268"/>
              <w:spacing w:after="0"/>
              <w:rPr>
                <w:sz w:val="20"/>
                <w:szCs w:val="20"/>
                <w:color w:val="auto"/>
              </w:rPr>
            </w:pPr>
            <w:r>
              <w:rPr>
                <w:rFonts w:ascii="Arial" w:cs="Arial" w:eastAsia="Arial" w:hAnsi="Arial"/>
                <w:sz w:val="14"/>
                <w:szCs w:val="14"/>
                <w:b w:val="1"/>
                <w:bCs w:val="1"/>
                <w:color w:val="auto"/>
                <w:w w:val="90"/>
              </w:rPr>
              <w:t>Restricted</w:t>
            </w:r>
          </w:p>
        </w:tc>
        <w:tc>
          <w:tcPr>
            <w:tcW w:w="14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3880" w:type="dxa"/>
            <w:vAlign w:val="bottom"/>
          </w:tcPr>
          <w:p>
            <w:pPr>
              <w:jc w:val="center"/>
              <w:ind w:left="2268"/>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3880" w:type="dxa"/>
            <w:vAlign w:val="bottom"/>
          </w:tcPr>
          <w:p>
            <w:pPr>
              <w:jc w:val="center"/>
              <w:ind w:left="2248"/>
              <w:spacing w:after="0" w:line="149" w:lineRule="exact"/>
              <w:rPr>
                <w:sz w:val="20"/>
                <w:szCs w:val="20"/>
                <w:color w:val="auto"/>
              </w:rPr>
            </w:pPr>
            <w:r>
              <w:rPr>
                <w:rFonts w:ascii="Arial" w:cs="Arial" w:eastAsia="Arial" w:hAnsi="Arial"/>
                <w:sz w:val="14"/>
                <w:szCs w:val="14"/>
                <w:b w:val="1"/>
                <w:bCs w:val="1"/>
                <w:color w:val="auto"/>
                <w:w w:val="91"/>
              </w:rPr>
              <w:t>Units</w:t>
            </w:r>
          </w:p>
        </w:tc>
        <w:tc>
          <w:tcPr>
            <w:tcW w:w="1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Activity during the Three Months Ended August 2, 2008</w:t>
            </w:r>
          </w:p>
        </w:tc>
        <w:tc>
          <w:tcPr>
            <w:tcW w:w="3880" w:type="dxa"/>
            <w:vAlign w:val="bottom"/>
          </w:tcPr>
          <w:p>
            <w:pPr>
              <w:jc w:val="center"/>
              <w:ind w:left="224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auto"/>
            </w:tcBorders>
            <w:vMerge w:val="continue"/>
          </w:tcPr>
          <w:p>
            <w:pPr>
              <w:spacing w:after="0"/>
              <w:rPr>
                <w:sz w:val="14"/>
                <w:szCs w:val="14"/>
                <w:color w:val="auto"/>
              </w:rPr>
            </w:pPr>
          </w:p>
        </w:tc>
        <w:tc>
          <w:tcPr>
            <w:tcW w:w="3880" w:type="dxa"/>
            <w:vAlign w:val="bottom"/>
            <w:tcBorders>
              <w:bottom w:val="single" w:sz="8" w:color="auto"/>
            </w:tcBorders>
          </w:tcPr>
          <w:p>
            <w:pPr>
              <w:jc w:val="center"/>
              <w:ind w:left="2248"/>
              <w:spacing w:after="0"/>
              <w:rPr>
                <w:sz w:val="20"/>
                <w:szCs w:val="20"/>
                <w:color w:val="auto"/>
              </w:rPr>
            </w:pPr>
            <w:r>
              <w:rPr>
                <w:rFonts w:ascii="Arial" w:cs="Arial" w:eastAsia="Arial" w:hAnsi="Arial"/>
                <w:sz w:val="14"/>
                <w:szCs w:val="14"/>
                <w:b w:val="1"/>
                <w:bCs w:val="1"/>
                <w:color w:val="auto"/>
                <w:w w:val="91"/>
              </w:rPr>
              <w:t>(in thousands)</w:t>
            </w:r>
          </w:p>
        </w:tc>
        <w:tc>
          <w:tcPr>
            <w:tcW w:w="14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3, 2008</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Non-vested shares outstanding at August 2, 2008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Restricted</w:t>
            </w:r>
          </w:p>
        </w:tc>
        <w:tc>
          <w:tcPr>
            <w:tcW w:w="420" w:type="dxa"/>
            <w:vAlign w:val="bottom"/>
          </w:tcPr>
          <w:p>
            <w:pPr>
              <w:spacing w:after="0"/>
              <w:rPr>
                <w:sz w:val="24"/>
                <w:szCs w:val="24"/>
                <w:color w:val="auto"/>
              </w:rPr>
            </w:pPr>
          </w:p>
        </w:tc>
        <w:tc>
          <w:tcPr>
            <w:tcW w:w="9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4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Units</w:t>
            </w:r>
          </w:p>
        </w:tc>
        <w:tc>
          <w:tcPr>
            <w:tcW w:w="1380" w:type="dxa"/>
            <w:vAlign w:val="bottom"/>
            <w:gridSpan w:val="2"/>
          </w:tcPr>
          <w:p>
            <w:pPr>
              <w:jc w:val="center"/>
              <w:ind w:left="93"/>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August 2, 2008</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8"/>
        </w:trPr>
        <w:tc>
          <w:tcPr>
            <w:tcW w:w="8800" w:type="dxa"/>
            <w:vAlign w:val="bottom"/>
            <w:gridSpan w:val="2"/>
            <w:vMerge w:val="continue"/>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9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3, 2007</w:t>
            </w:r>
          </w:p>
        </w:tc>
        <w:tc>
          <w:tcPr>
            <w:tcW w:w="12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4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August 2, 2008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August 2, 2008, there was $131.1 million (before tax consideration) of total unrecognized compensation cost related to unvested share-based awards, including stock options, restricted stock and restricted stock units. That cost is expected to be recognized over a weighted-average period of 1.7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125,406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(2,796)</w:t>
            </w:r>
          </w:p>
        </w:tc>
        <w:tc>
          <w:tcPr>
            <w:tcW w:w="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(losses) gains (net of taxes of $76 and $510, respectively) on securities classified</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short-term investments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2"/>
              </w:rPr>
              <w:t>Change in unrealized holding (losses) gains (net of taxes of $640 and $5, respectively) on securities classified as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on derivative instruments designated as cash flow hedges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 pension plans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asset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Net actuarial gain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959</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(5,614)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123,581</w:t>
            </w:r>
          </w:p>
        </w:tc>
        <w:tc>
          <w:tcPr>
            <w:tcW w:w="6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132,994</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color w:val="auto"/>
                <w:w w:val="94"/>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91"/>
              </w:rPr>
              <w:t>August 2, 2008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5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380,935</w:t>
            </w: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407,437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(9,971)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(net of taxes of $124 and $2,480, respectively) on securities classified as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w w:val="92"/>
              </w:rPr>
              <w:t>Change in unrealized holding gains (losses) (net of taxes of $336 and $75, respectively) on securities classified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as other 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gains on derivative instruments designated as cash flow hedges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 pension plans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asset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Net actuarial gain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368,324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420,758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629,802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412,339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40" w:type="dxa"/>
            <w:vAlign w:val="bottom"/>
            <w:gridSpan w:val="9"/>
          </w:tcPr>
          <w:p>
            <w:pPr>
              <w:spacing w:after="0"/>
              <w:rPr>
                <w:sz w:val="20"/>
                <w:szCs w:val="20"/>
                <w:color w:val="auto"/>
              </w:rPr>
            </w:pPr>
            <w:r>
              <w:rPr>
                <w:rFonts w:ascii="Arial" w:cs="Arial" w:eastAsia="Arial" w:hAnsi="Arial"/>
                <w:sz w:val="18"/>
                <w:szCs w:val="18"/>
                <w:color w:val="auto"/>
                <w:w w:val="96"/>
              </w:rPr>
              <w:t>The components of accumulated other comprehensive income at August 2, 2008 and November 3, 2007 consisted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w w:val="93"/>
              </w:rPr>
              <w:t>August 2, 2008</w:t>
            </w:r>
          </w:p>
        </w:tc>
        <w:tc>
          <w:tcPr>
            <w:tcW w:w="4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other comprehensive income — pension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Transition asset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gain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Total accumulated other comprehensive income</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weighted-average exercise prices during the respective periods,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125,406</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138,608</w:t>
            </w: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290,376</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318,465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290,376</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318,465</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295,001</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327,331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51,271</w:t>
            </w:r>
          </w:p>
        </w:tc>
        <w:tc>
          <w:tcPr>
            <w:tcW w:w="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460" w:hanging="5612"/>
        <w:spacing w:after="0" w:line="571" w:lineRule="auto"/>
        <w:tabs>
          <w:tab w:leader="none" w:pos="45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individual per share amounts may not equal due to rounding.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4"/>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407,437</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261,478</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642,413</w:t>
            </w: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399,018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293,302</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329,050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0.89</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293,302</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329,050</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338,460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(loss) from discontinued operations, net of tax</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0.88</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55,261</w:t>
            </w: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460" w:hanging="5612"/>
        <w:spacing w:after="0" w:line="571" w:lineRule="auto"/>
        <w:tabs>
          <w:tab w:leader="none" w:pos="4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individual per share amounts may not equal due to rounding.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Closure of Wafer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Reorganization of</w:t>
            </w: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Consolidation of a</w:t>
            </w: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Reduction of</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4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Fabrication Facility in</w:t>
            </w:r>
          </w:p>
        </w:tc>
        <w:tc>
          <w:tcPr>
            <w:tcW w:w="320" w:type="dxa"/>
            <w:vAlign w:val="bottom"/>
          </w:tcPr>
          <w:p>
            <w:pPr>
              <w:spacing w:after="0"/>
              <w:rPr>
                <w:sz w:val="12"/>
                <w:szCs w:val="12"/>
                <w:color w:val="auto"/>
              </w:rPr>
            </w:pPr>
          </w:p>
        </w:tc>
        <w:tc>
          <w:tcPr>
            <w:tcW w:w="204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rPr>
              <w:t>Product Development and</w:t>
            </w:r>
          </w:p>
        </w:tc>
        <w:tc>
          <w:tcPr>
            <w:tcW w:w="16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Wafer Fabrication</w:t>
            </w:r>
          </w:p>
        </w:tc>
        <w:tc>
          <w:tcPr>
            <w:tcW w:w="30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Overhead</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Sunnyvale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5"/>
              </w:rPr>
              <w:t>Support Programs</w:t>
            </w: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Facility in Limerick</w:t>
            </w: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Infrastructure Costs</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20,315</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11,165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20,315</w:t>
            </w:r>
          </w:p>
        </w:tc>
        <w:tc>
          <w:tcPr>
            <w:tcW w:w="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Abandonment of equipment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Change in estimate</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Fiscal 2006 Charges</w:t>
            </w: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60" w:type="dxa"/>
            <w:vAlign w:val="bottom"/>
            <w:gridSpan w:val="2"/>
            <w:vMerge w:val="continue"/>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10,288</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4,165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13,748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Fiscal 2007 Charges</w:t>
            </w: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60" w:type="dxa"/>
            <w:vAlign w:val="bottom"/>
            <w:gridSpan w:val="2"/>
            <w:vMerge w:val="continue"/>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10,288</w:t>
            </w:r>
          </w:p>
        </w:tc>
        <w:tc>
          <w:tcPr>
            <w:tcW w:w="5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4,111</w:t>
            </w:r>
          </w:p>
        </w:tc>
        <w:tc>
          <w:tcPr>
            <w:tcW w:w="1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13,748</w:t>
            </w:r>
          </w:p>
        </w:tc>
        <w:tc>
          <w:tcPr>
            <w:tcW w:w="1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12,348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4"/>
              </w:rPr>
              <w:t>Closure of Wafer</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2"/>
              </w:rPr>
              <w:t>Reorganization of</w:t>
            </w:r>
          </w:p>
        </w:tc>
        <w:tc>
          <w:tcPr>
            <w:tcW w:w="34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Consolidation of a</w:t>
            </w:r>
          </w:p>
        </w:tc>
        <w:tc>
          <w:tcPr>
            <w:tcW w:w="30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Reduction of</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Wafer Fabrication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Overhead</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Fabrication Facility in</w:t>
            </w:r>
          </w:p>
        </w:tc>
        <w:tc>
          <w:tcPr>
            <w:tcW w:w="300" w:type="dxa"/>
            <w:vAlign w:val="bottom"/>
          </w:tcPr>
          <w:p>
            <w:pPr>
              <w:spacing w:after="0"/>
              <w:rPr>
                <w:sz w:val="12"/>
                <w:szCs w:val="12"/>
                <w:color w:val="auto"/>
              </w:rPr>
            </w:pPr>
          </w:p>
        </w:tc>
        <w:tc>
          <w:tcPr>
            <w:tcW w:w="15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Product Development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Facility in</w:t>
            </w:r>
          </w:p>
        </w:tc>
        <w:tc>
          <w:tcPr>
            <w:tcW w:w="3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Sunnyvale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ind w:left="300"/>
              <w:spacing w:after="0"/>
              <w:rPr>
                <w:sz w:val="20"/>
                <w:szCs w:val="20"/>
                <w:color w:val="auto"/>
              </w:rPr>
            </w:pPr>
            <w:r>
              <w:rPr>
                <w:rFonts w:ascii="Arial" w:cs="Arial" w:eastAsia="Arial" w:hAnsi="Arial"/>
                <w:sz w:val="14"/>
                <w:szCs w:val="14"/>
                <w:b w:val="1"/>
                <w:bCs w:val="1"/>
                <w:color w:val="auto"/>
              </w:rPr>
              <w:t>and Support Programs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Limerick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2007</w:t>
            </w:r>
          </w:p>
        </w:tc>
        <w:tc>
          <w:tcPr>
            <w:tcW w:w="660" w:type="dxa"/>
            <w:vAlign w:val="bottom"/>
            <w:tcBorders>
              <w:top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3,769</w:t>
            </w:r>
          </w:p>
        </w:tc>
        <w:tc>
          <w:tcPr>
            <w:tcW w:w="52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13,748</w:t>
            </w:r>
          </w:p>
        </w:tc>
        <w:tc>
          <w:tcPr>
            <w:tcW w:w="4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48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Severance payments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(127)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(611)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5"/>
              </w:rPr>
              <w:t>(446)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Effect of foreign currency translation on</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February 2, 2008</w:t>
            </w:r>
          </w:p>
        </w:tc>
        <w:tc>
          <w:tcPr>
            <w:tcW w:w="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60" w:type="dxa"/>
            <w:vAlign w:val="bottom"/>
            <w:gridSpan w:val="2"/>
            <w:vMerge w:val="continue"/>
          </w:tcPr>
          <w:p>
            <w:pPr>
              <w:spacing w:after="0"/>
              <w:rPr>
                <w:sz w:val="24"/>
                <w:szCs w:val="24"/>
                <w:color w:val="auto"/>
              </w:rPr>
            </w:pPr>
          </w:p>
        </w:tc>
        <w:tc>
          <w:tcPr>
            <w:tcW w:w="520" w:type="dxa"/>
            <w:vAlign w:val="bottom"/>
            <w:gridSpan w:val="2"/>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3,429</w:t>
            </w:r>
          </w:p>
        </w:tc>
        <w:tc>
          <w:tcPr>
            <w:tcW w:w="16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3,018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13,966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6,917</w:t>
            </w:r>
          </w:p>
        </w:tc>
        <w:tc>
          <w:tcPr>
            <w:tcW w:w="4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(451)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Effect of foreign currency translation on</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May 3, 2008</w:t>
            </w:r>
          </w:p>
        </w:tc>
        <w:tc>
          <w:tcPr>
            <w:tcW w:w="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60" w:type="dxa"/>
            <w:vAlign w:val="bottom"/>
            <w:gridSpan w:val="2"/>
            <w:vMerge w:val="continue"/>
          </w:tcPr>
          <w:p>
            <w:pPr>
              <w:spacing w:after="0"/>
              <w:rPr>
                <w:sz w:val="24"/>
                <w:szCs w:val="24"/>
                <w:color w:val="auto"/>
              </w:rPr>
            </w:pPr>
          </w:p>
        </w:tc>
        <w:tc>
          <w:tcPr>
            <w:tcW w:w="520" w:type="dxa"/>
            <w:vAlign w:val="bottom"/>
            <w:gridSpan w:val="2"/>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24"/>
                <w:szCs w:val="24"/>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1,959</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14,511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5,030</w:t>
            </w:r>
          </w:p>
        </w:tc>
        <w:tc>
          <w:tcPr>
            <w:tcW w:w="4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(419)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Effect of foreign currency translation on</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9" w:right="239" w:bottom="0" w:gutter="0" w:footer="0" w:header="0"/>
        </w:sectPr>
      </w:pPr>
    </w:p>
    <w:bookmarkStart w:id="17" w:name="page18"/>
    <w:bookmarkEnd w:id="17"/>
    <w:p>
      <w:pPr>
        <w:spacing w:after="0"/>
        <w:tabs>
          <w:tab w:leader="none" w:pos="3760" w:val="left"/>
          <w:tab w:leader="none" w:pos="4740" w:val="left"/>
          <w:tab w:leader="none" w:pos="5640" w:val="left"/>
          <w:tab w:leader="none" w:pos="6640" w:val="left"/>
          <w:tab w:leader="none" w:pos="7520" w:val="left"/>
          <w:tab w:leader="none" w:pos="8160" w:val="left"/>
          <w:tab w:leader="none" w:pos="9140" w:val="left"/>
          <w:tab w:leader="none" w:pos="9640" w:val="left"/>
          <w:tab w:leader="none" w:pos="10520" w:val="left"/>
          <w:tab w:leader="none" w:pos="10820" w:val="left"/>
        </w:tabs>
        <w:rPr>
          <w:sz w:val="20"/>
          <w:szCs w:val="20"/>
          <w:color w:val="auto"/>
        </w:rPr>
      </w:pPr>
      <w:r>
        <w:rPr>
          <w:rFonts w:ascii="Arial" w:cs="Arial" w:eastAsia="Arial" w:hAnsi="Arial"/>
          <w:sz w:val="18"/>
          <w:szCs w:val="18"/>
          <w:b w:val="1"/>
          <w:bCs w:val="1"/>
          <w:color w:val="auto"/>
        </w:rPr>
        <w:t>Balance at August 2, 2008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14,626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2,932</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21,689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17145</wp:posOffset>
            </wp:positionV>
            <wp:extent cx="478536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85360" cy="2603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Benefit Pension Plans and for Termination Benefits</w:t>
      </w:r>
      <w:r>
        <w:rPr>
          <w:rFonts w:ascii="Arial" w:cs="Arial" w:eastAsia="Arial" w:hAnsi="Arial"/>
          <w:sz w:val="17"/>
          <w:szCs w:val="17"/>
          <w:color w:val="auto"/>
        </w:rPr>
        <w:t>, (SFAS 88), under the Company’s ongoing benefit plan for 339 manufacturing employees and 28</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employees. The severance benefit was calculated based on length of past service, and employees had to continue to be employed until their employment was involuntarily terminated in order to receive the severance benefit. The Company completed the final cleanup and closure activities associated with this action during the second quarter of fiscal 2007.</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$18.3 million of non-cash cost of sales expenses for additional depreciation due to shortened useful lives of certain manufacturing equipment and $2.0 million for stay-on bonuses. The Company reversed approximately $2.0 million of its severance accrual during fiscal 2006 because some employees voluntarily left the Company, other employees found alternative employment within the Company, and there was an over-accrual related to fringe benefits because severance payments, normally paid as income continuance, were paid in lump sum payments, which reduced the benefit costs associated with these payments. The employment of all of the remaining employees included in this action has been terminated by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Company ceased production at the wafer fabrication facility on November 9, 2006. During the first quarter of fiscal 2007, the Company recorded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 expense,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(SFAS 146)</w:t>
      </w:r>
      <w:r>
        <w:rPr>
          <w:rFonts w:ascii="Arial" w:cs="Arial" w:eastAsia="Arial" w:hAnsi="Arial"/>
          <w:sz w:val="17"/>
          <w:szCs w:val="17"/>
          <w:i w:val="1"/>
          <w:iCs w:val="1"/>
          <w:color w:val="auto"/>
        </w:rPr>
        <w:t>,</w:t>
      </w:r>
      <w:r>
        <w:rPr>
          <w:rFonts w:ascii="Arial" w:cs="Arial" w:eastAsia="Arial" w:hAnsi="Arial"/>
          <w:sz w:val="17"/>
          <w:szCs w:val="17"/>
          <w:color w:val="auto"/>
        </w:rPr>
        <w:t xml:space="preserve"> which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million for clean-up and closure costs that were charged to expense as incurred and $0.4 million for lease obligation costs for a warehouse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ceased using during the first quarter of fiscal 2007. During the second quarter of fiscal 2007, the Company recorded a special charge,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SFAS 146, which included $5.0 million of expense for future lease obligation costs for the wafer fabrication facility that the Company ceased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2007. The lease obligation costs are being paid out on a monthly basis over the remaining lease term which expires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Also included in the special charge was $1.7 million for clean-up and closure costs that were charged to expense as incurred. The clean-up activity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completed during the second quarter of fiscal 2007, and the Company does not expect to incur any additional charges related to this action.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facility. The remaining $2.3 million related to severance and fringe benefit costs that were recorded in the fourth quarter of fiscal 2006 pursuant to SFAS 88 under the Company’s ongoing benefit plan or statutory requirements at foreign locations for 46 engineering and selling, marketing, general and administrative employees.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recorded pursuant to SFAS 88 under the Company’s ongoing benefit plan for six engineering employees.</w:t>
      </w:r>
    </w:p>
    <w:p>
      <w:pPr>
        <w:spacing w:after="0" w:line="7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During the second quarter of fiscal 2007, the Company recorded an additional special charge of $3.4 million related to this reorganization action. Approximately $3.2 million relates to the severance and fringe benefit costs recorded pursuant to SFAS 88 under the Company’s ongoing benefit plan or minimum statutory requirements at foreign locations for 20 engineering and selling, marketing, general and administrative employees. The remaining $0.2 million of this charge was for lease obligation costs for a facility the Company ceased using during the second quarter of fiscal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fourth quarter of fiscal 2007, the Company reversed approximately $0.9 million of the Company’s severance accrual because some employees voluntarily left the Company and other employees found alternative employment within the Company, and were therefore no longer entitled to severance payments.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employment of all employees included in this action has been terminated and amounts owed to employees for severance are being paid out as income continuance. The Company does not expect to incur any further charges related to this reorganization action.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fourth quarter of fiscal 2007, the Company recorded a special charge of $13.7 million as a result of the Company’s decision to only use eight-inch technology at its wafer fabrication facility in Limerick. Certain manufacturing processes and products produced on the Limerick facility’s six-inch production line will transition to the existing eight-inch production line in Limerick while others will transition to external foundries. The charge is for severance and fringe benefit costs recorded pursuant to SFAS 88 under the Company’s ongoing benefit plan for 150 manufacturing employees. Production is expected to cease in the six-inch wafer fabrication facility during the first half of fiscal 2009, at which time the employment of the affected employees will be terminated.</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August 2, 2008, 146 of the 150 employees included in this action were still employed by the Company. These employees must continue to be employed until their employment is involuntarily terminated in order to receive the severance benefit. The Company expects to incur additional closure expenses related to this action over the next four quarters totaling approximately $3 million. In accordance with SFAS 146, these costs will be expensed as incurred.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fourth quarter of fiscal 2007, the Company decided to either deemphasize or exit certain businesses or products and focus investments in products and end markets where the Company has better opportunities for profitable growth. In September 2007, the Company entered into a definitive agreement to sell its Baseband Chipset Business. As a result of these decisions, the Company decided to reduce the support infrastructure in manufacturing, engineering and SMG&amp;A to more appropriately reflect the required overhead structure of the Company. Consequently, during the fourth quarter of fiscal 2007, the Company recorded a special charge of $12.3 million, of which $10.7 million was for severance and fringe benefit costs recorded pursuant to SFAS 88 under the Company’s ongoing benefit plan or statutory requirements at foreign locations for 25 manufacturing employees and 127 engineering and selling, marketing, general and administrative employees. The remaining $1.6 million was for contract termination costs related to a license agreement associated with products the Company will no longer develop and for which there is no future alternative use. These actions were substantially completed in the second quarter of fiscal 2008.</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August 2, 2008, 10 of the 152 employees included in this action were still employed by the Company. These employees must continue to be employed until their employment is involuntarily terminated in order to receive the severance benefit.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No.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$ 326,984</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$ 298,049</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163,762</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148,011</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134,677</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136,145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33,563</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35,226</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$ 658,986</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$ 617,431</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4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957,693</w:t>
            </w:r>
          </w:p>
        </w:tc>
        <w:tc>
          <w:tcPr>
            <w:tcW w:w="16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894,004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474,682</w:t>
            </w:r>
          </w:p>
        </w:tc>
        <w:tc>
          <w:tcPr>
            <w:tcW w:w="160" w:type="dxa"/>
            <w:vAlign w:val="bottom"/>
          </w:tcPr>
          <w:p>
            <w:pPr>
              <w:spacing w:after="0"/>
              <w:rPr>
                <w:sz w:val="18"/>
                <w:szCs w:val="18"/>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16%</w:t>
            </w:r>
          </w:p>
        </w:tc>
        <w:tc>
          <w:tcPr>
            <w:tcW w:w="1700" w:type="dxa"/>
            <w:vAlign w:val="bottom"/>
            <w:gridSpan w:val="4"/>
          </w:tcPr>
          <w:p>
            <w:pPr>
              <w:jc w:val="right"/>
              <w:ind w:right="660"/>
              <w:spacing w:after="0"/>
              <w:rPr>
                <w:sz w:val="20"/>
                <w:szCs w:val="20"/>
                <w:color w:val="auto"/>
              </w:rPr>
            </w:pPr>
            <w:r>
              <w:rPr>
                <w:rFonts w:ascii="Arial" w:cs="Arial" w:eastAsia="Arial" w:hAnsi="Arial"/>
                <w:sz w:val="18"/>
                <w:szCs w:val="18"/>
                <w:color w:val="auto"/>
              </w:rPr>
              <w:t>407,927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394,177</w:t>
            </w:r>
          </w:p>
        </w:tc>
        <w:tc>
          <w:tcPr>
            <w:tcW w:w="16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394,727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95,683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1700" w:type="dxa"/>
            <w:vAlign w:val="bottom"/>
            <w:gridSpan w:val="4"/>
          </w:tcPr>
          <w:p>
            <w:pPr>
              <w:jc w:val="right"/>
              <w:ind w:right="660"/>
              <w:spacing w:after="0"/>
              <w:rPr>
                <w:sz w:val="20"/>
                <w:szCs w:val="20"/>
                <w:color w:val="auto"/>
              </w:rPr>
            </w:pPr>
            <w:r>
              <w:rPr>
                <w:rFonts w:ascii="Arial" w:cs="Arial" w:eastAsia="Arial" w:hAnsi="Arial"/>
                <w:sz w:val="18"/>
                <w:szCs w:val="18"/>
                <w:color w:val="auto"/>
              </w:rPr>
              <w:t>109,521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$ 1,806,179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8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$ 1,841,179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22" w:lineRule="exact"/>
        <w:rPr>
          <w:sz w:val="20"/>
          <w:szCs w:val="20"/>
          <w:color w:val="auto"/>
        </w:rPr>
      </w:pPr>
    </w:p>
    <w:p>
      <w:pPr>
        <w:ind w:left="460" w:right="4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nine months of fiscal 2007 included an additional week of operations as compared to the first nine months of fiscal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$ 302,763</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$ 281,001</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150,923</w:t>
            </w:r>
          </w:p>
        </w:tc>
        <w:tc>
          <w:tcPr>
            <w:tcW w:w="1860" w:type="dxa"/>
            <w:vAlign w:val="bottom"/>
            <w:gridSpan w:val="4"/>
          </w:tcPr>
          <w:p>
            <w:pPr>
              <w:jc w:val="right"/>
              <w:ind w:right="5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144,103</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100,004</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100,279</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553,690</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525,383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36,674</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30,439</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6%</w:t>
            </w: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$ 590,364</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$ 555,822</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60,521</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52,992</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8,101</w:t>
            </w:r>
          </w:p>
        </w:tc>
        <w:tc>
          <w:tcPr>
            <w:tcW w:w="1860" w:type="dxa"/>
            <w:vAlign w:val="bottom"/>
            <w:gridSpan w:val="4"/>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8,617</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$ 68,622</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61,609</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7%</w:t>
            </w: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$ 658,986</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$ 617,431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gridSpan w:val="2"/>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881,530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818,502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439,755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89"/>
              </w:rPr>
              <w:t>419,018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295,261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1,621,358</w:t>
            </w:r>
          </w:p>
        </w:tc>
        <w:tc>
          <w:tcPr>
            <w:tcW w:w="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1,532,781</w:t>
            </w: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91,818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$ 1,726,147</w:t>
            </w:r>
          </w:p>
        </w:tc>
        <w:tc>
          <w:tcPr>
            <w:tcW w:w="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4"/>
              </w:rPr>
              <w:t>$ 1,624,599</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158,305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22,167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23,275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196,088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181,580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4"/>
              </w:rPr>
              <w:t>$ 1,806,179</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one-time IP license*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4"/>
              </w:rPr>
              <w:t>$ 1,841,179</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22" w:lineRule="exact"/>
        <w:rPr>
          <w:sz w:val="20"/>
          <w:szCs w:val="20"/>
          <w:color w:val="auto"/>
        </w:rPr>
      </w:pPr>
    </w:p>
    <w:p>
      <w:pPr>
        <w:ind w:left="460" w:right="4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nine months of fiscal 2007 included an additional week of operations as compared to the first nine months of fiscal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Product revenue by geographic region, based upon customer location, for the three- and nine-month periods ended August 2, 2008 and August 4, 2007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132,076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393,921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25,433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20,523</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70,578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177,881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148,284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128,457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127,040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380,940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Asia</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99,498</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658,986</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617,431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1,922,235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1,806,179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predominant countries comprising “Rest of North and South America” are Canada and Mexico. The predominant countries comprising European operations are Germany, France and the United Kingdom. The predominant country comprising “Rest of Asia” is Korea.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evaluates goodwill for impairment annually as well as whenever events or changes in circumstances suggest that the carrying value of goodwill may not be recoverable. Because the Company has one reporting segment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2007. No impairment of goodwill resulted in any of the fiscal periods presented. The Company’s next annual impairment assessment will be made in the fourth quarter of fiscal 2008. The following table presents the changes in goodwill during the first nine months of fiscal 2008 and the fiscal year ended November 3,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7"/>
              </w:rPr>
              <w:t>Nine Months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ind w:right="90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August 2, 2008</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3, 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279,469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Acquisition of TTPCom assets(1)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 allocated to sale of businesses (3)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(12,649)</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(9,656)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260,152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paid its final milestone related to this acquisition in the second quarter of fiscal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completed the final purchase accounting for this transaction during the first quarter of fiscal 2007, which resulted in an additional</w:t>
      </w:r>
    </w:p>
    <w:p>
      <w:pPr>
        <w:spacing w:after="0" w:line="34" w:lineRule="exact"/>
        <w:rPr>
          <w:rFonts w:ascii="Arial" w:cs="Arial" w:eastAsia="Arial" w:hAnsi="Arial"/>
          <w:sz w:val="17"/>
          <w:szCs w:val="17"/>
          <w:color w:val="auto"/>
        </w:rPr>
      </w:pPr>
    </w:p>
    <w:p>
      <w:pPr>
        <w:ind w:left="460" w:right="340"/>
        <w:spacing w:after="0" w:line="261" w:lineRule="auto"/>
        <w:rPr>
          <w:rFonts w:ascii="Arial" w:cs="Arial" w:eastAsia="Arial" w:hAnsi="Arial"/>
          <w:sz w:val="17"/>
          <w:szCs w:val="17"/>
          <w:color w:val="auto"/>
        </w:rPr>
      </w:pPr>
      <w:r>
        <w:rPr>
          <w:rFonts w:ascii="Arial" w:cs="Arial" w:eastAsia="Arial" w:hAnsi="Arial"/>
          <w:sz w:val="18"/>
          <w:szCs w:val="18"/>
          <w:color w:val="auto"/>
        </w:rPr>
        <w:t>$5.6 million of goodwill. The Company purchased additional outstanding minority shares related to this acquisition during fiscal 2007 and the third quarter of fiscal 2008, which resulted in an additional $7.7 million and $3.0 million, respectively, of goodwill.</w:t>
      </w:r>
    </w:p>
    <w:p>
      <w:pPr>
        <w:spacing w:after="0" w:line="35" w:lineRule="exact"/>
        <w:rPr>
          <w:rFonts w:ascii="Arial" w:cs="Arial" w:eastAsia="Arial" w:hAnsi="Arial"/>
          <w:sz w:val="17"/>
          <w:szCs w:val="17"/>
          <w:color w:val="auto"/>
        </w:rPr>
      </w:pPr>
    </w:p>
    <w:p>
      <w:pPr>
        <w:ind w:left="460" w:right="3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allocated $12.6 million of goodwill in connection with the sale of its Baseband Chipset Business to MediaTek Inc. and the sale of its CPU voltage regulation and PC thermal monitoring business to ON Semiconductor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In connection with the sale of its Baseband Chipset Business to MediaTek Inc., the Company wrote off $7.9 million of intangible assets against the gain realized by the Company on the sale. These assets had been classified as current assets of discontinued operations in fiscal 2007.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7"/>
              </w:rPr>
              <w:t>August 2, 2008</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3, 2007</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27,677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43,626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23,303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5,720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39,539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57,693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33,540</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Intangible assets acquired prior to the third quarter of fiscal 2006 continue to be amortized on a straight-line basis over their estimated useful lives, which range from five to ten years. The intangible assets acquired during fiscal 2006 are being amortized over their estimated useful lives of two to five years using an accelerated method of amortization that is expected to reflect the estimated pattern of economic use. The remaining amortization expense will be recognized over a weighted-average period of approximately 1.4 years. Amortization expense was $2.4 million and $2.2 million for the three-month periods ended August 2, 2008 and August 4, 2007, respectively, and $7.5 million and $6.9 million for the nine-month periods ended August 2, 2008 and August 4,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6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2,044</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2009</w:t>
            </w:r>
          </w:p>
        </w:tc>
        <w:tc>
          <w:tcPr>
            <w:tcW w:w="7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7,731</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5,103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2011</w:t>
            </w:r>
          </w:p>
        </w:tc>
        <w:tc>
          <w:tcPr>
            <w:tcW w:w="7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2,325</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169</w:t>
            </w: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color w:val="auto"/>
                <w:w w:val="93"/>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2,649</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color w:val="auto"/>
                <w:w w:val="92"/>
              </w:rPr>
              <w:t>Nine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2, 2008</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100" w:type="dxa"/>
            <w:vAlign w:val="bottom"/>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6,704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(9,416)</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w:t>
            </w:r>
          </w:p>
        </w:tc>
      </w:tr>
      <w:tr>
        <w:trPr>
          <w:trHeight w:val="20"/>
        </w:trPr>
        <w:tc>
          <w:tcPr>
            <w:tcW w:w="5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Pension contributions of $2.6 million and $7.1 million were made by the Company during the three and nine months ended August 2, 2008. The Company presently anticipates contributing an additional $1.7 million to fund its defined benefit pension plans in fiscal year 2008 for a total of $8.8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the SEC’s Previously Announced Stock Option Investigation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May 30, 2008, the Company and its President and CEO, Mr. Jerald G. Fishman, reached a settlement with the Securities and Exchange Commission, thereby concluding the Commission’s investigation into the Company’s stock option granting practices. Neither the Company nor Mr. Fishman admitted or denied any of the Commission’s allegations or findings.</w:t>
      </w:r>
    </w:p>
    <w:p>
      <w:pPr>
        <w:spacing w:after="0" w:line="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As previously disclosed, the Commission concluded that: the appropriate grant date for the September 4, 1998 options should have been September 8, 1998 (which is one trading day later than the date that was used to price the options); the appropriate grant date for the November 30, 1999 options should have been November 29, 1999 (which is one trading day earlier than the date that was used to price the options); and the appropriate grant date for the July 18, 2001 options should have been July 26, 2001 (which is five trading days later than the date that was used to price the options). The Commission did not charge the Company or Mr. Fishman with any violation of law related to the granting of options prior to the release of favorable financial results.</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settlement, the Company consented to a cease-and-desist order under Section 10(b) of the Securities Exchange Act and Rule 10b-5 thereunder, agreed to pay a civil money penalty of $3 million, and repriced options granted to Mr. Fishman in 1999 and 2001. No other options granted by the Company were affected by the settlement. Mr. Fishman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consented to a cease-and-desist order under Sections 17(a)(2) and (3) of the Securities Act, agreed to pay a civil money penalty of $1 million, and agreed to make a disgorgement payment of $450,000 (plus interest) with respect to options granted in 1998.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no restatement of its historical financial results is necessary due to the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were the subject of investigation by the SEC. The Company has cooperated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The court heard the Company’s motion to dismiss on January 30, 2008, but has not yet issued a ruling. Although the Company believes it has meritorious defenses to the asserted claims, it is unable at this time to predict the outcome of this proceeding.</w:t>
      </w:r>
    </w:p>
    <w:p>
      <w:pPr>
        <w:spacing w:after="0" w:line="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Revolving Credit Facility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significant portion of the Company’s cash and short term investments balance is currently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of fiscal 2008 in order to supplement its occasional cash requirements in the United States.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terms of the facility also impose restrictions on the Company’s ability to undertake certain transactions, to create certain liens on assets and to incur certain subsidiary indebtedness.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Repurchase</w:t>
      </w:r>
    </w:p>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repurchased approximately 0.8 million shares for approximately $27.6 million during the third quarter of fiscal 2008 and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18.7 million shares for approximately $552.4 million during the first nine months of fiscal 2008. As of August 2, 2008, the Company had repurchased a total of approximately 113.8 million shares of its common stock for approximately $3.9 billion under this program and an additional $112.8 million remains under the current authorized program. The repurchased shares are held as authorized but unissued shares of common stock. The Company also from time to time repurchases shares in settlement of employee tax withholding obligations due upon the vesting of restricted stock or restricted stock units, or the exercise of stock options.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Discontinued Operations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November 8,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w:t>
      </w:r>
    </w:p>
    <w:p>
      <w:pPr>
        <w:spacing w:after="0" w:line="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$85 million was recorded as a liability related to the manufacturing supply agreement, of which approximately $31 million was outstanding as of August 2, 2008. The liability is included in current liabilities of discontinued operations on the Company’s condensed consolidated balance sheet. The Company will record the revenue associated with this manufacturing supply agreement in discontinued operations over the next five months. As a result, the Company has classified inventory for these arrangements as current assets of discontinued operations. The Company may receive additional proceeds of up to $1 million, currently held in escrow, upon the resolution of certain contingent items, which would be recorded as additional gain from the sale of discontinued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made additional cash payments of $4.8 million during the second quarter of fiscal 2008, primarily related to transaction fees, and additional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$3 million during the third quarter of fiscal 2008 related to retention payments to employees that transferred to MediaTek Inc.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expects to make additional cash payments of approximately $2.5 million over the next three months, related to retention payments to employees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transferred to MediaTek Inc. and intellectual property license fees incurred by MediaTek Inc. The Company recorded a pre-tax gain in the first quarter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2008 of $278 million, or $204 million net of tax, which is recorded as a gain on sale of discontinued operations. The Company may receive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up to $10 million, currently held in escrow, upon the resolution of certain contingent items, which would be recorded as additional gain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of discontinued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During the second quarter of fiscal 2008, the Company made a $67.3 million income tax payment related to the gain on the sale of these businesses. This tax payment is reflected in the statement of cash flows as a decrease in net cash provided by operating activities. Under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all income tax payments are included in determining net cash flow from operating activities but the cash received from the sale of the businesses must be reported as an investing cash flow.</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 will receive additional amounts under various transition service agreements entered into in connection with these dispositions over the next two quarters. The transition service agreements include manufacturing, engineering support and certain human resource services and information technology systems support. The Company has evaluated the nature of the transition services and has concluded the services will be primarily completed within the one-year assessment period and the Company does not have the ability to exert significant influence over the disposed businesses’ operating and financial policies. Accordingly, the Company has concluded that it does not have a significant continuing involvement with the disposed businesses and has presented the disposition of these businesses as discontinued operations pursuant to SFAS No. 144, </w:t>
      </w:r>
      <w:r>
        <w:rPr>
          <w:rFonts w:ascii="Arial" w:cs="Arial" w:eastAsia="Arial" w:hAnsi="Arial"/>
          <w:sz w:val="16"/>
          <w:szCs w:val="16"/>
          <w:i w:val="1"/>
          <w:iCs w:val="1"/>
          <w:color w:val="auto"/>
        </w:rPr>
        <w:t>Accounting for the Impairment or Disposal of Long-Lived Assets.</w:t>
      </w:r>
    </w:p>
    <w:p>
      <w:pPr>
        <w:spacing w:after="0" w:line="5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 and also include the revenue and costs of services provided under the manufacturing supply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20,941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(6,578)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4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4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352"/>
              <w:spacing w:after="0"/>
              <w:rPr>
                <w:sz w:val="20"/>
                <w:szCs w:val="20"/>
                <w:color w:val="auto"/>
              </w:rPr>
            </w:pPr>
            <w:r>
              <w:rPr>
                <w:rFonts w:ascii="Arial" w:cs="Arial" w:eastAsia="Arial" w:hAnsi="Arial"/>
                <w:sz w:val="14"/>
                <w:szCs w:val="14"/>
                <w:b w:val="1"/>
                <w:bCs w:val="1"/>
                <w:color w:val="auto"/>
                <w:w w:val="94"/>
              </w:rPr>
              <w:t>Nine Months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73,479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1,976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(362,594)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4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368,481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4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60" w:type="dxa"/>
            <w:vAlign w:val="bottom"/>
            <w:vMerge w:val="restart"/>
          </w:tcPr>
          <w:p>
            <w:pPr>
              <w:jc w:val="right"/>
              <w:ind w:right="29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August 2, 2008</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3,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Inventory</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9,895</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Intangibles, net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9,895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Refundable foreign withholding tax</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62,037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1,950</w:t>
            </w:r>
          </w:p>
        </w:tc>
        <w:tc>
          <w:tcPr>
            <w:tcW w:w="6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41,041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a manufacturing supply agreement</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30,900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liabilities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2,540</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reclassified to current liabilities of discontinued operations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76,431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November 4, 2007 (the first day of its 2008 fiscal year), the Company adopted FASB Interpretation No. 48, </w:t>
      </w:r>
      <w:r>
        <w:rPr>
          <w:rFonts w:ascii="Arial" w:cs="Arial" w:eastAsia="Arial" w:hAnsi="Arial"/>
          <w:sz w:val="16"/>
          <w:szCs w:val="16"/>
          <w:i w:val="1"/>
          <w:iCs w:val="1"/>
          <w:color w:val="auto"/>
        </w:rPr>
        <w:t>Accounting for Uncertainty in Income Taxes</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 an interpretation of FASB Statement No. 109 </w:t>
      </w:r>
      <w:r>
        <w:rPr>
          <w:rFonts w:ascii="Arial" w:cs="Arial" w:eastAsia="Arial" w:hAnsi="Arial"/>
          <w:sz w:val="16"/>
          <w:szCs w:val="16"/>
          <w:color w:val="auto"/>
        </w:rPr>
        <w:t>(FIN 48). FIN 48 differs from the prior standards in that it requires companies to determine whether it is</w:t>
      </w:r>
      <w:r>
        <w:rPr>
          <w:rFonts w:ascii="Arial" w:cs="Arial" w:eastAsia="Arial" w:hAnsi="Arial"/>
          <w:sz w:val="16"/>
          <w:szCs w:val="16"/>
          <w:i w:val="1"/>
          <w:iCs w:val="1"/>
          <w:color w:val="auto"/>
        </w:rPr>
        <w:t xml:space="preserve"> </w:t>
      </w:r>
      <w:r>
        <w:rPr>
          <w:rFonts w:ascii="Arial" w:cs="Arial" w:eastAsia="Arial" w:hAnsi="Arial"/>
          <w:sz w:val="16"/>
          <w:szCs w:val="16"/>
          <w:color w:val="auto"/>
        </w:rPr>
        <w:t>“more likely than not” that a tax position will be sustained upon examination by the appropriate taxing authorities before any benefit can be recorded in the financial statements. An uncertain income tax position will not be recognized if it has less than a 50% likelihood of being sustained. There were no changes to the Company’s liabilities for uncertain tax positions as a result of the adoption of FIN 48. As of August 2, 2008, the Company had $11.5 million of liabilities related to tax contingencies. In accordance with FIN 48, these liabilities are classified as non-current, and included in other non-current liabilities, because the Company believes that the ultimate payment or settlement of these liabilities will not occur within the next twelve months. Prior to the adoption of FIN 48, these amounts were included in current income tax payable. The $11.5 million liability for uncertain tax positions as of August 2, 2008 included $5.8 million for interest and penalties. If these tax positions were settled in the Company’s favor, these liabilities would be reversed and lower the Company’s effective tax rate in the period recorded. The Company includes interest and penalties related to unrecognized tax benefits within the provision for taxes in the condensed consolidated statements of income, and as a result, no change in classification was made upon adopting FIN 48. The condensed consolidated statements of income for the three- and nine-month periods ended August 2, 2008 include $0.3 million and $0.7 million, respectively, of interest and penalties related to these uncertain tax positions. Due to the complexity associated with its tax uncertainties, the Company cannot make a reasonably reliable estimate as to the period in which it expects to settle the liabilities associated with these uncertain tax positions.</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fourth quarter of fiscal 2007, the IRS completed its field examination of fiscal years 2004 and 2005. On January 2, 2008, the IRS issued its report for fiscal 2004 and 2005, which included proposed adjustments related to these two fiscal years. The Company has provided for taxes and penalties related to certain of these proposed adjustments. There are four items with a potential total tax liability of $46 million that the Company concluded, based on discussions with its tax advisors, are not likely to result in additional tax liability. Therefore, the Company has not recorded any tax liability for these items and is appealing these proposed adjustments through the normal processes for the resolution of differences between the IRS and taxpayers. Two of the unresolved matters are one-time issues and pertain to Section 965 of the Internal Revenue Code related to the beneficial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tax treatment of dividends from foreign owned companies under The American Jobs Creation Act. The other matters pertain to the computation of research and development tax credits and the profits earned from manufacturing activities carried on outside the United States. These latter two matters could impact taxes payable for fiscal 2004 and 2005 as well as for subsequent years.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participated in CAP for fiscal 2006 and 2007. Under the program, the IRS is expected to contemporaneously work with the Company to achieve federal tax compliance and resolve issues prior to the filing of a tax return. CAP is designed to eliminate or substantially reduce the need for post-filing examinations of future tax returns. For fiscal 2006, the IRS has completed the CAP but has not issued its final report. The IRS and the Company have agreed on the treatment of a number of issues that have been included in an Issue Resolutions Agreement related to the 2006 tax return. However, no agreement was reached on the tax treatment of a number of issues, including the same R&amp;D credit and foreign manufacturing issues mentioned above related to fiscal 2004 and 2005. The IRS has not completed its audit of the pricing of intercompany sales (transfer pricing). The Company has not provided for any additional taxes in respect of the examination of the fiscal 2006 return. The CAP is still underway for fiscal 2007 and the IRS has not issued a report for fiscal 2007.</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the Company believes its estimates of income tax payable are reasonable, no assurance can be given that the Company will prevail in the matters raised related to fiscal years 2004, 2005, 2006 and 2007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Hierarchy of Generally Accepted Accounting Principles</w:t>
      </w:r>
    </w:p>
    <w:p>
      <w:pPr>
        <w:spacing w:after="0" w:line="11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 xml:space="preserve">In May 2008, the FASB issued SFAS No.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SFAS 162 identifies the sources of accounting principles and the framework for selecting the principles to be used in the preparation of financial statements of nongovernmental entities that are presented in conformity with generally accepted accounting principles in the United States of America. SFAS 162 is effective sixty days following the SEC’s approval of the Public Company Accounting Oversight Board amendments to AU section 411, </w:t>
      </w:r>
      <w:r>
        <w:rPr>
          <w:rFonts w:ascii="Arial" w:cs="Arial" w:eastAsia="Arial" w:hAnsi="Arial"/>
          <w:sz w:val="18"/>
          <w:szCs w:val="18"/>
          <w:i w:val="1"/>
          <w:iCs w:val="1"/>
          <w:color w:val="auto"/>
        </w:rPr>
        <w:t>The Meaning of Present Fairly in Conformity with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Accepted Accounting Principles. </w:t>
      </w:r>
      <w:r>
        <w:rPr>
          <w:rFonts w:ascii="Arial" w:cs="Arial" w:eastAsia="Arial" w:hAnsi="Arial"/>
          <w:sz w:val="18"/>
          <w:szCs w:val="18"/>
          <w:color w:val="auto"/>
        </w:rPr>
        <w:t>The Company is currently evaluating the impact, if any, that SFAS 162 may have on the Company’s financial condition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 an amendment of FASB Statement</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changes the disclosure requirements for derivative instruments and hedging activities. SFAS 161 requires entities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The Company is currently evaluating the impact, if any, that SFAS 161 may have on the Company’s financial condition and results of operations. The adoption of SFAS 161 will change the Company’s disclosures for derivative instruments and hedging activities beginning in the second quarter of fiscal year 2009.</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the Company’s fiscal year 2010. The Company is currently evaluating the impact, if any, that SFAS 141</w:t>
      </w:r>
    </w:p>
    <w:p>
      <w:pPr>
        <w:spacing w:after="0" w:line="2" w:lineRule="exact"/>
        <w:rPr>
          <w:sz w:val="20"/>
          <w:szCs w:val="20"/>
          <w:color w:val="auto"/>
        </w:rPr>
      </w:pPr>
    </w:p>
    <w:p>
      <w:pPr>
        <w:ind w:firstLine="8"/>
        <w:spacing w:after="0" w:line="261" w:lineRule="auto"/>
        <w:tabs>
          <w:tab w:leader="none" w:pos="2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have on the Company’s financial condition and results of operations. The adoption of SFAS 141(R) will change the Company’s accounting treatment for business combinations on a prospective basis beginning in the first quarter of fiscal year 2010.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the Company’s fiscal year 2010. The Company is currently evaluating the impact, if any, that SFAS 160 may have on the Company’s financial condition and results of operations.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fiscal years beginning after November 15, 2007, which is the Company’s fiscal year 2009. The Company is currently evaluating the impact, if any, that SFAS 159 may have on the Company’s financial condition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w:t>
      </w:r>
      <w:r>
        <w:rPr>
          <w:rFonts w:ascii="Arial" w:cs="Arial" w:eastAsia="Arial" w:hAnsi="Arial"/>
          <w:sz w:val="17"/>
          <w:szCs w:val="17"/>
          <w:i w:val="1"/>
          <w:iCs w:val="1"/>
          <w:color w:val="auto"/>
        </w:rPr>
        <w:t>.</w:t>
      </w:r>
      <w:r>
        <w:rPr>
          <w:rFonts w:ascii="Arial" w:cs="Arial" w:eastAsia="Arial" w:hAnsi="Arial"/>
          <w:sz w:val="17"/>
          <w:szCs w:val="17"/>
          <w:color w:val="auto"/>
        </w:rPr>
        <w:t xml:space="preserve"> SFAS 157 provides enhanced guidance for using fair value to measure assets and liabilities. The standard also provides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the Company’s fiscal year 2009. The Company is currently evaluating the impact, if any, that SFAS 157 may have on the Company’s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18, 2008, the Company’s Board of Directors declared a cash dividend of $0.20 per outstanding share of common stock. The dividend will be paid on September 17, 2008 to all shareholders of record at the close of business on August 29,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2007. 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w:t>
      </w:r>
    </w:p>
    <w:p>
      <w:pPr>
        <w:spacing w:after="0" w:line="5" w:lineRule="exact"/>
        <w:rPr>
          <w:sz w:val="20"/>
          <w:szCs w:val="20"/>
          <w:color w:val="auto"/>
        </w:rPr>
      </w:pPr>
    </w:p>
    <w:p>
      <w:pPr>
        <w:ind w:right="680"/>
        <w:spacing w:after="0" w:line="323" w:lineRule="auto"/>
        <w:rPr>
          <w:sz w:val="20"/>
          <w:szCs w:val="20"/>
          <w:color w:val="auto"/>
        </w:rPr>
      </w:pPr>
      <w:r>
        <w:rPr>
          <w:rFonts w:ascii="Arial" w:cs="Arial" w:eastAsia="Arial" w:hAnsi="Arial"/>
          <w:sz w:val="16"/>
          <w:szCs w:val="16"/>
          <w:color w:val="auto"/>
        </w:rPr>
        <w:t>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3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sold our baseband chipset business and related support operations, or Baseband Chipset Business, to MediaTek Inc. and sold our CPU voltage regulation and PC thermal monitoring business to certain subsidiaries of ON Semiconductor Corporation during the first quarter of fiscal 2008. We have reflected the financial results of these businesses as discontinued operations in the consolidated statements of income for all periods presented. The assets and liabilities related to these businesses are reflected as assets and liabilities of discontinued operations in the consolidated balance sheets as of August 2, 2008 and November 3, 2007. The historical results of operations of these businesses have been segregated from our consolidated financial statements and are included in income (loss) from discontinued operations, net of tax in the consolidated statements of income. Unless otherwise noted, this Management’s Discussion and Analysis relates only to financial results from continuing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16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16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160" w:type="dxa"/>
            <w:vAlign w:val="bottom"/>
          </w:tcPr>
          <w:p>
            <w:pPr>
              <w:spacing w:after="0"/>
              <w:rPr>
                <w:sz w:val="12"/>
                <w:szCs w:val="12"/>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658,986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617,431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1,922,235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1,841,179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Gross margin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129,195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125,406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380,935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407,437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6"/>
              </w:rPr>
              <w:t>Income from continuing operations, net of tax as a % of total revenue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Diluted EPS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0.47</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0.37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bl>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Fiscal 2008 is a 52-week year and fiscal 2007 was a 53-week year. The additional week in fiscal 2007 was included in the first quarter ended February 3, 2007. Therefore, the first nine months of fiscal 2007 included an additional week of operations as compared to the first nine months of fiscal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$ 326,984</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$ 298,049</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163,762</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148,011</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134,677</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136,145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33,563</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35,226</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$ 658,986</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$ 617,431</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August 2, 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4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957,693</w:t>
            </w:r>
          </w:p>
        </w:tc>
        <w:tc>
          <w:tcPr>
            <w:tcW w:w="16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894,004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474,682</w:t>
            </w:r>
          </w:p>
        </w:tc>
        <w:tc>
          <w:tcPr>
            <w:tcW w:w="160" w:type="dxa"/>
            <w:vAlign w:val="bottom"/>
          </w:tcPr>
          <w:p>
            <w:pPr>
              <w:spacing w:after="0"/>
              <w:rPr>
                <w:sz w:val="18"/>
                <w:szCs w:val="18"/>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16%</w:t>
            </w:r>
          </w:p>
        </w:tc>
        <w:tc>
          <w:tcPr>
            <w:tcW w:w="1700" w:type="dxa"/>
            <w:vAlign w:val="bottom"/>
            <w:gridSpan w:val="4"/>
          </w:tcPr>
          <w:p>
            <w:pPr>
              <w:jc w:val="right"/>
              <w:ind w:right="660"/>
              <w:spacing w:after="0"/>
              <w:rPr>
                <w:sz w:val="20"/>
                <w:szCs w:val="20"/>
                <w:color w:val="auto"/>
              </w:rPr>
            </w:pPr>
            <w:r>
              <w:rPr>
                <w:rFonts w:ascii="Arial" w:cs="Arial" w:eastAsia="Arial" w:hAnsi="Arial"/>
                <w:sz w:val="18"/>
                <w:szCs w:val="18"/>
                <w:color w:val="auto"/>
              </w:rPr>
              <w:t>407,927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394,177</w:t>
            </w:r>
          </w:p>
        </w:tc>
        <w:tc>
          <w:tcPr>
            <w:tcW w:w="16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394,727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95,683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1700" w:type="dxa"/>
            <w:vAlign w:val="bottom"/>
            <w:gridSpan w:val="4"/>
          </w:tcPr>
          <w:p>
            <w:pPr>
              <w:jc w:val="right"/>
              <w:ind w:right="660"/>
              <w:spacing w:after="0"/>
              <w:rPr>
                <w:sz w:val="20"/>
                <w:szCs w:val="20"/>
                <w:color w:val="auto"/>
              </w:rPr>
            </w:pPr>
            <w:r>
              <w:rPr>
                <w:rFonts w:ascii="Arial" w:cs="Arial" w:eastAsia="Arial" w:hAnsi="Arial"/>
                <w:sz w:val="18"/>
                <w:szCs w:val="18"/>
                <w:color w:val="auto"/>
              </w:rPr>
              <w:t>109,521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$ 1,806,179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8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$ 1,841,179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nine months of fiscal 2007 included an additional week of operations as compared to the first nine months of fiscal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increases in both the three- and nine-month periods were primarily the result of revenue growth in products sold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sector of this end market and, to a lesser extent, the instrumentation and defense sectors of this end market. These increases were partially offset by a decline in revenue from the automatic test equipment portion of this end market.</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Communications — </w:t>
      </w:r>
      <w:r>
        <w:rPr>
          <w:rFonts w:ascii="Arial" w:cs="Arial" w:eastAsia="Arial" w:hAnsi="Arial"/>
          <w:sz w:val="16"/>
          <w:szCs w:val="16"/>
          <w:color w:val="auto"/>
        </w:rPr>
        <w:t>The year-to-year increase in the three-month period was primarily the result of revenue growth in sales of analog products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handsets and optical applications, partially offset by a decline in sales of products used in basestations. The year-to-year increase in the nine-month period was primarily the result of revenue growth in sales of analog products used in wireless handsets, basestations and optical applications.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There were no significant changes in revenue in the consumer end market during the three- and nine-month periods of fiscal 2008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periods of fiscal 2007.</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decreases in both the three- and nine-month periods were primarily the result of broad-based declines in sales of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end market.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 from One-Time IP License — </w:t>
      </w:r>
      <w:r>
        <w:rPr>
          <w:rFonts w:ascii="Arial" w:cs="Arial" w:eastAsia="Arial" w:hAnsi="Arial"/>
          <w:sz w:val="18"/>
          <w:szCs w:val="18"/>
          <w:color w:val="auto"/>
        </w:rPr>
        <w:t>During the first quarter of fiscal 2007, we recorded revenue of $35 million received in exchange for licensing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a third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This categorization of products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August 2, 2008</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260" w:type="dxa"/>
            <w:vAlign w:val="bottom"/>
            <w:gridSpan w:val="2"/>
            <w:vMerge w:val="restart"/>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80" w:type="dxa"/>
            <w:vAlign w:val="bottom"/>
            <w:vMerge w:val="restart"/>
          </w:tcPr>
          <w:p>
            <w:pPr>
              <w:spacing w:after="0"/>
              <w:rPr>
                <w:sz w:val="12"/>
                <w:szCs w:val="12"/>
                <w:color w:val="auto"/>
              </w:rPr>
            </w:pPr>
          </w:p>
        </w:tc>
        <w:tc>
          <w:tcPr>
            <w:tcW w:w="7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302,763</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281,001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Amplifiers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150,923</w:t>
            </w:r>
          </w:p>
        </w:tc>
        <w:tc>
          <w:tcPr>
            <w:tcW w:w="240" w:type="dxa"/>
            <w:vAlign w:val="bottom"/>
          </w:tcPr>
          <w:p>
            <w:pPr>
              <w:spacing w:after="0"/>
              <w:rPr>
                <w:sz w:val="18"/>
                <w:szCs w:val="18"/>
                <w:color w:val="auto"/>
              </w:rPr>
            </w:pP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144,103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100,279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553,690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525,383</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36,674</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30,439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590,364</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90%</w:t>
            </w:r>
          </w:p>
        </w:tc>
        <w:tc>
          <w:tcPr>
            <w:tcW w:w="1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555,822</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60,521</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DSP</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8,617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68,622</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61,609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658,986</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617,431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August 2, 2008</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881,530</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818,502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439,755</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419,018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300,073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295,261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1,621,358</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1,532,781</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91,818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6%</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1,726,147</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90%</w:t>
            </w: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1,624,599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158,305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22,167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23,275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196,088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181,580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6%</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1,922,235</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1,806,179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one-time IP license*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1,922,235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1,841,179</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first quarter of fiscal 2007, we recorded revenue of $35 million received in exchange for licensing of certain intellectual property rights to a third party.</w:t>
      </w:r>
    </w:p>
    <w:p>
      <w:pPr>
        <w:spacing w:after="0" w:line="22" w:lineRule="exact"/>
        <w:rPr>
          <w:sz w:val="20"/>
          <w:szCs w:val="20"/>
          <w:color w:val="auto"/>
        </w:rPr>
      </w:pPr>
    </w:p>
    <w:p>
      <w:pPr>
        <w:ind w:left="460" w:right="40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nine months of fiscal 2007 included an additional week of operations as compared to the first nine months of fiscal 2008.</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sales increases in the three- and nine-month periods in fiscal 2008 as compared to the same periods in fiscal 2007 were the result of a broad-based increase in sales across many of our product categories. The increase in sales of converters and amplifiers was primarily attributable to an increase in demand for our products used in the industrial and communications end markets.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Product revenue by geographic region, based upon customer location, for the three- and nine-month periods ended August 2, 2008 and August 4, 2007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132,076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393,921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25,433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20,523</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70,578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177,881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148,284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128,457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127,040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380,940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Asia</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99,498</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658,986</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617,431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1,922,235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1,806,179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predominant countries comprising “Rest of North and South America” are Canada and Mexico. The predominant countries comprising European operations are Germany, France and the United Kingdom. The predominant country comprising “Rest of Asia” is Korea.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$401,794</w:t>
            </w:r>
          </w:p>
        </w:tc>
        <w:tc>
          <w:tcPr>
            <w:tcW w:w="42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$373,492</w:t>
            </w:r>
          </w:p>
        </w:tc>
        <w:tc>
          <w:tcPr>
            <w:tcW w:w="420" w:type="dxa"/>
            <w:vAlign w:val="bottom"/>
          </w:tcPr>
          <w:p>
            <w:pPr>
              <w:spacing w:after="0"/>
              <w:rPr>
                <w:sz w:val="16"/>
                <w:szCs w:val="16"/>
                <w:color w:val="auto"/>
              </w:rPr>
            </w:pPr>
          </w:p>
        </w:tc>
        <w:tc>
          <w:tcPr>
            <w:tcW w:w="13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$1,173,618</w:t>
            </w:r>
          </w:p>
        </w:tc>
        <w:tc>
          <w:tcPr>
            <w:tcW w:w="420" w:type="dxa"/>
            <w:vAlign w:val="bottom"/>
          </w:tcPr>
          <w:p>
            <w:pPr>
              <w:spacing w:after="0"/>
              <w:rPr>
                <w:sz w:val="16"/>
                <w:szCs w:val="16"/>
                <w:color w:val="auto"/>
              </w:rPr>
            </w:pPr>
          </w:p>
        </w:tc>
        <w:tc>
          <w:tcPr>
            <w:tcW w:w="13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$1,134,384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Gross margin %</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61.0%</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60.5%</w:t>
            </w:r>
          </w:p>
        </w:tc>
        <w:tc>
          <w:tcPr>
            <w:tcW w:w="1720" w:type="dxa"/>
            <w:vAlign w:val="bottom"/>
            <w:gridSpan w:val="2"/>
          </w:tcPr>
          <w:p>
            <w:pPr>
              <w:jc w:val="right"/>
              <w:ind w:right="62"/>
              <w:spacing w:after="0"/>
              <w:rPr>
                <w:sz w:val="20"/>
                <w:szCs w:val="20"/>
                <w:color w:val="auto"/>
              </w:rPr>
            </w:pPr>
            <w:r>
              <w:rPr>
                <w:rFonts w:ascii="Arial" w:cs="Arial" w:eastAsia="Arial" w:hAnsi="Arial"/>
                <w:sz w:val="18"/>
                <w:szCs w:val="18"/>
                <w:color w:val="auto"/>
              </w:rPr>
              <w:t>61.1%</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margin percentage was higher by 50 basis points in the third quarter of fiscal 2008 as compared to the third quarter of fiscal 2007 primarily as a result of an increase in sales of products used in the industrial and communications end markets, which earn relatively higher gross margins than our average margin.</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margin percentage was lower by 50 basis points in the nine months ended August 2, 2008 as compared to the same period of fiscal 2007. Gross margin percentage in the nine months ended August 4, 2007 was higher primarily as a result of the recording of $35 million we received in exchange for the licensing of certain intellectual property rights to a third party with no associated cost of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option pricing model. As of August 2, 2008, the total compensation cost related to unvested awards not yet recognized in the statement of income was approximately $131.1 million (before tax consideration), which will be recognized over a weighted average period of 1.7 years. See Note 3 in the Notes to our Condensed Consolidated Financial Statements contained in Item 1 of this Quarterly Report on Form 10-Q for further information regarding our adoption of SFAS 123R.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$135,837</w:t>
            </w:r>
          </w:p>
        </w:tc>
        <w:tc>
          <w:tcPr>
            <w:tcW w:w="40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$128,093</w:t>
            </w:r>
          </w:p>
        </w:tc>
        <w:tc>
          <w:tcPr>
            <w:tcW w:w="40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$400,029</w:t>
            </w:r>
          </w:p>
        </w:tc>
        <w:tc>
          <w:tcPr>
            <w:tcW w:w="40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$377,866</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20.6%</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20.7%</w:t>
            </w:r>
          </w:p>
        </w:tc>
        <w:tc>
          <w:tcPr>
            <w:tcW w:w="1780" w:type="dxa"/>
            <w:vAlign w:val="bottom"/>
            <w:gridSpan w:val="2"/>
          </w:tcPr>
          <w:p>
            <w:pPr>
              <w:jc w:val="right"/>
              <w:ind w:right="162"/>
              <w:spacing w:after="0"/>
              <w:rPr>
                <w:sz w:val="20"/>
                <w:szCs w:val="20"/>
                <w:color w:val="auto"/>
              </w:rPr>
            </w:pPr>
            <w:r>
              <w:rPr>
                <w:rFonts w:ascii="Arial" w:cs="Arial" w:eastAsia="Arial" w:hAnsi="Arial"/>
                <w:sz w:val="18"/>
                <w:szCs w:val="18"/>
                <w:color w:val="auto"/>
              </w:rPr>
              <w:t>20.8%</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Research and development, or R&amp;D, expenses increased $7.7 million, or 6%, in the third quarter of fiscal 2008 as compared to the third quarter of fiscal 2007. This increase was primarily the result of higher employee salary, benefit and bonus expenses, which were partially offset by lower employee stock option expense.</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R&amp;D expenses increased $22.2 million, or 6%, in the first nine months of fiscal 2008 as compared to the same period of fiscal 2007. This increase was primarily the result of higher employee salary, benefit and bonus expenses, which was partially offset by one less week of operations in the first quarter of fiscal 2008 than in the first quarter of fiscal 2007 and lower employee stock option expense.</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expenses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3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3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$104,767</w:t>
            </w:r>
          </w:p>
        </w:tc>
        <w:tc>
          <w:tcPr>
            <w:tcW w:w="420" w:type="dxa"/>
            <w:vAlign w:val="bottom"/>
          </w:tcPr>
          <w:p>
            <w:pPr>
              <w:spacing w:after="0"/>
              <w:rPr>
                <w:sz w:val="16"/>
                <w:szCs w:val="16"/>
                <w:color w:val="auto"/>
              </w:rPr>
            </w:pPr>
          </w:p>
        </w:tc>
        <w:tc>
          <w:tcPr>
            <w:tcW w:w="12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$99,906</w:t>
            </w:r>
          </w:p>
        </w:tc>
        <w:tc>
          <w:tcPr>
            <w:tcW w:w="420" w:type="dxa"/>
            <w:vAlign w:val="bottom"/>
          </w:tcPr>
          <w:p>
            <w:pPr>
              <w:spacing w:after="0"/>
              <w:rPr>
                <w:sz w:val="16"/>
                <w:szCs w:val="16"/>
                <w:color w:val="auto"/>
              </w:rPr>
            </w:pPr>
          </w:p>
        </w:tc>
        <w:tc>
          <w:tcPr>
            <w:tcW w:w="138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$309,301</w:t>
            </w:r>
          </w:p>
        </w:tc>
        <w:tc>
          <w:tcPr>
            <w:tcW w:w="4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$292,096</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15.9%</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16.2%</w:t>
            </w:r>
          </w:p>
        </w:tc>
        <w:tc>
          <w:tcPr>
            <w:tcW w:w="1800" w:type="dxa"/>
            <w:vAlign w:val="bottom"/>
            <w:gridSpan w:val="2"/>
          </w:tcPr>
          <w:p>
            <w:pPr>
              <w:jc w:val="right"/>
              <w:ind w:right="162"/>
              <w:spacing w:after="0"/>
              <w:rPr>
                <w:sz w:val="20"/>
                <w:szCs w:val="20"/>
                <w:color w:val="auto"/>
              </w:rPr>
            </w:pPr>
            <w:r>
              <w:rPr>
                <w:rFonts w:ascii="Arial" w:cs="Arial" w:eastAsia="Arial" w:hAnsi="Arial"/>
                <w:sz w:val="18"/>
                <w:szCs w:val="18"/>
                <w:color w:val="auto"/>
              </w:rPr>
              <w:t>16.1%</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marketing, general and administrative, or SMG&amp;A, expenses increased $4.9 million, or 5%, in the third quarter of fiscal 2008 as compared to the third quarter of fiscal 2007. This increase was primarily the result of higher employee salary, benefit and bonus expenses, which were partially offset by lower legal expenses and lower employee stock option expense.</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SMG&amp;A expenses increased $17.2 million, or 6%, in the first nine months of fiscal 2008 as compared to the first nine months of fiscal 2007. This increase was primarily the result of higher employee salary, benefit and bonus expenses, which were partially offset by lower employee stock option expense and one less week of operations in the first quarter of fiscal 2008 than in the first quarter of fiscal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Plans and for Termination Benefits</w:t>
      </w:r>
      <w:r>
        <w:rPr>
          <w:rFonts w:ascii="Arial" w:cs="Arial" w:eastAsia="Arial" w:hAnsi="Arial"/>
          <w:sz w:val="18"/>
          <w:szCs w:val="18"/>
          <w:color w:val="auto"/>
        </w:rPr>
        <w:t>, or SFAS 88, under our ongoing benefit plan for 339 manufacturing employees and 28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severance benefit was calculated based on length of past service, and employees had to continue to be employed until their employment was involuntarily terminated in order to receive the severance benefit. We completed the final cleanup and closure activities associated with this action during the second quarter of fiscal 2007.</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in lump sum payments, which reduced the benefit costs associated with these payments. We have terminated the employment of all of the remaining employees included in this action. We ceased production at the wafer fabrication facility on November 9, 2006. During the first quarter of fiscal 2007, we recorded additional expense, in accordance with SFAS 146, </w:t>
      </w:r>
      <w:r>
        <w:rPr>
          <w:rFonts w:ascii="Arial" w:cs="Arial" w:eastAsia="Arial" w:hAnsi="Arial"/>
          <w:sz w:val="16"/>
          <w:szCs w:val="16"/>
          <w:i w:val="1"/>
          <w:iCs w:val="1"/>
          <w:color w:val="auto"/>
        </w:rPr>
        <w:t>Accounting for Costs Associated with Exit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(SFAS 146), which consisted of $3.2 million for clean-up and closure costs that were charged to expense as incurred and $0.4 million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costs for a warehouse facility we ceased using during the first quarter of fiscal 2007. During the second quarter of fiscal 2007, we recorded a special charge, in accordance with SFAS 146, which included $5.0 million of expense for future lease obligation costs for the wafer fabrication facility that we ceased using during the second quarter of fiscal 2007. The lease obligation costs are being paid out on a monthly basis over the remaining lease term which expires in 2010. Also included in this special charge was $1.7 million for clean-up and closure costs that were charged to expense as incurred. The clean-up activity was completed during the second quarter of fiscal 2007, and we do not expect to incur any additional charges related to this action.</w:t>
      </w:r>
    </w:p>
    <w:p>
      <w:pPr>
        <w:spacing w:after="0" w:line="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underutilized resulting in significant adverse manufacturing variances associated with the underutilization of our wafer fabrication facilities.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at this facility. The remaining $2.3 million related to the severance and fringe benefit costs that were recorded in the fourth quarter of fiscal 2006 pursuant to SFAS 88 under our ongoing benefit plan or statutory requirements at foreign locations for 46 engineering and selling, marketing, general and administrative employees.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2007, we recorded an additional special charge of $1.6 million related to this reorganization action. Approximately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$0.6 million of this charge was for contract termination costs. The remaining $1.0 million relates to severance and fringe benefit costs recorded pursuant to SFAS 88 under our ongoing benefit plan for six engineering employees.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fiscal 2007, we recorded an additional special charge of $3.4 million related to this reorganization action. Approximately $3.2 million related to the severance and fringe benefit costs recorded pursuant to SFAS 88 under our ongoing benefit plan or minimum statutory requirements at foreign locations for 20 engineering and selling, marketing, general and administrative employees. The remaining $0.2 million of this charge was for lease obligation costs for a facility we ceased using during the second quarter of fiscal 2007.</w:t>
      </w:r>
    </w:p>
    <w:p>
      <w:pPr>
        <w:spacing w:after="0" w:line="7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During the fourth quarter of fiscal 2007, we reversed approximately $0.9 million of our severance accrual because some employees voluntarily left the company and other employees found alternative employment within the company, and were therefore no longer entitled to severance payments.</w:t>
      </w:r>
    </w:p>
    <w:p>
      <w:pPr>
        <w:spacing w:after="0" w:line="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employment of all employees included in this action has been terminated and amounts owed to employees for severance are being paid out as income continuance. We do not expect to incur any further charges related to this reorganization action. These organizational changes, which were fully implemented in the fourth quarter of fiscal 2007, have resulted in savings of approximately $30 million per year. These annual savings include: approximately $17 million in R&amp;D expenses, approximately $10 million in SMG&amp;A expenses and approximately $3 million in cost of sales. As this action was completed during fiscal 2007, a portion of these savings are reflected in our results for fiscal 2007 and for the first nine months of fiscal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fourth quarter of fiscal 2007, we recorded a special charge of $13.7 million as a result of our decision to only use eight-inch technology at our wafer fabrication facility in Limerick. Certain manufacturing processes and products produced on the Limerick facility’s six-inch production line will transition to our existing eight-inch production line in Limerick while others will transition to external foundries. The charge is for severance and fringe benefit costs recorded pursuant to SFAS 88 under our ongoing benefit plan for 150 manufacturing employees. Production is expected to cease in the six-inch wafer fabrication facility during the first half of 2009, at which time the employment of the affected employees will be terminated. These employees must continue to be employed until their employment is involuntarily terminated in order to receive the severance benefit. We expect to incur additional closure expenses related to this action over the next four quarters totaling approximately $3 million. In accordance with SFAS 146, these costs will be expensed as incurred. As of August 2, 2008, 146 of the 150 employees included in this cost reduction action were still employed by us. These employees must continue to be employed until their employment is involuntarily terminated in order to receive the severance benefit. The closure of this facility is estimated to result in annual cost savings of approximately $25 million per year, expected to start during the second quarter of fiscal 2009. These annual savings will be in cost of sales, of which approximately $1 million relates to non-cash depreciation savings.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fourth quarter of fiscal 2007, we decided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Consequently, during the fourth quarter of fiscal 2007, we recorded a special charge of $12.3 million, of which $10.7 million was for severance and fringe benefit costs recorded pursuant to SFAS 88 under our ongoing benefit plan or statutory requirements at foreign locations for 25 manufacturing employees and 127 engineering and selling, marketing, general and administrative employees. The remaining $1.6 million was for contract termination costs related to a license agreement associated with products we will no longer develop and for which there is no future alternative use. As of August 2, 2008, 10 of the 152 employees included in this cost reduction action were still employed by us. These employees must continue to be employed until their employment is involuntarily terminated in order to receive the severance benefit. These cost reduction actions, which were substantially completed in the second quarter of fiscal 2008, are expected to result in savings of approximately $15 million per year. These savings are expected to be realized as follows: approximately $7 million in R&amp;D expenses, approximately $6 million in SMG&amp;A expenses and approximately $2 million in cost of sales. A portion of these savings is reflected in our results for the first nine months of fiscal 2008.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14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3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3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$161,190</w:t>
            </w:r>
          </w:p>
        </w:tc>
        <w:tc>
          <w:tcPr>
            <w:tcW w:w="42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$145,493</w:t>
            </w:r>
          </w:p>
        </w:tc>
        <w:tc>
          <w:tcPr>
            <w:tcW w:w="42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$464,288</w:t>
            </w:r>
          </w:p>
        </w:tc>
        <w:tc>
          <w:tcPr>
            <w:tcW w:w="400" w:type="dxa"/>
            <w:vAlign w:val="bottom"/>
          </w:tcPr>
          <w:p>
            <w:pPr>
              <w:spacing w:after="0"/>
              <w:rPr>
                <w:sz w:val="16"/>
                <w:szCs w:val="16"/>
                <w:color w:val="auto"/>
              </w:rPr>
            </w:pPr>
          </w:p>
        </w:tc>
        <w:tc>
          <w:tcPr>
            <w:tcW w:w="136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$449,110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income from continuing operations as a % of</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24.5%</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23.6%</w:t>
            </w:r>
          </w:p>
        </w:tc>
        <w:tc>
          <w:tcPr>
            <w:tcW w:w="1800" w:type="dxa"/>
            <w:vAlign w:val="bottom"/>
            <w:gridSpan w:val="2"/>
          </w:tcPr>
          <w:p>
            <w:pPr>
              <w:jc w:val="right"/>
              <w:ind w:right="182"/>
              <w:spacing w:after="0"/>
              <w:rPr>
                <w:sz w:val="20"/>
                <w:szCs w:val="20"/>
                <w:color w:val="auto"/>
              </w:rPr>
            </w:pPr>
            <w:r>
              <w:rPr>
                <w:rFonts w:ascii="Arial" w:cs="Arial" w:eastAsia="Arial" w:hAnsi="Arial"/>
                <w:sz w:val="18"/>
                <w:szCs w:val="18"/>
                <w:color w:val="auto"/>
              </w:rPr>
              <w:t>24.2%</w:t>
            </w:r>
          </w:p>
        </w:tc>
        <w:tc>
          <w:tcPr>
            <w:tcW w:w="1760" w:type="dxa"/>
            <w:vAlign w:val="bottom"/>
            <w:gridSpan w:val="2"/>
          </w:tcPr>
          <w:p>
            <w:pPr>
              <w:jc w:val="right"/>
              <w:ind w:right="159"/>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$15.7 million increase in operating income from continuing operations in the third quarter of fiscal 2008 as compared to the third quarter of fiscal 2007 was primarily the result of an increase in revenue of $41.6 million and a 50 basis point increase in gross margin percentage. This increase in operating income from continuing operations was partially offset by an increase in operating expenses as more fully described above under the headings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Marketing, General and Administrative</w:t>
      </w:r>
      <w:r>
        <w:rPr>
          <w:rFonts w:ascii="Arial" w:cs="Arial" w:eastAsia="Arial" w:hAnsi="Arial"/>
          <w:sz w:val="18"/>
          <w:szCs w:val="18"/>
          <w:color w:val="auto"/>
        </w:rPr>
        <w:t>.</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$15.2 million increase in operating income from continuing operations in the first nine months of fiscal 2008 as compared to the same period of fiscal 2007 was primarily the result of an increase in revenue of $81.1 million and, to a lesser extent, a decrease in special charges of $15.3 million. These increases in operating income from continuing operations were partially offset by a 50 basis point decrease in gross margin percentage, an increase in operating expenses as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w:t>
      </w:r>
      <w:r>
        <w:rPr>
          <w:rFonts w:ascii="Arial" w:cs="Arial" w:eastAsia="Arial" w:hAnsi="Arial"/>
          <w:sz w:val="18"/>
          <w:szCs w:val="18"/>
          <w:color w:val="auto"/>
        </w:rPr>
        <w:t>, and the fact that the first nine months of fiscal 2007 included $35 million in non-product revenue that we received in exchange for the licensing of certain intellectual property rights to a third party with no associated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340" w:type="dxa"/>
            <w:vAlign w:val="bottom"/>
          </w:tcPr>
          <w:p>
            <w:pPr>
              <w:spacing w:after="0"/>
              <w:rPr>
                <w:sz w:val="12"/>
                <w:szCs w:val="12"/>
                <w:color w:val="auto"/>
              </w:rPr>
            </w:pP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(17,721)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(31,400)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951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(7,541)</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(16,449)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(30,449)</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Nonoperating income was lower by $8.9 million in the third quarter of fiscal 2008 as compared to the third quarter of fiscal 2007 primarily due to lower interest rates and, to a lesser extent, lower invested cash balances in the third quarter of fiscal 2008 as compared to the third quarter of fiscal 2007.</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Nonoperating income was lower by $49.4 million in the first nine months of fiscal 2008 as compared to the same period of fiscal 2007 primarily as a result of lower interest rates and, to a lesser extent, lower invested cash balances in the first nine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months of fiscal 2008 as compared to the first nine months of fiscal 2007. In addition, the first nine months of fiscal 2007 included $10.5 million we received as part of a litigation settlement and a $7.9 million gain from the sale of an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$39,536</w:t>
            </w:r>
          </w:p>
        </w:tc>
        <w:tc>
          <w:tcPr>
            <w:tcW w:w="420" w:type="dxa"/>
            <w:vAlign w:val="bottom"/>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$36,536</w:t>
            </w:r>
          </w:p>
        </w:tc>
        <w:tc>
          <w:tcPr>
            <w:tcW w:w="420" w:type="dxa"/>
            <w:vAlign w:val="bottom"/>
          </w:tcPr>
          <w:p>
            <w:pPr>
              <w:spacing w:after="0"/>
              <w:rPr>
                <w:sz w:val="16"/>
                <w:szCs w:val="16"/>
                <w:color w:val="auto"/>
              </w:rPr>
            </w:pPr>
          </w:p>
        </w:tc>
        <w:tc>
          <w:tcPr>
            <w:tcW w:w="136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$113,802</w:t>
            </w:r>
          </w:p>
        </w:tc>
        <w:tc>
          <w:tcPr>
            <w:tcW w:w="4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23.4%</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22.6%</w:t>
            </w:r>
          </w:p>
        </w:tc>
        <w:tc>
          <w:tcPr>
            <w:tcW w:w="1780" w:type="dxa"/>
            <w:vAlign w:val="bottom"/>
            <w:gridSpan w:val="2"/>
          </w:tcPr>
          <w:p>
            <w:pPr>
              <w:jc w:val="right"/>
              <w:ind w:right="162"/>
              <w:spacing w:after="0"/>
              <w:rPr>
                <w:sz w:val="20"/>
                <w:szCs w:val="20"/>
                <w:color w:val="auto"/>
              </w:rPr>
            </w:pPr>
            <w:r>
              <w:rPr>
                <w:rFonts w:ascii="Arial" w:cs="Arial" w:eastAsia="Arial" w:hAnsi="Arial"/>
                <w:sz w:val="18"/>
                <w:szCs w:val="18"/>
                <w:color w:val="auto"/>
              </w:rPr>
              <w:t>23.0%</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third quarter of fiscal 2008 was higher by 80 basis points compared to our effective tax rate for the third quarter of fiscal 2007. The increase was primarily the result of the expiration of the U.S. federal research and development tax credit in the first quarter of fiscal 2008.</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There was no overall change in our effective tax rate for the first nine months of fiscal 2008 as compared to our effective tax rate for the first nine months of fiscal 2007. The 2007 tax rate included tax expense related to the finalization of the accounting for a 2006 acquisition and the following transactions, which were taxed at the higher U.S. tax rate: the one-time receipt of $35 million associated with the licensing of intellectual property to a third party, $19 million we received from a settlement of litigation and the $7.9 million gain on the sale of an investment. These items, which had the effect of increasing the 2007 tax rate, were partially offset by a $9.9 million cumulative adjustment related to the application of the U.S. federal research and development tax credit to a portion of our fiscal 2006 results. Additionally, this credit that was available during fiscal 2007 expired during the first quarter of fiscal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Nine Months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16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16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160" w:type="dxa"/>
            <w:vAlign w:val="bottom"/>
          </w:tcPr>
          <w:p>
            <w:pPr>
              <w:spacing w:after="0"/>
              <w:rPr>
                <w:sz w:val="12"/>
                <w:szCs w:val="12"/>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129,195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125,406</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380,935</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407,437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6"/>
              </w:rPr>
              <w:t>Income from continuing operations, net of tax as a % of total revenue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net of tax, in the third quarter of fiscal 2008 was higher than in the third quarter of fiscal 2007 by approximately</w:t>
      </w:r>
    </w:p>
    <w:p>
      <w:pPr>
        <w:spacing w:after="0" w:line="35"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$3.8 million primarily as a result of the $15.7 million increase in operating income partially offset by the $8.9 million decrease in nonoperating income and a higher provision for income taxes in the third quarter of fiscal 2008.</w:t>
      </w:r>
    </w:p>
    <w:p>
      <w:pPr>
        <w:spacing w:after="0" w:line="7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Income from continuing operations, net of tax, in the first nine months of fiscal 2008 was lower than in the first nine months of fiscal 2007 by approximately $26.5 million primarily as a result of the $49.4 million decrease in nonoperating income partially offset by a $15.2 million increase in operating income from continuing operations and a lower provision for income taxes in the first nine months of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7"/>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300" w:type="dxa"/>
            <w:vAlign w:val="bottom"/>
            <w:gridSpan w:val="2"/>
          </w:tcPr>
          <w:p>
            <w:pPr>
              <w:spacing w:after="0"/>
              <w:rPr>
                <w:sz w:val="12"/>
                <w:szCs w:val="12"/>
                <w:color w:val="auto"/>
              </w:rPr>
            </w:pPr>
          </w:p>
        </w:tc>
        <w:tc>
          <w:tcPr>
            <w:tcW w:w="12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2, 2008</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4,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(4,971)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10,693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250,785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(loss) from discontinued operations, net of tax</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(4,971)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operating plan for the fourth quarter of fiscal 2008 is for revenue to be in the range of $659 to $679 million, or equal to or up 3% from the third quarter of fiscal 2008. On a year-over-year basis, this range represents a revenue increase of 6% to 9% for the fourth quarter of fiscal 2008. Our plan is for gross margin to be approximately 61%, with results dependent on the actual mix of business we achieve and for operating expenses in the fourth quarter of fiscal 2008 to remain relatively flat to the third quarter of fiscal 2008. If our operating plan is achieved for the fourth quarter of fiscal 2008, diluted EPS from continuing operations is expected to be approximately $0.44 to $0.46 and diluted EPS from discontinued operations is expected to be approximately $0.02.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2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5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0" w:type="dxa"/>
            <w:vAlign w:val="bottom"/>
          </w:tcPr>
          <w:p>
            <w:pPr>
              <w:spacing w:after="0"/>
              <w:rPr>
                <w:sz w:val="1"/>
                <w:szCs w:val="1"/>
                <w:color w:val="auto"/>
              </w:rPr>
            </w:pPr>
          </w:p>
        </w:tc>
      </w:tr>
      <w:tr>
        <w:trPr>
          <w:trHeight w:val="195"/>
        </w:trPr>
        <w:tc>
          <w:tcPr>
            <w:tcW w:w="8160" w:type="dxa"/>
            <w:vAlign w:val="bottom"/>
            <w:vMerge w:val="continue"/>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$527,110</w:t>
            </w:r>
          </w:p>
        </w:tc>
        <w:tc>
          <w:tcPr>
            <w:tcW w:w="5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$637,515</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360" w:type="dxa"/>
            <w:vAlign w:val="bottom"/>
          </w:tcPr>
          <w:p>
            <w:pPr>
              <w:jc w:val="right"/>
              <w:ind w:right="159"/>
              <w:spacing w:after="0"/>
              <w:rPr>
                <w:sz w:val="20"/>
                <w:szCs w:val="20"/>
                <w:color w:val="auto"/>
              </w:rPr>
            </w:pPr>
            <w:r>
              <w:rPr>
                <w:rFonts w:ascii="Arial" w:cs="Arial" w:eastAsia="Arial" w:hAnsi="Arial"/>
                <w:sz w:val="18"/>
                <w:szCs w:val="18"/>
                <w:color w:val="auto"/>
              </w:rPr>
              <w:t>27.4%</w:t>
            </w:r>
          </w:p>
        </w:tc>
        <w:tc>
          <w:tcPr>
            <w:tcW w:w="1900" w:type="dxa"/>
            <w:vAlign w:val="bottom"/>
            <w:gridSpan w:val="2"/>
          </w:tcPr>
          <w:p>
            <w:pPr>
              <w:jc w:val="right"/>
              <w:ind w:right="159"/>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At August 2, 2008, cash, cash equivalents and short-term investments totaled $1,277.6 million, an increase of $196.4 million from the fourth quarter of fiscal 2007. The primary sources of funds for the first nine months of fiscal 2008 were net proceeds from the sale of two businesses of $403.2 million, net cash generated from operating activities of $527.1 million (which includes a tax payment of $67.3 million related to the gain on the sale of two businesses that we sold during the first quarter of fiscal 2008) and proceeds of $83.0 million from our various employee stock plans. The principal uses of funds for the first nine months of fiscal 2008 were the repurchase of approximately 18.7 million shares of our common stock for an aggregate of $552.4 million, dividend payments of $164.4 million and capital expenditures of $110.0 million. The $67.3 million tax payment related to the sale of the two businesses is reflected in the statement of cash flows as a decrease in net cash provided by operating activities. Under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all income tax payments are included in determining net cash flow from operating activities but the cash received from the sale of the businesses must be reported as an investing cash flow.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August 2, 2008</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3, 2007</w:t>
            </w:r>
          </w:p>
        </w:tc>
      </w:tr>
      <w:tr>
        <w:trPr>
          <w:trHeight w:val="20"/>
        </w:trPr>
        <w:tc>
          <w:tcPr>
            <w:tcW w:w="5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326,456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323,777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Days sales outstanding</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309,870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324,373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bl>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Accounts receivable at August 2, 2008 increased $2.7 million, or 1%, from the end of the fourth quarter of fiscal 2007. The increase in receivables was primarily related to higher shipments in the last month of the third quarter of fiscal 2008 as compared to the last month of the fourth quarter of fiscal 2007. Inventory at August 2, 2008 decreased by $14.5 million, or 4%, from the end of fiscal 2007. The decrease in inventory is primarily a result of our continued efforts to balance production, demand and inventory levels.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additions to property, plant and equipment were $110.0 million in the first nine months of fiscal 2008 and were funded with a combination of cash on hand and cash generated from operations. Capital expenditures are expected to be approximately $160 million in fiscal 2008.</w:t>
      </w:r>
    </w:p>
    <w:p>
      <w:pPr>
        <w:spacing w:after="0" w:line="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18, 2008, our Board of Directors declared a cash dividend of $0.20 per outstanding share of our common stock. The dividend is payable on September 17, 2008 to shareholders of record on August 29, 2008 and is expected to be approximately $58 million in the aggregate. The payment of future dividends, if any, will be based on several factors including our financial performance, outlook and liquidity. Quarterly dividends are expected to continue at $0.20 per share, although they remain subject to declaration or change by our Board of Directors.</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August 2, 2008, our principal source of liquidity was $1,277.6 million of cash and cash equivalents and short-term investments. As of August 2, 2008, approximately $116.0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is not available to meet certain of our cash requirements in the United States, including for cash dividends and common stock repurchases. As a result, we entered into a five-year $165 million unsecured revolving credit facility in May 2008 in order to supplement our occasional cash requirements in the United States.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not been any material changes to the amounts presented in the table summarizing our contractual obligations that was included in our Annual Report on Form 10-K for the year ended November 3, 2007.</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August 2, 2008, the total liabilities associated with uncertain tax positions under FIN 48 was $11.5 million, which are included in “Other non-current liabilities,” as a result of our adoption of FIN 48. Due to the complexity associated with our tax uncertainties, we cannot make a reasonably reliable estimate of the period in which we expect to settle the non-current liabilities associated with these uncertain tax positions. Therefore, we are not updating the amounts included in the contractual obligations table to include these uncertain tax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Hierarchy of Generally Accepted Accounting Principles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2008, the FASB issued Statement of Financial Accounting Standards (SFAS) No.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SFAS 162 identifies the sources of accounting principles and the framework for selecting the principles to be used in the preparation of financial statements of nongovernmental entities that are presented in conformity with generally accepted accounting principles in the United States of America. SFAS 162 is effective sixty days following the SEC’s approval of the Public Company Accounting Oversight Board amendments to AU section 411, </w:t>
      </w:r>
      <w:r>
        <w:rPr>
          <w:rFonts w:ascii="Arial" w:cs="Arial" w:eastAsia="Arial" w:hAnsi="Arial"/>
          <w:sz w:val="18"/>
          <w:szCs w:val="18"/>
          <w:i w:val="1"/>
          <w:iCs w:val="1"/>
          <w:color w:val="auto"/>
        </w:rPr>
        <w:t>The Meaning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Present Fairly in Conformity with Generally Accepted Accounting Principles. </w:t>
      </w:r>
      <w:r>
        <w:rPr>
          <w:rFonts w:ascii="Arial" w:cs="Arial" w:eastAsia="Arial" w:hAnsi="Arial"/>
          <w:sz w:val="18"/>
          <w:szCs w:val="18"/>
          <w:color w:val="auto"/>
        </w:rPr>
        <w:t>We are currently evaluating the impact, if any, that SFAS 162 may have on</w:t>
      </w:r>
      <w:r>
        <w:rPr>
          <w:rFonts w:ascii="Arial" w:cs="Arial" w:eastAsia="Arial" w:hAnsi="Arial"/>
          <w:sz w:val="18"/>
          <w:szCs w:val="18"/>
          <w:i w:val="1"/>
          <w:iCs w:val="1"/>
          <w:color w:val="auto"/>
        </w:rPr>
        <w:t xml:space="preserve"> </w:t>
      </w:r>
      <w:r>
        <w:rPr>
          <w:rFonts w:ascii="Arial" w:cs="Arial" w:eastAsia="Arial" w:hAnsi="Arial"/>
          <w:sz w:val="18"/>
          <w:szCs w:val="18"/>
          <w:color w:val="auto"/>
        </w:rPr>
        <w:t>our financial condition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March 2008, the FASB issued SFAS No. 161, </w:t>
      </w:r>
      <w:r>
        <w:rPr>
          <w:rFonts w:ascii="Arial" w:cs="Arial" w:eastAsia="Arial" w:hAnsi="Arial"/>
          <w:sz w:val="17"/>
          <w:szCs w:val="17"/>
          <w:i w:val="1"/>
          <w:iCs w:val="1"/>
          <w:color w:val="auto"/>
        </w:rPr>
        <w:t>Disclosures about Derivative Instruments and Hedging Activities — an amendment of FASB Statement</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No. 133 </w:t>
      </w:r>
      <w:r>
        <w:rPr>
          <w:rFonts w:ascii="Arial" w:cs="Arial" w:eastAsia="Arial" w:hAnsi="Arial"/>
          <w:sz w:val="17"/>
          <w:szCs w:val="17"/>
          <w:color w:val="auto"/>
        </w:rPr>
        <w:t>(SFAS 161). SFAS 161 changes the disclosure requirements for derivative instruments and hedging activities. SFAS 161 requires entities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We are currently evaluating the impact, if any, that SFAS 161 may have on our financial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condition and results of operations. The adoption of SFAS 161 will change our disclosures for derivative instruments and hedging activities beginning in the second quarter of fiscal year 2009.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our fiscal year 2010. We are currently evaluating the impact, if any, that SFAS 141(R) may have on our financial condition and results of operations. The adoption of SFAS 141(R) will change our accounting treatment for business combinations on a prospective basis beginning in the first quarter of fiscal year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our fiscal year 2010. We are currently evaluating the impact, if any, that SFAS 160 may have on our financial condition and results of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fiscal years beginning after November 15, 2007, which is our fiscal year 2009. We are currently evaluating the impact, if any, that SFAS 159 may have on our financial condition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provides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our fiscal year 2009. We are currently evaluating the impact, if any, that SFAS 157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material changes to the information provided under the heading “Critical Accounting Policies and Estimates” included in our Annual Report on Form 10-K for the year ended November 3, 2007 except for the adoption of FIN 48 described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expiration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November 4, 2007 (the first day of our 2008 fiscal year), we adopted FASB Interpretation No.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Statement No. 109 </w:t>
      </w:r>
      <w:r>
        <w:rPr>
          <w:rFonts w:ascii="Arial" w:cs="Arial" w:eastAsia="Arial" w:hAnsi="Arial"/>
          <w:sz w:val="17"/>
          <w:szCs w:val="17"/>
          <w:color w:val="auto"/>
        </w:rPr>
        <w:t>(FIN 48). FIN 48 differs from the prior standards in that it requires companies to determine that it is “more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than not” that a tax position will be sustained by the appropriate taxing authorities before any benefit can be recorded in the financial statements. An uncertain income tax position will not be recognized if it has less than a 50% likelihood of being sustained.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November 3,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August 2, 2008.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2, 2008,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2, 2008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the SEC’s Previously Announced Stock Option Investigation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30, 2008, we and our President and CEO, Mr. Jerald G. Fishman, reached a settlement with the Securities and Exchange Commission, thereby concluding the Commission’s investigation into our stock option granting practices. Neither we nor Mr. Fishman admitted or denied any of the Commission’s allegations or findings.</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previously disclosed, the Commission concluded that: the appropriate grant date for the September 4, 1998 options should have been September 8, 1998 (which is one trading day later than the date that was used to price the options); the appropriate grant date for the November 30, 1999 options should have been November 29, 1999 (which is one trading day earlier than the date that was used to price the options); and the appropriate grant date for the July 18, 2001 options should have been July 26, 2001 (which is five trading days later than the date that was used to price the options). The Commission did not charge us or Mr. Fishman with any violation of law related to the granting of options prior to the release of favorable financial results.</w:t>
      </w:r>
    </w:p>
    <w:p>
      <w:pPr>
        <w:spacing w:after="0" w:line="5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connection with the settlement, we consented to a cease-and-desist order under Section 10(b) of the Securities Exchange Act and Rule 10b-5 thereunder, agreed to pay a civil money penalty of $3 million, and repriced options granted to Mr. Fishman in 1999 and 2001. No other options granted by us were affected by the settlement. Mr. Fishman consented to a cease-and-desist order under Sections 17(a)(2) and (3) of the Securities Act, agreed to pay a civil money penalty of $1 million, and agreed to make a disgorgement payment of $450,000 (plus interest) with respect to options granted in 1998.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that no restatement of our historical financial results is necessary due to the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were the subject of investigation by the SEC. We have cooperated with the office of the U.S. Attorney in connection with this subpoena. We cannot predict the outcome of this matter, but believe the disposition of the matter will not have a material adverse effect on us or our financial position.</w:t>
      </w:r>
    </w:p>
    <w:p>
      <w:pPr>
        <w:spacing w:after="0" w:line="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our Investment Partnership Plan from October 5, 2000 to the present. The complaint named us, certain of our officers and directors, and our Investment Partnership Plan Administration Committee as defendants.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The court heard our motion to dismiss on January 30, 2008, but has not yet issued a ruling. Although we believe we have meritorious defenses to the asserted claims, we are unable at this time to predict the outcome of this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 10-K for the fiscal year ended November 3, 2007 and “Part II, Item 1A. Risk Factors” of our Quarterly Report on Form 10-Q for the quarter ended May 3, 2008.</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440" w:right="100" w:hanging="216"/>
        <w:spacing w:after="0" w:line="277" w:lineRule="auto"/>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the effects of public health emergencies, natural disasters, security risks, terrorist activities, international conflicts and other events beyond our control.</w:t>
      </w:r>
    </w:p>
    <w:p>
      <w:pPr>
        <w:spacing w:after="0" w:line="14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face intense technological and pricing competition in the semiconductor industry, and we expect such competition to increase in the future. 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competition.</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These suppliers manufacture components in accordance with our proprietary designs and specifications. We have no written supply agreements with these suppliers and purchase our custom components through individual purchase orders.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sufficiently the demand for our products, while increased production may lead to overcapacity and lower prices.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cyclical nature of the semiconductor industry has resulted in periods when demand for our products has increased or decreased rapidly.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products or to the demand for new products requested by our customers, and our current or future business could be materially and adversely affected. Conversely, if we expand our operations and workforce too rapidly or procure excessive resources in anticipation of increased demand for our products, and such demand does not materialize at the pace at which we expect, or declines,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semiconductor products are complex and may contain defects which could result in significant costs, claims and damage to our reputation, and adversely affect the market acceptance of our products.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There can be no assurance that we are adequately insured to protect against all such claims.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our customers’ products due to an alleged failure of components we supply. See Note 10 in the Notes to our Condensed Consolidated Financial Statements contained in Item 1 of this Quarterly Report on Form 10-Q for information concerning certain pending litigation that involves us. An adverse outcome in these matters or other litigation could have a material adverse effect on our financial position or on our operating results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in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stockholders. Our current credit facility imposes restrictions on our ability to undertake certain transactions, to create certain liens on our assets and to incur certain subsidiary indebtedness, and requires us to maintain compliance with specified financial ratios. If we breach any of the covenants under our credit facility and do not obtain a waiver from the lenders, then, subject to applicable cure periods, our outstanding indebtedness thereunder could be declared immediately due and payable.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During the first nine months of fiscal 2008, approximately 80% of our product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5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property rights. Enforcement of existing laws or agreements may be inconsistent, as there exists a high degree of fragmentation among regulatory authorities resulting in uncertainties as to which authorities have jurisdiction over particular parties or transactions.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industry is subject to increasingly strict environmental regulations that control and restrict the use, transportation, emission, discharge, storage and disposal of certain chemicals used in the semiconductor manufacturing process. Public attention on environmental controls has increased, and changes in environmental regulations require us to invest in potentially costly remediation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could increase our expenses and adversely affect our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440" w:right="840" w:hanging="216"/>
        <w:spacing w:after="0" w:line="277" w:lineRule="auto"/>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440" w:hanging="21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color w:val="auto"/>
              </w:rPr>
              <w:t>Approximate Dollar</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w w:val="97"/>
              </w:rPr>
              <w:t>Value of Shares that</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Shares Purchased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Shares Purchased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3"/>
              </w:rPr>
              <w:t>Average Price</w:t>
            </w: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Announced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304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Period</w:t>
            </w:r>
          </w:p>
        </w:tc>
        <w:tc>
          <w:tcPr>
            <w:tcW w:w="22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Paid Per Share (b)</w:t>
            </w: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or Programs (c)</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88"/>
              </w:rPr>
              <w:t>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May 4, 2008 through May 31, 2008</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409,224</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408,920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126,351,158</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June 1, 2008 through June 28, 2008</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335,889</w:t>
            </w:r>
          </w:p>
        </w:tc>
        <w:tc>
          <w:tcPr>
            <w:tcW w:w="2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34.31</w:t>
            </w:r>
          </w:p>
        </w:tc>
        <w:tc>
          <w:tcPr>
            <w:tcW w:w="1920" w:type="dxa"/>
            <w:vAlign w:val="bottom"/>
            <w:gridSpan w:val="3"/>
          </w:tcPr>
          <w:p>
            <w:pPr>
              <w:jc w:val="right"/>
              <w:ind w:right="300"/>
              <w:spacing w:after="0"/>
              <w:rPr>
                <w:sz w:val="20"/>
                <w:szCs w:val="20"/>
                <w:color w:val="auto"/>
              </w:rPr>
            </w:pPr>
            <w:r>
              <w:rPr>
                <w:rFonts w:ascii="Arial" w:cs="Arial" w:eastAsia="Arial" w:hAnsi="Arial"/>
                <w:sz w:val="18"/>
                <w:szCs w:val="18"/>
                <w:color w:val="auto"/>
              </w:rPr>
              <w:t>335,889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114,826,043</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8"/>
              </w:rPr>
              <w:t>June 29, 2008 through August 2, 2008</w:t>
            </w:r>
          </w:p>
        </w:tc>
        <w:tc>
          <w:tcPr>
            <w:tcW w:w="2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64,006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112,849,379</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809,119</w:t>
            </w:r>
          </w:p>
        </w:tc>
        <w:tc>
          <w:tcPr>
            <w:tcW w:w="2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c>
          <w:tcPr>
            <w:tcW w:w="5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808,815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112,849,379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304 shares paid to the Company by employees to satisfy employee tax obligations upon vesting of restricted stock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7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19, 2008</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 (Principal</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Officer)</w:t>
            </w:r>
          </w:p>
        </w:tc>
        <w:tc>
          <w:tcPr>
            <w:tcW w:w="16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August 19, 2008</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Vice President-Finance and Chief Financial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51</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9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2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40" w:type="dxa"/>
            <w:vAlign w:val="bottom"/>
          </w:tcPr>
          <w:p>
            <w:pPr>
              <w:jc w:val="right"/>
              <w:ind w:right="536"/>
              <w:spacing w:after="0"/>
              <w:rPr>
                <w:sz w:val="20"/>
                <w:szCs w:val="20"/>
                <w:color w:val="auto"/>
              </w:rPr>
            </w:pPr>
            <w:r>
              <w:rPr>
                <w:rFonts w:ascii="Arial" w:cs="Arial" w:eastAsia="Arial" w:hAnsi="Arial"/>
                <w:sz w:val="18"/>
                <w:szCs w:val="18"/>
                <w:color w:val="auto"/>
                <w:w w:val="85"/>
              </w:rPr>
              <w:t>31.1</w:t>
            </w: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rPr>
              <w:t>Sarbanes-Oxley Act of 2002 (Chief Executive Officer).</w:t>
            </w:r>
          </w:p>
        </w:tc>
        <w:tc>
          <w:tcPr>
            <w:tcW w:w="0" w:type="dxa"/>
            <w:vAlign w:val="bottom"/>
          </w:tcPr>
          <w:p>
            <w:pPr>
              <w:spacing w:after="0"/>
              <w:rPr>
                <w:sz w:val="1"/>
                <w:szCs w:val="1"/>
                <w:color w:val="auto"/>
              </w:rPr>
            </w:pPr>
          </w:p>
        </w:tc>
      </w:tr>
      <w:tr>
        <w:trPr>
          <w:trHeight w:val="418"/>
        </w:trPr>
        <w:tc>
          <w:tcPr>
            <w:tcW w:w="940" w:type="dxa"/>
            <w:vAlign w:val="bottom"/>
          </w:tcPr>
          <w:p>
            <w:pPr>
              <w:jc w:val="right"/>
              <w:ind w:right="536"/>
              <w:spacing w:after="0"/>
              <w:rPr>
                <w:sz w:val="20"/>
                <w:szCs w:val="20"/>
                <w:color w:val="auto"/>
              </w:rPr>
            </w:pPr>
            <w:r>
              <w:rPr>
                <w:rFonts w:ascii="Arial" w:cs="Arial" w:eastAsia="Arial" w:hAnsi="Arial"/>
                <w:sz w:val="18"/>
                <w:szCs w:val="18"/>
                <w:color w:val="auto"/>
                <w:w w:val="85"/>
              </w:rPr>
              <w:t>31.2</w:t>
            </w: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rPr>
              <w:t>Sarbanes-Oxley Act of 2002 (Chief Financial Officer).</w:t>
            </w:r>
          </w:p>
        </w:tc>
        <w:tc>
          <w:tcPr>
            <w:tcW w:w="0" w:type="dxa"/>
            <w:vAlign w:val="bottom"/>
          </w:tcPr>
          <w:p>
            <w:pPr>
              <w:spacing w:after="0"/>
              <w:rPr>
                <w:sz w:val="1"/>
                <w:szCs w:val="1"/>
                <w:color w:val="auto"/>
              </w:rPr>
            </w:pPr>
          </w:p>
        </w:tc>
      </w:tr>
      <w:tr>
        <w:trPr>
          <w:trHeight w:val="432"/>
        </w:trPr>
        <w:tc>
          <w:tcPr>
            <w:tcW w:w="940" w:type="dxa"/>
            <w:vAlign w:val="bottom"/>
          </w:tcPr>
          <w:p>
            <w:pPr>
              <w:jc w:val="right"/>
              <w:ind w:right="536"/>
              <w:spacing w:after="0"/>
              <w:rPr>
                <w:sz w:val="20"/>
                <w:szCs w:val="20"/>
                <w:color w:val="auto"/>
              </w:rPr>
            </w:pPr>
            <w:r>
              <w:rPr>
                <w:rFonts w:ascii="Arial" w:cs="Arial" w:eastAsia="Arial" w:hAnsi="Arial"/>
                <w:sz w:val="18"/>
                <w:szCs w:val="18"/>
                <w:color w:val="auto"/>
                <w:w w:val="85"/>
              </w:rPr>
              <w:t>32.1</w:t>
            </w: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940" w:type="dxa"/>
            <w:vAlign w:val="bottom"/>
          </w:tcPr>
          <w:p>
            <w:pPr>
              <w:jc w:val="right"/>
              <w:ind w:right="536"/>
              <w:spacing w:after="0"/>
              <w:rPr>
                <w:sz w:val="20"/>
                <w:szCs w:val="20"/>
                <w:color w:val="auto"/>
              </w:rPr>
            </w:pPr>
            <w:r>
              <w:rPr>
                <w:rFonts w:ascii="Arial" w:cs="Arial" w:eastAsia="Arial" w:hAnsi="Arial"/>
                <w:sz w:val="18"/>
                <w:szCs w:val="18"/>
                <w:color w:val="auto"/>
                <w:w w:val="85"/>
              </w:rPr>
              <w:t>32.2</w:t>
            </w:r>
          </w:p>
        </w:tc>
        <w:tc>
          <w:tcPr>
            <w:tcW w:w="10480" w:type="dxa"/>
            <w:vAlign w:val="bottom"/>
            <w:gridSpan w:val="4"/>
          </w:tcPr>
          <w:p>
            <w:pPr>
              <w:ind w:left="58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5300" w:type="dxa"/>
            <w:vAlign w:val="bottom"/>
            <w:gridSpan w:val="3"/>
          </w:tcPr>
          <w:p>
            <w:pPr>
              <w:jc w:val="right"/>
              <w:ind w:right="359"/>
              <w:spacing w:after="0"/>
              <w:rPr>
                <w:sz w:val="20"/>
                <w:szCs w:val="20"/>
                <w:color w:val="auto"/>
              </w:rPr>
            </w:pPr>
            <w:r>
              <w:rPr>
                <w:rFonts w:ascii="Arial" w:cs="Arial" w:eastAsia="Arial" w:hAnsi="Arial"/>
                <w:sz w:val="18"/>
                <w:szCs w:val="18"/>
                <w:color w:val="auto"/>
              </w:rPr>
              <w:t>52</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460" w:hanging="236"/>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460" w:right="480" w:hanging="236"/>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236"/>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0" w:hanging="236"/>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277"/>
        <w:spacing w:after="0" w:line="264"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60" w:right="580" w:hanging="277"/>
        <w:spacing w:after="0" w:line="264"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60" w:right="740" w:hanging="277"/>
        <w:spacing w:after="0" w:line="342" w:lineRule="auto"/>
        <w:tabs>
          <w:tab w:leader="none" w:pos="9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40" w:hanging="277"/>
        <w:spacing w:after="0" w:line="264"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60" w:hanging="236"/>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277"/>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277"/>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460" w:hanging="236"/>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460" w:right="480" w:hanging="236"/>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236"/>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0" w:hanging="236"/>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277"/>
        <w:spacing w:after="0" w:line="264"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60" w:right="580" w:hanging="277"/>
        <w:spacing w:after="0" w:line="264"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60" w:right="740" w:hanging="277"/>
        <w:spacing w:after="0" w:line="342" w:lineRule="auto"/>
        <w:tabs>
          <w:tab w:leader="none" w:pos="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40" w:hanging="277"/>
        <w:spacing w:after="0" w:line="264"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60" w:hanging="236"/>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277"/>
        <w:spacing w:after="0" w:line="277"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277"/>
        <w:spacing w:after="0" w:line="277"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55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2, 2008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2, 2008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emdash "/>
      <w:numFmt w:val="bullet"/>
      <w:start w:val="1"/>
    </w:lvl>
  </w:abstractNum>
  <w:abstractNum w:abstractNumId="15">
    <w:nsid w:val="2443A858"/>
    <w:multiLevelType w:val="hybridMultilevel"/>
    <w:lvl w:ilvl="0">
      <w:lvlJc w:val="left"/>
      <w:lvlText w:val="(%1)"/>
      <w:numFmt w:val="upperLetter"/>
      <w:start w:val="18"/>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2019-12-11T11:13:10Z</dcterms:created>
  <dcterms:modified xsi:type="dcterms:W3CDTF">2019-12-11T11:13:10Z</dcterms:modified>
</cp:coreProperties>
</file>