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0000900729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Analog Devices,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001-07819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Analog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rPr>
          <w:sz w:val="20"/>
          <w:szCs w:val="20"/>
          <w:color w:val="auto"/>
        </w:rPr>
      </w:pPr>
      <w:r>
        <w:rPr>
          <w:rFonts w:ascii="Times New Roman" w:cs="Times New Roman" w:eastAsia="Times New Roman" w:hAnsi="Times New Roman"/>
          <w:sz w:val="21"/>
          <w:szCs w:val="21"/>
          <w:color w:val="auto"/>
        </w:rPr>
        <w:t>MASSACHUSETTS</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01887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1-781-935-5565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Raymond S. Stata</w:t>
      </w:r>
    </w:p>
    <w:p>
      <w:pPr>
        <w:spacing w:after="0" w:line="44" w:lineRule="exact"/>
        <w:rPr>
          <w:sz w:val="24"/>
          <w:szCs w:val="24"/>
          <w:color w:val="auto"/>
        </w:rPr>
      </w:pPr>
    </w:p>
    <w:p>
      <w:pPr>
        <w:sectPr>
          <w:pgSz w:w="11900" w:h="16838" w:orient="portrait"/>
          <w:cols w:equalWidth="0" w:num="2">
            <w:col w:w="7700" w:space="720"/>
            <w:col w:w="28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25000</w:t>
            </w:r>
          </w:p>
        </w:tc>
        <w:tc>
          <w:tcPr>
            <w:tcW w:w="114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6015250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496248196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07/16/2025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2"/>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2"/>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2"/>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2"/>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2"/>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2"/>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2"/>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2"/>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2"/>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2"/>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2"/>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2"/>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2"/>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Acquired as</w:t>
      </w:r>
    </w:p>
    <w:p>
      <w:pPr>
        <w:spacing w:after="0" w:line="14" w:lineRule="exact"/>
        <w:rPr>
          <w:sz w:val="20"/>
          <w:szCs w:val="20"/>
          <w:color w:val="auto"/>
        </w:rPr>
      </w:pPr>
    </w:p>
    <w:p>
      <w:pPr>
        <w:ind w:left="1040" w:right="20" w:hanging="1039"/>
        <w:spacing w:after="0" w:line="237" w:lineRule="auto"/>
        <w:rPr>
          <w:sz w:val="20"/>
          <w:szCs w:val="20"/>
          <w:color w:val="auto"/>
        </w:rPr>
      </w:pPr>
      <w:r>
        <w:rPr>
          <w:rFonts w:ascii="Times New Roman" w:cs="Times New Roman" w:eastAsia="Times New Roman" w:hAnsi="Times New Roman"/>
          <w:sz w:val="22"/>
          <w:szCs w:val="22"/>
          <w:color w:val="auto"/>
        </w:rPr>
        <w:t>12/15/2022 compensation -- Stock Options</w:t>
      </w:r>
    </w:p>
    <w:p>
      <w:pPr>
        <w:spacing w:after="0" w:line="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Acquired as</w:t>
      </w:r>
    </w:p>
    <w:p>
      <w:pPr>
        <w:spacing w:after="0" w:line="14" w:lineRule="exact"/>
        <w:rPr>
          <w:sz w:val="20"/>
          <w:szCs w:val="20"/>
          <w:color w:val="auto"/>
        </w:rPr>
      </w:pPr>
    </w:p>
    <w:p>
      <w:pPr>
        <w:jc w:val="right"/>
        <w:spacing w:after="0" w:line="181" w:lineRule="auto"/>
        <w:rPr>
          <w:sz w:val="20"/>
          <w:szCs w:val="20"/>
          <w:color w:val="auto"/>
        </w:rPr>
      </w:pPr>
      <w:r>
        <w:rPr>
          <w:rFonts w:ascii="Times New Roman" w:cs="Times New Roman" w:eastAsia="Times New Roman" w:hAnsi="Times New Roman"/>
          <w:sz w:val="37"/>
          <w:szCs w:val="37"/>
          <w:color w:val="auto"/>
          <w:vertAlign w:val="subscript"/>
        </w:rPr>
        <w:t>03/09/2022</w:t>
      </w:r>
      <w:r>
        <w:rPr>
          <w:rFonts w:ascii="Times New Roman" w:cs="Times New Roman" w:eastAsia="Times New Roman" w:hAnsi="Times New Roman"/>
          <w:sz w:val="19"/>
          <w:szCs w:val="19"/>
          <w:color w:val="auto"/>
        </w:rPr>
        <w:t xml:space="preserve"> compensation -- Restricted Stock</w:t>
      </w:r>
    </w:p>
    <w:p>
      <w:pPr>
        <w:ind w:left="1040"/>
        <w:spacing w:after="0"/>
        <w:rPr>
          <w:sz w:val="20"/>
          <w:szCs w:val="20"/>
          <w:color w:val="auto"/>
        </w:rPr>
      </w:pPr>
      <w:r>
        <w:rPr>
          <w:rFonts w:ascii="Times New Roman" w:cs="Times New Roman" w:eastAsia="Times New Roman" w:hAnsi="Times New Roman"/>
          <w:sz w:val="22"/>
          <w:szCs w:val="22"/>
          <w:color w:val="auto"/>
        </w:rPr>
        <w:t>Units</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Acquired as</w:t>
      </w:r>
    </w:p>
    <w:p>
      <w:pPr>
        <w:spacing w:after="0" w:line="14" w:lineRule="exact"/>
        <w:rPr>
          <w:sz w:val="20"/>
          <w:szCs w:val="20"/>
          <w:color w:val="auto"/>
        </w:rPr>
      </w:pPr>
    </w:p>
    <w:p>
      <w:pPr>
        <w:jc w:val="right"/>
        <w:spacing w:after="0" w:line="181" w:lineRule="auto"/>
        <w:rPr>
          <w:sz w:val="20"/>
          <w:szCs w:val="20"/>
          <w:color w:val="auto"/>
        </w:rPr>
      </w:pPr>
      <w:r>
        <w:rPr>
          <w:rFonts w:ascii="Times New Roman" w:cs="Times New Roman" w:eastAsia="Times New Roman" w:hAnsi="Times New Roman"/>
          <w:sz w:val="37"/>
          <w:szCs w:val="37"/>
          <w:color w:val="auto"/>
          <w:vertAlign w:val="subscript"/>
        </w:rPr>
        <w:t>03/10/2021</w:t>
      </w:r>
      <w:r>
        <w:rPr>
          <w:rFonts w:ascii="Times New Roman" w:cs="Times New Roman" w:eastAsia="Times New Roman" w:hAnsi="Times New Roman"/>
          <w:sz w:val="19"/>
          <w:szCs w:val="19"/>
          <w:color w:val="auto"/>
        </w:rPr>
        <w:t xml:space="preserve"> compensation -- Restricted Stock</w:t>
      </w:r>
    </w:p>
    <w:p>
      <w:pPr>
        <w:ind w:left="1040"/>
        <w:spacing w:after="0"/>
        <w:rPr>
          <w:sz w:val="20"/>
          <w:szCs w:val="20"/>
          <w:color w:val="auto"/>
        </w:rPr>
      </w:pPr>
      <w:r>
        <w:rPr>
          <w:rFonts w:ascii="Times New Roman" w:cs="Times New Roman" w:eastAsia="Times New Roman" w:hAnsi="Times New Roman"/>
          <w:sz w:val="22"/>
          <w:szCs w:val="22"/>
          <w:color w:val="auto"/>
        </w:rPr>
        <w:t>Units</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Acquired as</w:t>
      </w:r>
    </w:p>
    <w:p>
      <w:pPr>
        <w:spacing w:after="0" w:line="14" w:lineRule="exact"/>
        <w:rPr>
          <w:sz w:val="20"/>
          <w:szCs w:val="20"/>
          <w:color w:val="auto"/>
        </w:rPr>
      </w:pPr>
    </w:p>
    <w:p>
      <w:pPr>
        <w:jc w:val="right"/>
        <w:spacing w:after="0" w:line="181" w:lineRule="auto"/>
        <w:rPr>
          <w:sz w:val="20"/>
          <w:szCs w:val="20"/>
          <w:color w:val="auto"/>
        </w:rPr>
      </w:pPr>
      <w:r>
        <w:rPr>
          <w:rFonts w:ascii="Times New Roman" w:cs="Times New Roman" w:eastAsia="Times New Roman" w:hAnsi="Times New Roman"/>
          <w:sz w:val="37"/>
          <w:szCs w:val="37"/>
          <w:color w:val="auto"/>
          <w:vertAlign w:val="subscript"/>
        </w:rPr>
        <w:t>03/13/2019</w:t>
      </w:r>
      <w:r>
        <w:rPr>
          <w:rFonts w:ascii="Times New Roman" w:cs="Times New Roman" w:eastAsia="Times New Roman" w:hAnsi="Times New Roman"/>
          <w:sz w:val="19"/>
          <w:szCs w:val="19"/>
          <w:color w:val="auto"/>
        </w:rPr>
        <w:t xml:space="preserve"> compensation -- Restricted Stock</w:t>
      </w:r>
    </w:p>
    <w:tbl>
      <w:tblPr>
        <w:tblLayout w:type="fixed"/>
        <w:tblInd w:w="0" w:type="dxa"/>
        <w:tblCellMar>
          <w:top w:w="0" w:type="dxa"/>
          <w:left w:w="0" w:type="dxa"/>
          <w:bottom w:w="0" w:type="dxa"/>
          <w:right w:w="0" w:type="dxa"/>
        </w:tblCellMar>
      </w:tblPr>
      <w:tr>
        <w:trPr>
          <w:trHeight w:val="273"/>
        </w:trPr>
        <w:tc>
          <w:tcPr>
            <w:tcW w:w="1020" w:type="dxa"/>
            <w:vAlign w:val="bottom"/>
          </w:tcPr>
          <w:p>
            <w:pPr>
              <w:spacing w:after="0"/>
              <w:rPr>
                <w:sz w:val="23"/>
                <w:szCs w:val="23"/>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24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9"/>
              </w:rPr>
              <w:t>03/11/2020</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compensation --</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24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9"/>
              </w:rPr>
              <w:t>03/08/2018</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compensation --</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24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9"/>
              </w:rPr>
              <w:t>03/08/2017</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compensation --</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24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9"/>
              </w:rPr>
              <w:t>03/11/2015</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compensation --</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24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9"/>
              </w:rPr>
              <w:t>03/09/2016</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compensation --</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bl>
    <w:p>
      <w:pPr>
        <w:jc w:val="both"/>
        <w:ind w:left="1040" w:hanging="1039"/>
        <w:spacing w:after="0" w:line="181" w:lineRule="auto"/>
        <w:rPr>
          <w:sz w:val="20"/>
          <w:szCs w:val="20"/>
          <w:color w:val="auto"/>
        </w:rPr>
      </w:pPr>
      <w:r>
        <w:rPr>
          <w:rFonts w:ascii="Times New Roman" w:cs="Times New Roman" w:eastAsia="Times New Roman" w:hAnsi="Times New Roman"/>
          <w:sz w:val="37"/>
          <w:szCs w:val="37"/>
          <w:color w:val="auto"/>
          <w:vertAlign w:val="subscript"/>
        </w:rPr>
        <w:t>03/12/2014</w:t>
      </w:r>
      <w:r>
        <w:rPr>
          <w:rFonts w:ascii="Times New Roman" w:cs="Times New Roman" w:eastAsia="Times New Roman" w:hAnsi="Times New Roman"/>
          <w:sz w:val="19"/>
          <w:szCs w:val="19"/>
          <w:color w:val="auto"/>
        </w:rPr>
        <w:t xml:space="preserve"> compensation -- Restricted Stock</w:t>
      </w:r>
    </w:p>
    <w:p>
      <w:pPr>
        <w:ind w:left="1040"/>
        <w:spacing w:after="0"/>
        <w:rPr>
          <w:sz w:val="20"/>
          <w:szCs w:val="20"/>
          <w:color w:val="auto"/>
        </w:rPr>
      </w:pPr>
      <w:r>
        <w:rPr>
          <w:rFonts w:ascii="Times New Roman" w:cs="Times New Roman" w:eastAsia="Times New Roman" w:hAnsi="Times New Roman"/>
          <w:sz w:val="22"/>
          <w:szCs w:val="22"/>
          <w:color w:val="auto"/>
        </w:rPr>
        <w:t>Units</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Acquired as</w:t>
      </w:r>
    </w:p>
    <w:p>
      <w:pPr>
        <w:spacing w:after="0" w:line="14" w:lineRule="exact"/>
        <w:rPr>
          <w:sz w:val="20"/>
          <w:szCs w:val="20"/>
          <w:color w:val="auto"/>
        </w:rPr>
      </w:pPr>
    </w:p>
    <w:p>
      <w:pPr>
        <w:jc w:val="both"/>
        <w:ind w:left="1040" w:hanging="1039"/>
        <w:spacing w:after="0" w:line="181" w:lineRule="auto"/>
        <w:rPr>
          <w:sz w:val="20"/>
          <w:szCs w:val="20"/>
          <w:color w:val="auto"/>
        </w:rPr>
      </w:pPr>
      <w:r>
        <w:rPr>
          <w:rFonts w:ascii="Times New Roman" w:cs="Times New Roman" w:eastAsia="Times New Roman" w:hAnsi="Times New Roman"/>
          <w:sz w:val="37"/>
          <w:szCs w:val="37"/>
          <w:color w:val="auto"/>
          <w:vertAlign w:val="subscript"/>
        </w:rPr>
        <w:t>03/13/2013</w:t>
      </w:r>
      <w:r>
        <w:rPr>
          <w:rFonts w:ascii="Times New Roman" w:cs="Times New Roman" w:eastAsia="Times New Roman" w:hAnsi="Times New Roman"/>
          <w:sz w:val="19"/>
          <w:szCs w:val="19"/>
          <w:color w:val="auto"/>
        </w:rPr>
        <w:t xml:space="preserve"> compensation -- Restricted Stock</w:t>
      </w:r>
    </w:p>
    <w:p>
      <w:pPr>
        <w:ind w:left="1040"/>
        <w:spacing w:after="0"/>
        <w:rPr>
          <w:sz w:val="20"/>
          <w:szCs w:val="20"/>
          <w:color w:val="auto"/>
        </w:rPr>
      </w:pPr>
      <w:r>
        <w:rPr>
          <w:rFonts w:ascii="Times New Roman" w:cs="Times New Roman" w:eastAsia="Times New Roman" w:hAnsi="Times New Roman"/>
          <w:sz w:val="22"/>
          <w:szCs w:val="22"/>
          <w:color w:val="auto"/>
        </w:rPr>
        <w:t>Units</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Acquired as</w:t>
      </w:r>
    </w:p>
    <w:p>
      <w:pPr>
        <w:spacing w:after="0" w:line="14" w:lineRule="exact"/>
        <w:rPr>
          <w:sz w:val="20"/>
          <w:szCs w:val="20"/>
          <w:color w:val="auto"/>
        </w:rPr>
      </w:pPr>
    </w:p>
    <w:p>
      <w:pPr>
        <w:jc w:val="both"/>
        <w:ind w:left="1040" w:hanging="1039"/>
        <w:spacing w:after="0" w:line="181" w:lineRule="auto"/>
        <w:rPr>
          <w:sz w:val="20"/>
          <w:szCs w:val="20"/>
          <w:color w:val="auto"/>
        </w:rPr>
      </w:pPr>
      <w:r>
        <w:rPr>
          <w:rFonts w:ascii="Times New Roman" w:cs="Times New Roman" w:eastAsia="Times New Roman" w:hAnsi="Times New Roman"/>
          <w:sz w:val="37"/>
          <w:szCs w:val="37"/>
          <w:color w:val="auto"/>
          <w:vertAlign w:val="subscript"/>
        </w:rPr>
        <w:t>01/07/2013</w:t>
      </w:r>
      <w:r>
        <w:rPr>
          <w:rFonts w:ascii="Times New Roman" w:cs="Times New Roman" w:eastAsia="Times New Roman" w:hAnsi="Times New Roman"/>
          <w:sz w:val="19"/>
          <w:szCs w:val="19"/>
          <w:color w:val="auto"/>
        </w:rPr>
        <w:t xml:space="preserve"> compensation -- Restricted Stock</w:t>
      </w:r>
    </w:p>
    <w:p>
      <w:pPr>
        <w:ind w:left="1040"/>
        <w:spacing w:after="0"/>
        <w:rPr>
          <w:sz w:val="20"/>
          <w:szCs w:val="20"/>
          <w:color w:val="auto"/>
        </w:rPr>
      </w:pPr>
      <w:r>
        <w:rPr>
          <w:rFonts w:ascii="Times New Roman" w:cs="Times New Roman" w:eastAsia="Times New Roman" w:hAnsi="Times New Roman"/>
          <w:sz w:val="22"/>
          <w:szCs w:val="22"/>
          <w:color w:val="auto"/>
        </w:rPr>
        <w:t>Units</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Acquired as</w:t>
      </w:r>
    </w:p>
    <w:p>
      <w:pPr>
        <w:spacing w:after="0" w:line="14" w:lineRule="exact"/>
        <w:rPr>
          <w:sz w:val="20"/>
          <w:szCs w:val="20"/>
          <w:color w:val="auto"/>
        </w:rPr>
      </w:pPr>
    </w:p>
    <w:p>
      <w:pPr>
        <w:jc w:val="both"/>
        <w:ind w:left="1040" w:hanging="1039"/>
        <w:spacing w:after="0" w:line="181" w:lineRule="auto"/>
        <w:rPr>
          <w:sz w:val="20"/>
          <w:szCs w:val="20"/>
          <w:color w:val="auto"/>
        </w:rPr>
      </w:pPr>
      <w:r>
        <w:rPr>
          <w:rFonts w:ascii="Times New Roman" w:cs="Times New Roman" w:eastAsia="Times New Roman" w:hAnsi="Times New Roman"/>
          <w:sz w:val="37"/>
          <w:szCs w:val="37"/>
          <w:color w:val="auto"/>
          <w:vertAlign w:val="subscript"/>
        </w:rPr>
        <w:t>03/08/2012</w:t>
      </w:r>
      <w:r>
        <w:rPr>
          <w:rFonts w:ascii="Times New Roman" w:cs="Times New Roman" w:eastAsia="Times New Roman" w:hAnsi="Times New Roman"/>
          <w:sz w:val="19"/>
          <w:szCs w:val="19"/>
          <w:color w:val="auto"/>
        </w:rPr>
        <w:t xml:space="preserve"> compensation -- Restricted Stock</w:t>
      </w:r>
    </w:p>
    <w:p>
      <w:pPr>
        <w:ind w:left="1040"/>
        <w:spacing w:after="0"/>
        <w:rPr>
          <w:sz w:val="20"/>
          <w:szCs w:val="20"/>
          <w:color w:val="auto"/>
        </w:rPr>
      </w:pPr>
      <w:r>
        <w:rPr>
          <w:rFonts w:ascii="Times New Roman" w:cs="Times New Roman" w:eastAsia="Times New Roman" w:hAnsi="Times New Roman"/>
          <w:sz w:val="22"/>
          <w:szCs w:val="22"/>
          <w:color w:val="auto"/>
        </w:rPr>
        <w:t>Units</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Acquired as</w:t>
      </w:r>
    </w:p>
    <w:p>
      <w:pPr>
        <w:spacing w:after="0" w:line="14" w:lineRule="exact"/>
        <w:rPr>
          <w:sz w:val="20"/>
          <w:szCs w:val="20"/>
          <w:color w:val="auto"/>
        </w:rPr>
      </w:pPr>
    </w:p>
    <w:p>
      <w:pPr>
        <w:jc w:val="both"/>
        <w:ind w:left="1040" w:hanging="1039"/>
        <w:spacing w:after="0" w:line="181" w:lineRule="auto"/>
        <w:rPr>
          <w:sz w:val="20"/>
          <w:szCs w:val="20"/>
          <w:color w:val="auto"/>
        </w:rPr>
      </w:pPr>
      <w:r>
        <w:rPr>
          <w:rFonts w:ascii="Times New Roman" w:cs="Times New Roman" w:eastAsia="Times New Roman" w:hAnsi="Times New Roman"/>
          <w:sz w:val="37"/>
          <w:szCs w:val="37"/>
          <w:color w:val="auto"/>
          <w:vertAlign w:val="subscript"/>
        </w:rPr>
        <w:t>01/11/2008</w:t>
      </w:r>
      <w:r>
        <w:rPr>
          <w:rFonts w:ascii="Times New Roman" w:cs="Times New Roman" w:eastAsia="Times New Roman" w:hAnsi="Times New Roman"/>
          <w:sz w:val="19"/>
          <w:szCs w:val="19"/>
          <w:color w:val="auto"/>
        </w:rPr>
        <w:t xml:space="preserve"> compensation -- Restricted Stock</w:t>
      </w:r>
    </w:p>
    <w:p>
      <w:pPr>
        <w:jc w:val="center"/>
        <w:ind w:left="-99"/>
        <w:spacing w:after="0"/>
        <w:rPr>
          <w:sz w:val="20"/>
          <w:szCs w:val="20"/>
          <w:color w:val="auto"/>
        </w:rPr>
      </w:pPr>
      <w:r>
        <w:rPr>
          <w:rFonts w:ascii="Times New Roman" w:cs="Times New Roman" w:eastAsia="Times New Roman" w:hAnsi="Times New Roman"/>
          <w:sz w:val="22"/>
          <w:szCs w:val="22"/>
          <w:color w:val="auto"/>
        </w:rPr>
        <w:t>Units</w:t>
      </w:r>
    </w:p>
    <w:p>
      <w:pPr>
        <w:spacing w:after="0" w:line="20" w:lineRule="exact"/>
        <w:rPr>
          <w:sz w:val="20"/>
          <w:szCs w:val="20"/>
          <w:color w:val="auto"/>
        </w:rPr>
      </w:pPr>
      <w:r>
        <w:rPr>
          <w:sz w:val="20"/>
          <w:szCs w:val="20"/>
          <w:color w:val="auto"/>
        </w:rPr>
        <w:br w:type="column"/>
      </w:r>
    </w:p>
    <w:p>
      <w:pPr>
        <w:ind w:left="420"/>
        <w:spacing w:after="0"/>
        <w:tabs>
          <w:tab w:leader="none" w:pos="166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ind w:left="3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22"/>
          <w:szCs w:val="22"/>
          <w:color w:val="auto"/>
        </w:rPr>
        <w:t>Compensation --</w:t>
      </w:r>
    </w:p>
    <w:p>
      <w:pPr>
        <w:spacing w:after="0" w:line="4" w:lineRule="exact"/>
        <w:rPr>
          <w:sz w:val="20"/>
          <w:szCs w:val="20"/>
          <w:color w:val="auto"/>
        </w:rPr>
      </w:pPr>
    </w:p>
    <w:p>
      <w:pPr>
        <w:spacing w:after="0"/>
        <w:tabs>
          <w:tab w:leader="none" w:pos="1471" w:val="left"/>
          <w:tab w:leader="none" w:pos="4220" w:val="left"/>
        </w:tabs>
        <w:rPr>
          <w:sz w:val="20"/>
          <w:szCs w:val="20"/>
          <w:color w:val="auto"/>
        </w:rPr>
      </w:pPr>
      <w:r>
        <w:rPr>
          <w:rFonts w:ascii="Times New Roman" w:cs="Times New Roman" w:eastAsia="Times New Roman" w:hAnsi="Times New Roman"/>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2193</w:t>
      </w:r>
      <w:r>
        <w:rPr>
          <w:sz w:val="20"/>
          <w:szCs w:val="20"/>
          <w:color w:val="auto"/>
        </w:rPr>
        <w:tab/>
      </w:r>
      <w:r>
        <w:rPr>
          <w:rFonts w:ascii="Times New Roman" w:cs="Times New Roman" w:eastAsia="Times New Roman" w:hAnsi="Times New Roman"/>
          <w:sz w:val="21"/>
          <w:szCs w:val="21"/>
          <w:color w:val="auto"/>
        </w:rPr>
        <w:t>12/15/2022 Cashless exercise /</w:t>
      </w:r>
    </w:p>
    <w:p>
      <w:pPr>
        <w:ind w:left="5280"/>
        <w:spacing w:after="0"/>
        <w:rPr>
          <w:sz w:val="20"/>
          <w:szCs w:val="20"/>
          <w:color w:val="auto"/>
        </w:rPr>
      </w:pPr>
      <w:r>
        <w:rPr>
          <w:rFonts w:ascii="Times New Roman" w:cs="Times New Roman" w:eastAsia="Times New Roman" w:hAnsi="Times New Roman"/>
          <w:sz w:val="22"/>
          <w:szCs w:val="22"/>
          <w:color w:val="auto"/>
        </w:rPr>
        <w:t>same-day sale</w:t>
      </w:r>
    </w:p>
    <w:p>
      <w:pPr>
        <w:spacing w:after="0" w:line="385" w:lineRule="exact"/>
        <w:rPr>
          <w:sz w:val="20"/>
          <w:szCs w:val="20"/>
          <w:color w:val="auto"/>
        </w:rPr>
      </w:pPr>
    </w:p>
    <w:p>
      <w:pPr>
        <w:spacing w:after="0"/>
        <w:tabs>
          <w:tab w:leader="none" w:pos="1471" w:val="left"/>
          <w:tab w:leader="none" w:pos="4220" w:val="left"/>
        </w:tabs>
        <w:rPr>
          <w:sz w:val="20"/>
          <w:szCs w:val="20"/>
          <w:color w:val="auto"/>
        </w:rPr>
      </w:pPr>
      <w:r>
        <w:rPr>
          <w:rFonts w:ascii="Times New Roman" w:cs="Times New Roman" w:eastAsia="Times New Roman" w:hAnsi="Times New Roman"/>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1435</w:t>
      </w:r>
      <w:r>
        <w:rPr>
          <w:sz w:val="20"/>
          <w:szCs w:val="20"/>
          <w:color w:val="auto"/>
        </w:rPr>
        <w:tab/>
      </w:r>
      <w:r>
        <w:rPr>
          <w:rFonts w:ascii="Times New Roman" w:cs="Times New Roman" w:eastAsia="Times New Roman" w:hAnsi="Times New Roman"/>
          <w:sz w:val="21"/>
          <w:szCs w:val="21"/>
          <w:color w:val="auto"/>
        </w:rPr>
        <w:t>03/09/2022 Compensation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1471" w:val="left"/>
          <w:tab w:leader="none" w:pos="4220" w:val="left"/>
        </w:tabs>
        <w:rPr>
          <w:sz w:val="20"/>
          <w:szCs w:val="20"/>
          <w:color w:val="auto"/>
        </w:rPr>
      </w:pPr>
      <w:r>
        <w:rPr>
          <w:rFonts w:ascii="Times New Roman" w:cs="Times New Roman" w:eastAsia="Times New Roman" w:hAnsi="Times New Roman"/>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2210</w:t>
      </w:r>
      <w:r>
        <w:rPr>
          <w:sz w:val="20"/>
          <w:szCs w:val="20"/>
          <w:color w:val="auto"/>
        </w:rPr>
        <w:tab/>
      </w:r>
      <w:r>
        <w:rPr>
          <w:rFonts w:ascii="Times New Roman" w:cs="Times New Roman" w:eastAsia="Times New Roman" w:hAnsi="Times New Roman"/>
          <w:sz w:val="21"/>
          <w:szCs w:val="21"/>
          <w:color w:val="auto"/>
        </w:rPr>
        <w:t>03/10/2021 Compensation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1471" w:val="left"/>
          <w:tab w:leader="none" w:pos="4220" w:val="left"/>
        </w:tabs>
        <w:rPr>
          <w:sz w:val="20"/>
          <w:szCs w:val="20"/>
          <w:color w:val="auto"/>
        </w:rPr>
      </w:pPr>
      <w:r>
        <w:rPr>
          <w:rFonts w:ascii="Times New Roman" w:cs="Times New Roman" w:eastAsia="Times New Roman" w:hAnsi="Times New Roman"/>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2155</w:t>
      </w:r>
      <w:r>
        <w:rPr>
          <w:sz w:val="20"/>
          <w:szCs w:val="20"/>
          <w:color w:val="auto"/>
        </w:rPr>
        <w:tab/>
      </w:r>
      <w:r>
        <w:rPr>
          <w:rFonts w:ascii="Times New Roman" w:cs="Times New Roman" w:eastAsia="Times New Roman" w:hAnsi="Times New Roman"/>
          <w:sz w:val="21"/>
          <w:szCs w:val="21"/>
          <w:color w:val="auto"/>
        </w:rPr>
        <w:t>03/13/2019 Compensation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1471" w:val="left"/>
          <w:tab w:leader="none" w:pos="4220" w:val="left"/>
        </w:tabs>
        <w:rPr>
          <w:sz w:val="20"/>
          <w:szCs w:val="20"/>
          <w:color w:val="auto"/>
        </w:rPr>
      </w:pPr>
      <w:r>
        <w:rPr>
          <w:rFonts w:ascii="Times New Roman" w:cs="Times New Roman" w:eastAsia="Times New Roman" w:hAnsi="Times New Roman"/>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2035</w:t>
      </w:r>
      <w:r>
        <w:rPr>
          <w:sz w:val="20"/>
          <w:szCs w:val="20"/>
          <w:color w:val="auto"/>
        </w:rPr>
        <w:tab/>
      </w:r>
      <w:r>
        <w:rPr>
          <w:rFonts w:ascii="Times New Roman" w:cs="Times New Roman" w:eastAsia="Times New Roman" w:hAnsi="Times New Roman"/>
          <w:sz w:val="21"/>
          <w:szCs w:val="21"/>
          <w:color w:val="auto"/>
        </w:rPr>
        <w:t>03/11/2020 Compensation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1471" w:val="left"/>
          <w:tab w:leader="none" w:pos="4220" w:val="left"/>
        </w:tabs>
        <w:rPr>
          <w:sz w:val="20"/>
          <w:szCs w:val="20"/>
          <w:color w:val="auto"/>
        </w:rPr>
      </w:pPr>
      <w:r>
        <w:rPr>
          <w:rFonts w:ascii="Times New Roman" w:cs="Times New Roman" w:eastAsia="Times New Roman" w:hAnsi="Times New Roman"/>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2455</w:t>
      </w:r>
      <w:r>
        <w:rPr>
          <w:sz w:val="20"/>
          <w:szCs w:val="20"/>
          <w:color w:val="auto"/>
        </w:rPr>
        <w:tab/>
      </w:r>
      <w:r>
        <w:rPr>
          <w:rFonts w:ascii="Times New Roman" w:cs="Times New Roman" w:eastAsia="Times New Roman" w:hAnsi="Times New Roman"/>
          <w:sz w:val="21"/>
          <w:szCs w:val="21"/>
          <w:color w:val="auto"/>
        </w:rPr>
        <w:t>03/08/2018 Compensation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1471" w:val="left"/>
          <w:tab w:leader="none" w:pos="4220" w:val="left"/>
        </w:tabs>
        <w:rPr>
          <w:sz w:val="20"/>
          <w:szCs w:val="20"/>
          <w:color w:val="auto"/>
        </w:rPr>
      </w:pPr>
      <w:r>
        <w:rPr>
          <w:rFonts w:ascii="Times New Roman" w:cs="Times New Roman" w:eastAsia="Times New Roman" w:hAnsi="Times New Roman"/>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1850</w:t>
      </w:r>
      <w:r>
        <w:rPr>
          <w:sz w:val="20"/>
          <w:szCs w:val="20"/>
          <w:color w:val="auto"/>
        </w:rPr>
        <w:tab/>
      </w:r>
      <w:r>
        <w:rPr>
          <w:rFonts w:ascii="Times New Roman" w:cs="Times New Roman" w:eastAsia="Times New Roman" w:hAnsi="Times New Roman"/>
          <w:sz w:val="21"/>
          <w:szCs w:val="21"/>
          <w:color w:val="auto"/>
        </w:rPr>
        <w:t>03/08/2017 Compensation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1471" w:val="left"/>
          <w:tab w:leader="none" w:pos="4220" w:val="left"/>
        </w:tabs>
        <w:rPr>
          <w:sz w:val="20"/>
          <w:szCs w:val="20"/>
          <w:color w:val="auto"/>
        </w:rPr>
      </w:pPr>
      <w:r>
        <w:rPr>
          <w:rFonts w:ascii="Times New Roman" w:cs="Times New Roman" w:eastAsia="Times New Roman" w:hAnsi="Times New Roman"/>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1740</w:t>
      </w:r>
      <w:r>
        <w:rPr>
          <w:sz w:val="20"/>
          <w:szCs w:val="20"/>
          <w:color w:val="auto"/>
        </w:rPr>
        <w:tab/>
      </w:r>
      <w:r>
        <w:rPr>
          <w:rFonts w:ascii="Times New Roman" w:cs="Times New Roman" w:eastAsia="Times New Roman" w:hAnsi="Times New Roman"/>
          <w:sz w:val="21"/>
          <w:szCs w:val="21"/>
          <w:color w:val="auto"/>
        </w:rPr>
        <w:t>03/11/2015 Compensation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1471" w:val="left"/>
          <w:tab w:leader="none" w:pos="4220" w:val="left"/>
        </w:tabs>
        <w:rPr>
          <w:sz w:val="20"/>
          <w:szCs w:val="20"/>
          <w:color w:val="auto"/>
        </w:rPr>
      </w:pPr>
      <w:r>
        <w:rPr>
          <w:rFonts w:ascii="Times New Roman" w:cs="Times New Roman" w:eastAsia="Times New Roman" w:hAnsi="Times New Roman"/>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1540</w:t>
      </w:r>
      <w:r>
        <w:rPr>
          <w:sz w:val="20"/>
          <w:szCs w:val="20"/>
          <w:color w:val="auto"/>
        </w:rPr>
        <w:tab/>
      </w:r>
      <w:r>
        <w:rPr>
          <w:rFonts w:ascii="Times New Roman" w:cs="Times New Roman" w:eastAsia="Times New Roman" w:hAnsi="Times New Roman"/>
          <w:sz w:val="21"/>
          <w:szCs w:val="21"/>
          <w:color w:val="auto"/>
        </w:rPr>
        <w:t>03/09/2016 Compensation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1471" w:val="left"/>
          <w:tab w:leader="none" w:pos="4220" w:val="left"/>
        </w:tabs>
        <w:rPr>
          <w:sz w:val="20"/>
          <w:szCs w:val="20"/>
          <w:color w:val="auto"/>
        </w:rPr>
      </w:pPr>
      <w:r>
        <w:rPr>
          <w:rFonts w:ascii="Times New Roman" w:cs="Times New Roman" w:eastAsia="Times New Roman" w:hAnsi="Times New Roman"/>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1940</w:t>
      </w:r>
      <w:r>
        <w:rPr>
          <w:sz w:val="20"/>
          <w:szCs w:val="20"/>
          <w:color w:val="auto"/>
        </w:rPr>
        <w:tab/>
      </w:r>
      <w:r>
        <w:rPr>
          <w:rFonts w:ascii="Times New Roman" w:cs="Times New Roman" w:eastAsia="Times New Roman" w:hAnsi="Times New Roman"/>
          <w:sz w:val="21"/>
          <w:szCs w:val="21"/>
          <w:color w:val="auto"/>
        </w:rPr>
        <w:t>03/12/2014 Compensation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1471" w:val="left"/>
          <w:tab w:leader="none" w:pos="4220" w:val="left"/>
        </w:tabs>
        <w:rPr>
          <w:sz w:val="20"/>
          <w:szCs w:val="20"/>
          <w:color w:val="auto"/>
        </w:rPr>
      </w:pPr>
      <w:r>
        <w:rPr>
          <w:rFonts w:ascii="Times New Roman" w:cs="Times New Roman" w:eastAsia="Times New Roman" w:hAnsi="Times New Roman"/>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1610</w:t>
      </w:r>
      <w:r>
        <w:rPr>
          <w:sz w:val="20"/>
          <w:szCs w:val="20"/>
          <w:color w:val="auto"/>
        </w:rPr>
        <w:tab/>
      </w:r>
      <w:r>
        <w:rPr>
          <w:rFonts w:ascii="Times New Roman" w:cs="Times New Roman" w:eastAsia="Times New Roman" w:hAnsi="Times New Roman"/>
          <w:sz w:val="21"/>
          <w:szCs w:val="21"/>
          <w:color w:val="auto"/>
        </w:rPr>
        <w:t>03/13/2013 Compensation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1471" w:val="left"/>
          <w:tab w:leader="none" w:pos="4220" w:val="left"/>
        </w:tabs>
        <w:rPr>
          <w:sz w:val="20"/>
          <w:szCs w:val="20"/>
          <w:color w:val="auto"/>
        </w:rPr>
      </w:pPr>
      <w:r>
        <w:rPr>
          <w:rFonts w:ascii="Times New Roman" w:cs="Times New Roman" w:eastAsia="Times New Roman" w:hAnsi="Times New Roman"/>
          <w:sz w:val="22"/>
          <w:szCs w:val="22"/>
          <w:color w:val="auto"/>
        </w:rPr>
        <w:t>Issuer</w:t>
      </w:r>
      <w:r>
        <w:rPr>
          <w:sz w:val="20"/>
          <w:szCs w:val="20"/>
          <w:color w:val="auto"/>
        </w:rPr>
        <w:tab/>
      </w:r>
      <w:r>
        <w:rPr>
          <w:sz w:val="1"/>
          <w:szCs w:val="1"/>
          <w:color w:val="auto"/>
        </w:rPr>
        <w:drawing>
          <wp:inline distT="0" distB="0" distL="0" distR="0">
            <wp:extent cx="128905" cy="12827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2025</w:t>
      </w:r>
      <w:r>
        <w:rPr>
          <w:sz w:val="20"/>
          <w:szCs w:val="20"/>
          <w:color w:val="auto"/>
        </w:rPr>
        <w:tab/>
      </w:r>
      <w:r>
        <w:rPr>
          <w:rFonts w:ascii="Times New Roman" w:cs="Times New Roman" w:eastAsia="Times New Roman" w:hAnsi="Times New Roman"/>
          <w:sz w:val="21"/>
          <w:szCs w:val="21"/>
          <w:color w:val="auto"/>
        </w:rPr>
        <w:t>01/07/2013 Compensation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1471" w:val="left"/>
          <w:tab w:leader="none" w:pos="4220" w:val="left"/>
        </w:tabs>
        <w:rPr>
          <w:sz w:val="20"/>
          <w:szCs w:val="20"/>
          <w:color w:val="auto"/>
        </w:rPr>
      </w:pPr>
      <w:r>
        <w:rPr>
          <w:rFonts w:ascii="Times New Roman" w:cs="Times New Roman" w:eastAsia="Times New Roman" w:hAnsi="Times New Roman"/>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1012</w:t>
      </w:r>
      <w:r>
        <w:rPr>
          <w:sz w:val="20"/>
          <w:szCs w:val="20"/>
          <w:color w:val="auto"/>
        </w:rPr>
        <w:tab/>
      </w:r>
      <w:r>
        <w:rPr>
          <w:rFonts w:ascii="Times New Roman" w:cs="Times New Roman" w:eastAsia="Times New Roman" w:hAnsi="Times New Roman"/>
          <w:sz w:val="21"/>
          <w:szCs w:val="21"/>
          <w:color w:val="auto"/>
        </w:rPr>
        <w:t>03/08/2012 Compensation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1471" w:val="left"/>
          <w:tab w:leader="none" w:pos="4220" w:val="left"/>
        </w:tabs>
        <w:rPr>
          <w:sz w:val="20"/>
          <w:szCs w:val="20"/>
          <w:color w:val="auto"/>
        </w:rPr>
      </w:pPr>
      <w:r>
        <w:rPr>
          <w:rFonts w:ascii="Times New Roman" w:cs="Times New Roman" w:eastAsia="Times New Roman" w:hAnsi="Times New Roman"/>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800</w:t>
      </w:r>
      <w:r>
        <w:rPr>
          <w:sz w:val="20"/>
          <w:szCs w:val="20"/>
          <w:color w:val="auto"/>
        </w:rPr>
        <w:tab/>
      </w:r>
      <w:r>
        <w:rPr>
          <w:rFonts w:ascii="Times New Roman" w:cs="Times New Roman" w:eastAsia="Times New Roman" w:hAnsi="Times New Roman"/>
          <w:sz w:val="21"/>
          <w:szCs w:val="21"/>
          <w:color w:val="auto"/>
        </w:rPr>
        <w:t>01/11/2008 Compensation</w:t>
      </w:r>
    </w:p>
    <w:p>
      <w:pPr>
        <w:spacing w:after="0" w:line="588" w:lineRule="exact"/>
        <w:rPr>
          <w:sz w:val="20"/>
          <w:szCs w:val="20"/>
          <w:color w:val="auto"/>
        </w:rPr>
      </w:pPr>
    </w:p>
    <w:p>
      <w:pPr>
        <w:sectPr>
          <w:pgSz w:w="11900" w:h="16838" w:orient="portrait"/>
          <w:cols w:equalWidth="0" w:num="3">
            <w:col w:w="1392" w:space="100"/>
            <w:col w:w="2460" w:space="280"/>
            <w:col w:w="7000"/>
          </w:cols>
          <w:pgMar w:left="328" w:top="108" w:right="339" w:bottom="250" w:gutter="0" w:footer="0" w:header="0"/>
        </w:sectPr>
      </w:pPr>
    </w:p>
    <w:p>
      <w:pPr>
        <w:spacing w:after="0" w:line="50" w:lineRule="exact"/>
        <w:rPr>
          <w:sz w:val="20"/>
          <w:szCs w:val="20"/>
          <w:color w:val="auto"/>
        </w:rPr>
      </w:pPr>
    </w:p>
    <w:p>
      <w:pPr>
        <w:jc w:val="both"/>
        <w:ind w:left="-8" w:firstLine="8"/>
        <w:spacing w:after="0" w:line="239" w:lineRule="auto"/>
        <w:tabs>
          <w:tab w:leader="none" w:pos="161"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ectPr>
          <w:pgSz w:w="11900" w:h="16838" w:orient="portrait"/>
          <w:cols w:equalWidth="0" w:num="1">
            <w:col w:w="11232"/>
          </w:cols>
          <w:pgMar w:left="328" w:top="108" w:right="339" w:bottom="250" w:gutter="0" w:footer="0" w:header="0"/>
          <w:type w:val="continuous"/>
        </w:sectPr>
      </w:pPr>
    </w:p>
    <w:bookmarkStart w:id="2" w:name="page3"/>
    <w:bookmarkEnd w:id="2"/>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Ray Stata</w:t>
            </w:r>
          </w:p>
        </w:tc>
        <w:tc>
          <w:tcPr>
            <w:tcW w:w="5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04/16/2025 3125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546184.38</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Wilmington</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Ray Stata</w:t>
            </w:r>
          </w:p>
        </w:tc>
        <w:tc>
          <w:tcPr>
            <w:tcW w:w="5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06/12/2025 3125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726010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Wilmington</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Ray Stata</w:t>
            </w:r>
          </w:p>
        </w:tc>
        <w:tc>
          <w:tcPr>
            <w:tcW w:w="5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05/06/2025 3125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612008.44</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Wilmington</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Ray Stata</w:t>
            </w:r>
          </w:p>
        </w:tc>
        <w:tc>
          <w:tcPr>
            <w:tcW w:w="5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06/11/2025 3125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727590.63</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Wilmington</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Ray Stata</w:t>
            </w:r>
          </w:p>
        </w:tc>
        <w:tc>
          <w:tcPr>
            <w:tcW w:w="5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05/07/2025 3125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618356.56</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Wilmington</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598"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1/9/2025, that is intended to comply with Rule 10b5-1(c).</w:t>
      </w:r>
    </w:p>
    <w:p>
      <w:pPr>
        <w:spacing w:after="0"/>
        <w:rPr>
          <w:sz w:val="20"/>
          <w:szCs w:val="20"/>
          <w:color w:val="auto"/>
        </w:rPr>
      </w:pPr>
      <w:r>
        <w:rPr>
          <w:rFonts w:ascii="Times New Roman" w:cs="Times New Roman" w:eastAsia="Times New Roman" w:hAnsi="Times New Roman"/>
          <w:sz w:val="22"/>
          <w:szCs w:val="22"/>
          <w:color w:val="auto"/>
        </w:rPr>
        <w:t>07/16/2025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01/09/2025</w:t>
      </w:r>
    </w:p>
    <w:p>
      <w:pPr>
        <w:spacing w:after="0" w:line="612" w:lineRule="exact"/>
        <w:rPr>
          <w:sz w:val="20"/>
          <w:szCs w:val="20"/>
          <w:color w:val="auto"/>
        </w:rPr>
      </w:pPr>
    </w:p>
    <w:p>
      <w:pPr>
        <w:sectPr>
          <w:pgSz w:w="11900" w:h="16838" w:orient="portrait"/>
          <w:cols w:equalWidth="0" w:num="2">
            <w:col w:w="3380" w:space="520"/>
            <w:col w:w="7340"/>
          </w:cols>
          <w:pgMar w:left="320" w:top="5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Raymond S. Stata</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5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2025-07-16T16:40:03Z</dcterms:created>
  <dcterms:modified xsi:type="dcterms:W3CDTF">2025-07-16T16:40:03Z</dcterms:modified>
</cp:coreProperties>
</file>