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As Filed with the Securities and Exchange Commission on September 14, 1999</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4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Registration No. 333-_____________</w:t>
            </w:r>
          </w:p>
        </w:tc>
        <w:tc>
          <w:tcPr>
            <w:tcW w:w="24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7"/>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7"/>
        </w:trPr>
        <w:tc>
          <w:tcPr>
            <w:tcW w:w="7380" w:type="dxa"/>
            <w:vAlign w:val="bottom"/>
            <w:gridSpan w:val="3"/>
          </w:tcPr>
          <w:p>
            <w:pPr>
              <w:jc w:val="center"/>
              <w:ind w:right="105"/>
              <w:spacing w:after="0"/>
              <w:rPr>
                <w:sz w:val="20"/>
                <w:szCs w:val="20"/>
                <w:color w:val="auto"/>
              </w:rPr>
            </w:pPr>
            <w:r>
              <w:rPr>
                <w:rFonts w:ascii="Courier New" w:cs="Courier New" w:eastAsia="Courier New" w:hAnsi="Courier New"/>
                <w:sz w:val="15"/>
                <w:szCs w:val="15"/>
                <w:color w:val="auto"/>
              </w:rPr>
              <w:t>SECURITIES AND EXCHANGE COMMISSION</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Washington, DC 20549</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2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FORM S-3</w:t>
            </w:r>
          </w:p>
        </w:tc>
        <w:tc>
          <w:tcPr>
            <w:tcW w:w="2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7"/>
        </w:trPr>
        <w:tc>
          <w:tcPr>
            <w:tcW w:w="738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rPr>
              <w:t>REGISTRATION STATEMENT UNDER THE SECURITIES ACT OF 1933</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7"/>
        </w:trPr>
        <w:tc>
          <w:tcPr>
            <w:tcW w:w="2520" w:type="dxa"/>
            <w:vAlign w:val="bottom"/>
          </w:tcPr>
          <w:p>
            <w:pPr>
              <w:spacing w:after="0"/>
              <w:rPr>
                <w:sz w:val="24"/>
                <w:szCs w:val="24"/>
                <w:color w:val="auto"/>
              </w:rPr>
            </w:pPr>
          </w:p>
        </w:tc>
        <w:tc>
          <w:tcPr>
            <w:tcW w:w="22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ANALOG DEVICES, INC.</w:t>
            </w:r>
          </w:p>
        </w:tc>
        <w:tc>
          <w:tcPr>
            <w:tcW w:w="2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jc w:val="center"/>
              <w:ind w:right="105"/>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520"/>
        </w:trPr>
        <w:tc>
          <w:tcPr>
            <w:tcW w:w="2520" w:type="dxa"/>
            <w:vAlign w:val="bottom"/>
          </w:tcPr>
          <w:p>
            <w:pPr>
              <w:ind w:left="620"/>
              <w:spacing w:after="0"/>
              <w:rPr>
                <w:sz w:val="20"/>
                <w:szCs w:val="20"/>
                <w:color w:val="auto"/>
              </w:rPr>
            </w:pPr>
            <w:r>
              <w:rPr>
                <w:rFonts w:ascii="Courier New" w:cs="Courier New" w:eastAsia="Courier New" w:hAnsi="Courier New"/>
                <w:sz w:val="15"/>
                <w:szCs w:val="15"/>
                <w:color w:val="auto"/>
              </w:rPr>
              <w:t>MASSACHUSETTS</w:t>
            </w:r>
          </w:p>
        </w:tc>
        <w:tc>
          <w:tcPr>
            <w:tcW w:w="2260" w:type="dxa"/>
            <w:vAlign w:val="bottom"/>
          </w:tcPr>
          <w:p>
            <w:pPr>
              <w:spacing w:after="0"/>
              <w:rPr>
                <w:sz w:val="24"/>
                <w:szCs w:val="24"/>
                <w:color w:val="auto"/>
              </w:rPr>
            </w:pPr>
          </w:p>
        </w:tc>
        <w:tc>
          <w:tcPr>
            <w:tcW w:w="26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04-2348234</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(State or Other Jurisdiction</w:t>
            </w:r>
          </w:p>
        </w:tc>
        <w:tc>
          <w:tcPr>
            <w:tcW w:w="4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(I.R.S. Employer Identification No.)</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2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ONE TECHNOLOGY WAY</w:t>
            </w:r>
          </w:p>
        </w:tc>
        <w:tc>
          <w:tcPr>
            <w:tcW w:w="2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jc w:val="center"/>
              <w:ind w:right="5"/>
              <w:spacing w:after="0"/>
              <w:rPr>
                <w:sz w:val="20"/>
                <w:szCs w:val="20"/>
                <w:color w:val="auto"/>
              </w:rPr>
            </w:pPr>
            <w:r>
              <w:rPr>
                <w:rFonts w:ascii="Courier New" w:cs="Courier New" w:eastAsia="Courier New" w:hAnsi="Courier New"/>
                <w:sz w:val="15"/>
                <w:szCs w:val="15"/>
                <w:color w:val="auto"/>
              </w:rPr>
              <w:t>NORWOOD, MASSACHUSETTS 02062-9106</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(617) 329-4700</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jc w:val="center"/>
              <w:ind w:right="5"/>
              <w:spacing w:after="0"/>
              <w:rPr>
                <w:sz w:val="20"/>
                <w:szCs w:val="20"/>
                <w:color w:val="auto"/>
              </w:rPr>
            </w:pPr>
            <w:r>
              <w:rPr>
                <w:rFonts w:ascii="Courier New" w:cs="Courier New" w:eastAsia="Courier New" w:hAnsi="Courier New"/>
                <w:sz w:val="15"/>
                <w:szCs w:val="15"/>
                <w:color w:val="auto"/>
              </w:rPr>
              <w:t>(Address, Including Zip Code, and</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jc w:val="center"/>
              <w:ind w:right="105"/>
              <w:spacing w:after="0"/>
              <w:rPr>
                <w:sz w:val="20"/>
                <w:szCs w:val="20"/>
                <w:color w:val="auto"/>
              </w:rPr>
            </w:pPr>
            <w:r>
              <w:rPr>
                <w:rFonts w:ascii="Courier New" w:cs="Courier New" w:eastAsia="Courier New" w:hAnsi="Courier New"/>
                <w:sz w:val="15"/>
                <w:szCs w:val="15"/>
                <w:color w:val="auto"/>
              </w:rPr>
              <w:t>Telephone Number, Including Area Code,</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of Registrant's Principal</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Executive Offices)</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2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PAUL P. BROUNTAS, ESQ.</w:t>
            </w:r>
          </w:p>
        </w:tc>
        <w:tc>
          <w:tcPr>
            <w:tcW w:w="2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HALE AND DORR LLP</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60 STATE STREET</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rPr>
              <w:t>BOSTON, MASSACHUSETTS 02109</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15"/>
                <w:szCs w:val="15"/>
                <w:color w:val="auto"/>
              </w:rPr>
            </w:pPr>
          </w:p>
        </w:tc>
        <w:tc>
          <w:tcPr>
            <w:tcW w:w="22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(617) 526-6000</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rPr>
              <w:t>(Name, Address, Including Zip Code, and</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jc w:val="center"/>
              <w:ind w:right="105"/>
              <w:spacing w:after="0"/>
              <w:rPr>
                <w:sz w:val="20"/>
                <w:szCs w:val="20"/>
                <w:color w:val="auto"/>
              </w:rPr>
            </w:pPr>
            <w:r>
              <w:rPr>
                <w:rFonts w:ascii="Courier New" w:cs="Courier New" w:eastAsia="Courier New" w:hAnsi="Courier New"/>
                <w:sz w:val="15"/>
                <w:szCs w:val="15"/>
                <w:color w:val="auto"/>
                <w:w w:val="99"/>
              </w:rPr>
              <w:t>Telephone Number, Including Area Code, of Agent for Service)</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PRACTICABLE AFTER THIS REGISTRATION STATEMENT BECOMES EFFECTIVE.</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jc w:val="center"/>
              <w:ind w:right="105"/>
              <w:spacing w:after="0"/>
              <w:rPr>
                <w:sz w:val="20"/>
                <w:szCs w:val="20"/>
                <w:color w:val="auto"/>
              </w:rPr>
            </w:pPr>
            <w:r>
              <w:rPr>
                <w:rFonts w:ascii="Courier New" w:cs="Courier New" w:eastAsia="Courier New" w:hAnsi="Courier New"/>
                <w:sz w:val="15"/>
                <w:szCs w:val="15"/>
                <w:color w:val="auto"/>
              </w:rPr>
              <w:t>If the only securities being registered on this form are being offered</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pursuant to dividend or interest reinvestment plans, please check the following</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box. [ ]</w:t>
            </w:r>
          </w:p>
        </w:tc>
        <w:tc>
          <w:tcPr>
            <w:tcW w:w="2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If any of the securities being registered on this form are to be offered on</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a delayed or continuous basis pursuant to Rule 415 under the Securities Act of</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1933, other than securities offered only in connection with dividend or interest</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reinvestment plans, check the following box. [x]</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If this form is registering additional securities pursuant to Rule 462(b)</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under the Securities Act, please check the following box and list the Securities</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Act registration statement number of the earlier effective registration</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statement for the same offering. [ ]</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If this form is a post-effective amendment filed pursuant to Rule 462(c)</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under the Securities Act, check the following box and list the Securities Act</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registration statement number of the earlier effective registration statement</w:t>
            </w: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for the same offering. [ ]</w:t>
            </w:r>
          </w:p>
        </w:tc>
        <w:tc>
          <w:tcPr>
            <w:tcW w:w="2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rPr>
              <w:t>If delivery of the prospectus is expected to be made pursuant Rule 434,</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please check the following box. [ ]</w:t>
            </w:r>
          </w:p>
        </w:tc>
        <w:tc>
          <w:tcPr>
            <w:tcW w:w="2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47"/>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94"/>
        </w:trPr>
        <w:tc>
          <w:tcPr>
            <w:tcW w:w="2520" w:type="dxa"/>
            <w:vAlign w:val="bottom"/>
          </w:tcPr>
          <w:p>
            <w:pPr>
              <w:spacing w:after="0"/>
              <w:rPr>
                <w:sz w:val="24"/>
                <w:szCs w:val="24"/>
                <w:color w:val="auto"/>
              </w:rPr>
            </w:pPr>
          </w:p>
        </w:tc>
        <w:tc>
          <w:tcPr>
            <w:tcW w:w="486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CALCULATION OF REGISTRATION FEE</w:t>
            </w: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Title Of Shares To</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Amount To Be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Proposed Maximum</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Proposed Maximum</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Amount Of</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Be Registered</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Registered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Offering Price Per Share (1)</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Aggregate Offering Price</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w w:val="97"/>
              </w:rPr>
              <w:t>Registration Fee</w:t>
            </w:r>
          </w:p>
        </w:tc>
      </w:tr>
      <w:tr>
        <w:trPr>
          <w:trHeight w:val="520"/>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$.16 2/3 par value</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2,000,000 shares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$55.1875</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$110,375,000</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$30,685</w:t>
            </w:r>
          </w:p>
        </w:tc>
      </w:tr>
    </w:tbl>
    <w:p>
      <w:pPr>
        <w:spacing w:after="0" w:line="35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4"/>
          <w:szCs w:val="24"/>
          <w:color w:val="auto"/>
        </w:rPr>
      </w:pPr>
    </w:p>
    <w:p>
      <w:pPr>
        <w:ind w:left="448" w:right="4400" w:hanging="448"/>
        <w:spacing w:after="0" w:line="244"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 pursuant to Rule 457(c) of the Securities Act of 1933, as amended, on the basis of the average of the high and low sales prices of the Registrant's Common Stock on the New York Stock Exchange on September 7, 1999.</w:t>
      </w:r>
    </w:p>
    <w:p>
      <w:pPr>
        <w:spacing w:after="0" w:line="176" w:lineRule="exact"/>
        <w:rPr>
          <w:sz w:val="24"/>
          <w:szCs w:val="24"/>
          <w:color w:val="auto"/>
        </w:rPr>
      </w:pPr>
    </w:p>
    <w:p>
      <w:pPr>
        <w:ind w:left="8" w:right="4320" w:firstLine="45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ectPr>
          <w:pgSz w:w="11900" w:h="16838" w:orient="portrait"/>
          <w:cols w:equalWidth="0" w:num="1">
            <w:col w:w="11528"/>
          </w:cols>
          <w:pgMar w:left="232" w:top="233" w:right="139" w:bottom="266"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SUBJECT TO COMPLETION,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PRELIMINARY PROSPECTUS DATED SEPTEMBER 14, 1999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2,000,000 SHARES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shares of Common Stock, of Analog Devices, Inc. covered by this prospectus may be issued, or transferred, by Analog from time to time to the trust established by Analog and PNC Bank, National Association, the "Trustee" pursuant to Analog's Deferred Compensation Plan. All of the shares covered by this prospectus may be offered and sold for the account of the Trust, and the proceeds of the sale of the shares will be held by the Trustee separate and apart from other funds of Analog and applied for the uses and purposes of participants in Analog's Deferred Compensation Plan. See "Deferred Compensation Plan" and "Use of Proceeds."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date of this prospectus is September 14, 1999.</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Analog is subject to the informational requirements of the Securities Exchange Act of 1934, as amended, and in accordance therewith files reports and other information with the Securities and Exchange Commission, also referred to as the Commission. Reports, proxy materials and other information filed by Analog with the Commission, pursuant to the informational requirements of the Exchange Act, may be inspected and copied at the public reference facilities maintained by the Commission at 450 Fifth Street, N.W., Washington, D.C. 20549, and at the Commission's regional offices located at Seven World Trade Center, 13th Floor, New York, New York 10048, and at Citicorp Center, 500 West Madison Street, Suite 1400, Chicago, Illinois 60661. Copies of such materials also may be obtained from the Public Reference Section of the Commission at 450 Fifth Street, N.W., Washington, D.C. 20549 at prescribed rates. In addition, Analog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Analog is listed on the New York Stock Exchange and traded under the symbol "ADI." Reports, proxy materials and other information concerning Analog may also be inspected at the offices of the New York Stock Exchange, 20 Broad Street, New York, New York 10005.</w:t>
      </w:r>
    </w:p>
    <w:p>
      <w:pPr>
        <w:spacing w:after="0" w:line="18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Analog has filed with the Commission a Registration Statement on Form S-3 under the Securities Act of 1933, as amended, with respect to the shares of common stock offered hereby.</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prospectus does not contain all the information set forth in the Registration Statement and the exhibits and schedules thereto, certain portions of which are omitted as permitted by the rules and regulations of the Commission. For further information with respect to Analog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5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4099" w:firstLine="451"/>
        <w:spacing w:after="0" w:line="243" w:lineRule="auto"/>
        <w:rPr>
          <w:sz w:val="20"/>
          <w:szCs w:val="20"/>
          <w:color w:val="auto"/>
        </w:rPr>
      </w:pPr>
      <w:r>
        <w:rPr>
          <w:rFonts w:ascii="Courier New" w:cs="Courier New" w:eastAsia="Courier New" w:hAnsi="Courier New"/>
          <w:sz w:val="15"/>
          <w:szCs w:val="15"/>
          <w:color w:val="auto"/>
        </w:rPr>
        <w:t>The following documents filed by Analog with the Commission are incorporated herein by reference:</w:t>
      </w:r>
    </w:p>
    <w:p>
      <w:pPr>
        <w:spacing w:after="0" w:line="175" w:lineRule="exact"/>
        <w:rPr>
          <w:sz w:val="20"/>
          <w:szCs w:val="20"/>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Analog's Annual Report on Form 10-K for the fiscal year ended October</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1998;</w:t>
      </w:r>
    </w:p>
    <w:p>
      <w:pPr>
        <w:spacing w:after="0" w:line="177" w:lineRule="exact"/>
        <w:rPr>
          <w:rFonts w:ascii="Courier New" w:cs="Courier New" w:eastAsia="Courier New" w:hAnsi="Courier New"/>
          <w:sz w:val="15"/>
          <w:szCs w:val="15"/>
          <w:color w:val="auto"/>
        </w:rPr>
      </w:pPr>
    </w:p>
    <w:p>
      <w:pPr>
        <w:ind w:right="3019" w:firstLine="443"/>
        <w:spacing w:after="0" w:line="243" w:lineRule="auto"/>
        <w:tabs>
          <w:tab w:leader="none" w:pos="90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Analog's Quarterly Reports on Form 10-Q for each of the quarters ended January 30, 1999, May 1, 1999 and July 31, 1999;</w:t>
      </w:r>
    </w:p>
    <w:p>
      <w:pPr>
        <w:spacing w:after="0" w:line="176" w:lineRule="exact"/>
        <w:rPr>
          <w:rFonts w:ascii="Courier New" w:cs="Courier New" w:eastAsia="Courier New" w:hAnsi="Courier New"/>
          <w:sz w:val="15"/>
          <w:szCs w:val="15"/>
          <w:color w:val="auto"/>
        </w:rPr>
      </w:pPr>
    </w:p>
    <w:p>
      <w:pPr>
        <w:ind w:right="3279" w:firstLine="443"/>
        <w:spacing w:after="0" w:line="243" w:lineRule="auto"/>
        <w:tabs>
          <w:tab w:leader="none" w:pos="90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Analog's Registration Statement on Form 8-A (File No. 0-4407) filed with the Commission on March 2, 1970; and</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filed by Analog pursuant to Section 13(a), 13(c), 14 or 15(d) of the Exchange Act after September 13, 1999 and prior to the date of this prospectus.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documents filed by Analog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prospectus may contain and/or incorporate by reference forward-looking statements within the "safe harbor" provisions of the Private Securities Litigation Reform Act of 1995. For this purpose, any statements contained herein or incorporated herein by reference that are not statements of material fact may be deemed to be forward-looking statements. Without limiting the foregoing, the words "believes," "anticipates," "plans," "expects" and similar expressions are intended to identify forward-looking statements. Reference is made in particular to the discussion set forth under "Management's Discussion and Analysis of Financial Condition and Results of Operations" in Analog's Annual Report on Form 10-K for the fiscal year ended October 31, 1998, and the other reports periodically filed with the Commission pursuant to the Exchange Act and incorporated in this prospectus by reference. Such statements are based on then current expectations that involve a number of uncertainties. Actual results could differ materially from those projected in any such forward looking statements.</w:t>
      </w:r>
    </w:p>
    <w:p>
      <w:pPr>
        <w:spacing w:after="0" w:line="183"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Analog will provide without charge to each person to whom this prospectus is delivered, upon the request of such person, a copy of any or all of the above documents incorporated herein by reference (without exhibits to such documents other than 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ANALOG.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ANALOG SINCE THE DATE HEREOF OR THAT THE INFORMATION CONTAINED HEREIN IS CORRECT AS OF ANY DATE SUBSEQUENT TO THE DATE HEREOF.</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4" w:name="page5"/>
    <w:bookmarkEnd w:id="4"/>
    <w:p>
      <w:pPr>
        <w:ind w:left="268"/>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Analog is semiconductor company that designs, manufactures and markets precision high-performance integrated circuits ("ICs") used in analog and digital signal processing ("DSP"). Virtually all of Analog's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Analog's principal products include general-purpose, standard-function analog and mixed-signal ICs and DSP ICs. DSP ICs include general-purpose digital signal processing ICs and application-specific devices that typically incorporate analog and mixed-signal circuitry and a DSP core.</w:t>
      </w:r>
    </w:p>
    <w:p>
      <w:pPr>
        <w:spacing w:after="0" w:line="175"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DEFERRED COMPENSATION PLAN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Analog has established the Analog Devices, Inc. Deferred Compensation Plan (the "Plan") to provide (i) certain management and highly compensated employees of Analog and (ii) the non-employee directors of Analog with the opportunity to defer receipt of all or any portion of their compensation payable for services rendered to Analog. The obligations of Analog under such deferral arrangements (the "Obligations") are unfunded and unsecured general obligations of Analog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Participants") are Analog's non-employee directors and certain Company employees designated from time to time, by name, group or description by the Administrative Committee for the Plan.</w:t>
      </w:r>
    </w:p>
    <w:p>
      <w:pPr>
        <w:spacing w:after="0" w:line="182"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The Plan was adopted on November 3, 1995 and amended on December 3, 1996, March 11, 1997 and November 5, 1997 and permits Eligible Participants to defer</w:t>
      </w:r>
    </w:p>
    <w:p>
      <w:pPr>
        <w:ind w:left="8" w:right="3019" w:hanging="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bonuses, (ii) in the case of non-employee directors, director fees and meeting fees and (iii) the gains that would otherwise be recognized upon the exercise of non-statutory stock options held by Eligible Participants ("Deferred Option Gains") and gains that would otherwise be recognized upon the lapse or termination of the restrictions and forfeiture provisions applicable to grants of restricted stock held by Eligible Participants.</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Ordinarily, upon the exercise of non-statutory stock options, Eligible Participants would be required to recognize, for federal income tax purposes, an amount equal to the difference between the option exercise price and the fair market value of Analog's common stock issued upon the option exercise. To defer the Deferred Option Gains, Eligible Participants are required to deliver an irrevocable election to Analog prior to the option exercise. The Eligible Participant must specify at the time the irrevocable election is made whether such election relates to (i) all the shares issuable pursuant to a specified option or (ii) only those shares issuable pursuant to the specified option which, based on the then fair market value, represents the gain that would otherwise be realized upon the option exercise (the "Gain Shares"). After the deferral election has been delivered and the option is exercised, Analog will issue to the Trust (established for the Plan by a Trust Agreement between Analog and the Trustee), in accordance with the prior election, either (i) all of the shares issuable upon the exercise of such option or (ii) the Gain Shares, as the case may be, (collectively, the "Deferred Option Shares").</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From time to time, certain employees of Analog are granted stock awards ("Restricted Stock Awards") that are subject to certain restrictions and/or risks of forfeiture (collectively, "Restrictions"). Ordinarily, upon the lapse or termination of such Restrictions, such employees would realize income for Federal Tax purposes in an amount equal to the difference between the price paid for the shares granted pursuant to the Restricted Stock Award, which is ordinarily a nominal amount, and the fair market value of the stock on the date the Restrictions lapse or terminate. The Plan allows Eligible Participants to defer the payment of the taxes which would otherwise be due at the time the Restrictions lapse or terminate ("Restricted Stock Gains"). In order to defer Restricted Stock Gains, Eligible Participants must deliver an irrevocable election to Analog prior to the date that the Restrictions on such shares lapse or terminate. After such an election has been made, the holders of such restricted shares will cause Analog to transfer such shares ("Deferred Restricted Stock Shares") to the Trust.</w:t>
      </w:r>
    </w:p>
    <w:p>
      <w:pPr>
        <w:sectPr>
          <w:pgSz w:w="11900" w:h="16838" w:orient="portrait"/>
          <w:cols w:equalWidth="0" w:num="1">
            <w:col w:w="10227"/>
          </w:cols>
          <w:pgMar w:left="232" w:top="291" w:right="1440" w:bottom="1440" w:gutter="0" w:footer="0" w:header="0"/>
        </w:sectPr>
      </w:pPr>
    </w:p>
    <w:p>
      <w:pPr>
        <w:spacing w:after="0" w:line="356"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7"/>
          </w:cols>
          <w:pgMar w:left="232" w:top="291"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Trust is considered to be a grantor trust for federal income tax purposes. Deferred Option Shares and Deferred Restricted Stock Shares (collectively, "Deferred Shares") issued to the Trust are held by the Trustee together with any other funds or assets deposited with the Trustee by Analog pursuant to the terms of the Plan and the Trust Agreement. The assets of the Trust, and any earnings thereon, are held separate and apart from other funds of Analog for the uses and purposes of Plan participants. Analog's obligations with respect to an Eligible Participant's Deferred Shares are unfunded and unsecured promises by Analog to pay in the future the value of the Deferred Shares, adjusted either up or down to reflect the value of an equal amount of shares of Analog's common stock and in certain cases the performance of selected investment measurement options if available to a participant during the deferral period in accordance with the Plan and the Trust Agreement.</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Deferred Shares arising out of stock options granted, or Restricted Stock Awards issued, by Analog on or prior to July 23, 1997 may be sold from time to time in the open market for the account of the Trust when an Eligible Participant advises Analog to change his/her investment from Analog to one or more of the several investment measurement options available to Plan participants or whenever the Trustee deems such sale to be appropriate. The Deferred Compensation Plan does not permit Eligible Participants to change their investment from Analog common stock with respect to stock options granted after July 23, 1997 or Restricted Stock Awards issued after July 23, 1997. After Deferred Shares are sold, investment earnings credited to the Eligible Participant's account will be indexed to the mutual funds or indices selected by the Eligible Participant. Analog is not actually required to invest the deferred compensation in the types of funds specified by a Plan participant. However, such use of the Trust may assist Analog in meeting its future Obligations.</w:t>
      </w:r>
    </w:p>
    <w:p>
      <w:pPr>
        <w:spacing w:after="0" w:line="34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Analog has filed with the Commission Registration Statements on Form S-8 under the Securities Act with respect to Analog's Obligations under the Plan (Registration Statement Nos. 33-64849 and 333-48243). Analog has filed with Commission an additional Registration Statement on Form S-8 with respect to an increase in Analog's Obligations under the Plan as of the date of this prospectus.</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address of the Trustee is PNC Bank, N.A., Retirement and Investment Services, One Oliver Plaza, 210 6th Avenue, Pittsburgh, PA 15222-2602, Attention: Trust Officer.</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set forth under "Deferred Compensation Plan," the proceeds from the sale of any shares of Company common stock shall be held by the Trustee separate and apart from other funds of Analog and applied for the use and purposes of participants in the Plan. Such proceeds, together with other assets held by the Trust, shall be subject to the claims of Analog's general creditors under federal and state laws in the event of Analog's insolvency.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Analog cannot determine the number of shares of common stock which will be sold pursuant to this prospectus because that number is dependent upon the extent to which Eligible Participants elect to defer the recognition of gains from their exercise of stock options and Restricted Stock Awards granted by Analog.</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Shares of common stock covered hereby may be offered and sold by Analog for the account of the Trust. Such sales may be made on the New York Stock Exchange in open market transactions including one or more of the following methods: (a) 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Analog in amounts to be negotiated immediately prior to the sale.</w:t>
      </w:r>
    </w:p>
    <w:p>
      <w:pPr>
        <w:spacing w:after="0" w:line="16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offering the shares of common stock covered hereby, any broker-dealers and any other participating</w:t>
      </w:r>
    </w:p>
    <w:p>
      <w:pPr>
        <w:sectPr>
          <w:pgSz w:w="11900" w:h="16838" w:orient="portrait"/>
          <w:cols w:equalWidth="0" w:num="1">
            <w:col w:w="10219"/>
          </w:cols>
          <w:pgMar w:left="240" w:top="291" w:right="1440" w:bottom="1440" w:gutter="0" w:footer="0" w:header="0"/>
        </w:sectPr>
      </w:pP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1"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broker-dealers who execute sales may be deemed to be "underwriters" within the meaning of the Securities Act in connection with such sales, and the compensation of such broker-dealers may be deemed to be underwriting discounts and commissions.</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This offering will terminate on the date on which all shares offered hereby have been sold.</w:t>
      </w:r>
    </w:p>
    <w:p>
      <w:pPr>
        <w:spacing w:after="0" w:line="349"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INDEMNIFICATION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Restated Articles of Organization of Analog, as amended (the "Articles of Organization") provide that the directors and officers of Analog shall be indemnified by Analog to the fullest extent authorized by Massachusetts law, as it now exists or may in the future be amended, against all liabilities and expenses incurred in connection with service for or on behalf of Analog. In addition, the Articles of Organization provide that the directors of Analog will not be personally liable for monetary damages to Analog for breaches of their fiduciary duty as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validity of the shares offered hereby will be passed upon for Analog by Hale and Dorr LLP, Boston, Massachusetts.</w:t>
      </w:r>
    </w:p>
    <w:p>
      <w:pPr>
        <w:spacing w:after="0" w:line="34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and financial statement schedule of Analog Devices, Inc. incorporated by reference and included, respectively, in Analog Devices, Inc.'s Annual Report (Form 10-K) for the year ended October 31, 1998 have been audited by Ernst &amp; Young LLP, independent auditors, as set forth in their reports thereon incorporated by reference and included therein and incorporated herein by reference. Such consolidated financial statements and financial statement schedule are incorporated herein by reference in reliance upon such reports given upon the authority of such firm as experts in accounting and auditing.</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8"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various expenses in connection with the issuance and distribution of the securities being registered. All amounts shown are estimates except the Securities and Exchange Commission registration fee.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SEC Registration Fee.........................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$30,685</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Accounting</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Fees 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Legal Fees</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Miscellaneous................................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51"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The Registrant has directors and officers liability insurance for the benefit of its directors and officers.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See Exhibit Index included immediately preceding the Exhibits to this Registration Statement, which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7" w:lineRule="exact"/>
        <w:rPr>
          <w:sz w:val="20"/>
          <w:szCs w:val="20"/>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8" w:lineRule="exact"/>
        <w:rPr>
          <w:sz w:val="20"/>
          <w:szCs w:val="20"/>
          <w:color w:val="auto"/>
        </w:rPr>
      </w:pPr>
    </w:p>
    <w:p>
      <w:pPr>
        <w:ind w:right="3099" w:firstLine="443"/>
        <w:spacing w:after="0" w:line="243" w:lineRule="auto"/>
        <w:tabs>
          <w:tab w:leader="none" w:pos="90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right="3379" w:firstLine="894"/>
        <w:spacing w:after="0" w:line="243" w:lineRule="auto"/>
        <w:tabs>
          <w:tab w:leader="none" w:pos="135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6" w:lineRule="exact"/>
        <w:rPr>
          <w:rFonts w:ascii="Courier New" w:cs="Courier New" w:eastAsia="Courier New" w:hAnsi="Courier New"/>
          <w:sz w:val="15"/>
          <w:szCs w:val="15"/>
          <w:color w:val="auto"/>
        </w:rPr>
      </w:pPr>
    </w:p>
    <w:p>
      <w:pPr>
        <w:ind w:right="3019" w:firstLine="894"/>
        <w:spacing w:after="0" w:line="244" w:lineRule="auto"/>
        <w:tabs>
          <w:tab w:leader="none" w:pos="135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0" w:lineRule="exact"/>
        <w:rPr>
          <w:rFonts w:ascii="Courier New" w:cs="Courier New" w:eastAsia="Courier New" w:hAnsi="Courier New"/>
          <w:sz w:val="15"/>
          <w:szCs w:val="15"/>
          <w:color w:val="auto"/>
        </w:rPr>
      </w:pPr>
    </w:p>
    <w:p>
      <w:pPr>
        <w:ind w:right="3099" w:firstLine="894"/>
        <w:spacing w:after="0" w:line="244" w:lineRule="auto"/>
        <w:tabs>
          <w:tab w:leader="none" w:pos="1443"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 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(the "Exchange Act") that are incorporated by reference in this Registration Statement.</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176" w:lineRule="exact"/>
        <w:rPr>
          <w:rFonts w:ascii="Courier New" w:cs="Courier New" w:eastAsia="Courier New" w:hAnsi="Courier New"/>
          <w:sz w:val="15"/>
          <w:szCs w:val="15"/>
          <w:color w:val="auto"/>
        </w:rPr>
      </w:pPr>
    </w:p>
    <w:p>
      <w:pPr>
        <w:jc w:val="both"/>
        <w:ind w:right="3019" w:firstLine="443"/>
        <w:spacing w:after="0" w:line="244" w:lineRule="auto"/>
        <w:tabs>
          <w:tab w:leader="none" w:pos="90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sz w:val="20"/>
          <w:szCs w:val="20"/>
          <w:color w:val="auto"/>
        </w:rPr>
      </w:pPr>
    </w:p>
    <w:p>
      <w:pPr>
        <w:ind w:right="3279" w:firstLine="443"/>
        <w:spacing w:after="0" w:line="244" w:lineRule="auto"/>
        <w:tabs>
          <w:tab w:leader="none" w:pos="90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bona fide offering thereof.</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51"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incorporated by reference in the prospectus to provide such interim financial information.</w:t>
      </w:r>
    </w:p>
    <w:p>
      <w:pPr>
        <w:spacing w:after="0" w:line="176" w:lineRule="exact"/>
        <w:rPr>
          <w:sz w:val="20"/>
          <w:szCs w:val="20"/>
          <w:color w:val="auto"/>
        </w:rPr>
      </w:pPr>
    </w:p>
    <w:p>
      <w:pPr>
        <w:ind w:right="3019" w:firstLine="443"/>
        <w:spacing w:after="0" w:line="263" w:lineRule="auto"/>
        <w:tabs>
          <w:tab w:leader="none" w:pos="90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the 14th day of September, 1999.</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ANALOG DEVICES, INC.</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By:/s/ Jerald G. Fishman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JERALD G. FISHMAN</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8" w:lineRule="exact"/>
        <w:rPr>
          <w:sz w:val="20"/>
          <w:szCs w:val="20"/>
          <w:color w:val="auto"/>
        </w:rPr>
      </w:pPr>
    </w:p>
    <w:p>
      <w:pPr>
        <w:jc w:val="both"/>
        <w:ind w:right="39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Jerald G. Fishman</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President, Chief Executive</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4240" w:type="dxa"/>
            <w:vAlign w:val="bottom"/>
          </w:tcPr>
          <w:p>
            <w:pPr>
              <w:ind w:left="1360"/>
              <w:spacing w:after="0"/>
              <w:rPr>
                <w:sz w:val="20"/>
                <w:szCs w:val="20"/>
                <w:color w:val="auto"/>
              </w:rPr>
            </w:pPr>
            <w:r>
              <w:rPr>
                <w:rFonts w:ascii="Courier New" w:cs="Courier New" w:eastAsia="Courier New" w:hAnsi="Courier New"/>
                <w:sz w:val="15"/>
                <w:szCs w:val="15"/>
                <w:color w:val="auto"/>
              </w:rPr>
              <w:t>Officer and Director (Principal</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w w:val="98"/>
              </w:rPr>
              <w:t>) September 14, 1999</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Executive Officer)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Ray Stata</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Chairman of the Board</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4240" w:type="dxa"/>
            <w:vAlign w:val="bottom"/>
          </w:tcPr>
          <w:p>
            <w:pPr>
              <w:ind w:left="1360"/>
              <w:spacing w:after="0"/>
              <w:rPr>
                <w:sz w:val="20"/>
                <w:szCs w:val="20"/>
                <w:color w:val="auto"/>
              </w:rPr>
            </w:pPr>
            <w:r>
              <w:rPr>
                <w:rFonts w:ascii="Courier New" w:cs="Courier New" w:eastAsia="Courier New" w:hAnsi="Courier New"/>
                <w:sz w:val="15"/>
                <w:szCs w:val="15"/>
                <w:color w:val="auto"/>
              </w:rPr>
              <w:t>and Director</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w w:val="98"/>
              </w:rPr>
              <w:t>) September 14, 1999</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Joseph E. McDonough</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Vice President-Finance</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4240" w:type="dxa"/>
            <w:vAlign w:val="bottom"/>
          </w:tcPr>
          <w:p>
            <w:pPr>
              <w:ind w:left="1360"/>
              <w:spacing w:after="0"/>
              <w:rPr>
                <w:sz w:val="20"/>
                <w:szCs w:val="20"/>
                <w:color w:val="auto"/>
              </w:rPr>
            </w:pPr>
            <w:r>
              <w:rPr>
                <w:rFonts w:ascii="Courier New" w:cs="Courier New" w:eastAsia="Courier New" w:hAnsi="Courier New"/>
                <w:sz w:val="15"/>
                <w:szCs w:val="15"/>
                <w:color w:val="auto"/>
              </w:rPr>
              <w:t>and Chief Financial</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w w:val="98"/>
              </w:rPr>
              <w:t>) September 14, 1999</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Officer (Principal Financial</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and Accounting Officer)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John L. Doyle</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Director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 September 14, 1999)</w:t>
            </w:r>
          </w:p>
        </w:tc>
      </w:tr>
      <w:tr>
        <w:trPr>
          <w:trHeight w:val="173"/>
        </w:trPr>
        <w:tc>
          <w:tcPr>
            <w:tcW w:w="77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Charles O. Holliday, Jr.</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Director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 September 14, 1999)</w:t>
            </w:r>
          </w:p>
        </w:tc>
      </w:tr>
      <w:tr>
        <w:trPr>
          <w:trHeight w:val="173"/>
        </w:trPr>
        <w:tc>
          <w:tcPr>
            <w:tcW w:w="77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CHARLES O. HOLLIDAY, JR.</w:t>
            </w: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Joel Moses</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Director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 September 14, 1999</w:t>
            </w:r>
          </w:p>
        </w:tc>
      </w:tr>
      <w:tr>
        <w:trPr>
          <w:trHeight w:val="173"/>
        </w:trPr>
        <w:tc>
          <w:tcPr>
            <w:tcW w:w="77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JOEL MOSES</w:t>
            </w: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F. Grant Saviers</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Director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 September 14, 1999</w:t>
            </w:r>
          </w:p>
        </w:tc>
      </w:tr>
      <w:tr>
        <w:trPr>
          <w:trHeight w:val="173"/>
        </w:trPr>
        <w:tc>
          <w:tcPr>
            <w:tcW w:w="77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F. GRANT SAVIERS</w:t>
            </w: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Lester C. Thurow</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Director</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 September 14, 1999</w:t>
            </w:r>
          </w:p>
        </w:tc>
      </w:tr>
      <w:tr>
        <w:trPr>
          <w:trHeight w:val="173"/>
        </w:trPr>
        <w:tc>
          <w:tcPr>
            <w:tcW w:w="77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LESTER C. THUROW</w:t>
            </w:r>
          </w:p>
        </w:tc>
        <w:tc>
          <w:tcPr>
            <w:tcW w:w="4240" w:type="dxa"/>
            <w:vAlign w:val="bottom"/>
          </w:tcPr>
          <w:p>
            <w:pPr>
              <w:spacing w:after="0"/>
              <w:rPr>
                <w:sz w:val="15"/>
                <w:szCs w:val="15"/>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694"/>
        </w:trPr>
        <w:tc>
          <w:tcPr>
            <w:tcW w:w="35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208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5780" w:type="dxa"/>
            <w:vAlign w:val="bottom"/>
          </w:tcPr>
          <w:p>
            <w:pPr>
              <w:spacing w:after="0"/>
              <w:rPr>
                <w:sz w:val="14"/>
                <w:szCs w:val="14"/>
                <w:color w:val="auto"/>
              </w:rPr>
            </w:pPr>
          </w:p>
        </w:tc>
      </w:tr>
      <w:tr>
        <w:trPr>
          <w:trHeight w:val="520"/>
        </w:trPr>
        <w:tc>
          <w:tcPr>
            <w:tcW w:w="1340" w:type="dxa"/>
            <w:vAlign w:val="bottom"/>
          </w:tcPr>
          <w:p>
            <w:pPr>
              <w:spacing w:after="0"/>
              <w:rPr>
                <w:sz w:val="24"/>
                <w:szCs w:val="24"/>
                <w:color w:val="auto"/>
              </w:rPr>
            </w:pPr>
          </w:p>
        </w:tc>
        <w:tc>
          <w:tcPr>
            <w:tcW w:w="5780" w:type="dxa"/>
            <w:vAlign w:val="bottom"/>
          </w:tcPr>
          <w:p>
            <w:pPr>
              <w:ind w:left="1720"/>
              <w:spacing w:after="0"/>
              <w:rPr>
                <w:sz w:val="20"/>
                <w:szCs w:val="20"/>
                <w:color w:val="auto"/>
              </w:rPr>
            </w:pPr>
            <w:r>
              <w:rPr>
                <w:rFonts w:ascii="Courier New" w:cs="Courier New" w:eastAsia="Courier New" w:hAnsi="Courier New"/>
                <w:sz w:val="15"/>
                <w:szCs w:val="15"/>
                <w:color w:val="auto"/>
              </w:rPr>
              <w:t>EXHIBIT INDEX</w:t>
            </w:r>
          </w:p>
        </w:tc>
      </w:tr>
      <w:tr>
        <w:trPr>
          <w:trHeight w:val="694"/>
        </w:trPr>
        <w:tc>
          <w:tcPr>
            <w:tcW w:w="13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780" w:type="dxa"/>
            <w:vAlign w:val="bottom"/>
          </w:tcPr>
          <w:p>
            <w:pPr>
              <w:spacing w:after="0"/>
              <w:rPr>
                <w:sz w:val="24"/>
                <w:szCs w:val="24"/>
                <w:color w:val="auto"/>
              </w:rPr>
            </w:pP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6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780" w:type="dxa"/>
            <w:vAlign w:val="bottom"/>
          </w:tcPr>
          <w:p>
            <w:pPr>
              <w:ind w:left="2800"/>
              <w:spacing w:after="0"/>
              <w:rPr>
                <w:sz w:val="20"/>
                <w:szCs w:val="20"/>
                <w:color w:val="auto"/>
              </w:rPr>
            </w:pPr>
            <w:r>
              <w:rPr>
                <w:rFonts w:ascii="Courier New" w:cs="Courier New" w:eastAsia="Courier New" w:hAnsi="Courier New"/>
                <w:sz w:val="15"/>
                <w:szCs w:val="15"/>
                <w:color w:val="auto"/>
              </w:rPr>
              <w:t>-----------</w:t>
            </w:r>
          </w:p>
        </w:tc>
      </w:tr>
      <w:tr>
        <w:trPr>
          <w:trHeight w:val="520"/>
        </w:trPr>
        <w:tc>
          <w:tcPr>
            <w:tcW w:w="13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Restated Articles of Organization of the Registrant, as</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amended (incorporated herein by reference to the</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Registrant's Form 10-Q, filed on March 15, 1999).</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w w:val="99"/>
              </w:rPr>
              <w:t>By-Laws of the Registrant, as amended (incorporated herein</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by reference to the Registrant's Form 10-K for the fiscal</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year ended October 31, 1998, filed on January 28, 1999).</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Rights Agreement dated as of March 18, 1998, between the</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Registrant and BankBoston, N.A. as Rights Agent</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(incorporated herein by reference to a Registration</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Statement on Form 8-A (File No. 001-07819) filed on</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March 19, 1998).</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w w:val="99"/>
              </w:rPr>
              <w:t>Deferred Compensation Plan of the Registrant (incorporated</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herein by reference to the Registrant's Form S-8, dated</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December 8, 1995 (File No. 33-64849), as amended by</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Post-Effective Amendment No. 1 to Form S-8 filed on April</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15, 1997 and Post-Effective Amendment No. 2 to Form S-8</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filed on November 12, 1997 and by reference to the</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Registrant's Form S-8 filed on March 19, 1998).</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w w:val="99"/>
              </w:rPr>
              <w:t>Trust Agreement for Deferred Compensation Plan between the</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Registrant and PNC Bank, National Association, dated</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October 23, 1997 (incorporated herein by reference to the</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Registrant's Post-Effective Amendment No. 2 to Form S-3</w:t>
            </w:r>
          </w:p>
        </w:tc>
      </w:tr>
      <w:tr>
        <w:trPr>
          <w:trHeight w:val="173"/>
        </w:trPr>
        <w:tc>
          <w:tcPr>
            <w:tcW w:w="1340" w:type="dxa"/>
            <w:vAlign w:val="bottom"/>
          </w:tcPr>
          <w:p>
            <w:pPr>
              <w:spacing w:after="0"/>
              <w:rPr>
                <w:sz w:val="15"/>
                <w:szCs w:val="15"/>
                <w:color w:val="auto"/>
              </w:rPr>
            </w:pP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filed on November 12, 1997).</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Opinion of Hale and Dorr</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Consent of Hale and Dorr (included in Exhibit 5)</w:t>
            </w:r>
          </w:p>
        </w:tc>
      </w:tr>
      <w:tr>
        <w:trPr>
          <w:trHeight w:val="347"/>
        </w:trPr>
        <w:tc>
          <w:tcPr>
            <w:tcW w:w="13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780" w:type="dxa"/>
            <w:vAlign w:val="bottom"/>
          </w:tcPr>
          <w:p>
            <w:pPr>
              <w:ind w:left="5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694"/>
        </w:trPr>
        <w:tc>
          <w:tcPr>
            <w:tcW w:w="1340" w:type="dxa"/>
            <w:vAlign w:val="bottom"/>
          </w:tcPr>
          <w:p>
            <w:pPr>
              <w:spacing w:after="0"/>
              <w:rPr>
                <w:sz w:val="24"/>
                <w:szCs w:val="24"/>
                <w:color w:val="auto"/>
              </w:rPr>
            </w:pPr>
          </w:p>
        </w:tc>
        <w:tc>
          <w:tcPr>
            <w:tcW w:w="5780" w:type="dxa"/>
            <w:vAlign w:val="bottom"/>
          </w:tcPr>
          <w:p>
            <w:pPr>
              <w:ind w:left="2160"/>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5</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HALE AND DORR LLP</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60 STATE STREET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BOSTON, MA 02109</w:t>
      </w:r>
    </w:p>
    <w:p>
      <w:pPr>
        <w:spacing w:after="0" w:line="4" w:lineRule="exact"/>
        <w:rPr>
          <w:sz w:val="20"/>
          <w:szCs w:val="20"/>
          <w:color w:val="auto"/>
        </w:rPr>
      </w:pPr>
    </w:p>
    <w:p>
      <w:pPr>
        <w:ind w:left="3240" w:right="5359" w:hanging="272"/>
        <w:spacing w:after="0" w:line="540" w:lineRule="auto"/>
        <w:tabs>
          <w:tab w:leader="none" w:pos="351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526-6000 September 14, 1999</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Technology Way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 02062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opinion is furnished to you in connection with a Registration Statement on Form S-3 (the "Registration Statement"), to be filed with the Securities and Exchange Commission (the "Commission"), relating to the registration of 2,000,000 shares of common stock, $.16 2/3 par value per share, (the "Shares") of Analog Devices, Inc., a Massachusetts corporation (the "Registrant" or the "Company"), under the Registrant's Deferred Compensation Plan (the "Plan").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We have examined the Registration Statement and all exhibits thereto, all as filed with the Commission, the Restated Articles of Organization and the By-Laws of the Registrant and all amendments thereto and the Plan and have examined and relied on the originals, or copies certified to our satisfaction, of such records of meetings of the directors of the Registrant, documents and other instruments as in our judgment are necessary or appropriate to enable us to render the opinions expressed below.</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examination of the foregoing documents, we have assumed (i) the genuineness of all signatures and the authenticity of all documents submitted to us as originals, (ii) the conformity to original documents of all documents submitted to us as conformed or photostatic copies, and (iii) the authenticity of the originals of such latter documents.</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Based upon and subject to the foregoing, we are of the opinion that the Shares have been duly authorized and will, when issued and sold by the Registrant as provided in the Registration Statement, be validly issued, fully paid and nonassessable.</w:t>
      </w:r>
    </w:p>
    <w:p>
      <w:pPr>
        <w:spacing w:after="0" w:line="176"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use of our name therein and in the related prospectus under the caption "Legal Matters."</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Very truly yours,</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 Hale and Dorr LLP</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HALE AND DORR LLP</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4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S-3) and related Prospectus of Analog Devices, Inc. for the registration of 2,000,000 shares of its common stock and to the incorporation by reference therein of our report dated December 1, 1998, with respect to the consolidated financial statements of Analog Devices, Inc. incorporated by reference in its Annual Report (Form 10-K) for the year ended October 31, 1998, and our report dated January 22, 1999 with respect to the related financial statement schedule included therein, filed with the Securities and Exchange Commission.</w:t>
      </w:r>
    </w:p>
    <w:p>
      <w:pPr>
        <w:spacing w:after="0" w:line="178"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/s/ Ernst &amp; Young LLP</w:t>
      </w:r>
    </w:p>
    <w:p>
      <w:pPr>
        <w:spacing w:after="0" w:line="177"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10, 1999</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Roman"/>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2019-12-20T05:21:00Z</dcterms:created>
  <dcterms:modified xsi:type="dcterms:W3CDTF">2019-12-20T05:21:00Z</dcterms:modified>
</cp:coreProperties>
</file>