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6772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677291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00" w:space="420"/>
            <w:col w:w="8460"/>
          </w:cols>
          <w:pgMar w:left="460" w:top="215" w:right="359" w:bottom="373"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ROCHE VINCENT</w:t>
        </w:r>
      </w:hyperlink>
    </w:p>
    <w:p>
      <w:pPr>
        <w:spacing w:after="0" w:line="289"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80" w:type="dxa"/>
            <w:vAlign w:val="bottom"/>
          </w:tcPr>
          <w:p>
            <w:pPr>
              <w:ind w:left="40"/>
              <w:spacing w:after="0"/>
              <w:rPr>
                <w:sz w:val="20"/>
                <w:szCs w:val="20"/>
                <w:color w:val="auto"/>
              </w:rPr>
            </w:pPr>
            <w:r>
              <w:rPr>
                <w:rFonts w:ascii="Arial" w:cs="Arial" w:eastAsia="Arial" w:hAnsi="Arial"/>
                <w:sz w:val="13"/>
                <w:szCs w:val="13"/>
                <w:color w:val="auto"/>
              </w:rPr>
              <w:t>(Last)</w:t>
            </w:r>
          </w:p>
        </w:tc>
        <w:tc>
          <w:tcPr>
            <w:tcW w:w="880" w:type="dxa"/>
            <w:vAlign w:val="bottom"/>
          </w:tcPr>
          <w:p>
            <w:pPr>
              <w:ind w:left="8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2"/>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ONE ANALOG WAY</w:t>
            </w:r>
          </w:p>
        </w:tc>
        <w:tc>
          <w:tcPr>
            <w:tcW w:w="880" w:type="dxa"/>
            <w:vAlign w:val="bottom"/>
          </w:tcPr>
          <w:p>
            <w:pPr>
              <w:spacing w:after="0"/>
              <w:rPr>
                <w:sz w:val="22"/>
                <w:szCs w:val="22"/>
                <w:color w:val="auto"/>
              </w:rPr>
            </w:pPr>
          </w:p>
        </w:tc>
      </w:tr>
      <w:tr>
        <w:trPr>
          <w:trHeight w:val="468"/>
        </w:trPr>
        <w:tc>
          <w:tcPr>
            <w:tcW w:w="1180" w:type="dxa"/>
            <w:vAlign w:val="bottom"/>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4"/>
        </w:trPr>
        <w:tc>
          <w:tcPr>
            <w:tcW w:w="11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WILMINGTON</w:t>
            </w: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MA</w:t>
            </w:r>
          </w:p>
        </w:tc>
        <w:tc>
          <w:tcPr>
            <w:tcW w:w="88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01887</w:t>
            </w:r>
          </w:p>
        </w:tc>
      </w:tr>
      <w:tr>
        <w:trPr>
          <w:trHeight w:val="456"/>
        </w:trPr>
        <w:tc>
          <w:tcPr>
            <w:tcW w:w="1180" w:type="dxa"/>
            <w:vAlign w:val="bottom"/>
          </w:tcPr>
          <w:p>
            <w:pPr>
              <w:ind w:left="4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7"/>
        </w:trPr>
        <w:tc>
          <w:tcPr>
            <w:tcW w:w="3820" w:type="dxa"/>
            <w:vAlign w:val="bottom"/>
            <w:gridSpan w:val="3"/>
          </w:tcPr>
          <w:p>
            <w:pPr>
              <w:ind w:left="60"/>
              <w:spacing w:after="0" w:line="20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ANALOG DEVICES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ADI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160" w:type="dxa"/>
            <w:vAlign w:val="bottom"/>
            <w:tcBorders>
              <w:top w:val="single" w:sz="8" w:color="0000EE"/>
            </w:tcBorders>
          </w:tcPr>
          <w:p>
            <w:pPr>
              <w:spacing w:after="0"/>
              <w:rPr>
                <w:sz w:val="16"/>
                <w:szCs w:val="16"/>
                <w:color w:val="auto"/>
              </w:rPr>
            </w:pPr>
          </w:p>
        </w:tc>
        <w:tc>
          <w:tcPr>
            <w:tcW w:w="1600" w:type="dxa"/>
            <w:vAlign w:val="bottom"/>
          </w:tcPr>
          <w:p>
            <w:pPr>
              <w:spacing w:after="0"/>
              <w:rPr>
                <w:sz w:val="16"/>
                <w:szCs w:val="16"/>
                <w:color w:val="auto"/>
              </w:rPr>
            </w:pPr>
          </w:p>
        </w:tc>
        <w:tc>
          <w:tcPr>
            <w:tcW w:w="21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160" w:type="dxa"/>
            <w:vAlign w:val="bottom"/>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1"/>
        </w:trPr>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3820" w:type="dxa"/>
            <w:vAlign w:val="bottom"/>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12/11/2023</w:t>
            </w:r>
          </w:p>
        </w:tc>
        <w:tc>
          <w:tcPr>
            <w:tcW w:w="1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220" w:type="dxa"/>
            <w:vAlign w:val="bottom"/>
            <w:gridSpan w:val="2"/>
            <w:vMerge w:val="continue"/>
          </w:tcPr>
          <w:p>
            <w:pPr>
              <w:spacing w:after="0"/>
              <w:rPr>
                <w:sz w:val="10"/>
                <w:szCs w:val="10"/>
                <w:color w:val="auto"/>
              </w:rPr>
            </w:pPr>
          </w:p>
        </w:tc>
        <w:tc>
          <w:tcPr>
            <w:tcW w:w="1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6"/>
                <w:szCs w:val="16"/>
                <w:color w:val="0000FF"/>
              </w:rPr>
              <w:t>Chair &amp; CEO</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6"/>
        </w:trPr>
        <w:tc>
          <w:tcPr>
            <w:tcW w:w="222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6"/>
                <w:szCs w:val="16"/>
                <w:color w:val="0000FF"/>
              </w:rPr>
              <w:t>12/12/2023</w:t>
            </w:r>
          </w:p>
        </w:tc>
        <w:tc>
          <w:tcPr>
            <w:tcW w:w="160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60" w:right="420" w:hanging="246"/>
        <w:spacing w:after="0" w:line="184" w:lineRule="auto"/>
        <w:tabs>
          <w:tab w:leader="none" w:pos="360" w:val="left"/>
        </w:tabs>
        <w:numPr>
          <w:ilvl w:val="0"/>
          <w:numId w:val="1"/>
        </w:numPr>
        <w:rPr>
          <w:rFonts w:ascii="Times New Roman" w:cs="Times New Roman" w:eastAsia="Times New Roman" w:hAnsi="Times New Roman"/>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1" w:lineRule="exact"/>
        <w:rPr>
          <w:sz w:val="24"/>
          <w:szCs w:val="24"/>
          <w:color w:val="auto"/>
        </w:rPr>
      </w:pPr>
    </w:p>
    <w:p>
      <w:pPr>
        <w:sectPr>
          <w:pgSz w:w="11900" w:h="16838" w:orient="portrait"/>
          <w:cols w:equalWidth="0" w:num="2">
            <w:col w:w="3120" w:space="720"/>
            <w:col w:w="7240"/>
          </w:cols>
          <w:pgMar w:left="460" w:top="215" w:right="359" w:bottom="373"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40" w:type="dxa"/>
            <w:vAlign w:val="bottom"/>
            <w:gridSpan w:val="2"/>
          </w:tcPr>
          <w:p>
            <w:pPr>
              <w:ind w:left="7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 Stock - $.16-2/3 value</w:t>
            </w:r>
          </w:p>
        </w:tc>
        <w:tc>
          <w:tcPr>
            <w:tcW w:w="174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0000FF"/>
              </w:rPr>
              <w:t>12/11/2023</w:t>
            </w: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0000FF"/>
              </w:rPr>
              <w:t>30,000</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580" w:type="dxa"/>
            <w:vAlign w:val="bottom"/>
          </w:tcPr>
          <w:p>
            <w:pPr>
              <w:ind w:left="120"/>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83.48</w:t>
            </w:r>
          </w:p>
        </w:tc>
        <w:tc>
          <w:tcPr>
            <w:tcW w:w="40" w:type="dxa"/>
            <w:vAlign w:val="bottom"/>
          </w:tcPr>
          <w:p>
            <w:pPr>
              <w:spacing w:after="0"/>
              <w:rPr>
                <w:sz w:val="22"/>
                <w:szCs w:val="22"/>
                <w:color w:val="auto"/>
              </w:rPr>
            </w:pP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45,713</w:t>
            </w:r>
          </w:p>
        </w:tc>
        <w:tc>
          <w:tcPr>
            <w:tcW w:w="260" w:type="dxa"/>
            <w:vAlign w:val="bottom"/>
          </w:tcPr>
          <w:p>
            <w:pPr>
              <w:spacing w:after="0"/>
              <w:rPr>
                <w:sz w:val="22"/>
                <w:szCs w:val="22"/>
                <w:color w:val="auto"/>
              </w:rPr>
            </w:pPr>
          </w:p>
        </w:tc>
        <w:tc>
          <w:tcPr>
            <w:tcW w:w="66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 Stock - $.16-2/3 value</w:t>
            </w:r>
          </w:p>
        </w:tc>
        <w:tc>
          <w:tcPr>
            <w:tcW w:w="174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6"/>
                <w:szCs w:val="16"/>
                <w:color w:val="0000FF"/>
              </w:rPr>
              <w:t>12/11/2023</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ind w:right="58"/>
              <w:spacing w:after="0"/>
              <w:rPr>
                <w:sz w:val="20"/>
                <w:szCs w:val="20"/>
                <w:color w:val="auto"/>
              </w:rPr>
            </w:pPr>
            <w:r>
              <w:rPr>
                <w:rFonts w:ascii="Times New Roman" w:cs="Times New Roman" w:eastAsia="Times New Roman" w:hAnsi="Times New Roman"/>
                <w:sz w:val="16"/>
                <w:szCs w:val="16"/>
                <w:color w:val="0000FF"/>
              </w:rPr>
              <w:t>30,000</w:t>
            </w:r>
            <w:r>
              <w:rPr>
                <w:rFonts w:ascii="Times New Roman" w:cs="Times New Roman" w:eastAsia="Times New Roman" w:hAnsi="Times New Roman"/>
                <w:sz w:val="20"/>
                <w:szCs w:val="20"/>
                <w:color w:val="008000"/>
                <w:vertAlign w:val="superscript"/>
              </w:rPr>
              <w:t>(1)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185.65</w:t>
            </w: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6"/>
                <w:szCs w:val="16"/>
                <w:color w:val="0000FF"/>
              </w:rPr>
              <w:t>15,713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Vincent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Roche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6"/>
                <w:szCs w:val="16"/>
                <w:color w:val="0000FF"/>
              </w:rPr>
              <w:t>2023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 Stock-$.16-2/3 value</w:t>
            </w: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55,000</w:t>
            </w:r>
          </w:p>
        </w:tc>
        <w:tc>
          <w:tcPr>
            <w:tcW w:w="260" w:type="dxa"/>
            <w:vAlign w:val="bottom"/>
          </w:tcPr>
          <w:p>
            <w:pPr>
              <w:spacing w:after="0"/>
              <w:rPr>
                <w:sz w:val="17"/>
                <w:szCs w:val="17"/>
                <w:color w:val="auto"/>
              </w:rPr>
            </w:pPr>
          </w:p>
        </w:tc>
        <w:tc>
          <w:tcPr>
            <w:tcW w:w="660" w:type="dxa"/>
            <w:vAlign w:val="bottom"/>
          </w:tcPr>
          <w:p>
            <w:pPr>
              <w:jc w:val="center"/>
              <w:ind w:right="339"/>
              <w:spacing w:after="0" w:line="201"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9"/>
                <w:szCs w:val="9"/>
                <w:color w:val="008000"/>
              </w:rPr>
              <w:t>(2)</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Grantor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Retained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Annuity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56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8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w w:val="99"/>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56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94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Security (Instr. 3</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0"/>
                <w:szCs w:val="10"/>
                <w:color w:val="auto"/>
              </w:rPr>
            </w:pPr>
          </w:p>
        </w:tc>
        <w:tc>
          <w:tcPr>
            <w:tcW w:w="1480" w:type="dxa"/>
            <w:vAlign w:val="bottom"/>
            <w:gridSpan w:val="4"/>
          </w:tcPr>
          <w:p>
            <w:pPr>
              <w:ind w:left="10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4)</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800" w:type="dxa"/>
            <w:vAlign w:val="bottom"/>
          </w:tcPr>
          <w:p>
            <w:pPr>
              <w:ind w:left="16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800" w:type="dxa"/>
            <w:vAlign w:val="bottom"/>
          </w:tcPr>
          <w:p>
            <w:pPr>
              <w:ind w:left="16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Based</w:t>
            </w: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0"/>
                <w:szCs w:val="10"/>
                <w:color w:val="008000"/>
              </w:rPr>
              <w:t>(3)</w:t>
            </w:r>
          </w:p>
        </w:tc>
        <w:tc>
          <w:tcPr>
            <w:tcW w:w="480" w:type="dxa"/>
            <w:vAlign w:val="bottom"/>
            <w:vMerge w:val="continue"/>
          </w:tcPr>
          <w:p>
            <w:pPr>
              <w:spacing w:after="0"/>
              <w:rPr>
                <w:sz w:val="6"/>
                <w:szCs w:val="6"/>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19,361</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restart"/>
          </w:tcPr>
          <w:p>
            <w:pPr>
              <w:jc w:val="center"/>
              <w:ind w:right="2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00" w:type="dxa"/>
            <w:vAlign w:val="bottom"/>
            <w:vMerge w:val="restart"/>
          </w:tcPr>
          <w:p>
            <w:pPr>
              <w:jc w:val="right"/>
              <w:ind w:right="121"/>
              <w:spacing w:after="0" w:line="139" w:lineRule="exact"/>
              <w:rPr>
                <w:sz w:val="20"/>
                <w:szCs w:val="20"/>
                <w:color w:val="auto"/>
              </w:rPr>
            </w:pPr>
            <w:r>
              <w:rPr>
                <w:rFonts w:ascii="Times New Roman" w:cs="Times New Roman" w:eastAsia="Times New Roman" w:hAnsi="Times New Roman"/>
                <w:sz w:val="13"/>
                <w:szCs w:val="13"/>
                <w:color w:val="0000FF"/>
              </w:rPr>
              <w:t>12/11/2023</w:t>
            </w:r>
          </w:p>
        </w:tc>
        <w:tc>
          <w:tcPr>
            <w:tcW w:w="1120" w:type="dxa"/>
            <w:vAlign w:val="bottom"/>
          </w:tcPr>
          <w:p>
            <w:pPr>
              <w:spacing w:after="0"/>
              <w:rPr>
                <w:sz w:val="5"/>
                <w:szCs w:val="5"/>
                <w:color w:val="auto"/>
              </w:rPr>
            </w:pPr>
          </w:p>
        </w:tc>
        <w:tc>
          <w:tcPr>
            <w:tcW w:w="62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5"/>
                <w:szCs w:val="5"/>
                <w:color w:val="auto"/>
              </w:rPr>
            </w:pPr>
          </w:p>
        </w:tc>
        <w:tc>
          <w:tcPr>
            <w:tcW w:w="56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19,361</w:t>
            </w: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w w:val="97"/>
              </w:rPr>
              <w:t>03/15/2024</w:t>
            </w: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 $.16-</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ind w:left="240"/>
              <w:spacing w:after="0" w:line="139" w:lineRule="exact"/>
              <w:rPr>
                <w:sz w:val="20"/>
                <w:szCs w:val="20"/>
                <w:color w:val="auto"/>
              </w:rPr>
            </w:pPr>
            <w:r>
              <w:rPr>
                <w:rFonts w:ascii="Times New Roman" w:cs="Times New Roman" w:eastAsia="Times New Roman" w:hAnsi="Times New Roman"/>
                <w:sz w:val="13"/>
                <w:szCs w:val="13"/>
                <w:color w:val="0000FF"/>
              </w:rPr>
              <w:t>38,722</w:t>
            </w:r>
          </w:p>
        </w:tc>
        <w:tc>
          <w:tcPr>
            <w:tcW w:w="66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2/3</w:t>
            </w: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value</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03/08/2018</w:t>
            </w:r>
            <w:r>
              <w:rPr>
                <w:rFonts w:ascii="Times New Roman" w:cs="Times New Roman" w:eastAsia="Times New Roman" w:hAnsi="Times New Roman"/>
                <w:sz w:val="20"/>
                <w:szCs w:val="20"/>
                <w:color w:val="008000"/>
                <w:vertAlign w:val="superscript"/>
              </w:rPr>
              <w:t>(4)</w:t>
            </w:r>
            <w:r>
              <w:rPr>
                <w:rFonts w:ascii="Times New Roman" w:cs="Times New Roman" w:eastAsia="Times New Roman" w:hAnsi="Times New Roman"/>
                <w:sz w:val="13"/>
                <w:szCs w:val="13"/>
                <w:color w:val="0000FF"/>
              </w:rPr>
              <w:t xml:space="preserve">   03/08/2027</w:t>
            </w:r>
          </w:p>
        </w:tc>
        <w:tc>
          <w:tcPr>
            <w:tcW w:w="480" w:type="dxa"/>
            <w:vAlign w:val="bottom"/>
            <w:vMerge w:val="continue"/>
          </w:tcPr>
          <w:p>
            <w:pPr>
              <w:spacing w:after="0"/>
              <w:rPr>
                <w:sz w:val="6"/>
                <w:szCs w:val="6"/>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30,000</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restart"/>
          </w:tcPr>
          <w:p>
            <w:pPr>
              <w:jc w:val="center"/>
              <w:ind w:right="1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83.48</w:t>
            </w:r>
          </w:p>
        </w:tc>
        <w:tc>
          <w:tcPr>
            <w:tcW w:w="1000" w:type="dxa"/>
            <w:vAlign w:val="bottom"/>
            <w:vMerge w:val="restart"/>
          </w:tcPr>
          <w:p>
            <w:pPr>
              <w:jc w:val="right"/>
              <w:ind w:right="121"/>
              <w:spacing w:after="0"/>
              <w:rPr>
                <w:sz w:val="20"/>
                <w:szCs w:val="20"/>
                <w:color w:val="auto"/>
              </w:rPr>
            </w:pPr>
            <w:r>
              <w:rPr>
                <w:rFonts w:ascii="Times New Roman" w:cs="Times New Roman" w:eastAsia="Times New Roman" w:hAnsi="Times New Roman"/>
                <w:sz w:val="13"/>
                <w:szCs w:val="13"/>
                <w:color w:val="0000FF"/>
              </w:rPr>
              <w:t>12/11/2023</w:t>
            </w:r>
          </w:p>
        </w:tc>
        <w:tc>
          <w:tcPr>
            <w:tcW w:w="1120" w:type="dxa"/>
            <w:vAlign w:val="bottom"/>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30,000</w:t>
            </w:r>
          </w:p>
        </w:tc>
        <w:tc>
          <w:tcPr>
            <w:tcW w:w="1560" w:type="dxa"/>
            <w:vAlign w:val="bottom"/>
            <w:gridSpan w:val="2"/>
            <w:vMerge w:val="continue"/>
          </w:tcPr>
          <w:p>
            <w:pPr>
              <w:spacing w:after="0"/>
              <w:rPr>
                <w:sz w:val="5"/>
                <w:szCs w:val="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 $.16-</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1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83.48</w:t>
            </w: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50,000</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Stock Option</w:t>
            </w:r>
          </w:p>
        </w:tc>
        <w:tc>
          <w:tcPr>
            <w:tcW w:w="7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24"/>
        </w:trPr>
        <w:tc>
          <w:tcPr>
            <w:tcW w:w="38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(right to buy)</w:t>
            </w:r>
          </w:p>
        </w:tc>
        <w:tc>
          <w:tcPr>
            <w:tcW w:w="344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color w:val="0000FF"/>
              </w:rPr>
              <w:t>2/3</w:t>
            </w:r>
          </w:p>
        </w:tc>
        <w:tc>
          <w:tcPr>
            <w:tcW w:w="0" w:type="dxa"/>
            <w:vAlign w:val="bottom"/>
          </w:tcPr>
          <w:p>
            <w:pPr>
              <w:spacing w:after="0"/>
              <w:rPr>
                <w:sz w:val="1"/>
                <w:szCs w:val="1"/>
                <w:color w:val="auto"/>
              </w:rPr>
            </w:pPr>
          </w:p>
        </w:tc>
      </w:tr>
      <w:tr>
        <w:trPr>
          <w:trHeight w:val="89"/>
        </w:trPr>
        <w:tc>
          <w:tcPr>
            <w:tcW w:w="3840" w:type="dxa"/>
            <w:vAlign w:val="bottom"/>
            <w:vMerge w:val="continue"/>
          </w:tcPr>
          <w:p>
            <w:pPr>
              <w:spacing w:after="0"/>
              <w:rPr>
                <w:sz w:val="7"/>
                <w:szCs w:val="7"/>
                <w:color w:val="auto"/>
              </w:rPr>
            </w:pPr>
          </w:p>
        </w:tc>
        <w:tc>
          <w:tcPr>
            <w:tcW w:w="3440" w:type="dxa"/>
            <w:vAlign w:val="bottom"/>
            <w:vMerge w:val="restart"/>
          </w:tcPr>
          <w:p>
            <w:pPr>
              <w:jc w:val="center"/>
              <w:ind w:left="3117"/>
              <w:spacing w:after="0"/>
              <w:rPr>
                <w:sz w:val="20"/>
                <w:szCs w:val="20"/>
                <w:color w:val="auto"/>
              </w:rPr>
            </w:pPr>
            <w:r>
              <w:rPr>
                <w:rFonts w:ascii="Times New Roman" w:cs="Times New Roman" w:eastAsia="Times New Roman" w:hAnsi="Times New Roman"/>
                <w:sz w:val="13"/>
                <w:szCs w:val="13"/>
                <w:color w:val="0000FF"/>
                <w:w w:val="92"/>
              </w:rPr>
              <w:t>value</w:t>
            </w:r>
          </w:p>
        </w:tc>
        <w:tc>
          <w:tcPr>
            <w:tcW w:w="0" w:type="dxa"/>
            <w:vAlign w:val="bottom"/>
          </w:tcPr>
          <w:p>
            <w:pPr>
              <w:spacing w:after="0"/>
              <w:rPr>
                <w:sz w:val="1"/>
                <w:szCs w:val="1"/>
                <w:color w:val="auto"/>
              </w:rPr>
            </w:pPr>
          </w:p>
        </w:tc>
      </w:tr>
      <w:tr>
        <w:trPr>
          <w:trHeight w:val="76"/>
        </w:trPr>
        <w:tc>
          <w:tcPr>
            <w:tcW w:w="3840" w:type="dxa"/>
            <w:vAlign w:val="bottom"/>
          </w:tcPr>
          <w:p>
            <w:pPr>
              <w:spacing w:after="0"/>
              <w:rPr>
                <w:sz w:val="6"/>
                <w:szCs w:val="6"/>
                <w:color w:val="auto"/>
              </w:rPr>
            </w:pPr>
          </w:p>
        </w:tc>
        <w:tc>
          <w:tcPr>
            <w:tcW w:w="3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10b5-1 plan adopted by the Reporting Person on April 6, 2023.</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Vincent Roche 2023 Grantor Retained Annuity Trust dated August 25, 2023.</w:t>
      </w:r>
    </w:p>
    <w:p>
      <w:pPr>
        <w:spacing w:after="0" w:line="39" w:lineRule="exact"/>
        <w:rPr>
          <w:rFonts w:ascii="Times New Roman" w:cs="Times New Roman" w:eastAsia="Times New Roman" w:hAnsi="Times New Roman"/>
          <w:sz w:val="13"/>
          <w:szCs w:val="13"/>
          <w:color w:val="008000"/>
        </w:rPr>
      </w:pPr>
    </w:p>
    <w:p>
      <w:pPr>
        <w:ind w:left="40" w:right="340" w:hanging="2"/>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of the Issuer to be issued to the Reporting Person on March 15, 2024 (the "Vesting Date"), subject to the Reporting Person's continued service through the Vesting Date, as a result of the certification by the Issuer's Compensation and Talent Committee on December 11, 2023 of the achievement, at 200% of the target established, of pre-established performance parameters relating to the Issuer's financial performance with respect to the performance-based restricted stock units granted to the Reporting Person on March 10, 2021.</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vested in equal installments on the first, second, third, fourth and fifth anniversaries of the original grant date, which was March 8, 2017.</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5" w:lineRule="exact"/>
        <w:rPr>
          <w:sz w:val="24"/>
          <w:szCs w:val="24"/>
          <w:color w:val="auto"/>
        </w:rPr>
      </w:pPr>
    </w:p>
    <w:p>
      <w:pPr>
        <w:ind w:left="40" w:right="360"/>
        <w:spacing w:after="0" w:line="245" w:lineRule="auto"/>
        <w:rPr>
          <w:sz w:val="20"/>
          <w:szCs w:val="20"/>
          <w:color w:val="auto"/>
        </w:rPr>
      </w:pPr>
      <w:r>
        <w:rPr>
          <w:rFonts w:ascii="Times New Roman" w:cs="Times New Roman" w:eastAsia="Times New Roman" w:hAnsi="Times New Roman"/>
          <w:sz w:val="13"/>
          <w:szCs w:val="13"/>
          <w:color w:val="008000"/>
        </w:rPr>
        <w:t>The original Form 4 inadvertently did not check the box to indicate that certain reported transactions were made pursuant to a contract, instruction or written plan for the purchase or sale of equity securities that is intended to satisfy the affirmative defense conditions of Rule 10b5-1(c). This Form 4/A is being filed solely to check such box.</w:t>
      </w:r>
    </w:p>
    <w:p>
      <w:pPr>
        <w:spacing w:after="0" w:line="4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Shelly Shaw, General</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12/13/2023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40" w:type="dxa"/>
            <w:vAlign w:val="bottom"/>
            <w:gridSpan w:val="2"/>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Counsel, by Power of Attorney</w:t>
            </w:r>
          </w:p>
        </w:tc>
        <w:tc>
          <w:tcPr>
            <w:tcW w:w="16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40" w:type="dxa"/>
            <w:vAlign w:val="bottom"/>
            <w:tcBorders>
              <w:bottom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3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1872"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2023-12-13T07:43:30Z</dcterms:created>
  <dcterms:modified xsi:type="dcterms:W3CDTF">2023-12-13T07:43:30Z</dcterms:modified>
</cp:coreProperties>
</file>