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Registration No. 333-207043</w:t>
      </w:r>
    </w:p>
    <w:p>
      <w:pPr>
        <w:spacing w:after="0" w:line="351" w:lineRule="exact"/>
        <w:rPr>
          <w:sz w:val="24"/>
          <w:szCs w:val="24"/>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DE1A1E"/>
        </w:rPr>
        <w:t>This preliminary prospectus supplement relates to an effective registration statement under the Securities Act of 1933, but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E1A1E"/>
        </w:rPr>
        <w:t>SUBJECT TO COMPLETION, DATED DECEMBER 3, 2015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PROSPECTUS DATED SEPTEMBER 21, 2015)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244" w:lineRule="exact"/>
        <w:rPr>
          <w:sz w:val="24"/>
          <w:szCs w:val="24"/>
          <w:color w:val="auto"/>
        </w:rPr>
      </w:pPr>
    </w:p>
    <w:p>
      <w:pPr>
        <w:ind w:left="5060" w:hanging="875"/>
        <w:spacing w:after="0"/>
        <w:tabs>
          <w:tab w:leader="none" w:pos="5060" w:val="left"/>
        </w:tabs>
        <w:numPr>
          <w:ilvl w:val="0"/>
          <w:numId w:val="1"/>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Senior Notes Due</w:t>
      </w:r>
    </w:p>
    <w:p>
      <w:pPr>
        <w:spacing w:after="0" w:line="43" w:lineRule="exact"/>
        <w:rPr>
          <w:rFonts w:ascii="Times New Roman" w:cs="Times New Roman" w:eastAsia="Times New Roman" w:hAnsi="Times New Roman"/>
          <w:sz w:val="25"/>
          <w:szCs w:val="25"/>
          <w:b w:val="1"/>
          <w:bCs w:val="1"/>
          <w:color w:val="auto"/>
        </w:rPr>
      </w:pPr>
    </w:p>
    <w:p>
      <w:pPr>
        <w:ind w:left="5060" w:hanging="875"/>
        <w:spacing w:after="0"/>
        <w:tabs>
          <w:tab w:leader="none" w:pos="5060" w:val="left"/>
        </w:tabs>
        <w:numPr>
          <w:ilvl w:val="0"/>
          <w:numId w:val="1"/>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Senior Notes Due</w:t>
      </w:r>
    </w:p>
    <w:p>
      <w:pPr>
        <w:spacing w:after="0" w:line="202" w:lineRule="exact"/>
        <w:rPr>
          <w:sz w:val="24"/>
          <w:szCs w:val="24"/>
          <w:color w:val="auto"/>
        </w:rPr>
      </w:pPr>
    </w:p>
    <w:p>
      <w:pPr>
        <w:spacing w:after="0"/>
        <w:tabs>
          <w:tab w:leader="none" w:pos="1640" w:val="left"/>
          <w:tab w:leader="none" w:pos="4320" w:val="left"/>
          <w:tab w:leader="none" w:pos="6460" w:val="left"/>
          <w:tab w:leader="none" w:pos="8800" w:val="left"/>
          <w:tab w:leader="none" w:pos="10140" w:val="left"/>
        </w:tabs>
        <w:rPr>
          <w:sz w:val="20"/>
          <w:szCs w:val="20"/>
          <w:color w:val="auto"/>
        </w:rPr>
      </w:pPr>
      <w:r>
        <w:rPr>
          <w:rFonts w:ascii="Times New Roman" w:cs="Times New Roman" w:eastAsia="Times New Roman" w:hAnsi="Times New Roman"/>
          <w:sz w:val="18"/>
          <w:szCs w:val="18"/>
          <w:color w:val="auto"/>
        </w:rPr>
        <w:t>We are offering $</w:t>
      </w:r>
      <w:r>
        <w:rPr>
          <w:sz w:val="20"/>
          <w:szCs w:val="20"/>
          <w:color w:val="auto"/>
        </w:rPr>
        <w:tab/>
      </w:r>
      <w:r>
        <w:rPr>
          <w:rFonts w:ascii="Times New Roman" w:cs="Times New Roman" w:eastAsia="Times New Roman" w:hAnsi="Times New Roman"/>
          <w:sz w:val="18"/>
          <w:szCs w:val="18"/>
          <w:color w:val="auto"/>
        </w:rPr>
        <w:t>aggregate principal amount of our</w:t>
        <w:tab/>
        <w:t>% senior notes due</w:t>
      </w:r>
      <w:r>
        <w:rPr>
          <w:sz w:val="20"/>
          <w:szCs w:val="20"/>
          <w:color w:val="auto"/>
        </w:rPr>
        <w:tab/>
      </w:r>
      <w:r>
        <w:rPr>
          <w:rFonts w:ascii="Times New Roman" w:cs="Times New Roman" w:eastAsia="Times New Roman" w:hAnsi="Times New Roman"/>
          <w:sz w:val="18"/>
          <w:szCs w:val="18"/>
          <w:color w:val="auto"/>
        </w:rPr>
        <w:t>, which we refer to as the “</w:t>
      </w:r>
      <w:r>
        <w:rPr>
          <w:sz w:val="20"/>
          <w:szCs w:val="20"/>
          <w:color w:val="auto"/>
        </w:rPr>
        <w:tab/>
      </w:r>
      <w:r>
        <w:rPr>
          <w:rFonts w:ascii="Times New Roman" w:cs="Times New Roman" w:eastAsia="Times New Roman" w:hAnsi="Times New Roman"/>
          <w:sz w:val="18"/>
          <w:szCs w:val="18"/>
          <w:color w:val="auto"/>
        </w:rPr>
        <w:t>Notes” and $</w:t>
      </w:r>
      <w:r>
        <w:rPr>
          <w:sz w:val="20"/>
          <w:szCs w:val="20"/>
          <w:color w:val="auto"/>
        </w:rPr>
        <w:tab/>
      </w:r>
      <w:r>
        <w:rPr>
          <w:rFonts w:ascii="Times New Roman" w:cs="Times New Roman" w:eastAsia="Times New Roman" w:hAnsi="Times New Roman"/>
          <w:sz w:val="18"/>
          <w:szCs w:val="18"/>
          <w:color w:val="auto"/>
        </w:rPr>
        <w:t>aggregate</w:t>
      </w:r>
    </w:p>
    <w:p>
      <w:pPr>
        <w:spacing w:after="0" w:line="27" w:lineRule="exact"/>
        <w:rPr>
          <w:sz w:val="24"/>
          <w:szCs w:val="24"/>
          <w:color w:val="auto"/>
        </w:rPr>
      </w:pPr>
    </w:p>
    <w:p>
      <w:pPr>
        <w:spacing w:after="0"/>
        <w:tabs>
          <w:tab w:leader="none" w:pos="1920" w:val="left"/>
          <w:tab w:leader="none" w:pos="4040" w:val="left"/>
          <w:tab w:leader="none" w:pos="6400" w:val="left"/>
          <w:tab w:leader="none" w:pos="8460" w:val="left"/>
          <w:tab w:leader="none" w:pos="9860" w:val="left"/>
        </w:tabs>
        <w:rPr>
          <w:sz w:val="20"/>
          <w:szCs w:val="20"/>
          <w:color w:val="auto"/>
        </w:rPr>
      </w:pPr>
      <w:r>
        <w:rPr>
          <w:rFonts w:ascii="Times New Roman" w:cs="Times New Roman" w:eastAsia="Times New Roman" w:hAnsi="Times New Roman"/>
          <w:sz w:val="18"/>
          <w:szCs w:val="18"/>
          <w:color w:val="auto"/>
        </w:rPr>
        <w:t>principal amount of our</w:t>
        <w:tab/>
        <w:t>% senior notes due</w:t>
      </w:r>
      <w:r>
        <w:rPr>
          <w:sz w:val="20"/>
          <w:szCs w:val="20"/>
          <w:color w:val="auto"/>
        </w:rPr>
        <w:tab/>
      </w:r>
      <w:r>
        <w:rPr>
          <w:rFonts w:ascii="Times New Roman" w:cs="Times New Roman" w:eastAsia="Times New Roman" w:hAnsi="Times New Roman"/>
          <w:sz w:val="18"/>
          <w:szCs w:val="18"/>
          <w:color w:val="auto"/>
        </w:rPr>
        <w:t>, which we refer to as the “</w:t>
      </w:r>
      <w:r>
        <w:rPr>
          <w:sz w:val="20"/>
          <w:szCs w:val="20"/>
          <w:color w:val="auto"/>
        </w:rPr>
        <w:tab/>
      </w:r>
      <w:r>
        <w:rPr>
          <w:rFonts w:ascii="Times New Roman" w:cs="Times New Roman" w:eastAsia="Times New Roman" w:hAnsi="Times New Roman"/>
          <w:sz w:val="18"/>
          <w:szCs w:val="18"/>
          <w:color w:val="auto"/>
        </w:rPr>
        <w:t>Notes.” We refer to the</w:t>
      </w:r>
      <w:r>
        <w:rPr>
          <w:sz w:val="20"/>
          <w:szCs w:val="20"/>
          <w:color w:val="auto"/>
        </w:rPr>
        <w:tab/>
      </w:r>
      <w:r>
        <w:rPr>
          <w:rFonts w:ascii="Times New Roman" w:cs="Times New Roman" w:eastAsia="Times New Roman" w:hAnsi="Times New Roman"/>
          <w:sz w:val="18"/>
          <w:szCs w:val="18"/>
          <w:color w:val="auto"/>
        </w:rPr>
        <w:t>Notes and the</w:t>
      </w:r>
      <w:r>
        <w:rPr>
          <w:sz w:val="20"/>
          <w:szCs w:val="20"/>
          <w:color w:val="auto"/>
        </w:rPr>
        <w:tab/>
      </w:r>
      <w:r>
        <w:rPr>
          <w:rFonts w:ascii="Times New Roman" w:cs="Times New Roman" w:eastAsia="Times New Roman" w:hAnsi="Times New Roman"/>
          <w:sz w:val="17"/>
          <w:szCs w:val="17"/>
          <w:color w:val="auto"/>
        </w:rPr>
        <w:t>Notes collectively as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“notes.”</w:t>
      </w:r>
    </w:p>
    <w:p>
      <w:pPr>
        <w:spacing w:after="0" w:line="207" w:lineRule="exact"/>
        <w:rPr>
          <w:sz w:val="24"/>
          <w:szCs w:val="24"/>
          <w:color w:val="auto"/>
        </w:rPr>
      </w:pPr>
    </w:p>
    <w:p>
      <w:pPr>
        <w:spacing w:after="0"/>
        <w:tabs>
          <w:tab w:leader="none" w:pos="5260" w:val="left"/>
          <w:tab w:leader="none" w:pos="6300" w:val="left"/>
          <w:tab w:leader="none" w:pos="10200" w:val="left"/>
        </w:tabs>
        <w:rPr>
          <w:sz w:val="20"/>
          <w:szCs w:val="20"/>
          <w:color w:val="auto"/>
        </w:rPr>
      </w:pPr>
      <w:r>
        <w:rPr>
          <w:rFonts w:ascii="Times New Roman" w:cs="Times New Roman" w:eastAsia="Times New Roman" w:hAnsi="Times New Roman"/>
          <w:sz w:val="18"/>
          <w:szCs w:val="18"/>
          <w:color w:val="auto"/>
        </w:rPr>
        <w:t>We will pay interest on the notes semi-annually in arrears each</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 The first interest payment will be made on</w:t>
      </w:r>
      <w:r>
        <w:rPr>
          <w:sz w:val="20"/>
          <w:szCs w:val="20"/>
          <w:color w:val="auto"/>
        </w:rPr>
        <w:tab/>
      </w:r>
      <w:r>
        <w:rPr>
          <w:rFonts w:ascii="Times New Roman" w:cs="Times New Roman" w:eastAsia="Times New Roman" w:hAnsi="Times New Roman"/>
          <w:sz w:val="18"/>
          <w:szCs w:val="18"/>
          <w:color w:val="auto"/>
        </w:rPr>
        <w:t>, 2016.</w:t>
      </w:r>
    </w:p>
    <w:p>
      <w:pPr>
        <w:spacing w:after="0" w:line="27" w:lineRule="exact"/>
        <w:rPr>
          <w:sz w:val="24"/>
          <w:szCs w:val="24"/>
          <w:color w:val="auto"/>
        </w:rPr>
      </w:pPr>
    </w:p>
    <w:p>
      <w:pPr>
        <w:spacing w:after="0"/>
        <w:tabs>
          <w:tab w:leader="none" w:pos="1040" w:val="left"/>
          <w:tab w:leader="none" w:pos="3320" w:val="left"/>
          <w:tab w:leader="none" w:pos="4120" w:val="left"/>
          <w:tab w:leader="none" w:pos="5140" w:val="left"/>
          <w:tab w:leader="none" w:pos="7420" w:val="left"/>
          <w:tab w:leader="none" w:pos="8180" w:val="left"/>
        </w:tabs>
        <w:rPr>
          <w:sz w:val="20"/>
          <w:szCs w:val="20"/>
          <w:color w:val="auto"/>
        </w:rPr>
      </w:pP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Notes will mature 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and the</w:t>
      </w:r>
      <w:r>
        <w:rPr>
          <w:sz w:val="20"/>
          <w:szCs w:val="20"/>
          <w:color w:val="auto"/>
        </w:rPr>
        <w:tab/>
      </w:r>
      <w:r>
        <w:rPr>
          <w:rFonts w:ascii="Times New Roman" w:cs="Times New Roman" w:eastAsia="Times New Roman" w:hAnsi="Times New Roman"/>
          <w:sz w:val="18"/>
          <w:szCs w:val="18"/>
          <w:color w:val="auto"/>
        </w:rPr>
        <w:t>Notes will mature 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may redeem some or all of the notes at any time and from time to time at the prices described under the heading “Description of the Notes — Optional Redemption.” If a change of control triggering event as described under the heading “Description of the Notes — Change of Control Offer” occurs, we may be required to offer to purchase each series of notes from their holders. There are no sinking funds for the notes.</w:t>
      </w:r>
    </w:p>
    <w:p>
      <w:pPr>
        <w:spacing w:after="0" w:line="176"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notes will be our senior unsecured obligations. The notes will rank without preference or priority among themselves and equally in right of payment with all of our other existing and future senior unsecured debt and senior in right of payment to all of our future subordinated debt.</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 do not intend to apply for the listing of the notes on any securities exchange or for inclusion of the notes on any automated dealer quotation system.</w:t>
      </w:r>
    </w:p>
    <w:p>
      <w:pPr>
        <w:spacing w:after="0" w:line="212" w:lineRule="exact"/>
        <w:rPr>
          <w:sz w:val="24"/>
          <w:szCs w:val="24"/>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the notes involves risks. See “</w:t>
      </w:r>
      <w:hyperlink w:anchor="page10">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S-7.</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56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Price to</w:t>
            </w:r>
          </w:p>
        </w:tc>
        <w:tc>
          <w:tcPr>
            <w:tcW w:w="13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114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640" w:type="dxa"/>
            <w:vAlign w:val="bottom"/>
            <w:vMerge w:val="continue"/>
          </w:tcPr>
          <w:p>
            <w:pPr>
              <w:spacing w:after="0"/>
              <w:rPr>
                <w:sz w:val="12"/>
                <w:szCs w:val="12"/>
                <w:color w:val="auto"/>
              </w:rPr>
            </w:pPr>
          </w:p>
        </w:tc>
        <w:tc>
          <w:tcPr>
            <w:tcW w:w="13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Discounts and</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56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Public(1)</w:t>
            </w:r>
          </w:p>
        </w:tc>
        <w:tc>
          <w:tcPr>
            <w:tcW w:w="13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 ADI(1)</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w:t>
            </w:r>
          </w:p>
        </w:tc>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w:t>
            </w:r>
          </w:p>
        </w:tc>
        <w:tc>
          <w:tcPr>
            <w:tcW w:w="5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 Total</w:t>
            </w:r>
          </w:p>
        </w:tc>
        <w:tc>
          <w:tcPr>
            <w:tcW w:w="564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w:t>
            </w:r>
          </w:p>
        </w:tc>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w:t>
            </w:r>
          </w:p>
        </w:tc>
        <w:tc>
          <w:tcPr>
            <w:tcW w:w="5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 Total</w:t>
            </w:r>
          </w:p>
        </w:tc>
        <w:tc>
          <w:tcPr>
            <w:tcW w:w="564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64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9"/>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Plus accrued interest, if any, from</w:t>
            </w:r>
          </w:p>
        </w:tc>
        <w:tc>
          <w:tcPr>
            <w:tcW w:w="5640" w:type="dxa"/>
            <w:vAlign w:val="bottom"/>
          </w:tcPr>
          <w:p>
            <w:pPr>
              <w:jc w:val="right"/>
              <w:ind w:right="2034"/>
              <w:spacing w:after="0"/>
              <w:rPr>
                <w:sz w:val="20"/>
                <w:szCs w:val="20"/>
                <w:color w:val="auto"/>
              </w:rPr>
            </w:pPr>
            <w:r>
              <w:rPr>
                <w:rFonts w:ascii="Times New Roman" w:cs="Times New Roman" w:eastAsia="Times New Roman" w:hAnsi="Times New Roman"/>
                <w:sz w:val="18"/>
                <w:szCs w:val="18"/>
                <w:color w:val="auto"/>
              </w:rPr>
              <w:t>, 2015, if settlement occurs after that date.</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Delivery of the notes in book-entry form will be made through the facilities of The Depository Trust Company and its direct participants, including the</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Euroclear System and Clearstream Banking S.A., on or about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2015.</w:t>
            </w:r>
          </w:p>
        </w:tc>
      </w:tr>
    </w:tbl>
    <w:p>
      <w:pPr>
        <w:spacing w:after="0" w:line="175" w:lineRule="exact"/>
        <w:rPr>
          <w:sz w:val="24"/>
          <w:szCs w:val="24"/>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23" w:lineRule="exact"/>
        <w:rPr>
          <w:sz w:val="24"/>
          <w:szCs w:val="24"/>
          <w:color w:val="auto"/>
        </w:rPr>
      </w:pPr>
    </w:p>
    <w:p>
      <w:pPr>
        <w:spacing w:after="0"/>
        <w:tabs>
          <w:tab w:leader="none" w:pos="4400" w:val="left"/>
          <w:tab w:leader="none" w:pos="9580" w:val="left"/>
        </w:tabs>
        <w:rPr>
          <w:sz w:val="20"/>
          <w:szCs w:val="20"/>
          <w:color w:val="auto"/>
        </w:rPr>
      </w:pPr>
      <w:r>
        <w:rPr>
          <w:rFonts w:ascii="Times New Roman" w:cs="Times New Roman" w:eastAsia="Times New Roman" w:hAnsi="Times New Roman"/>
          <w:sz w:val="32"/>
          <w:szCs w:val="32"/>
          <w:b w:val="1"/>
          <w:bCs w:val="1"/>
          <w:color w:val="auto"/>
        </w:rPr>
        <w:t>J.P. Morgan</w:t>
      </w:r>
      <w:r>
        <w:rPr>
          <w:sz w:val="20"/>
          <w:szCs w:val="20"/>
          <w:color w:val="auto"/>
        </w:rPr>
        <w:tab/>
      </w:r>
      <w:r>
        <w:rPr>
          <w:rFonts w:ascii="Times New Roman" w:cs="Times New Roman" w:eastAsia="Times New Roman" w:hAnsi="Times New Roman"/>
          <w:sz w:val="32"/>
          <w:szCs w:val="32"/>
          <w:b w:val="1"/>
          <w:bCs w:val="1"/>
          <w:color w:val="auto"/>
        </w:rPr>
        <w:t>BofA Merrill Lynch</w:t>
      </w:r>
      <w:r>
        <w:rPr>
          <w:sz w:val="20"/>
          <w:szCs w:val="20"/>
          <w:color w:val="auto"/>
        </w:rPr>
        <w:tab/>
      </w:r>
      <w:r>
        <w:rPr>
          <w:rFonts w:ascii="Times New Roman" w:cs="Times New Roman" w:eastAsia="Times New Roman" w:hAnsi="Times New Roman"/>
          <w:sz w:val="32"/>
          <w:szCs w:val="32"/>
          <w:b w:val="1"/>
          <w:bCs w:val="1"/>
          <w:color w:val="auto"/>
        </w:rPr>
        <w:t>Credit Suisse</w:t>
      </w:r>
    </w:p>
    <w:p>
      <w:pPr>
        <w:sectPr>
          <w:pgSz w:w="11900" w:h="16838" w:orient="portrait"/>
          <w:cols w:equalWidth="0" w:num="1">
            <w:col w:w="11420"/>
          </w:cols>
          <w:pgMar w:left="240" w:top="226" w:right="239" w:bottom="1440" w:gutter="0" w:footer="0" w:header="0"/>
        </w:sectPr>
      </w:pPr>
    </w:p>
    <w:p>
      <w:pPr>
        <w:spacing w:after="0" w:line="238" w:lineRule="exact"/>
        <w:rPr>
          <w:sz w:val="24"/>
          <w:szCs w:val="24"/>
          <w:color w:val="auto"/>
        </w:rPr>
      </w:pPr>
    </w:p>
    <w:p>
      <w:pPr>
        <w:ind w:left="3500"/>
        <w:spacing w:after="0"/>
        <w:tabs>
          <w:tab w:leader="none" w:pos="7420" w:val="left"/>
        </w:tabs>
        <w:rPr>
          <w:sz w:val="20"/>
          <w:szCs w:val="20"/>
          <w:color w:val="auto"/>
        </w:rPr>
      </w:pPr>
      <w:r>
        <w:rPr>
          <w:rFonts w:ascii="Times New Roman" w:cs="Times New Roman" w:eastAsia="Times New Roman" w:hAnsi="Times New Roman"/>
          <w:sz w:val="18"/>
          <w:szCs w:val="18"/>
          <w:b w:val="1"/>
          <w:bCs w:val="1"/>
          <w:color w:val="auto"/>
        </w:rPr>
        <w:t>The date of this prospectus supplement is</w:t>
      </w:r>
      <w:r>
        <w:rPr>
          <w:sz w:val="20"/>
          <w:szCs w:val="20"/>
          <w:color w:val="auto"/>
        </w:rPr>
        <w:tab/>
      </w:r>
      <w:r>
        <w:rPr>
          <w:rFonts w:ascii="Times New Roman" w:cs="Times New Roman" w:eastAsia="Times New Roman" w:hAnsi="Times New Roman"/>
          <w:sz w:val="17"/>
          <w:szCs w:val="17"/>
          <w:b w:val="1"/>
          <w:bCs w:val="1"/>
          <w:color w:val="auto"/>
        </w:rPr>
        <w:t>, 2015.</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10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92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920" w:type="dxa"/>
            <w:vAlign w:val="bottom"/>
            <w:gridSpan w:val="21"/>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0920" w:type="dxa"/>
            <w:vAlign w:val="bottom"/>
            <w:gridSpan w:val="21"/>
          </w:tcPr>
          <w:p>
            <w:pPr>
              <w:spacing w:after="0" w:line="194"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ABOUT THIS PROSPECTUS SUPPLEMENT</w:t>
              </w:r>
            </w:hyperlink>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294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FORWARD-LOOKING STATEMENTS</w:t>
              </w:r>
            </w:hyperlink>
          </w:p>
        </w:tc>
        <w:tc>
          <w:tcPr>
            <w:tcW w:w="500" w:type="dxa"/>
            <w:vAlign w:val="bottom"/>
            <w:tcBorders>
              <w:top w:val="single" w:sz="8" w:color="0000EE"/>
            </w:tcBorders>
            <w:gridSpan w:val="2"/>
          </w:tcPr>
          <w:p>
            <w:pPr>
              <w:spacing w:after="0"/>
              <w:rPr>
                <w:sz w:val="17"/>
                <w:szCs w:val="17"/>
                <w:color w:val="auto"/>
              </w:rPr>
            </w:pPr>
          </w:p>
        </w:tc>
        <w:tc>
          <w:tcPr>
            <w:tcW w:w="748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196"/>
        </w:trPr>
        <w:tc>
          <w:tcPr>
            <w:tcW w:w="10920" w:type="dxa"/>
            <w:vAlign w:val="bottom"/>
            <w:gridSpan w:val="21"/>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SUMMARY</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21"/>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THE OFFERING</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RISK FACTORS</w:t>
              </w:r>
            </w:hyperlink>
          </w:p>
        </w:tc>
        <w:tc>
          <w:tcPr>
            <w:tcW w:w="20" w:type="dxa"/>
            <w:vAlign w:val="bottom"/>
            <w:tcBorders>
              <w:top w:val="single" w:sz="8" w:color="0000EE"/>
            </w:tcBorders>
          </w:tcPr>
          <w:p>
            <w:pPr>
              <w:spacing w:after="0"/>
              <w:rPr>
                <w:sz w:val="17"/>
                <w:szCs w:val="17"/>
                <w:color w:val="auto"/>
              </w:rPr>
            </w:pPr>
          </w:p>
        </w:tc>
        <w:tc>
          <w:tcPr>
            <w:tcW w:w="9640" w:type="dxa"/>
            <w:vAlign w:val="bottom"/>
            <w:gridSpan w:val="1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10920" w:type="dxa"/>
            <w:vAlign w:val="bottom"/>
            <w:gridSpan w:val="21"/>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USE OF PROCEEDS</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14">
              <w:r>
                <w:rPr>
                  <w:rFonts w:ascii="Times New Roman" w:cs="Times New Roman" w:eastAsia="Times New Roman" w:hAnsi="Times New Roman"/>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934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DESCRIPTION OF THE NOTES</w:t>
              </w:r>
            </w:hyperlink>
          </w:p>
        </w:tc>
        <w:tc>
          <w:tcPr>
            <w:tcW w:w="844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w:anchor="page24">
              <w:r>
                <w:rPr>
                  <w:rFonts w:ascii="Times New Roman" w:cs="Times New Roman" w:eastAsia="Times New Roman" w:hAnsi="Times New Roman"/>
                  <w:sz w:val="18"/>
                  <w:szCs w:val="18"/>
                  <w:color w:val="0000EE"/>
                  <w:w w:val="98"/>
                </w:rPr>
                <w:t>MATERIAL UNITED STATES FEDERAL INCOME TAX CONSEQUENCES</w:t>
              </w:r>
            </w:hyperlink>
          </w:p>
        </w:tc>
        <w:tc>
          <w:tcPr>
            <w:tcW w:w="51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29">
              <w:r>
                <w:rPr>
                  <w:rFonts w:ascii="Times New Roman" w:cs="Times New Roman" w:eastAsia="Times New Roman" w:hAnsi="Times New Roman"/>
                  <w:sz w:val="18"/>
                  <w:szCs w:val="18"/>
                  <w:color w:val="0000EE"/>
                  <w:w w:val="98"/>
                </w:rPr>
                <w:t>UNDERWRITING</w:t>
              </w:r>
            </w:hyperlink>
          </w:p>
        </w:tc>
        <w:tc>
          <w:tcPr>
            <w:tcW w:w="9520" w:type="dxa"/>
            <w:vAlign w:val="bottom"/>
            <w:gridSpan w:val="1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S-26</w:t>
            </w:r>
          </w:p>
        </w:tc>
        <w:tc>
          <w:tcPr>
            <w:tcW w:w="0" w:type="dxa"/>
            <w:vAlign w:val="bottom"/>
          </w:tcPr>
          <w:p>
            <w:pPr>
              <w:spacing w:after="0"/>
              <w:rPr>
                <w:sz w:val="1"/>
                <w:szCs w:val="1"/>
                <w:color w:val="auto"/>
              </w:rPr>
            </w:pPr>
          </w:p>
        </w:tc>
      </w:tr>
      <w:tr>
        <w:trPr>
          <w:trHeight w:val="196"/>
        </w:trPr>
        <w:tc>
          <w:tcPr>
            <w:tcW w:w="10920" w:type="dxa"/>
            <w:vAlign w:val="bottom"/>
            <w:gridSpan w:val="21"/>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LEGAL MATTERS</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S-30</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EXPERTS</w:t>
              </w:r>
            </w:hyperlink>
          </w:p>
        </w:tc>
        <w:tc>
          <w:tcPr>
            <w:tcW w:w="680" w:type="dxa"/>
            <w:vAlign w:val="bottom"/>
            <w:tcBorders>
              <w:top w:val="single" w:sz="8" w:color="0000EE"/>
            </w:tcBorders>
            <w:gridSpan w:val="5"/>
          </w:tcPr>
          <w:p>
            <w:pPr>
              <w:spacing w:after="0"/>
              <w:rPr>
                <w:sz w:val="17"/>
                <w:szCs w:val="17"/>
                <w:color w:val="auto"/>
              </w:rPr>
            </w:pPr>
          </w:p>
        </w:tc>
        <w:tc>
          <w:tcPr>
            <w:tcW w:w="946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S-30</w:t>
            </w:r>
          </w:p>
        </w:tc>
        <w:tc>
          <w:tcPr>
            <w:tcW w:w="0" w:type="dxa"/>
            <w:vAlign w:val="bottom"/>
          </w:tcPr>
          <w:p>
            <w:pPr>
              <w:spacing w:after="0"/>
              <w:rPr>
                <w:sz w:val="1"/>
                <w:szCs w:val="1"/>
                <w:color w:val="auto"/>
              </w:rPr>
            </w:pPr>
          </w:p>
        </w:tc>
      </w:tr>
      <w:tr>
        <w:trPr>
          <w:trHeight w:val="196"/>
        </w:trPr>
        <w:tc>
          <w:tcPr>
            <w:tcW w:w="10920" w:type="dxa"/>
            <w:vAlign w:val="bottom"/>
            <w:gridSpan w:val="21"/>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WHERE YOU CAN FIND MORE INFORMATION</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196"/>
        </w:trPr>
        <w:tc>
          <w:tcPr>
            <w:tcW w:w="38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INCORPORATION BY REFERENCE</w:t>
              </w:r>
            </w:hyperlink>
          </w:p>
        </w:tc>
        <w:tc>
          <w:tcPr>
            <w:tcW w:w="710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461"/>
        </w:trPr>
        <w:tc>
          <w:tcPr>
            <w:tcW w:w="282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8100" w:type="dxa"/>
            <w:vAlign w:val="bottom"/>
            <w:gridSpan w:val="8"/>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40" w:type="dxa"/>
            <w:vAlign w:val="bottom"/>
            <w:tcBorders>
              <w:bottom w:val="single" w:sz="8" w:color="0000EE"/>
            </w:tcBorders>
            <w:gridSpan w:val="11"/>
          </w:tcPr>
          <w:p>
            <w:pPr>
              <w:spacing w:after="0" w:line="194"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ABOUT THIS PROSPECTUS</w:t>
              </w:r>
            </w:hyperlink>
          </w:p>
        </w:tc>
        <w:tc>
          <w:tcPr>
            <w:tcW w:w="8680" w:type="dxa"/>
            <w:vAlign w:val="bottom"/>
            <w:gridSpan w:val="10"/>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RISK FACTORS</w:t>
              </w:r>
            </w:hyperlink>
          </w:p>
        </w:tc>
        <w:tc>
          <w:tcPr>
            <w:tcW w:w="9660" w:type="dxa"/>
            <w:vAlign w:val="bottom"/>
            <w:gridSpan w:val="1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920" w:type="dxa"/>
            <w:vAlign w:val="bottom"/>
            <w:gridSpan w:val="21"/>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WHERE YOU CAN FIND MORE INFORMATION</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38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INCORPORATION BY REFERENCE</w:t>
              </w:r>
            </w:hyperlink>
          </w:p>
        </w:tc>
        <w:tc>
          <w:tcPr>
            <w:tcW w:w="710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21"/>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FORWARD LOOKING STATEMENTS</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THE COMPANY</w:t>
              </w:r>
            </w:hyperlink>
          </w:p>
        </w:tc>
        <w:tc>
          <w:tcPr>
            <w:tcW w:w="800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21"/>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CONSOLIDATED RATIOS OF EARNINGS TO FIXED CHARGES</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50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USE OF PROCEEDS</w:t>
              </w:r>
            </w:hyperlink>
          </w:p>
        </w:tc>
        <w:tc>
          <w:tcPr>
            <w:tcW w:w="590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580" w:type="dxa"/>
            <w:vAlign w:val="bottom"/>
            <w:gridSpan w:val="8"/>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78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DESCRIPTION OF DEBT SECURITIES</w:t>
              </w:r>
            </w:hyperlink>
          </w:p>
        </w:tc>
        <w:tc>
          <w:tcPr>
            <w:tcW w:w="788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9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FORMS OF SECURITIES</w:t>
              </w:r>
            </w:hyperlink>
          </w:p>
        </w:tc>
        <w:tc>
          <w:tcPr>
            <w:tcW w:w="896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PLAN OF DISTRIBUTION</w:t>
              </w:r>
            </w:hyperlink>
          </w:p>
        </w:tc>
        <w:tc>
          <w:tcPr>
            <w:tcW w:w="886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0920" w:type="dxa"/>
            <w:vAlign w:val="bottom"/>
            <w:gridSpan w:val="21"/>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LEGAL MATTERS</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58">
              <w:r>
                <w:rPr>
                  <w:rFonts w:ascii="Times New Roman" w:cs="Times New Roman" w:eastAsia="Times New Roman" w:hAnsi="Times New Roman"/>
                  <w:sz w:val="18"/>
                  <w:szCs w:val="18"/>
                  <w:color w:val="0000EE"/>
                  <w:w w:val="97"/>
                </w:rPr>
                <w:t>EXPERTS</w:t>
              </w:r>
            </w:hyperlink>
          </w:p>
        </w:tc>
        <w:tc>
          <w:tcPr>
            <w:tcW w:w="680" w:type="dxa"/>
            <w:vAlign w:val="bottom"/>
            <w:tcBorders>
              <w:top w:val="single" w:sz="8" w:color="0000EE"/>
            </w:tcBorders>
            <w:gridSpan w:val="5"/>
          </w:tcPr>
          <w:p>
            <w:pPr>
              <w:spacing w:after="0"/>
              <w:rPr>
                <w:sz w:val="17"/>
                <w:szCs w:val="17"/>
                <w:color w:val="auto"/>
              </w:rPr>
            </w:pPr>
          </w:p>
        </w:tc>
        <w:tc>
          <w:tcPr>
            <w:tcW w:w="946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into this prospectus supplement and the accompanying prospectus or information contained in a free writing prospectus that we authorize to be delivered to you. This prospectus supplement and the accompanying prospectus may be used only for the purpose for which they have been prepared. No one is authorized to give information other than that contained in or incorporated by reference into this prospectus supplement, the accompanying prospectus or any free writing prospectus that we authorize to be delivered to you. We have not, and the underwriters have not, authorized any other person to provide you with different information. If anyone provides you with different or inconsistent information, you should not rely on it.</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color w:val="auto"/>
        </w:rPr>
        <w:t>We are not, and the underwriters are not, making an offer to sell these securities in any jurisdiction where the offer or sale is not permitted. You should not assume that the information appearing in this prospectus supplement, the accompanying prospectus or any document incorporated by reference herein or therein is accurate as of any date other than the date of the applicable document. Our business, financial condition, results of operations and prospects may have changed since that date. Neither this prospectus supplement nor the accompanying prospectus constitutes an offer, or an invitation on our behalf or on behalf of the underwriters, to subscribe for and purchase any of the securities and may not be used for or in connection with an offer or solicitation by anyone, in any jurisdiction in which such an offer or solicitation is not authorized or to any person to whom it is unlawful to make such an offer or solicitation.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expect that delivery of the notes will be made against payment therefor on or about the closing date specified on the cover page of this prospectus supplement, which will be the 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business day following the date of pricing of the notes (this settlement cycle being referred to as “T+7”). You should note that trading of notes on the date of pricing or the next succeeding three business days may be affected by the T+7 settlement. See “Underwriting” for more information.</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20"/>
          </w:cols>
          <w:pgMar w:left="240" w:top="455" w:right="4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document consists of two parts. The first part is the prospectus supplement, which describes the specific terms of this offering. The second part is the accompanying prospectus, which describes more general information, some of which may not apply to this offering. You should read this prospectus supplement, the accompanying prospectus and any related free writing prospectus, together with additional information described under the heading “Where You Can Find More Information” on page S-31.</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this prospectus supplement and the accompanying prospectus, “the Company,” “we,” “our,” “ours” and “us” refer to Analog Devices, Inc. and its subsidiaries on a consolidated basis, unless the context otherwise requires. If the information set forth in this prospectus supplement differs in any way from the information set forth in the accompanying prospectus, you should rely on the information set forth in this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Currency amounts in this prospectus supplement are stated in U.S. dollars.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80"/>
          </w:cols>
          <w:pgMar w:left="240" w:top="455" w:right="3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in this prospectus supplement and the accompanying prospectus contain forward-looking statements regarding future events and our future results that are subject to the safe harbor created under the Private Securities Litigation Reform Act of 1995 and other safe harbors under the Securities Act of 1933 (the “Securities Act”) and the Securities Exchange Act of 1934 (the “Exchange Act”).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particularly in light of sovereign debt issues globally; any faltering in global economic conditions or the stability of credit and financial markets; declines in customer demand for our products; our anticipated growth and trends in our businesses; our future capital needs and capital expenditures; our future market position and expected competitive changes in the marketplace for our products; our ability to innovate new products and technologies; our ability to access credit or capital markets; our ability to pay dividends or repurchase stock; our ability to service our outstanding debt; our expected tax rate; the future actions of our third-party suppliers; our reliance on assembly and test subcontractors, third-party wafer fabricators and independent distributors; the expected outcomes of intellectual property and litigation matters; the ability to safeguard our patents and intellectual property; potential acquisitions or divestitures; the expected activities of our key personnel; the global nature of our operations; the effect of new accounting pronouncements; our ability to successfully integrate acquired businesses and technologies; and other characterizations of future events or circumstances are forward-looking statements. You are cautioned that these forward-looking statements are only predictions and are subject to risks, uncertainties and assumptions that are difficult to predict. You should pay particular attention to the important risk factors and cautionary statements referenced in the section of this prospectus supplement entitled “Risk Factors” beginning on page S-7. You should also carefully review the risk factors and cautionary statements described in the other documents we file from time to time with the SEC, specifically our Annual Report on Form 10-K, our Quarterly Reports on Form 10-Q and our Current Reports on Form 8-K. Actual results may differ materially and adversely from those expressed in any forward-looking statements. We undertake no obligation to revise or update any forward-looking statements, except to the extent required by law.</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340"/>
          </w:cols>
          <w:pgMar w:left="240" w:top="455" w:right="31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930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59302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200" w:right="80"/>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or incorporated by reference into, this prospectus supplement and the accompanying prospectus. As a result, it may not contain all of the information that may be important to you or that you should consider before investing in the notes. You should read this entire prospectus supplement, the accompanying prospectus and any related free writing prospectus, including the “Risk Factors” section and the documents incorporated by reference, which are described under “Where You Can Find More Information” on page S-31.</w:t>
      </w: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200"/>
        <w:spacing w:after="0" w:line="254" w:lineRule="auto"/>
        <w:rPr>
          <w:sz w:val="20"/>
          <w:szCs w:val="20"/>
          <w:color w:val="auto"/>
        </w:rPr>
      </w:pPr>
      <w:r>
        <w:rPr>
          <w:rFonts w:ascii="Times New Roman" w:cs="Times New Roman" w:eastAsia="Times New Roman" w:hAnsi="Times New Roman"/>
          <w:sz w:val="18"/>
          <w:szCs w:val="18"/>
          <w:color w:val="auto"/>
        </w:rPr>
        <w:t>We are a world leader in the design, manufacture and marketing of a broad portfolio of solutions that leverage high-performance analog, mixed-signal and digital signal processing technology, including integrated circuits (ICs), algorithms, software, and subsystems. Since our inception in 1965, we have focused on solving the engineering challenges associated with signal processing in virtually all types of electronic equipment. Our signal processing products play a fundamental role in converting, conditioning, and processing real-world phenomena such as temperature, pressure, sound, light, speed and motion into electrical signals to be used in a wide array of electronic devices. As new generations of applications, such as the Internet of Things, evolve, new needs for high-performance analog signal processing and digital signal processing (DSP) technology are generated. We focus on sensing, measurement, and connectivity challenges that apply to a diverse set of customers and markets. We combine data converters, amplifiers and linear products, radio frequency (RF) ICs, power management products, sensors based on micro-electro mechanical systems (MEMS) technology and other sensors, and processing products, including DSP, micro controllers and other processors, into technology platforms that we adapt to specific customer and market needs, leveraging our engineering investment across a broad base of customers.</w:t>
      </w:r>
    </w:p>
    <w:p>
      <w:pPr>
        <w:spacing w:after="0" w:line="186" w:lineRule="exact"/>
        <w:rPr>
          <w:sz w:val="20"/>
          <w:szCs w:val="20"/>
          <w:color w:val="auto"/>
        </w:rPr>
      </w:pPr>
    </w:p>
    <w:p>
      <w:pPr>
        <w:jc w:val="both"/>
        <w:ind w:left="200" w:right="120"/>
        <w:spacing w:after="0" w:line="266" w:lineRule="auto"/>
        <w:rPr>
          <w:sz w:val="20"/>
          <w:szCs w:val="20"/>
          <w:color w:val="auto"/>
        </w:rPr>
      </w:pPr>
      <w:r>
        <w:rPr>
          <w:rFonts w:ascii="Times New Roman" w:cs="Times New Roman" w:eastAsia="Times New Roman" w:hAnsi="Times New Roman"/>
          <w:sz w:val="18"/>
          <w:szCs w:val="18"/>
          <w:color w:val="auto"/>
        </w:rPr>
        <w:t>We focus on key strategic markets where our signal processing technology is often a critical differentiator in our customers’ products, in particular, the industrial, automotive, consumer and communications markets. Used by over 100,000 customers worldwide, our products are embedded inside many different types of electronic equipment including:</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Industrial process control systems</w:t>
            </w:r>
          </w:p>
        </w:tc>
        <w:tc>
          <w:tcPr>
            <w:tcW w:w="13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Medical imaging equipment</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Factory automation systems</w:t>
            </w:r>
          </w:p>
        </w:tc>
        <w:tc>
          <w:tcPr>
            <w:tcW w:w="13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Patient monitoring devices</w:t>
            </w:r>
          </w:p>
        </w:tc>
      </w:tr>
      <w:tr>
        <w:trPr>
          <w:trHeight w:val="3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Instrumentation and measurement systems</w:t>
            </w:r>
          </w:p>
        </w:tc>
        <w:tc>
          <w:tcPr>
            <w:tcW w:w="13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Wireless infrastructure equipment</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Energy management systems</w:t>
            </w:r>
          </w:p>
        </w:tc>
        <w:tc>
          <w:tcPr>
            <w:tcW w:w="13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Networking equipment</w:t>
            </w:r>
          </w:p>
        </w:tc>
      </w:tr>
      <w:tr>
        <w:trPr>
          <w:trHeight w:val="3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Aerospace and defense electronics</w:t>
            </w:r>
          </w:p>
        </w:tc>
        <w:tc>
          <w:tcPr>
            <w:tcW w:w="13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Optical systems</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Automobiles</w:t>
            </w:r>
          </w:p>
        </w:tc>
        <w:tc>
          <w:tcPr>
            <w:tcW w:w="13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Portable electronic devices</w:t>
            </w:r>
          </w:p>
        </w:tc>
      </w:tr>
    </w:tbl>
    <w:p>
      <w:pPr>
        <w:spacing w:after="0" w:line="373" w:lineRule="exact"/>
        <w:rPr>
          <w:sz w:val="20"/>
          <w:szCs w:val="20"/>
          <w:color w:val="auto"/>
        </w:rPr>
      </w:pPr>
    </w:p>
    <w:p>
      <w:pPr>
        <w:jc w:val="both"/>
        <w:ind w:left="200" w:right="380"/>
        <w:spacing w:after="0" w:line="266" w:lineRule="auto"/>
        <w:rPr>
          <w:sz w:val="20"/>
          <w:szCs w:val="20"/>
          <w:color w:val="auto"/>
        </w:rPr>
      </w:pPr>
      <w:r>
        <w:rPr>
          <w:rFonts w:ascii="Times New Roman" w:cs="Times New Roman" w:eastAsia="Times New Roman" w:hAnsi="Times New Roman"/>
          <w:sz w:val="18"/>
          <w:szCs w:val="18"/>
          <w:color w:val="auto"/>
        </w:rPr>
        <w:t>We were incorporated in Massachusetts in 1965. Our headquarters is near Boston, in Norwood, Massachusetts. In addition, we have manufacturing facilities in Massachusetts, Ireland, and the Philippines, and have more than thirty design facilities worldwide. Our common stock is listed on The NASDAQ Global Select Market under the symbol ADI and is included in the Standard &amp; Poor’s 500 Index.</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Our principal executive offices are located at One Technology Way, Norwood, Massachusetts 02062, and our telephone number is (781) 329-4700.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60"/>
          </w:cols>
          <w:pgMar w:left="240" w:top="455" w:right="4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8306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68306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200" w:right="280"/>
        <w:spacing w:after="0" w:line="284"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notes. Some of the terms and conditions described below are subject to important limitations and exceptions. See “Description of the Notes” for a more detailed description of the terms and conditions of the notes.</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28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Analog Devices, Inc.</w:t>
            </w:r>
          </w:p>
        </w:tc>
        <w:tc>
          <w:tcPr>
            <w:tcW w:w="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5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w:t>
            </w:r>
          </w:p>
        </w:tc>
        <w:tc>
          <w:tcPr>
            <w:tcW w:w="15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4"/>
                <w:szCs w:val="24"/>
                <w:color w:val="auto"/>
              </w:rPr>
            </w:pPr>
          </w:p>
        </w:tc>
        <w:tc>
          <w:tcPr>
            <w:tcW w:w="276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color w:val="auto"/>
                <w:w w:val="99"/>
              </w:rPr>
              <w:t>initial aggregate principal amount of</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notes due</w:t>
            </w:r>
          </w:p>
        </w:tc>
        <w:tc>
          <w:tcPr>
            <w:tcW w:w="11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initial</w:t>
            </w:r>
          </w:p>
        </w:tc>
      </w:tr>
      <w:tr>
        <w:trPr>
          <w:trHeight w:val="234"/>
        </w:trPr>
        <w:tc>
          <w:tcPr>
            <w:tcW w:w="2940" w:type="dxa"/>
            <w:vAlign w:val="bottom"/>
          </w:tcPr>
          <w:p>
            <w:pPr>
              <w:spacing w:after="0"/>
              <w:rPr>
                <w:sz w:val="20"/>
                <w:szCs w:val="20"/>
                <w:color w:val="auto"/>
              </w:rPr>
            </w:pPr>
          </w:p>
        </w:tc>
        <w:tc>
          <w:tcPr>
            <w:tcW w:w="3540" w:type="dxa"/>
            <w:vAlign w:val="bottom"/>
            <w:gridSpan w:val="4"/>
          </w:tcPr>
          <w:p>
            <w:pPr>
              <w:ind w:left="1260"/>
              <w:spacing w:after="0"/>
              <w:rPr>
                <w:sz w:val="20"/>
                <w:szCs w:val="20"/>
                <w:color w:val="auto"/>
              </w:rPr>
            </w:pPr>
            <w:r>
              <w:rPr>
                <w:rFonts w:ascii="Times New Roman" w:cs="Times New Roman" w:eastAsia="Times New Roman" w:hAnsi="Times New Roman"/>
                <w:sz w:val="18"/>
                <w:szCs w:val="18"/>
                <w:color w:val="auto"/>
              </w:rPr>
              <w:t>aggregate principal amount of</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notes due</w:t>
            </w:r>
          </w:p>
        </w:tc>
        <w:tc>
          <w:tcPr>
            <w:tcW w:w="13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5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Maturity</w:t>
            </w:r>
          </w:p>
        </w:tc>
        <w:tc>
          <w:tcPr>
            <w:tcW w:w="158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Notes:</w:t>
            </w: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3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15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The</w:t>
            </w:r>
          </w:p>
        </w:tc>
        <w:tc>
          <w:tcPr>
            <w:tcW w:w="4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Notes will bear interest at a rate of   % per annum. The</w:t>
            </w:r>
          </w:p>
        </w:tc>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Notes will bear interest</w:t>
            </w:r>
          </w:p>
        </w:tc>
      </w:tr>
      <w:tr>
        <w:trPr>
          <w:trHeight w:val="234"/>
        </w:trPr>
        <w:tc>
          <w:tcPr>
            <w:tcW w:w="2940" w:type="dxa"/>
            <w:vAlign w:val="bottom"/>
          </w:tcPr>
          <w:p>
            <w:pPr>
              <w:spacing w:after="0"/>
              <w:rPr>
                <w:sz w:val="20"/>
                <w:szCs w:val="20"/>
                <w:color w:val="auto"/>
              </w:rPr>
            </w:pPr>
          </w:p>
        </w:tc>
        <w:tc>
          <w:tcPr>
            <w:tcW w:w="21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at a rate of</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per annum.</w:t>
            </w: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4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060" w:type="dxa"/>
            <w:vAlign w:val="bottom"/>
            <w:gridSpan w:val="8"/>
          </w:tcPr>
          <w:p>
            <w:pPr>
              <w:ind w:left="1260"/>
              <w:spacing w:after="0"/>
              <w:rPr>
                <w:sz w:val="20"/>
                <w:szCs w:val="20"/>
                <w:color w:val="auto"/>
              </w:rPr>
            </w:pPr>
            <w:r>
              <w:rPr>
                <w:rFonts w:ascii="Times New Roman" w:cs="Times New Roman" w:eastAsia="Times New Roman" w:hAnsi="Times New Roman"/>
                <w:sz w:val="18"/>
                <w:szCs w:val="18"/>
                <w:color w:val="auto"/>
              </w:rPr>
              <w:t>Interest on each series of notes will be paid semi-annually in arrears on and of each year,</w:t>
            </w:r>
          </w:p>
        </w:tc>
      </w:tr>
      <w:tr>
        <w:trPr>
          <w:trHeight w:val="234"/>
        </w:trPr>
        <w:tc>
          <w:tcPr>
            <w:tcW w:w="2940" w:type="dxa"/>
            <w:vAlign w:val="bottom"/>
          </w:tcPr>
          <w:p>
            <w:pPr>
              <w:spacing w:after="0"/>
              <w:rPr>
                <w:sz w:val="20"/>
                <w:szCs w:val="20"/>
                <w:color w:val="auto"/>
              </w:rPr>
            </w:pPr>
          </w:p>
        </w:tc>
        <w:tc>
          <w:tcPr>
            <w:tcW w:w="28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commencing on</w:t>
            </w:r>
          </w:p>
        </w:tc>
        <w:tc>
          <w:tcPr>
            <w:tcW w:w="198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 2016.</w:t>
            </w: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4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Ranking</w:t>
            </w:r>
          </w:p>
        </w:tc>
        <w:tc>
          <w:tcPr>
            <w:tcW w:w="8060" w:type="dxa"/>
            <w:vAlign w:val="bottom"/>
            <w:gridSpan w:val="8"/>
          </w:tcPr>
          <w:p>
            <w:pPr>
              <w:ind w:left="1260"/>
              <w:spacing w:after="0"/>
              <w:rPr>
                <w:sz w:val="20"/>
                <w:szCs w:val="20"/>
                <w:color w:val="auto"/>
              </w:rPr>
            </w:pPr>
            <w:r>
              <w:rPr>
                <w:rFonts w:ascii="Times New Roman" w:cs="Times New Roman" w:eastAsia="Times New Roman" w:hAnsi="Times New Roman"/>
                <w:sz w:val="18"/>
                <w:szCs w:val="18"/>
                <w:color w:val="auto"/>
              </w:rPr>
              <w:t>The notes will be our senior unsecured obligations. Each series of notes will rank without</w:t>
            </w:r>
          </w:p>
        </w:tc>
      </w:tr>
      <w:tr>
        <w:trPr>
          <w:trHeight w:val="216"/>
        </w:trPr>
        <w:tc>
          <w:tcPr>
            <w:tcW w:w="2940" w:type="dxa"/>
            <w:vAlign w:val="bottom"/>
          </w:tcPr>
          <w:p>
            <w:pPr>
              <w:spacing w:after="0"/>
              <w:rPr>
                <w:sz w:val="18"/>
                <w:szCs w:val="18"/>
                <w:color w:val="auto"/>
              </w:rPr>
            </w:pPr>
          </w:p>
        </w:tc>
        <w:tc>
          <w:tcPr>
            <w:tcW w:w="8060" w:type="dxa"/>
            <w:vAlign w:val="bottom"/>
            <w:gridSpan w:val="8"/>
          </w:tcPr>
          <w:p>
            <w:pPr>
              <w:ind w:left="1260"/>
              <w:spacing w:after="0"/>
              <w:rPr>
                <w:sz w:val="20"/>
                <w:szCs w:val="20"/>
                <w:color w:val="auto"/>
              </w:rPr>
            </w:pPr>
            <w:r>
              <w:rPr>
                <w:rFonts w:ascii="Times New Roman" w:cs="Times New Roman" w:eastAsia="Times New Roman" w:hAnsi="Times New Roman"/>
                <w:sz w:val="18"/>
                <w:szCs w:val="18"/>
                <w:color w:val="auto"/>
              </w:rPr>
              <w:t>preference or priority among themselves and equally in right of payment with all of our other</w:t>
            </w:r>
          </w:p>
        </w:tc>
      </w:tr>
      <w:tr>
        <w:trPr>
          <w:trHeight w:val="216"/>
        </w:trPr>
        <w:tc>
          <w:tcPr>
            <w:tcW w:w="2940" w:type="dxa"/>
            <w:vAlign w:val="bottom"/>
          </w:tcPr>
          <w:p>
            <w:pPr>
              <w:spacing w:after="0"/>
              <w:rPr>
                <w:sz w:val="18"/>
                <w:szCs w:val="18"/>
                <w:color w:val="auto"/>
              </w:rPr>
            </w:pPr>
          </w:p>
        </w:tc>
        <w:tc>
          <w:tcPr>
            <w:tcW w:w="8060" w:type="dxa"/>
            <w:vAlign w:val="bottom"/>
            <w:gridSpan w:val="8"/>
          </w:tcPr>
          <w:p>
            <w:pPr>
              <w:ind w:left="1260"/>
              <w:spacing w:after="0"/>
              <w:rPr>
                <w:sz w:val="20"/>
                <w:szCs w:val="20"/>
                <w:color w:val="auto"/>
              </w:rPr>
            </w:pPr>
            <w:r>
              <w:rPr>
                <w:rFonts w:ascii="Times New Roman" w:cs="Times New Roman" w:eastAsia="Times New Roman" w:hAnsi="Times New Roman"/>
                <w:sz w:val="18"/>
                <w:szCs w:val="18"/>
                <w:color w:val="auto"/>
              </w:rPr>
              <w:t>existing and future unsecured and unsubordinated debt, including our 3.00% senior unsecured</w:t>
            </w:r>
          </w:p>
        </w:tc>
      </w:tr>
      <w:tr>
        <w:trPr>
          <w:trHeight w:val="216"/>
        </w:trPr>
        <w:tc>
          <w:tcPr>
            <w:tcW w:w="2940" w:type="dxa"/>
            <w:vAlign w:val="bottom"/>
          </w:tcPr>
          <w:p>
            <w:pPr>
              <w:spacing w:after="0"/>
              <w:rPr>
                <w:sz w:val="18"/>
                <w:szCs w:val="18"/>
                <w:color w:val="auto"/>
              </w:rPr>
            </w:pPr>
          </w:p>
        </w:tc>
        <w:tc>
          <w:tcPr>
            <w:tcW w:w="8060" w:type="dxa"/>
            <w:vAlign w:val="bottom"/>
            <w:gridSpan w:val="8"/>
          </w:tcPr>
          <w:p>
            <w:pPr>
              <w:ind w:left="1260"/>
              <w:spacing w:after="0"/>
              <w:rPr>
                <w:sz w:val="20"/>
                <w:szCs w:val="20"/>
                <w:color w:val="auto"/>
              </w:rPr>
            </w:pPr>
            <w:r>
              <w:rPr>
                <w:rFonts w:ascii="Times New Roman" w:cs="Times New Roman" w:eastAsia="Times New Roman" w:hAnsi="Times New Roman"/>
                <w:sz w:val="18"/>
                <w:szCs w:val="18"/>
                <w:color w:val="auto"/>
              </w:rPr>
              <w:t>notes due April 15, 2016 (the 2016 notes) and our 2.875% senior unsecured notes due June 1,</w:t>
            </w:r>
          </w:p>
        </w:tc>
      </w:tr>
      <w:tr>
        <w:trPr>
          <w:trHeight w:val="216"/>
        </w:trPr>
        <w:tc>
          <w:tcPr>
            <w:tcW w:w="2940" w:type="dxa"/>
            <w:vAlign w:val="bottom"/>
          </w:tcPr>
          <w:p>
            <w:pPr>
              <w:spacing w:after="0"/>
              <w:rPr>
                <w:sz w:val="18"/>
                <w:szCs w:val="18"/>
                <w:color w:val="auto"/>
              </w:rPr>
            </w:pPr>
          </w:p>
        </w:tc>
        <w:tc>
          <w:tcPr>
            <w:tcW w:w="7340" w:type="dxa"/>
            <w:vAlign w:val="bottom"/>
            <w:gridSpan w:val="7"/>
          </w:tcPr>
          <w:p>
            <w:pPr>
              <w:ind w:left="1260"/>
              <w:spacing w:after="0"/>
              <w:rPr>
                <w:sz w:val="20"/>
                <w:szCs w:val="20"/>
                <w:color w:val="auto"/>
              </w:rPr>
            </w:pPr>
            <w:r>
              <w:rPr>
                <w:rFonts w:ascii="Times New Roman" w:cs="Times New Roman" w:eastAsia="Times New Roman" w:hAnsi="Times New Roman"/>
                <w:sz w:val="18"/>
                <w:szCs w:val="18"/>
                <w:color w:val="auto"/>
              </w:rPr>
              <w:t>2023 (the 2023 notes), and senior in right of payment to all of our future debt that is</w:t>
            </w:r>
          </w:p>
        </w:tc>
        <w:tc>
          <w:tcPr>
            <w:tcW w:w="72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486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subordinated to the notes. The notes will be:</w:t>
            </w: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19"/>
        </w:trPr>
        <w:tc>
          <w:tcPr>
            <w:tcW w:w="2940" w:type="dxa"/>
            <w:vAlign w:val="bottom"/>
          </w:tcPr>
          <w:p>
            <w:pPr>
              <w:spacing w:after="0"/>
              <w:rPr>
                <w:sz w:val="24"/>
                <w:szCs w:val="24"/>
                <w:color w:val="auto"/>
              </w:rPr>
            </w:pPr>
          </w:p>
        </w:tc>
        <w:tc>
          <w:tcPr>
            <w:tcW w:w="8060" w:type="dxa"/>
            <w:vAlign w:val="bottom"/>
            <w:gridSpan w:val="8"/>
          </w:tcPr>
          <w:p>
            <w:pPr>
              <w:ind w:left="1520"/>
              <w:spacing w:after="0"/>
              <w:rPr>
                <w:sz w:val="20"/>
                <w:szCs w:val="20"/>
                <w:color w:val="auto"/>
              </w:rPr>
            </w:pPr>
            <w:r>
              <w:rPr>
                <w:rFonts w:ascii="Times New Roman" w:cs="Times New Roman" w:eastAsia="Times New Roman" w:hAnsi="Times New Roman"/>
                <w:sz w:val="18"/>
                <w:szCs w:val="18"/>
                <w:color w:val="auto"/>
              </w:rPr>
              <w:t>• effectively subordinated to any of our future secured debt, to the extent of the assets</w:t>
            </w:r>
          </w:p>
        </w:tc>
      </w:tr>
      <w:tr>
        <w:trPr>
          <w:trHeight w:val="234"/>
        </w:trPr>
        <w:tc>
          <w:tcPr>
            <w:tcW w:w="2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securing that debt; and</w:t>
            </w: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19"/>
        </w:trPr>
        <w:tc>
          <w:tcPr>
            <w:tcW w:w="2940" w:type="dxa"/>
            <w:vAlign w:val="bottom"/>
          </w:tcPr>
          <w:p>
            <w:pPr>
              <w:spacing w:after="0"/>
              <w:rPr>
                <w:sz w:val="24"/>
                <w:szCs w:val="24"/>
                <w:color w:val="auto"/>
              </w:rPr>
            </w:pPr>
          </w:p>
        </w:tc>
        <w:tc>
          <w:tcPr>
            <w:tcW w:w="8060" w:type="dxa"/>
            <w:vAlign w:val="bottom"/>
            <w:gridSpan w:val="8"/>
          </w:tcPr>
          <w:p>
            <w:pPr>
              <w:ind w:left="1520"/>
              <w:spacing w:after="0"/>
              <w:rPr>
                <w:sz w:val="20"/>
                <w:szCs w:val="20"/>
                <w:color w:val="auto"/>
              </w:rPr>
            </w:pPr>
            <w:r>
              <w:rPr>
                <w:rFonts w:ascii="Times New Roman" w:cs="Times New Roman" w:eastAsia="Times New Roman" w:hAnsi="Times New Roman"/>
                <w:sz w:val="18"/>
                <w:szCs w:val="18"/>
                <w:color w:val="auto"/>
              </w:rPr>
              <w:t>• structurally subordinated to any existing and future indebtedness and other liabilities of</w:t>
            </w:r>
          </w:p>
        </w:tc>
      </w:tr>
      <w:tr>
        <w:trPr>
          <w:trHeight w:val="234"/>
        </w:trPr>
        <w:tc>
          <w:tcPr>
            <w:tcW w:w="2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our subsidiaries.</w:t>
            </w:r>
          </w:p>
        </w:tc>
        <w:tc>
          <w:tcPr>
            <w:tcW w:w="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4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Covenants</w:t>
            </w:r>
          </w:p>
        </w:tc>
        <w:tc>
          <w:tcPr>
            <w:tcW w:w="8060" w:type="dxa"/>
            <w:vAlign w:val="bottom"/>
            <w:gridSpan w:val="8"/>
          </w:tcPr>
          <w:p>
            <w:pPr>
              <w:ind w:left="1260"/>
              <w:spacing w:after="0"/>
              <w:rPr>
                <w:sz w:val="20"/>
                <w:szCs w:val="20"/>
                <w:color w:val="auto"/>
              </w:rPr>
            </w:pPr>
            <w:r>
              <w:rPr>
                <w:rFonts w:ascii="Times New Roman" w:cs="Times New Roman" w:eastAsia="Times New Roman" w:hAnsi="Times New Roman"/>
                <w:sz w:val="18"/>
                <w:szCs w:val="18"/>
                <w:color w:val="auto"/>
              </w:rPr>
              <w:t>The indenture governing the notes contains covenants that, among other things, limit our</w:t>
            </w:r>
          </w:p>
        </w:tc>
      </w:tr>
      <w:tr>
        <w:trPr>
          <w:trHeight w:val="234"/>
        </w:trPr>
        <w:tc>
          <w:tcPr>
            <w:tcW w:w="2940" w:type="dxa"/>
            <w:vAlign w:val="bottom"/>
          </w:tcPr>
          <w:p>
            <w:pPr>
              <w:spacing w:after="0"/>
              <w:rPr>
                <w:sz w:val="20"/>
                <w:szCs w:val="20"/>
                <w:color w:val="auto"/>
              </w:rPr>
            </w:pPr>
          </w:p>
        </w:tc>
        <w:tc>
          <w:tcPr>
            <w:tcW w:w="21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ability to:</w:t>
            </w: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103" w:lineRule="exact"/>
        <w:rPr>
          <w:sz w:val="20"/>
          <w:szCs w:val="20"/>
          <w:color w:val="auto"/>
        </w:rPr>
      </w:pPr>
    </w:p>
    <w:p>
      <w:pPr>
        <w:ind w:left="4820" w:right="120" w:hanging="159"/>
        <w:spacing w:after="0" w:line="282" w:lineRule="auto"/>
        <w:tabs>
          <w:tab w:leader="none" w:pos="4800" w:val="left"/>
        </w:tabs>
        <w:rPr>
          <w:sz w:val="20"/>
          <w:szCs w:val="20"/>
          <w:color w:val="auto"/>
        </w:rPr>
      </w:pPr>
      <w:r>
        <w:rPr>
          <w:rFonts w:ascii="Times New Roman" w:cs="Times New Roman" w:eastAsia="Times New Roman" w:hAnsi="Times New Roman"/>
          <w:sz w:val="18"/>
          <w:szCs w:val="18"/>
          <w:color w:val="auto"/>
        </w:rPr>
        <w:t>•</w:t>
        <w:tab/>
        <w:t>incur, create, assume or guarantee any debt for borrowed money secured by a lien upon our principal properties (as defined herein);</w:t>
      </w:r>
    </w:p>
    <w:p>
      <w:pPr>
        <w:spacing w:after="0" w:line="67" w:lineRule="exact"/>
        <w:rPr>
          <w:sz w:val="20"/>
          <w:szCs w:val="20"/>
          <w:color w:val="auto"/>
        </w:rPr>
      </w:pPr>
    </w:p>
    <w:p>
      <w:pPr>
        <w:ind w:left="4820" w:right="300" w:hanging="159"/>
        <w:spacing w:after="0" w:line="282" w:lineRule="auto"/>
        <w:tabs>
          <w:tab w:leader="none" w:pos="4800" w:val="left"/>
        </w:tabs>
        <w:rPr>
          <w:sz w:val="20"/>
          <w:szCs w:val="20"/>
          <w:color w:val="auto"/>
        </w:rPr>
      </w:pPr>
      <w:r>
        <w:rPr>
          <w:rFonts w:ascii="Times New Roman" w:cs="Times New Roman" w:eastAsia="Times New Roman" w:hAnsi="Times New Roman"/>
          <w:sz w:val="18"/>
          <w:szCs w:val="18"/>
          <w:color w:val="auto"/>
        </w:rPr>
        <w:t>•</w:t>
        <w:tab/>
        <w:t>enter into sale and lease back transactions with respect to our principal properties (as defined herein); and</w:t>
      </w:r>
    </w:p>
    <w:p>
      <w:pPr>
        <w:spacing w:after="0" w:line="67" w:lineRule="exact"/>
        <w:rPr>
          <w:sz w:val="20"/>
          <w:szCs w:val="20"/>
          <w:color w:val="auto"/>
        </w:rPr>
      </w:pPr>
    </w:p>
    <w:p>
      <w:pPr>
        <w:ind w:left="4820" w:hanging="159"/>
        <w:spacing w:after="0" w:line="282" w:lineRule="auto"/>
        <w:tabs>
          <w:tab w:leader="none" w:pos="4800" w:val="left"/>
        </w:tabs>
        <w:rPr>
          <w:sz w:val="20"/>
          <w:szCs w:val="20"/>
          <w:color w:val="auto"/>
        </w:rPr>
      </w:pPr>
      <w:r>
        <w:rPr>
          <w:rFonts w:ascii="Times New Roman" w:cs="Times New Roman" w:eastAsia="Times New Roman" w:hAnsi="Times New Roman"/>
          <w:sz w:val="18"/>
          <w:szCs w:val="18"/>
          <w:color w:val="auto"/>
        </w:rPr>
        <w:t>•</w:t>
        <w:tab/>
        <w:t>consolidate with or merge into, or transfer or lease all or substantially all of our assets to, any other party.</w:t>
      </w:r>
    </w:p>
    <w:p>
      <w:pPr>
        <w:spacing w:after="0" w:line="189" w:lineRule="exact"/>
        <w:rPr>
          <w:sz w:val="20"/>
          <w:szCs w:val="20"/>
          <w:color w:val="auto"/>
        </w:rPr>
      </w:pPr>
    </w:p>
    <w:p>
      <w:pPr>
        <w:ind w:left="4400" w:right="60"/>
        <w:spacing w:after="0" w:line="258" w:lineRule="auto"/>
        <w:rPr>
          <w:sz w:val="20"/>
          <w:szCs w:val="20"/>
          <w:color w:val="auto"/>
        </w:rPr>
      </w:pPr>
      <w:r>
        <w:rPr>
          <w:rFonts w:ascii="Times New Roman" w:cs="Times New Roman" w:eastAsia="Times New Roman" w:hAnsi="Times New Roman"/>
          <w:sz w:val="18"/>
          <w:szCs w:val="18"/>
          <w:color w:val="auto"/>
        </w:rPr>
        <w:t>As of October 31, 2015, we did not have any principal properties (as defined herein). These covenants are subject to important exceptions and qualifications that are described under the heading “Description of the Notes — Limitation on Liens,” “— Limitation on Sale and Lease Back Transactions” and “— Limitation on Mergers and Other Transactions”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240"/>
          </w:cols>
          <w:pgMar w:left="240" w:top="455" w:right="419" w:bottom="1440" w:gutter="0" w:footer="0" w:header="0"/>
        </w:sectPr>
      </w:pPr>
    </w:p>
    <w:bookmarkStart w:id="7" w:name="page8"/>
    <w:bookmarkEnd w:id="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76465" cy="6109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6109970"/>
                    </a:xfrm>
                    <a:prstGeom prst="rect">
                      <a:avLst/>
                    </a:prstGeom>
                    <a:noFill/>
                  </pic:spPr>
                </pic:pic>
              </a:graphicData>
            </a:graphic>
          </wp:anchor>
        </w:drawing>
      </w:r>
    </w:p>
    <w:p>
      <w:pPr>
        <w:sectPr>
          <w:pgSz w:w="11900" w:h="16838" w:orient="portrait"/>
          <w:cols w:equalWidth="0" w:num="1">
            <w:col w:w="11260"/>
          </w:cols>
          <w:pgMar w:left="240" w:top="455" w:right="39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280" w:hanging="81"/>
        <w:spacing w:after="0" w:line="282" w:lineRule="auto"/>
        <w:rPr>
          <w:sz w:val="20"/>
          <w:szCs w:val="20"/>
          <w:color w:val="auto"/>
        </w:rPr>
      </w:pPr>
      <w:r>
        <w:rPr>
          <w:rFonts w:ascii="Times New Roman" w:cs="Times New Roman" w:eastAsia="Times New Roman" w:hAnsi="Times New Roman"/>
          <w:sz w:val="18"/>
          <w:szCs w:val="18"/>
          <w:color w:val="auto"/>
        </w:rPr>
        <w:t>Repurchase offer upon a change of control triggering event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we experience a “Change of Control Triggering Event” (as defined in “Description of the Notes — Change of Control Offer”), we will be required, unless we have exercised our option to redeem the notes or have defeased or satisfied and discharged the notes, to offer to purchase the notes at a purchase price equal to 101% of their principal amount plus accrued and unpaid interest, if any.</w:t>
      </w:r>
    </w:p>
    <w:p>
      <w:pPr>
        <w:spacing w:after="0" w:line="200" w:lineRule="exact"/>
        <w:rPr>
          <w:sz w:val="20"/>
          <w:szCs w:val="20"/>
          <w:color w:val="auto"/>
        </w:rPr>
      </w:pPr>
    </w:p>
    <w:p>
      <w:pPr>
        <w:sectPr>
          <w:pgSz w:w="11900" w:h="16838" w:orient="portrait"/>
          <w:cols w:equalWidth="0" w:num="2">
            <w:col w:w="4020" w:space="380"/>
            <w:col w:w="6860"/>
          </w:cols>
          <w:pgMar w:left="240" w:top="455" w:right="399" w:bottom="1440" w:gutter="0" w:footer="0" w:header="0"/>
          <w:type w:val="continuous"/>
        </w:sectPr>
      </w:pPr>
    </w:p>
    <w:p>
      <w:pPr>
        <w:spacing w:after="0" w:line="1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286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At any time prior to</w:t>
            </w:r>
          </w:p>
        </w:tc>
        <w:tc>
          <w:tcPr>
            <w:tcW w:w="240" w:type="dxa"/>
            <w:vAlign w:val="bottom"/>
          </w:tcPr>
          <w:p>
            <w:pPr>
              <w:spacing w:after="0"/>
              <w:rPr>
                <w:sz w:val="18"/>
                <w:szCs w:val="18"/>
                <w:color w:val="auto"/>
              </w:rPr>
            </w:pP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months prior to maturity) in the case of the</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Notes,</w:t>
            </w:r>
          </w:p>
        </w:tc>
      </w:tr>
      <w:tr>
        <w:trPr>
          <w:trHeight w:val="216"/>
        </w:trPr>
        <w:tc>
          <w:tcPr>
            <w:tcW w:w="2840" w:type="dxa"/>
            <w:vAlign w:val="bottom"/>
          </w:tcPr>
          <w:p>
            <w:pPr>
              <w:spacing w:after="0"/>
              <w:rPr>
                <w:sz w:val="18"/>
                <w:szCs w:val="18"/>
                <w:color w:val="auto"/>
              </w:rPr>
            </w:pPr>
          </w:p>
        </w:tc>
        <w:tc>
          <w:tcPr>
            <w:tcW w:w="18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and</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months prior to maturity) in the case of the</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Notes, we will have the</w:t>
            </w:r>
          </w:p>
        </w:tc>
      </w:tr>
      <w:tr>
        <w:trPr>
          <w:trHeight w:val="216"/>
        </w:trPr>
        <w:tc>
          <w:tcPr>
            <w:tcW w:w="2840" w:type="dxa"/>
            <w:vAlign w:val="bottom"/>
          </w:tcPr>
          <w:p>
            <w:pPr>
              <w:spacing w:after="0"/>
              <w:rPr>
                <w:sz w:val="18"/>
                <w:szCs w:val="18"/>
                <w:color w:val="auto"/>
              </w:rPr>
            </w:pPr>
          </w:p>
        </w:tc>
        <w:tc>
          <w:tcPr>
            <w:tcW w:w="8200" w:type="dxa"/>
            <w:vAlign w:val="bottom"/>
            <w:gridSpan w:val="11"/>
          </w:tcPr>
          <w:p>
            <w:pPr>
              <w:ind w:left="1360"/>
              <w:spacing w:after="0"/>
              <w:rPr>
                <w:sz w:val="20"/>
                <w:szCs w:val="20"/>
                <w:color w:val="auto"/>
              </w:rPr>
            </w:pPr>
            <w:r>
              <w:rPr>
                <w:rFonts w:ascii="Times New Roman" w:cs="Times New Roman" w:eastAsia="Times New Roman" w:hAnsi="Times New Roman"/>
                <w:sz w:val="18"/>
                <w:szCs w:val="18"/>
                <w:color w:val="auto"/>
              </w:rPr>
              <w:t>right at our option to redeem the applicable series of notes, at any time and from time to time,</w:t>
            </w:r>
          </w:p>
        </w:tc>
      </w:tr>
      <w:tr>
        <w:trPr>
          <w:trHeight w:val="216"/>
        </w:trPr>
        <w:tc>
          <w:tcPr>
            <w:tcW w:w="2840" w:type="dxa"/>
            <w:vAlign w:val="bottom"/>
          </w:tcPr>
          <w:p>
            <w:pPr>
              <w:spacing w:after="0"/>
              <w:rPr>
                <w:sz w:val="18"/>
                <w:szCs w:val="18"/>
                <w:color w:val="auto"/>
              </w:rPr>
            </w:pPr>
          </w:p>
        </w:tc>
        <w:tc>
          <w:tcPr>
            <w:tcW w:w="7580" w:type="dxa"/>
            <w:vAlign w:val="bottom"/>
            <w:gridSpan w:val="10"/>
          </w:tcPr>
          <w:p>
            <w:pPr>
              <w:ind w:left="1360"/>
              <w:spacing w:after="0"/>
              <w:rPr>
                <w:sz w:val="20"/>
                <w:szCs w:val="20"/>
                <w:color w:val="auto"/>
              </w:rPr>
            </w:pPr>
            <w:r>
              <w:rPr>
                <w:rFonts w:ascii="Times New Roman" w:cs="Times New Roman" w:eastAsia="Times New Roman" w:hAnsi="Times New Roman"/>
                <w:sz w:val="18"/>
                <w:szCs w:val="18"/>
                <w:color w:val="auto"/>
                <w:w w:val="99"/>
              </w:rPr>
              <w:t>either in whole or in part, at a redemption price equal to the greater of (1) 100% of the</w:t>
            </w:r>
          </w:p>
        </w:tc>
        <w:tc>
          <w:tcPr>
            <w:tcW w:w="62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8200" w:type="dxa"/>
            <w:vAlign w:val="bottom"/>
            <w:gridSpan w:val="11"/>
          </w:tcPr>
          <w:p>
            <w:pPr>
              <w:ind w:left="1360"/>
              <w:spacing w:after="0"/>
              <w:rPr>
                <w:sz w:val="20"/>
                <w:szCs w:val="20"/>
                <w:color w:val="auto"/>
              </w:rPr>
            </w:pPr>
            <w:r>
              <w:rPr>
                <w:rFonts w:ascii="Times New Roman" w:cs="Times New Roman" w:eastAsia="Times New Roman" w:hAnsi="Times New Roman"/>
                <w:sz w:val="18"/>
                <w:szCs w:val="18"/>
                <w:color w:val="auto"/>
              </w:rPr>
              <w:t>principal amount of the notes to be redeemed and (2) the make-whole redemption price</w:t>
            </w:r>
          </w:p>
        </w:tc>
      </w:tr>
      <w:tr>
        <w:trPr>
          <w:trHeight w:val="216"/>
        </w:trPr>
        <w:tc>
          <w:tcPr>
            <w:tcW w:w="2840" w:type="dxa"/>
            <w:vAlign w:val="bottom"/>
          </w:tcPr>
          <w:p>
            <w:pPr>
              <w:spacing w:after="0"/>
              <w:rPr>
                <w:sz w:val="18"/>
                <w:szCs w:val="18"/>
                <w:color w:val="auto"/>
              </w:rPr>
            </w:pPr>
          </w:p>
        </w:tc>
        <w:tc>
          <w:tcPr>
            <w:tcW w:w="8200" w:type="dxa"/>
            <w:vAlign w:val="bottom"/>
            <w:gridSpan w:val="11"/>
          </w:tcPr>
          <w:p>
            <w:pPr>
              <w:ind w:left="1360"/>
              <w:spacing w:after="0"/>
              <w:rPr>
                <w:sz w:val="20"/>
                <w:szCs w:val="20"/>
                <w:color w:val="auto"/>
              </w:rPr>
            </w:pPr>
            <w:r>
              <w:rPr>
                <w:rFonts w:ascii="Times New Roman" w:cs="Times New Roman" w:eastAsia="Times New Roman" w:hAnsi="Times New Roman"/>
                <w:sz w:val="18"/>
                <w:szCs w:val="18"/>
                <w:color w:val="auto"/>
              </w:rPr>
              <w:t>described in “Description of the Notes — Optional Redemption,” plus accrued and unpaid</w:t>
            </w:r>
          </w:p>
        </w:tc>
      </w:tr>
      <w:tr>
        <w:trPr>
          <w:trHeight w:val="234"/>
        </w:trPr>
        <w:tc>
          <w:tcPr>
            <w:tcW w:w="2840" w:type="dxa"/>
            <w:vAlign w:val="bottom"/>
          </w:tcPr>
          <w:p>
            <w:pPr>
              <w:spacing w:after="0"/>
              <w:rPr>
                <w:sz w:val="20"/>
                <w:szCs w:val="20"/>
                <w:color w:val="auto"/>
              </w:rPr>
            </w:pPr>
          </w:p>
        </w:tc>
        <w:tc>
          <w:tcPr>
            <w:tcW w:w="6220" w:type="dxa"/>
            <w:vAlign w:val="bottom"/>
            <w:gridSpan w:val="9"/>
          </w:tcPr>
          <w:p>
            <w:pPr>
              <w:ind w:left="1360"/>
              <w:spacing w:after="0"/>
              <w:rPr>
                <w:sz w:val="20"/>
                <w:szCs w:val="20"/>
                <w:color w:val="auto"/>
              </w:rPr>
            </w:pPr>
            <w:r>
              <w:rPr>
                <w:rFonts w:ascii="Times New Roman" w:cs="Times New Roman" w:eastAsia="Times New Roman" w:hAnsi="Times New Roman"/>
                <w:sz w:val="18"/>
                <w:szCs w:val="18"/>
                <w:color w:val="auto"/>
              </w:rPr>
              <w:t>interest thereon to but excluding the date of redemption.</w:t>
            </w:r>
          </w:p>
        </w:tc>
        <w:tc>
          <w:tcPr>
            <w:tcW w:w="13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41"/>
        </w:trPr>
        <w:tc>
          <w:tcPr>
            <w:tcW w:w="2840" w:type="dxa"/>
            <w:vAlign w:val="bottom"/>
          </w:tcPr>
          <w:p>
            <w:pPr>
              <w:spacing w:after="0"/>
              <w:rPr>
                <w:sz w:val="24"/>
                <w:szCs w:val="24"/>
                <w:color w:val="auto"/>
              </w:rPr>
            </w:pPr>
          </w:p>
        </w:tc>
        <w:tc>
          <w:tcPr>
            <w:tcW w:w="3100" w:type="dxa"/>
            <w:vAlign w:val="bottom"/>
            <w:gridSpan w:val="4"/>
          </w:tcPr>
          <w:p>
            <w:pPr>
              <w:ind w:left="1360"/>
              <w:spacing w:after="0"/>
              <w:rPr>
                <w:sz w:val="20"/>
                <w:szCs w:val="20"/>
                <w:color w:val="auto"/>
              </w:rPr>
            </w:pPr>
            <w:r>
              <w:rPr>
                <w:rFonts w:ascii="Times New Roman" w:cs="Times New Roman" w:eastAsia="Times New Roman" w:hAnsi="Times New Roman"/>
                <w:sz w:val="18"/>
                <w:szCs w:val="18"/>
                <w:color w:val="auto"/>
              </w:rPr>
              <w:t>At any time on or after</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months prior to maturity) in the case of</w:t>
            </w:r>
          </w:p>
        </w:tc>
        <w:tc>
          <w:tcPr>
            <w:tcW w:w="620" w:type="dxa"/>
            <w:vAlign w:val="bottom"/>
          </w:tcPr>
          <w:p>
            <w:pPr>
              <w:spacing w:after="0"/>
              <w:rPr>
                <w:sz w:val="24"/>
                <w:szCs w:val="24"/>
                <w:color w:val="auto"/>
              </w:rPr>
            </w:pPr>
          </w:p>
        </w:tc>
      </w:tr>
      <w:tr>
        <w:trPr>
          <w:trHeight w:val="216"/>
        </w:trPr>
        <w:tc>
          <w:tcPr>
            <w:tcW w:w="2840" w:type="dxa"/>
            <w:vAlign w:val="bottom"/>
          </w:tcPr>
          <w:p>
            <w:pPr>
              <w:spacing w:after="0"/>
              <w:rPr>
                <w:sz w:val="18"/>
                <w:szCs w:val="18"/>
                <w:color w:val="auto"/>
              </w:rPr>
            </w:pPr>
          </w:p>
        </w:tc>
        <w:tc>
          <w:tcPr>
            <w:tcW w:w="18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the</w:t>
            </w: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Notes, and on or after</w:t>
            </w: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months prior to maturity) in the case of</w:t>
            </w:r>
          </w:p>
        </w:tc>
      </w:tr>
      <w:tr>
        <w:trPr>
          <w:trHeight w:val="216"/>
        </w:trPr>
        <w:tc>
          <w:tcPr>
            <w:tcW w:w="2840" w:type="dxa"/>
            <w:vAlign w:val="bottom"/>
          </w:tcPr>
          <w:p>
            <w:pPr>
              <w:spacing w:after="0"/>
              <w:rPr>
                <w:sz w:val="18"/>
                <w:szCs w:val="18"/>
                <w:color w:val="auto"/>
              </w:rPr>
            </w:pPr>
          </w:p>
        </w:tc>
        <w:tc>
          <w:tcPr>
            <w:tcW w:w="18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the</w:t>
            </w:r>
          </w:p>
        </w:tc>
        <w:tc>
          <w:tcPr>
            <w:tcW w:w="632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Notes, we will have the right at our option to redeem the applicable series of notes, at</w:t>
            </w:r>
          </w:p>
        </w:tc>
      </w:tr>
      <w:tr>
        <w:trPr>
          <w:trHeight w:val="216"/>
        </w:trPr>
        <w:tc>
          <w:tcPr>
            <w:tcW w:w="2840" w:type="dxa"/>
            <w:vAlign w:val="bottom"/>
          </w:tcPr>
          <w:p>
            <w:pPr>
              <w:spacing w:after="0"/>
              <w:rPr>
                <w:sz w:val="18"/>
                <w:szCs w:val="18"/>
                <w:color w:val="auto"/>
              </w:rPr>
            </w:pPr>
          </w:p>
        </w:tc>
        <w:tc>
          <w:tcPr>
            <w:tcW w:w="8200" w:type="dxa"/>
            <w:vAlign w:val="bottom"/>
            <w:gridSpan w:val="11"/>
          </w:tcPr>
          <w:p>
            <w:pPr>
              <w:ind w:left="1360"/>
              <w:spacing w:after="0"/>
              <w:rPr>
                <w:sz w:val="20"/>
                <w:szCs w:val="20"/>
                <w:color w:val="auto"/>
              </w:rPr>
            </w:pPr>
            <w:r>
              <w:rPr>
                <w:rFonts w:ascii="Times New Roman" w:cs="Times New Roman" w:eastAsia="Times New Roman" w:hAnsi="Times New Roman"/>
                <w:sz w:val="18"/>
                <w:szCs w:val="18"/>
                <w:color w:val="auto"/>
              </w:rPr>
              <w:t>any time and from time to time, either in whole or in part, at a redemption price equal to 100%</w:t>
            </w:r>
          </w:p>
        </w:tc>
      </w:tr>
      <w:tr>
        <w:trPr>
          <w:trHeight w:val="216"/>
        </w:trPr>
        <w:tc>
          <w:tcPr>
            <w:tcW w:w="2840" w:type="dxa"/>
            <w:vAlign w:val="bottom"/>
          </w:tcPr>
          <w:p>
            <w:pPr>
              <w:spacing w:after="0"/>
              <w:rPr>
                <w:sz w:val="18"/>
                <w:szCs w:val="18"/>
                <w:color w:val="auto"/>
              </w:rPr>
            </w:pPr>
          </w:p>
        </w:tc>
        <w:tc>
          <w:tcPr>
            <w:tcW w:w="8200" w:type="dxa"/>
            <w:vAlign w:val="bottom"/>
            <w:gridSpan w:val="11"/>
          </w:tcPr>
          <w:p>
            <w:pPr>
              <w:ind w:left="1360"/>
              <w:spacing w:after="0"/>
              <w:rPr>
                <w:sz w:val="20"/>
                <w:szCs w:val="20"/>
                <w:color w:val="auto"/>
              </w:rPr>
            </w:pPr>
            <w:r>
              <w:rPr>
                <w:rFonts w:ascii="Times New Roman" w:cs="Times New Roman" w:eastAsia="Times New Roman" w:hAnsi="Times New Roman"/>
                <w:sz w:val="18"/>
                <w:szCs w:val="18"/>
                <w:color w:val="auto"/>
                <w:w w:val="99"/>
              </w:rPr>
              <w:t>of the principal amount of the notes to be redeemed plus accrued and unpaid interest thereon to</w:t>
            </w:r>
          </w:p>
        </w:tc>
      </w:tr>
      <w:tr>
        <w:trPr>
          <w:trHeight w:val="234"/>
        </w:trPr>
        <w:tc>
          <w:tcPr>
            <w:tcW w:w="2840" w:type="dxa"/>
            <w:vAlign w:val="bottom"/>
          </w:tcPr>
          <w:p>
            <w:pPr>
              <w:spacing w:after="0"/>
              <w:rPr>
                <w:sz w:val="20"/>
                <w:szCs w:val="20"/>
                <w:color w:val="auto"/>
              </w:rPr>
            </w:pPr>
          </w:p>
        </w:tc>
        <w:tc>
          <w:tcPr>
            <w:tcW w:w="8200" w:type="dxa"/>
            <w:vAlign w:val="bottom"/>
            <w:gridSpan w:val="11"/>
          </w:tcPr>
          <w:p>
            <w:pPr>
              <w:ind w:left="1360"/>
              <w:spacing w:after="0"/>
              <w:rPr>
                <w:sz w:val="20"/>
                <w:szCs w:val="20"/>
                <w:color w:val="auto"/>
              </w:rPr>
            </w:pPr>
            <w:r>
              <w:rPr>
                <w:rFonts w:ascii="Times New Roman" w:cs="Times New Roman" w:eastAsia="Times New Roman" w:hAnsi="Times New Roman"/>
                <w:sz w:val="18"/>
                <w:szCs w:val="18"/>
                <w:color w:val="auto"/>
                <w:w w:val="99"/>
              </w:rPr>
              <w:t>but excluding the date of redemption. See “Description of the Notes — Optional Redemption.”</w:t>
            </w:r>
          </w:p>
        </w:tc>
      </w:tr>
      <w:tr>
        <w:trPr>
          <w:trHeight w:val="459"/>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Sinking fund</w:t>
            </w:r>
          </w:p>
        </w:tc>
        <w:tc>
          <w:tcPr>
            <w:tcW w:w="18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None.</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7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8200" w:type="dxa"/>
            <w:vAlign w:val="bottom"/>
            <w:gridSpan w:val="11"/>
          </w:tcPr>
          <w:p>
            <w:pPr>
              <w:ind w:left="1360"/>
              <w:spacing w:after="0"/>
              <w:rPr>
                <w:sz w:val="20"/>
                <w:szCs w:val="20"/>
                <w:color w:val="auto"/>
              </w:rPr>
            </w:pPr>
            <w:r>
              <w:rPr>
                <w:rFonts w:ascii="Times New Roman" w:cs="Times New Roman" w:eastAsia="Times New Roman" w:hAnsi="Times New Roman"/>
                <w:sz w:val="18"/>
                <w:szCs w:val="18"/>
                <w:color w:val="auto"/>
              </w:rPr>
              <w:t>We estimate that the net proceeds we will receive from this offering will be approximately</w:t>
            </w:r>
          </w:p>
        </w:tc>
      </w:tr>
    </w:tbl>
    <w:p>
      <w:pPr>
        <w:ind w:left="4400" w:hanging="3"/>
        <w:spacing w:after="0" w:line="251" w:lineRule="auto"/>
        <w:tabs>
          <w:tab w:leader="none" w:pos="48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after deducting estimated expenses and underwriting discounts and commissions. We intend to use approximately $378 million of the net proceeds to redeem all of the $375 million aggregate principal amount of our 2016 notes outstanding. We intend to use the remaining net proceeds from this offering for general corporate purposes, which may include capital expenditures, repurchases of our common stock under our stock repurchase program, repayment or refinancing of existing indebtedness and dividend payments. In addition, from time to time we review and engage in discussions regarding potential acquisitions of businesses, assets, products and technologies. We are currently engaged in discussions regarding a potential acquisition of a complementary business for a total purchase price under $1 billion, but have not yet reached any binding agreement. We do not expect that this acquisition, if consummated, would result in the required filing under SEC rules of any historical financial statements of the acquired business. If such acquisition is consummated, we intend to use a portion of the proceeds of this offering to finance such acquisition. See “Use of Proceeds.”</w:t>
      </w:r>
    </w:p>
    <w:p>
      <w:pPr>
        <w:spacing w:after="0" w:line="219" w:lineRule="exact"/>
        <w:rPr>
          <w:sz w:val="20"/>
          <w:szCs w:val="20"/>
          <w:color w:val="auto"/>
        </w:rPr>
      </w:pPr>
    </w:p>
    <w:p>
      <w:pPr>
        <w:ind w:left="200"/>
        <w:spacing w:after="0"/>
        <w:tabs>
          <w:tab w:leader="none" w:pos="4380" w:val="left"/>
        </w:tabs>
        <w:rPr>
          <w:sz w:val="20"/>
          <w:szCs w:val="20"/>
          <w:color w:val="auto"/>
        </w:rPr>
      </w:pPr>
      <w:r>
        <w:rPr>
          <w:rFonts w:ascii="Times New Roman" w:cs="Times New Roman" w:eastAsia="Times New Roman" w:hAnsi="Times New Roman"/>
          <w:sz w:val="18"/>
          <w:szCs w:val="18"/>
          <w:color w:val="auto"/>
        </w:rPr>
        <w:t>Denominations and form</w:t>
      </w:r>
      <w:r>
        <w:rPr>
          <w:sz w:val="20"/>
          <w:szCs w:val="20"/>
          <w:color w:val="auto"/>
        </w:rPr>
        <w:tab/>
      </w:r>
      <w:r>
        <w:rPr>
          <w:rFonts w:ascii="Times New Roman" w:cs="Times New Roman" w:eastAsia="Times New Roman" w:hAnsi="Times New Roman"/>
          <w:sz w:val="17"/>
          <w:szCs w:val="17"/>
          <w:color w:val="auto"/>
        </w:rPr>
        <w:t>We will issue the notes in the form of one or more fully registered global notes registered in</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the name of the nominee of The Depository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260"/>
          </w:cols>
          <w:pgMar w:left="240" w:top="455" w:right="39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475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4756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right="120"/>
        <w:spacing w:after="0" w:line="282" w:lineRule="auto"/>
        <w:rPr>
          <w:sz w:val="20"/>
          <w:szCs w:val="20"/>
          <w:color w:val="auto"/>
        </w:rPr>
      </w:pPr>
      <w:r>
        <w:rPr>
          <w:rFonts w:ascii="Times New Roman" w:cs="Times New Roman" w:eastAsia="Times New Roman" w:hAnsi="Times New Roman"/>
          <w:sz w:val="18"/>
          <w:szCs w:val="18"/>
          <w:color w:val="auto"/>
        </w:rPr>
        <w:t>Trust Company (DTC). The notes will be issued in minimum denominations of $2,000 and in integral multiples of $1,000 in excess thereof.</w:t>
      </w:r>
    </w:p>
    <w:p>
      <w:pPr>
        <w:sectPr>
          <w:pgSz w:w="11900" w:h="16838" w:orient="portrait"/>
          <w:cols w:equalWidth="0" w:num="1">
            <w:col w:w="11260"/>
          </w:cols>
          <w:pgMar w:left="240" w:top="455" w:right="399" w:bottom="1440" w:gutter="0" w:footer="0" w:header="0"/>
        </w:sectPr>
      </w:pP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 listing</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do not intend to apply for the listing of the notes on any securities exchange or for the quotation of the notes in any dealer quotation system.</w:t>
      </w:r>
    </w:p>
    <w:p>
      <w:pPr>
        <w:spacing w:after="0" w:line="189" w:lineRule="exact"/>
        <w:rPr>
          <w:sz w:val="20"/>
          <w:szCs w:val="20"/>
          <w:color w:val="auto"/>
        </w:rPr>
      </w:pPr>
    </w:p>
    <w:p>
      <w:pPr>
        <w:sectPr>
          <w:pgSz w:w="11900" w:h="16838" w:orient="portrait"/>
          <w:cols w:equalWidth="0" w:num="2">
            <w:col w:w="3680" w:space="720"/>
            <w:col w:w="6860"/>
          </w:cols>
          <w:pgMar w:left="240" w:top="455" w:right="39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40"/>
        <w:spacing w:after="0" w:line="261" w:lineRule="auto"/>
        <w:rPr>
          <w:sz w:val="20"/>
          <w:szCs w:val="20"/>
          <w:color w:val="auto"/>
        </w:rPr>
      </w:pPr>
      <w:r>
        <w:rPr>
          <w:rFonts w:ascii="Times New Roman" w:cs="Times New Roman" w:eastAsia="Times New Roman" w:hAnsi="Times New Roman"/>
          <w:sz w:val="18"/>
          <w:szCs w:val="18"/>
          <w:color w:val="auto"/>
        </w:rPr>
        <w:t>An investment in the notes involves risks. You should carefully consider the information set forth in the section of this prospectus supplement entitled “Risk Factors” beginning on page S-7, as well as other information included or incorporated by reference in this prospectus supplement and the accompanying prospectus before deciding whether to invest in the notes.</w:t>
      </w:r>
    </w:p>
    <w:p>
      <w:pPr>
        <w:spacing w:after="0" w:line="200" w:lineRule="exact"/>
        <w:rPr>
          <w:sz w:val="20"/>
          <w:szCs w:val="20"/>
          <w:color w:val="auto"/>
        </w:rPr>
      </w:pPr>
    </w:p>
    <w:p>
      <w:pPr>
        <w:sectPr>
          <w:pgSz w:w="11900" w:h="16838" w:orient="portrait"/>
          <w:cols w:equalWidth="0" w:num="2">
            <w:col w:w="3680" w:space="720"/>
            <w:col w:w="6860"/>
          </w:cols>
          <w:pgMar w:left="240" w:top="455" w:right="399" w:bottom="1440" w:gutter="0" w:footer="0" w:header="0"/>
          <w:type w:val="continuous"/>
        </w:sectPr>
      </w:pP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Trustee, registrar and paying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Bank of New York Mellon Trust Company, N.A.</w:t>
      </w:r>
    </w:p>
    <w:p>
      <w:pPr>
        <w:spacing w:after="0" w:line="200" w:lineRule="exact"/>
        <w:rPr>
          <w:sz w:val="20"/>
          <w:szCs w:val="20"/>
          <w:color w:val="auto"/>
        </w:rPr>
      </w:pPr>
    </w:p>
    <w:p>
      <w:pPr>
        <w:sectPr>
          <w:pgSz w:w="11900" w:h="16838" w:orient="portrait"/>
          <w:cols w:equalWidth="0" w:num="2">
            <w:col w:w="3680" w:space="720"/>
            <w:col w:w="6860"/>
          </w:cols>
          <w:pgMar w:left="240" w:top="455" w:right="39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Governing law</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indenture and the notes will be governed by the laws of the State of New York.</w:t>
      </w:r>
    </w:p>
    <w:p>
      <w:pPr>
        <w:spacing w:after="0" w:line="211" w:lineRule="exact"/>
        <w:rPr>
          <w:sz w:val="20"/>
          <w:szCs w:val="20"/>
          <w:color w:val="auto"/>
        </w:rPr>
      </w:pPr>
    </w:p>
    <w:p>
      <w:pPr>
        <w:sectPr>
          <w:pgSz w:w="11900" w:h="16838" w:orient="portrait"/>
          <w:cols w:equalWidth="0" w:num="2">
            <w:col w:w="3680" w:space="720"/>
            <w:col w:w="6860"/>
          </w:cols>
          <w:pgMar w:left="240" w:top="455" w:right="399" w:bottom="1440" w:gutter="0" w:footer="0" w:header="0"/>
          <w:type w:val="continuous"/>
        </w:sectPr>
      </w:pPr>
    </w:p>
    <w:p>
      <w:pPr>
        <w:spacing w:after="0" w:line="25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Consolidated Ratio of Earnings to Fixed Charges</w:t>
      </w:r>
    </w:p>
    <w:p>
      <w:pPr>
        <w:spacing w:after="0" w:line="229" w:lineRule="exact"/>
        <w:rPr>
          <w:sz w:val="20"/>
          <w:szCs w:val="20"/>
          <w:color w:val="auto"/>
        </w:rPr>
      </w:pPr>
    </w:p>
    <w:p>
      <w:pPr>
        <w:ind w:left="200" w:right="680"/>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consolidated ratio of earnings to fixed charges for each of the periods indicated. You should read this table in conjunction with the consolidated financial statements and notes incorporated by reference in this prospectus supplement and the accompanying prospectus.</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38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9"/>
              </w:rPr>
              <w:t>October 31,</w:t>
            </w: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November 1,</w:t>
            </w:r>
          </w:p>
        </w:tc>
        <w:tc>
          <w:tcPr>
            <w:tcW w:w="18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44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November 3,</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October 29,</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14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7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2015</w:t>
            </w:r>
          </w:p>
        </w:tc>
        <w:tc>
          <w:tcPr>
            <w:tcW w:w="640" w:type="dxa"/>
            <w:vAlign w:val="bottom"/>
          </w:tcPr>
          <w:p>
            <w:pPr>
              <w:spacing w:after="0"/>
              <w:rPr>
                <w:sz w:val="15"/>
                <w:szCs w:val="15"/>
                <w:color w:val="auto"/>
              </w:rPr>
            </w:pPr>
          </w:p>
        </w:tc>
        <w:tc>
          <w:tcPr>
            <w:tcW w:w="78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Pr>
          <w:p>
            <w:pPr>
              <w:spacing w:after="0"/>
              <w:rPr>
                <w:sz w:val="15"/>
                <w:szCs w:val="15"/>
                <w:color w:val="auto"/>
              </w:rPr>
            </w:pPr>
          </w:p>
        </w:tc>
        <w:tc>
          <w:tcPr>
            <w:tcW w:w="1200" w:type="dxa"/>
            <w:vAlign w:val="bottom"/>
            <w:gridSpan w:val="2"/>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2013</w:t>
            </w:r>
          </w:p>
        </w:tc>
        <w:tc>
          <w:tcPr>
            <w:tcW w:w="640" w:type="dxa"/>
            <w:vAlign w:val="bottom"/>
          </w:tcPr>
          <w:p>
            <w:pPr>
              <w:spacing w:after="0"/>
              <w:rPr>
                <w:sz w:val="15"/>
                <w:szCs w:val="15"/>
                <w:color w:val="auto"/>
              </w:rPr>
            </w:pPr>
          </w:p>
        </w:tc>
        <w:tc>
          <w:tcPr>
            <w:tcW w:w="78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2012</w:t>
            </w:r>
          </w:p>
        </w:tc>
        <w:tc>
          <w:tcPr>
            <w:tcW w:w="660" w:type="dxa"/>
            <w:vAlign w:val="bottom"/>
          </w:tcPr>
          <w:p>
            <w:pPr>
              <w:spacing w:after="0"/>
              <w:rPr>
                <w:sz w:val="15"/>
                <w:szCs w:val="15"/>
                <w:color w:val="auto"/>
              </w:rPr>
            </w:pPr>
          </w:p>
        </w:tc>
        <w:tc>
          <w:tcPr>
            <w:tcW w:w="7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Ratio of Earnings to Fixed Charges(1)</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6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6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6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20" w:right="40" w:hanging="423"/>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computing the consolidated ratio of earnings to fixed charges, earnings consist of income before income taxes plus amortization of capitalized interest and fixed charges. Fixed charges consist of interest expense (including an estimate of interest expense within rent expense).</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expect to issue a notice of redemption to redeem all of the $375 million aggregate principal amount of our 3.00% senior unsecured notes due</w:t>
      </w:r>
    </w:p>
    <w:p>
      <w:pPr>
        <w:spacing w:after="0" w:line="27" w:lineRule="exact"/>
        <w:rPr>
          <w:sz w:val="20"/>
          <w:szCs w:val="20"/>
          <w:color w:val="auto"/>
        </w:rPr>
      </w:pPr>
    </w:p>
    <w:p>
      <w:pPr>
        <w:ind w:left="200" w:right="80"/>
        <w:spacing w:after="0" w:line="255" w:lineRule="auto"/>
        <w:rPr>
          <w:sz w:val="20"/>
          <w:szCs w:val="20"/>
          <w:color w:val="auto"/>
        </w:rPr>
      </w:pPr>
      <w:r>
        <w:rPr>
          <w:rFonts w:ascii="Times New Roman" w:cs="Times New Roman" w:eastAsia="Times New Roman" w:hAnsi="Times New Roman"/>
          <w:sz w:val="18"/>
          <w:szCs w:val="18"/>
          <w:color w:val="auto"/>
        </w:rPr>
        <w:t>April 15, 2016 (the 2016 notes) at the redemption price specified in the indenture governing the 2016 notes. We intend to provide a notice of redemption to the holders of the 2016 notes on or about December 3, 2015 and to redeem the 2016 notes on or about December 18, 2015. We intend to fund the redemption of the 2016 notes with a portion of the net proceeds from this offering. This prospectus supplement is not a notice of redemption.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260"/>
          </w:cols>
          <w:pgMar w:left="240" w:top="455" w:right="39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Before you decide to invest in the notes, you should carefully consider the factors set forth below, as well as the risk factors discussed in our Annual Report on Form 10-K for the fiscal year ended October 31, 2015, which is incorporated by reference in this prospectus supplement and the accompanying prospectus. See “Where You Can Find More Information” in this prospectus supplement. The information contained or incorporated by reference in this prospectus supplement and the accompanying prospectus includes forward-looking statements that involve risks and uncertainties. We refer you to “Forward-Looking Statements” in this prospectus supplement.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unsecured and, therefore, will be effectively subordinated to any of our future secured debt.</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notes will not be secured by any of our assets. As a result, the notes will be effectively subordinated to any of our future secured debt, to the extent of the value of the assets securing that debt. In any liquidation, dissolution, bankruptcy or other similar proceeding involving us, the holders of any of our secured debt may assert rights against our secured assets in order to receive full payment of their debt before such assets may be used to pay the holders of the notes. The terms of the indenture limit our ability to create, incur, assume or permit to exist any liens to secure any of our debt. However, these limitations are subject to numerous exceptions. See “Description of the Notes — Limitation on Liens.” As of October 31, 2015, we did not have any secured debt outstanding. See “Description of the Notes — Ranking.”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indenture does not restrict our ability to incur indebtedness.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2015, we had approximately $873 million of indebtedness outstanding, and after giving effect to this offering, we would have had</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approximately $ of indebtedness outstanding. In addition, we may incur substantial additional indebtedness in the future. In particular, the indenture pursuant to which the notes will be issued does not place any limitation on the amount of indebtedness that we or our subsidiaries may incur. Our incurrence of additional indebtedness may have important consequences for you as a holder of the notes, including, without limitation:</w:t>
      </w:r>
    </w:p>
    <w:p>
      <w:pPr>
        <w:spacing w:after="0" w:line="92" w:lineRule="exact"/>
        <w:rPr>
          <w:sz w:val="20"/>
          <w:szCs w:val="20"/>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additional cash requirements in order to support the payment of interest on our outstanding indebtedness;</w:t>
      </w:r>
    </w:p>
    <w:p>
      <w:pPr>
        <w:spacing w:after="0" w:line="130" w:lineRule="exact"/>
        <w:rPr>
          <w:rFonts w:ascii="Times New Roman" w:cs="Times New Roman" w:eastAsia="Times New Roman" w:hAnsi="Times New Roman"/>
          <w:sz w:val="18"/>
          <w:szCs w:val="18"/>
          <w:color w:val="auto"/>
        </w:rPr>
      </w:pPr>
    </w:p>
    <w:p>
      <w:pPr>
        <w:ind w:left="900" w:right="48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outstanding indebtedness and leverage may increase our vulnerability to adverse changes in general economic and industry conditions, as well as to competitive pressure;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for working capital, capital expenditures, general corporate and other purposes may be limited;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flexibility in planning for, or reacting to, changes in our business and our industry may be limited.</w:t>
      </w:r>
    </w:p>
    <w:p>
      <w:pPr>
        <w:spacing w:after="0" w:line="32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sufficient cash depends on numerous factors beyond our control. If we are unable to generate sufficient cash flow, we may not be able to service our debt obligations, including making payments on the notes.</w:t>
      </w:r>
    </w:p>
    <w:p>
      <w:pPr>
        <w:spacing w:after="0" w:line="5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ability to make payments of principal and interest on our indebtedness depends upon our future performance, which is subject to general economic conditions, industry cycles and financial, business and other factors affecting our consolidated operations, many of which are beyond our control. If we are unable to generate sufficient cash flow from operations in the future to service our debt, we may be required, among other things:</w:t>
      </w:r>
    </w:p>
    <w:p>
      <w:pPr>
        <w:spacing w:after="0" w:line="82"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seek additional financing in the debt or equity markets;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refinance or restructure all or a portion of our indebtedness, including the 2016 notes, the 2023 notes and the notes offered hereby;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 selected assets;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capital expenditures.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Such measures might not be sufficient to enable us to service our debt, including the notes. In addition, any such financing, refinancing or sale of assets might not be available on economically favorable terms.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effectively subordinated to the existing and future liabilities of our subsidiaries.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equity interest in our subsidiaries is subordinate to any debt and other liabilities and commitments of our subsidiaries, whether or not secured. The notes will not be guaranteed by our subsidiaries and we may not have direct access to the assets of our subsidiaries unless such assets are transferred by dividend or otherwise to us. The ability of our subsidiaries to pay dividends or otherwise transfer assets to us is subject to various restrictions under applicable law. Our right to receive assets of any of our subsidiaries upon their bankruptcy, liquidation or reorganization, and therefore the right of the holders of the notes to participate in those assets, will be effectively subordinated to the claims of any such subsidiary’s creditors. In addition, even if we are a creditor of any of our subsidiaries, our rights as a creditor would be subordinate to any security interest in the assets of our subsidiaries and any debt of our subsidiaries that is senior to any debt held by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ratings may not reflect all risks of your investment in the notes.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credit ratings assigned to the notes will be limited in scope, and will not address all material risks relating to an investment in the notes, but rather reflect only the view of each rating agency at the time the rating is issued. An explanation of the significance of such rating may be obtained from such rating agency. There can be no assurance that such credit ratings will remain in effect for any given period of time or that a rating will not be lowered, suspended or withdrawn entirely by the applicable rating agencies, if, in such rating agency’s judgment, circumstances so warrant. Agency credit ratings are not a recommendation to buy, sell or hold any security. Each agency’s rating should be evaluated independently of any other agency’s rating. Actual or anticipated changes or downgrades in our credit ratings, including any announcement that our ratings are under review for a downgrade, could affect the market value of the notes and increase our corporate borrowing costs.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all of the notes upon a change of control triggering event, which would result in a default under the notes.</w:t>
      </w:r>
    </w:p>
    <w:p>
      <w:pPr>
        <w:spacing w:after="0" w:line="121"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We will be required to offer to repurchase each series of notes and any of the outstanding 2016 notes and the 2023 notes upon the occurrence of a change of control triggering event as provided in the indenture governing the notes, the 2016 notes and the 2023 notes. However, we may not have sufficient funds to repurchase the notes, the 2016 notes or the 2023 notes in cash at such time. In addition, our ability to repurchase the notes for cash may be limited by law or the terms or other agreements relating to our indebtedness outstanding at the time. The failure to make such repurchase would result in a default under each series of notes. See “Description of the Notes — Change of Control Offer.”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indenture governing the notes has only limited covenants and these covenants may not protect your investment.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governing the notes does not:</w:t>
      </w:r>
    </w:p>
    <w:p>
      <w:pPr>
        <w:spacing w:after="0" w:line="131" w:lineRule="exact"/>
        <w:rPr>
          <w:sz w:val="20"/>
          <w:szCs w:val="20"/>
          <w:color w:val="auto"/>
        </w:rPr>
      </w:pPr>
    </w:p>
    <w:p>
      <w:pPr>
        <w:ind w:left="900" w:right="32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maintain any financial ratios or specific levels of net worth, revenues, income, cash flows or liquidity and, accordingly, does not protect holders of the notes in the event that we experience significant adverse changes in our financial condition or results of operations;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subsidiaries’ ability to incur indebtedness which would effectively rank senior to the notes;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indebtedness that is equal in right of payment to the notes;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repurchase our common stock; or</w:t>
      </w:r>
    </w:p>
    <w:p>
      <w:pPr>
        <w:spacing w:after="0" w:line="130"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make investments or to pay dividends or make other payments in respect of our common stock or other securities ranking junior to the notes.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380"/>
          </w:cols>
          <w:pgMar w:left="240" w:top="455" w:right="2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Furthermore, the indenture governing the notes contains only limited protections in the event of a change of control triggering event as described in this prospectus supplement. The indenture also permits us and our subsidiaries to incur additional indebtedness, including secured indebtedness, that could effectively rank senior to the notes, and to engage in sale and lease back arrangements, subject to certain limitations.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provisions of the notes will not necessarily protect you in the event of a highly leveraged transaction.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terms of the notes will not necessarily afford you protection in the event of a highly leveraged transaction that may adversely affect you, including a reorganization, recapitalization, restructuring, merger or other similar transaction involving us. As a result, we could enter into any such transaction even though the transaction could increase the total amount of our outstanding indebtedness, adversely affect our capital structure or credit rating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should occur, the value of your notes may decline.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trading markets for the notes may not develop.</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Each series of notes constitutes a new issue of securities, for which there is no existing market. We do not intend to apply for listing of the notes on any securities exchange or for quotation of the notes in any automated dealer quotation system. We cannot provide you with any assurance regarding whether a trading market for any series of notes will develop, the ability of holders of notes of such series to sell their notes or the price at which holders may be able to sell their notes. The underwriters have advised us that they currently intend to make a market in the notes. The underwriters, however, are not obligated to do so, and any market-making with respect to the notes may be discontinued at any time without notice. If no active trading markets develop, you may be unable to resell the notes at any price or at their fair market value.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credit ratings or the debt markets could adversely affect the market prices of the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for any series of notes will depend on many factors, including:</w:t>
      </w:r>
    </w:p>
    <w:p>
      <w:pPr>
        <w:spacing w:after="0" w:line="131"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ratings with major credit rating agencies;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interest rates being paid by other companies similar to 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financial performance and future prospects;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condition of the financial markets.</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condition of the financial markets and prevailing interest rates have fluctuated significantly in the past and are likely to fluctuate in the future. Such fluctuations could have an adverse effect on the price of the notes.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credit rating agencies continually review their ratings for the companies that they follow, including us. A negative change in our rating could have an adverse effect on the price of the notes.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400"/>
          </w:cols>
          <w:pgMar w:left="240" w:top="455" w:right="2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820" w:type="dxa"/>
            <w:vAlign w:val="bottom"/>
            <w:gridSpan w:val="2"/>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40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46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4060" w:type="dxa"/>
            <w:vAlign w:val="bottom"/>
          </w:tcPr>
          <w:p>
            <w:pPr>
              <w:spacing w:after="0"/>
              <w:rPr>
                <w:sz w:val="24"/>
                <w:szCs w:val="24"/>
                <w:color w:val="auto"/>
              </w:rPr>
            </w:pPr>
          </w:p>
        </w:tc>
      </w:tr>
      <w:tr>
        <w:trPr>
          <w:trHeight w:val="432"/>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estimate that the net proceeds we will receive from this offering will be approximately $</w:t>
            </w:r>
          </w:p>
        </w:tc>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 after deducting estimated expenses and underwriting</w:t>
            </w:r>
          </w:p>
        </w:tc>
      </w:tr>
    </w:tbl>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discounts and commissions. We intend to use approximately $378 million of the net proceeds to redeem all of the outstanding 2016 notes in accordance with the indenture governing those notes. As of October 31, 2015, there was $375 million aggregate principal amount of 2016 notes outstanding. The 2016 notes bear interest at a rate of 3.00%, and mature on April 15, 2016. We intend to use the remaining net proceeds from this offering for general corporate purposes, which may include capital expenditures, repurchases of our common stock under our stock repurchase program, repayment or refinancing of debt and dividend payments. In addition, from time to time we review and engage in discussions regarding potential acquisitions of businesses, assets, products and technologies. We are currently engaged in discussions regarding a potential acquisition of a complementary business for a total purchase price under $1 billion, but have not yet reached any binding agreement. We do not expect that this acquisition, if consummated, would result in the required filing under SEC rules of any historical financial statements of the acquired business. If such acquisition is consummated, we intend to use a portion of the proceeds of this offering to finance such acquisition.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400"/>
          </w:cols>
          <w:pgMar w:left="240" w:top="446"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cash, short-term investments and capitalization as of October 31, 2015 on (1) an actual basis and (2) an as-adjusted basis to give effect to the receipt of the estimated net proceeds from the sale of the notes (after deducting estimated expenses and underwriting discounts and commissions) and to the use of proceeds therefrom.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in conjunction with our consolidated financial statements and the notes thereto, which are incorporated herein by reference.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 of October 31, 2015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80" w:type="dxa"/>
            <w:vAlign w:val="bottom"/>
          </w:tcPr>
          <w:p>
            <w:pPr>
              <w:spacing w:after="0"/>
              <w:rPr>
                <w:sz w:val="15"/>
                <w:szCs w:val="15"/>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5"/>
          </w:tcPr>
          <w:p>
            <w:pPr>
              <w:jc w:val="right"/>
              <w:ind w:right="53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equivalents(1)</w:t>
            </w:r>
          </w:p>
        </w:tc>
        <w:tc>
          <w:tcPr>
            <w:tcW w:w="400" w:type="dxa"/>
            <w:vAlign w:val="bottom"/>
            <w:shd w:val="clear" w:color="auto" w:fill="CCEEFF"/>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884,353</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4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2,144,575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2,144,575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3.00% notes due April 15, 2016, at par value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2.875% notes due June 1, 2023, at par value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 notes due</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offered hereby, at par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notes due</w:t>
            </w: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offered hereby, at par value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40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400" w:type="dxa"/>
            <w:vAlign w:val="bottom"/>
            <w:shd w:val="clear" w:color="auto" w:fill="CCEEFF"/>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Preferred stock, $1.00 par value, 471,934 shares authorized, none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$0.16 2/3 par value, 1,200,000,000 shares authorized, 312,060,682 shares issued and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634,484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400" w:type="dxa"/>
            <w:vAlign w:val="bottom"/>
            <w:shd w:val="clear" w:color="auto" w:fill="CCEEFF"/>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4,437,315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4,437,315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(50,851)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00" w:type="dxa"/>
            <w:vAlign w:val="bottom"/>
            <w:shd w:val="clear" w:color="auto" w:fill="CCEEFF"/>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5,072,959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5,072,959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40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7,062,178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use a portion of the net proceeds from the sale of the notes to redeem all of the outstanding 2016 notes on or about December 18, 2015.</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S-11</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following discussion of the terms of the notes supplements the description of the general terms and provisions of the debt securities contained in the accompanying prospectus and identifies any general terms and provisions described in the accompanying prospectus that will not apply to the notes. Certain terms used but not defined in this “Description of the Notes” have the meanings specified in the accompanying prospectus. In this prospectus supplement, we</w:t>
      </w:r>
    </w:p>
    <w:p>
      <w:pPr>
        <w:spacing w:after="0" w:line="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refer to the notes offered hereby as the “notes.” Although for convenience the Notes and the Notes are referred to as “notes,” each will be issued as a separate series and will not together have any class voting rights. Accordingly, for purposes of this “Description of the Notes,” references to “notes” shall be</w:t>
      </w:r>
    </w:p>
    <w:p>
      <w:pPr>
        <w:spacing w:after="0" w:line="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deemed to refer to each series of notes separately, and not to the Notes and the Notes on any combined basis. To the extent this summary differs from the summary in the accompanying prospectus, you should rely on the description of notes in this prospectus supplement.</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When we refer to “we,” “our” and “us” in this section, we mean Analog Devices, Inc., the issuer of the notes, excluding, unless the context otherwise requires or as otherwise expressly stated, our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spacing w:after="0"/>
        <w:tabs>
          <w:tab w:leader="none" w:pos="680" w:val="left"/>
          <w:tab w:leader="none" w:pos="5740" w:val="left"/>
        </w:tabs>
        <w:rPr>
          <w:sz w:val="20"/>
          <w:szCs w:val="20"/>
          <w:color w:val="auto"/>
        </w:rPr>
      </w:pP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Notes will be issued in an initial aggregate principal amount of $</w:t>
      </w:r>
      <w:r>
        <w:rPr>
          <w:sz w:val="20"/>
          <w:szCs w:val="20"/>
          <w:color w:val="auto"/>
        </w:rPr>
        <w:tab/>
      </w:r>
      <w:r>
        <w:rPr>
          <w:rFonts w:ascii="Times New Roman" w:cs="Times New Roman" w:eastAsia="Times New Roman" w:hAnsi="Times New Roman"/>
          <w:sz w:val="17"/>
          <w:szCs w:val="17"/>
          <w:color w:val="auto"/>
        </w:rPr>
        <w:t>million. We will issue the notes under the indenture dated as of June 3, 2013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entered into between The Bank of New York Mellon Trust Company, N.A., as trustee, and us (the “base indenture”), as supplemented by a supplemental</w:t>
      </w:r>
    </w:p>
    <w:p>
      <w:pPr>
        <w:spacing w:after="0" w:line="200" w:lineRule="exact"/>
        <w:rPr>
          <w:sz w:val="20"/>
          <w:szCs w:val="20"/>
          <w:color w:val="auto"/>
        </w:rPr>
      </w:pPr>
    </w:p>
    <w:p>
      <w:pPr>
        <w:spacing w:after="0" w:line="205" w:lineRule="exact"/>
        <w:rPr>
          <w:sz w:val="20"/>
          <w:szCs w:val="20"/>
          <w:color w:val="auto"/>
        </w:rPr>
      </w:pPr>
    </w:p>
    <w:p>
      <w:pPr>
        <w:spacing w:after="0"/>
        <w:tabs>
          <w:tab w:leader="none" w:pos="7160" w:val="left"/>
        </w:tabs>
        <w:rPr>
          <w:sz w:val="20"/>
          <w:szCs w:val="20"/>
          <w:color w:val="auto"/>
        </w:rPr>
      </w:pPr>
      <w:r>
        <w:rPr>
          <w:rFonts w:ascii="Times New Roman" w:cs="Times New Roman" w:eastAsia="Times New Roman" w:hAnsi="Times New Roman"/>
          <w:sz w:val="18"/>
          <w:szCs w:val="18"/>
          <w:color w:val="auto"/>
        </w:rPr>
        <w:t>indenture to be entered into between us and the trustee (together with the base indenture, the “</w:t>
      </w:r>
      <w:r>
        <w:rPr>
          <w:sz w:val="20"/>
          <w:szCs w:val="20"/>
          <w:color w:val="auto"/>
        </w:rPr>
        <w:tab/>
      </w:r>
      <w:r>
        <w:rPr>
          <w:rFonts w:ascii="Times New Roman" w:cs="Times New Roman" w:eastAsia="Times New Roman" w:hAnsi="Times New Roman"/>
          <w:sz w:val="18"/>
          <w:szCs w:val="18"/>
          <w:color w:val="auto"/>
        </w:rPr>
        <w:t>Notes indenture”).</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Notes will be issued in an initial aggregate principal amount of $ million. We will issue the notes under the base indenture, as supplemented by a supplemental indenture to be entered into between us and the trustee (together with the base indenture, the “ Notes indenture”; the Notes indenture and the Notes indenture being collectively referred to herein as the “indentures”).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without the consent of the holders of the applicable series of notes, increase such principal amount of such series in the future, on the same terms and conditions as the notes of such series being offered hereby (except for the issue date, issue price and, in some cases, the first interest payment date and the initial interest accrual date). If any such additional notes of the applicable series are not fungible for United States federal income tax purposes with the notes of the applicable series previously issued, such additional notes will not have the same CUSIP number (or other securities identification number) as the notes of the applicable series previously issued.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the accompanying prospectus for a general discussion of the terms and provisions of the indentures.</w:t>
      </w:r>
    </w:p>
    <w:p>
      <w:pPr>
        <w:sectPr>
          <w:pgSz w:w="11900" w:h="16838" w:orient="portrait"/>
          <w:cols w:equalWidth="0" w:num="1">
            <w:col w:w="11420"/>
          </w:cols>
          <w:pgMar w:left="240" w:top="455" w:right="239" w:bottom="1440" w:gutter="0" w:footer="0" w:header="0"/>
        </w:sectPr>
      </w:pP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The</w:t>
      </w:r>
      <w:r>
        <w:rPr>
          <w:sz w:val="20"/>
          <w:szCs w:val="20"/>
          <w:color w:val="auto"/>
        </w:rPr>
        <w:tab/>
      </w:r>
      <w:r>
        <w:rPr>
          <w:rFonts w:ascii="Times New Roman" w:cs="Times New Roman" w:eastAsia="Times New Roman" w:hAnsi="Times New Roman"/>
          <w:sz w:val="17"/>
          <w:szCs w:val="17"/>
          <w:color w:val="auto"/>
        </w:rPr>
        <w:t>Notes will mature 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and the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will mature 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The notes will not be listed on any securities exchange or quoted</w:t>
      </w:r>
    </w:p>
    <w:p>
      <w:pPr>
        <w:spacing w:after="0" w:line="38" w:lineRule="exact"/>
        <w:rPr>
          <w:sz w:val="20"/>
          <w:szCs w:val="20"/>
          <w:color w:val="auto"/>
        </w:rPr>
      </w:pPr>
    </w:p>
    <w:p>
      <w:pPr>
        <w:sectPr>
          <w:pgSz w:w="11900" w:h="16838" w:orient="portrait"/>
          <w:cols w:equalWidth="0" w:num="6">
            <w:col w:w="2200" w:space="420"/>
            <w:col w:w="40" w:space="400"/>
            <w:col w:w="620" w:space="400"/>
            <w:col w:w="1520" w:space="400"/>
            <w:col w:w="40" w:space="420"/>
            <w:col w:w="496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on any automated quotation system.</w:t>
      </w:r>
    </w:p>
    <w:p>
      <w:pPr>
        <w:sectPr>
          <w:pgSz w:w="11900" w:h="16838" w:orient="portrait"/>
          <w:cols w:equalWidth="0" w:num="1">
            <w:col w:w="11420"/>
          </w:cols>
          <w:pgMar w:left="240" w:top="455" w:right="239" w:bottom="1440" w:gutter="0" w:footer="0" w:header="0"/>
          <w:type w:val="continuous"/>
        </w:sectPr>
      </w:pP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notes will be issued only in registered form without coupons, in denominations of $2,000 and integral multiples of $1,000 in excess thereof. The notes will be available in book-entry form only. No service charge will be made for any registration of transfer or any exchange of notes, but we may require payment of a sum sufficient to cover any transfer tax or similar governmental charge payable in connection therewith.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Each series of notes will be our senior unsecured obligations and will rank without preference or priority among themselves and equally with all of our other existing and future senior unsecured indebtedness, including the 2016 notes and the 2023 notes. Each series of notes will be effectively subordinated to all of our future secured indebtedness to the extent of the assets securing that indebtedness. In addition, each series of notes will be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420"/>
          </w:cols>
          <w:pgMar w:left="240" w:top="455"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structurally subordinated to all existing and future indebtedness and other liabilities and commitments of our Subsidiaries, which are distinct legal entities having no obligation to pay any amounts pursuant to the notes or to make funds available for such purposes.</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any corporation, association or other business entity of which more than 50% of the total voting power of all shares, interests, participations, rights or other equivalents (however designated) of corporate stock entitled (without regard to the occurrence of any contingency) to vote in the election of directors, managers or trustees thereof is at the time owned or controlled, directly or indirectly, by us or one or more of our other Subsidiaries or a combination thereof.</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w:t>
      </w:r>
    </w:p>
    <w:p>
      <w:pPr>
        <w:sectPr>
          <w:pgSz w:w="11900" w:h="16838" w:orient="portrait"/>
          <w:cols w:equalWidth="0" w:num="1">
            <w:col w:w="11400"/>
          </w:cols>
          <w:pgMar w:left="240" w:top="455" w:right="259" w:bottom="1440" w:gutter="0" w:footer="0" w:header="0"/>
        </w:sectPr>
      </w:pP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Notes will bear interest at a rate of % per annum from for interest on the notes. The Notes will bear interest at a rate of which we paid or provided for interest on the notes.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100" w:hanging="26"/>
        <w:spacing w:after="0" w:line="313" w:lineRule="auto"/>
        <w:rPr>
          <w:sz w:val="20"/>
          <w:szCs w:val="20"/>
          <w:color w:val="auto"/>
        </w:rPr>
      </w:pPr>
      <w:r>
        <w:rPr>
          <w:rFonts w:ascii="Times New Roman" w:cs="Times New Roman" w:eastAsia="Times New Roman" w:hAnsi="Times New Roman"/>
          <w:sz w:val="17"/>
          <w:szCs w:val="17"/>
          <w:color w:val="auto"/>
        </w:rPr>
        <w:t>, 2015 or from the most recent interest payment date on which we paid or provided % per annum from , 2015 or from the most recent interest payment date on</w:t>
      </w:r>
    </w:p>
    <w:p>
      <w:pPr>
        <w:spacing w:after="0" w:line="354" w:lineRule="exact"/>
        <w:rPr>
          <w:sz w:val="20"/>
          <w:szCs w:val="20"/>
          <w:color w:val="auto"/>
        </w:rPr>
      </w:pPr>
    </w:p>
    <w:p>
      <w:pPr>
        <w:sectPr>
          <w:pgSz w:w="11900" w:h="16838" w:orient="portrait"/>
          <w:cols w:equalWidth="0" w:num="2">
            <w:col w:w="4960" w:space="400"/>
            <w:col w:w="6040"/>
          </w:cols>
          <w:pgMar w:left="240" w:top="455" w:right="259" w:bottom="1440" w:gutter="0" w:footer="0" w:header="0"/>
          <w:type w:val="continuous"/>
        </w:sect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interest payment dates for the notes will be each and , beginning on , 2016, and interest will be payable to the holders of record on the and (whether or not a business day) immediately preceding the related interest payment date.</w:t>
      </w:r>
    </w:p>
    <w:p>
      <w:pPr>
        <w:sectPr>
          <w:pgSz w:w="11900" w:h="16838" w:orient="portrait"/>
          <w:cols w:equalWidth="0" w:num="1">
            <w:col w:w="11400"/>
          </w:cols>
          <w:pgMar w:left="240" w:top="455" w:right="259" w:bottom="1440" w:gutter="0" w:footer="0" w:header="0"/>
          <w:type w:val="continuous"/>
        </w:sectPr>
      </w:pPr>
    </w:p>
    <w:p>
      <w:pPr>
        <w:spacing w:after="0" w:line="16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Interest on each series of notes will be computed on the basis of a 360-day year comprised of twelve 30-day months. If any interest payment date, date of redemption or the maturity date of a series of notes is not a business day, then payment of interest and/or principal on such notes will be made on the next succeeding business day, and no additional interest will accrue on the amount so payable in respect of such notes for that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Prior to the applicable Par Call Date, we will have the right, at our option, to redeem the notes of the applicable series, at any time and from time to time, either in whole or in part, at a redemption price equal to the greater of the following amounts, plus, in each case, accrued and unpaid interest thereon to but excluding the redemption date:</w:t>
      </w:r>
    </w:p>
    <w:p>
      <w:pPr>
        <w:spacing w:after="0" w:line="82"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and</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such notes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determining the present values of the Remaining Scheduled Payments, such payments shall be discounted to the redemption date on a semi-annual basis</w:t>
      </w:r>
    </w:p>
    <w:p>
      <w:pPr>
        <w:spacing w:after="0" w:line="27" w:lineRule="exact"/>
        <w:rPr>
          <w:sz w:val="20"/>
          <w:szCs w:val="20"/>
          <w:color w:val="auto"/>
        </w:rPr>
      </w:pPr>
    </w:p>
    <w:p>
      <w:pPr>
        <w:ind w:right="800"/>
        <w:spacing w:after="0" w:line="261" w:lineRule="auto"/>
        <w:rPr>
          <w:sz w:val="20"/>
          <w:szCs w:val="20"/>
          <w:color w:val="auto"/>
        </w:rPr>
      </w:pPr>
      <w:r>
        <w:rPr>
          <w:rFonts w:ascii="Times New Roman" w:cs="Times New Roman" w:eastAsia="Times New Roman" w:hAnsi="Times New Roman"/>
          <w:sz w:val="18"/>
          <w:szCs w:val="18"/>
          <w:color w:val="auto"/>
        </w:rPr>
        <w:t>(assuming a 360-day year consisting of twelve 30-day months) using a discount rate equal to the Treasury Rate plus basis points in the case of the Notes and basis points in the case of the Notes.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or after the applicable Par Call Date, we will have the right, at our option, to redeem the notes of the applicable series, at any time and from time to time, either in whole or in part, at a redemption price equal to 100% of the principal amount of the notes to be redeemed plus accrued and unpaid interest to but excluding the redemption date.</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Issue</w:t>
      </w:r>
      <w:r>
        <w:rPr>
          <w:rFonts w:ascii="Times New Roman" w:cs="Times New Roman" w:eastAsia="Times New Roman" w:hAnsi="Times New Roman"/>
          <w:sz w:val="18"/>
          <w:szCs w:val="18"/>
          <w:color w:val="auto"/>
        </w:rPr>
        <w:t>” means, with respect to any notes to be redeemed, the United States Treasury security selected by the Quotation Agent as having an actual or interpolated maturity comparable to the remaining term of the notes to be redeemed (assuming that such notes matured on the applicable Par Call Date) that would be utilized, at the time of selection and in accordance with customary financial practice, in pricing new issues of corporate debt securities of comparable maturity to the remaining term of such notes.</w:t>
      </w:r>
    </w:p>
    <w:p>
      <w:pPr>
        <w:spacing w:after="0" w:line="180"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Price</w:t>
      </w:r>
      <w:r>
        <w:rPr>
          <w:rFonts w:ascii="Times New Roman" w:cs="Times New Roman" w:eastAsia="Times New Roman" w:hAnsi="Times New Roman"/>
          <w:sz w:val="18"/>
          <w:szCs w:val="18"/>
          <w:color w:val="auto"/>
        </w:rPr>
        <w:t>” means, with respect to any redemption date, the arithmetic average of all Reference Treasury Dealer Quotations for such redemption date or, if the Quotation Agent obtains only one Reference Treasury Dealer Quotation, such Reference Treasury Dealer Quotation.</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400"/>
          </w:cols>
          <w:pgMar w:left="240" w:top="455" w:right="25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2">
              <w:r>
                <w:rPr>
                  <w:rFonts w:ascii="Times New Roman" w:cs="Times New Roman" w:eastAsia="Times New Roman" w:hAnsi="Times New Roman"/>
                  <w:sz w:val="18"/>
                  <w:szCs w:val="18"/>
                  <w:b w:val="1"/>
                  <w:bCs w:val="1"/>
                  <w:color w:val="0000EE"/>
                  <w:w w:val="97"/>
                </w:rPr>
                <w:t>Table of Contents</w:t>
              </w:r>
            </w:hyperlink>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515"/>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means</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months prior to maturity) in the case of the</w:t>
            </w:r>
          </w:p>
        </w:tc>
        <w:tc>
          <w:tcPr>
            <w:tcW w:w="1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Notes and</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months prior to maturity) in the case of</w:t>
            </w: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Notes.</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40" w:type="dxa"/>
            <w:vAlign w:val="bottom"/>
          </w:tcPr>
          <w:p>
            <w:pPr>
              <w:spacing w:after="0"/>
              <w:rPr>
                <w:sz w:val="20"/>
                <w:szCs w:val="20"/>
                <w:color w:val="auto"/>
              </w:rPr>
            </w:pPr>
          </w:p>
        </w:tc>
      </w:tr>
    </w:tbl>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Quotation Agent</w:t>
      </w:r>
      <w:r>
        <w:rPr>
          <w:rFonts w:ascii="Times New Roman" w:cs="Times New Roman" w:eastAsia="Times New Roman" w:hAnsi="Times New Roman"/>
          <w:sz w:val="18"/>
          <w:szCs w:val="18"/>
          <w:color w:val="auto"/>
        </w:rPr>
        <w:t>” means the Reference Treasury Dealer selected by us.</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w:t>
      </w:r>
      <w:r>
        <w:rPr>
          <w:rFonts w:ascii="Times New Roman" w:cs="Times New Roman" w:eastAsia="Times New Roman" w:hAnsi="Times New Roman"/>
          <w:sz w:val="18"/>
          <w:szCs w:val="18"/>
          <w:color w:val="auto"/>
        </w:rPr>
        <w:t>” means each of J.P. Morgan Securities LLC, Merrill Lynch, Pierce, Fenner &amp; Smith Incorporated and Credit Suisse Securities (USA) LLC (or their respective successors) and any other primary U.S. Government securities dealer in New York City (a “primary treasury dealer”) selected by the Quotation Agent after consultation with us, provided that if any of the foregoing shall cease to be a primary treasury dealer, another primary treasury dealer shall be substituted therefor by us.</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 Quotation</w:t>
      </w:r>
      <w:r>
        <w:rPr>
          <w:rFonts w:ascii="Times New Roman" w:cs="Times New Roman" w:eastAsia="Times New Roman" w:hAnsi="Times New Roman"/>
          <w:sz w:val="18"/>
          <w:szCs w:val="18"/>
          <w:color w:val="auto"/>
        </w:rPr>
        <w:t>” means, with respect to each Reference Treasury Dealer and any redemption date, the arithmetic average, as determined by the Quotation Agent, of the bid and asked prices for the applicable Comparable Treasury Issue (expressed in each case as a percentage of its principal amount) quoted in writing to the Quotation Agent by such Reference Treasury Dealer at 5:00 p.m. on the third business day preceding such redemption date.</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Remaining Scheduled Payments</w:t>
      </w:r>
      <w:r>
        <w:rPr>
          <w:rFonts w:ascii="Times New Roman" w:cs="Times New Roman" w:eastAsia="Times New Roman" w:hAnsi="Times New Roman"/>
          <w:sz w:val="18"/>
          <w:szCs w:val="18"/>
          <w:color w:val="auto"/>
        </w:rPr>
        <w:t>” means, with respect to any notes being redeemed, the remaining scheduled payments of the principal and interest thereon that would be due after the related redemption date but for such redemption assuming that such notes matured on the applicable Par Call Date; provided, however, that, if such redemption date is not an interest payment date with respect to such notes, the amount of the next scheduled interest payment thereon shall be reduced (solely for the purpose of calculating the redemption price) by the amount of interest accrued thereon to such redemption date.</w:t>
      </w:r>
    </w:p>
    <w:p>
      <w:pPr>
        <w:spacing w:after="0" w:line="180"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rate per annum equal to the semi-annual equivalent yield to maturity or interpolated yield to maturity of the applicable Comparable Treasury Issue. In determining this rate, the price for such Comparable Treasury Issue (expressed as a percentage of its principal amount) shall be assumed to be equal to the applicable Comparable Treasury Price for such redemption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Notes subject to a partial redemption shall be selected for redemption by such method as the trustee shall deem fair and appropriate (provided, that if the notes of the applicable series are represented by one or more Global Notes (as defined below), such notes shall be selected for redemption by The Depository Trust Company (“DTC”) in accordance with its standard procedures therefor), and may provide for the selection for redemption of a portion of the principal amount of the notes equal to an authorized denomination.</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Notice of any redemption shall be mailed, or if the notes to be redeemed are represented by one or more Global Notes, transmitted in accordance with DTC’s standard procedures therefor, at least 15 days but not more than 60 days before the redemption date to each Holder of notes to be redeemed.</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shall cease to accrue on the notes or portions thereof that are called for redemption.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Control Offer</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a Change of Control Triggering Event (as defined below) occurs with respect to a series of notes, unless with respect to such series of notes, we have exercised our option to redeem such series of notes in full as described above or have defeased such series of notes or satisfied and discharged such series of notes, we shall be required to make an offer (a “Change of Control Offer”) to each Holder of such series of notes to repurchase all or any part (equal to $2,000 and in integral multiples of $1,000 in excess thereof; provided, that the unrepurchased portion of a note must be in a minimum principal amount of $2,000) of that Holder’s notes pursuant to the offer described below. In a Change of Control Offer, we will be required to offer payment in cash equal to 101% of the aggregate principal amount of notes repurchased, plus accrued and unpaid interest, if any, on the notes repurchased to the date of repurchase (a “Change of Control Payment”). Within 30 days following any Change of Control Triggering Event or, at our option, prior to any Change of Control, but after public announcement of the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420"/>
          </w:cols>
          <w:pgMar w:left="240" w:top="446"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transaction that constitutes or may constitute the Change of Control, a notice shall be mailed, or if the notes to be repurchased are represented by one or more Global Notes, transmitted in accordance with DTC’s standard procedures therefor, to Holders of such series of notes describing the transaction that constitutes or may constitute the Change of Control Triggering Event and offering to repurchase such notes on the date specified in the notice, which date shall be no earlier than 30 days and no later than 60 days from the date such notice is mailed or transmitted (a “Change of Control Payment Date”). The notice shall, if mailed or transmitted prior to the date of consummation of the Change of Control, state that the offer to purchase is conditioned on the Change of Control Triggering Event occurring on or prior to the Change of Control Payment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Change of Control Payment Date, we will, to the extent lawful:</w:t>
      </w:r>
    </w:p>
    <w:p>
      <w:pPr>
        <w:spacing w:after="0" w:line="117" w:lineRule="exact"/>
        <w:rPr>
          <w:sz w:val="20"/>
          <w:szCs w:val="20"/>
          <w:color w:val="auto"/>
        </w:rPr>
      </w:pPr>
    </w:p>
    <w:p>
      <w:pPr>
        <w:ind w:left="680" w:hanging="216"/>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such notes properly tendered pursuant to the Change of Control Offer;</w:t>
      </w:r>
    </w:p>
    <w:p>
      <w:pPr>
        <w:spacing w:after="0" w:line="117" w:lineRule="exact"/>
        <w:rPr>
          <w:rFonts w:ascii="Times New Roman" w:cs="Times New Roman" w:eastAsia="Times New Roman" w:hAnsi="Times New Roman"/>
          <w:sz w:val="18"/>
          <w:szCs w:val="18"/>
          <w:color w:val="auto"/>
        </w:rPr>
      </w:pPr>
    </w:p>
    <w:p>
      <w:pPr>
        <w:ind w:left="460" w:right="680" w:firstLine="4"/>
        <w:spacing w:after="0" w:line="282" w:lineRule="auto"/>
        <w:tabs>
          <w:tab w:leader="none" w:pos="7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such notes properly tendered; and</w:t>
      </w:r>
    </w:p>
    <w:p>
      <w:pPr>
        <w:spacing w:after="0" w:line="53" w:lineRule="exact"/>
        <w:rPr>
          <w:rFonts w:ascii="Times New Roman" w:cs="Times New Roman" w:eastAsia="Times New Roman" w:hAnsi="Times New Roman"/>
          <w:sz w:val="18"/>
          <w:szCs w:val="18"/>
          <w:color w:val="auto"/>
        </w:rPr>
      </w:pPr>
    </w:p>
    <w:p>
      <w:pPr>
        <w:ind w:left="460" w:right="540" w:firstLine="4"/>
        <w:spacing w:after="0" w:line="282" w:lineRule="auto"/>
        <w:tabs>
          <w:tab w:leader="none" w:pos="7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such notes being repurchased.</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purchases all notes properly tendered and not withdrawn under its offer.</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shall not be deemed to have breached our obligations under the Change of Control Offer provisions of the notes by virtue of any such conflict.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notes, the following terms are applicable:</w:t>
      </w:r>
    </w:p>
    <w:p>
      <w:pPr>
        <w:spacing w:after="0" w:line="22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Below Investment Grade Rating Event</w:t>
      </w:r>
      <w:r>
        <w:rPr>
          <w:rFonts w:ascii="Times New Roman" w:cs="Times New Roman" w:eastAsia="Times New Roman" w:hAnsi="Times New Roman"/>
          <w:sz w:val="18"/>
          <w:szCs w:val="18"/>
          <w:color w:val="auto"/>
        </w:rPr>
        <w:t>” means the applicable series of notes is downgraded below Investment Grade by both Rating Agencies on any date during the period (the “Trigger Period”) commencing 60 days prior to the first public announcement by us of any Change of Control (or pending Change of Control) and ending 60 days following the consummation of such Change of Control (which Trigger Period will be extended if the rating of such series of notes is under publicly announced consideration for possible downgrade by any Rating Agency on such 60th day, such extension to last with respect to each Rating Agency until the date on which such Rating Agency considering such possible downgrade either (x) rates such series of the notes below Investment Grade or (y) publicly announces that it is no longer considering such series of notes for possible downgrade, provided that no such extension will occur if on such 60th day such series of notes is rated Investment Grade by both Rating Agencies and are not subject to review for possible downgrade by either Rating Agency).</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 (1) the direct or indirect sale, transfer, conveyance or other disposition (other than by way of merger or consolidation), in one or more series of related transactions, of all or substantially all of our assets and the assets of our Subsidiaries, taken as a whole, to any person, other than to our company or one of our direct or indirect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outstanding Voting Stock of the surviving person or any direct or indirect parent company of the surviving person immediately after giving effect to such transaction measured by voting power rather than number of shares; or (4) the adoption of a plan providing for our liquidation or dissolution. Notwithstanding the foregoing, a transaction will not be deemed to involve a Change of Control if (1) we become a direct or indirect wholly owned subsidiary of a holding company (which shall include a parent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Holders of notes of a series may not be entitled to require us to purchase their notes in certain circumstances involving a significant change in the composition of our Board of Directors, including in connection with a proxy contest, where our Board of Directors initially publicly opposes the election of a dissident slate of directors, but subsequently approves such directors as continuing directors for purposes of the indenture in respect of such series. This may result in a change in the composition of the Board of Directors that, but for such subsequent approval, would have otherwise constituted a Change of Control requiring a repurchase offer for the notes.</w:t>
      </w:r>
    </w:p>
    <w:p>
      <w:pPr>
        <w:spacing w:after="0" w:line="1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transfer, conveyance or other disposition of “all or substantially all” of our properties or assets and those of our Subsidiaries taken as a whole. There is no precise established definition of the phrase “substantially all” under applicable law. Accordingly, the ability of a holder of notes to require us to repurchase the notes as a result of a sale, transfer, conveyance or other disposition of less than all of our properties or assets and those of our Subsidiaries taken as a whole to another person may be uncertain. In such case, the holders of the notes may not be able to resolve this uncertainly without resorting to legal action.</w:t>
      </w:r>
    </w:p>
    <w:p>
      <w:pPr>
        <w:spacing w:after="0" w:line="182"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means, with respect to a series of notes, the occurrence of both a Change of Control and a Below Investment Grade Rating Event.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w:t>
      </w:r>
      <w:r>
        <w:rPr>
          <w:rFonts w:ascii="Times New Roman" w:cs="Times New Roman" w:eastAsia="Times New Roman" w:hAnsi="Times New Roman"/>
          <w:sz w:val="18"/>
          <w:szCs w:val="18"/>
          <w:color w:val="auto"/>
        </w:rPr>
        <w:t>” means having a rating equal to or higher than Baa3 (or the equivalent) by Moody’s and BBB- (or the equivalent) by S&amp;P.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2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Agencies</w:t>
      </w:r>
      <w:r>
        <w:rPr>
          <w:rFonts w:ascii="Times New Roman" w:cs="Times New Roman" w:eastAsia="Times New Roman" w:hAnsi="Times New Roman"/>
          <w:sz w:val="18"/>
          <w:szCs w:val="18"/>
          <w:color w:val="auto"/>
        </w:rPr>
        <w:t>” means each of Moody’s and S&amp;P; provided, that if either of Moody’s and S&amp;P ceases to provide rating services to issuers or investors, we may appoint a replacement for such Rating Agency that is a “nationally recognized statistical rating organization” within the meaning of Section 3(a)(62) of the Exchange 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Standard &amp; Poor’s Ratings Services, a division of McGraw Hill Financial, Inc., and its successors.</w:t>
      </w:r>
    </w:p>
    <w:p>
      <w:pPr>
        <w:spacing w:after="0" w:line="22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Liens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will not, nor will we permit any Subsidiary to, issue, incur, create, assume or guarantee (collectively, “incur”) any debt for borrowed money, including all obligations evidenced by bonds, debentures, notes or similar instruments (collectively, a “debt”), secured by a mortgage, deed of trust, security interest, pledge, lien, charge or other encumbrance (collectively, a “lien”) upon any Principal Property or upon any shares of stock of any Principal Subsidiary (whether such Principal Property or shares are now existing or owned or hereafter created or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acquired) without in any such case effectively providing, substantially concurrently with or prior to the creation or assumption of such lien, that the notes (together with, if we shall so determine, any other indebtedness of or guarantee by us or such Subsidiary ranking equally with the notes) shall be secured equally and ratably with (or, at our option, prior to) such secured debt. The foregoing restriction, however, will not apply to each of the following:</w:t>
      </w:r>
    </w:p>
    <w:p>
      <w:pPr>
        <w:spacing w:after="0" w:line="68" w:lineRule="exact"/>
        <w:rPr>
          <w:sz w:val="20"/>
          <w:szCs w:val="20"/>
          <w:color w:val="auto"/>
        </w:rPr>
      </w:pPr>
    </w:p>
    <w:p>
      <w:pPr>
        <w:jc w:val="both"/>
        <w:ind w:left="460" w:right="40" w:firstLine="4"/>
        <w:spacing w:after="0" w:line="261" w:lineRule="auto"/>
        <w:tabs>
          <w:tab w:leader="none" w:pos="7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shares of stock or other assets of any person existing at the time such person becomes a Subsidiary or existing at the time of acquisition thereof by us or a Subsidiary, provided that such liens are not incurred in anticipation of such person’s becoming a Subsidiary or such acquisition and do not extend to (i) any Principal Property or (ii) any shares of stock of any Principal Subsidiary that, in each case, were not previously encumbered by such liens;</w:t>
      </w:r>
    </w:p>
    <w:p>
      <w:pPr>
        <w:spacing w:after="0" w:line="71" w:lineRule="exact"/>
        <w:rPr>
          <w:rFonts w:ascii="Times New Roman" w:cs="Times New Roman" w:eastAsia="Times New Roman" w:hAnsi="Times New Roman"/>
          <w:sz w:val="18"/>
          <w:szCs w:val="18"/>
          <w:color w:val="auto"/>
        </w:rPr>
      </w:pPr>
    </w:p>
    <w:p>
      <w:pPr>
        <w:ind w:left="460" w:right="120" w:firstLine="4"/>
        <w:spacing w:after="0" w:line="281" w:lineRule="auto"/>
        <w:tabs>
          <w:tab w:leader="none" w:pos="7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property of a person existing at the time such person is merged into or consolidated with us or a Subsidiary of ours or at the time of a sale, lease or other disposition of the properties of such person (or a division thereof) as an entirety or substantially as an entirety to us or a Subsidiary, provided that such liens are not incurred in anticipation of such merger or consolidation or sale, lease or other disposition and do not extend to (i) any Principal Property or (ii) any shares of stock of any Principal Subsidiary that, in each case, were not previously encumbered by such liens;</w:t>
      </w:r>
    </w:p>
    <w:p>
      <w:pPr>
        <w:spacing w:after="0" w:line="56" w:lineRule="exact"/>
        <w:rPr>
          <w:rFonts w:ascii="Times New Roman" w:cs="Times New Roman" w:eastAsia="Times New Roman" w:hAnsi="Times New Roman"/>
          <w:sz w:val="17"/>
          <w:szCs w:val="17"/>
          <w:color w:val="auto"/>
        </w:rPr>
      </w:pPr>
    </w:p>
    <w:p>
      <w:pPr>
        <w:ind w:left="460" w:right="60" w:firstLine="4"/>
        <w:spacing w:after="0" w:line="258" w:lineRule="auto"/>
        <w:tabs>
          <w:tab w:leader="none" w:pos="7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all or part of the cost of acquisition, construction, development or improvement of any property or to secure debt incurred to provide funds for any such purpose (including purchase money security interests or purchase money mortgages), provided that the commitment of the creditor to extend the credit secured by any such lien is obtained not later than 24 months after the later of (i) the completion of acquisition, construction, development or improvement of such property and (ii) the placing in operation of such property or of such property as so constructed, developed or improved;</w:t>
      </w:r>
    </w:p>
    <w:p>
      <w:pPr>
        <w:spacing w:after="0" w:line="7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or which secure debt owing to, us or any of our Subsidiaries;</w:t>
      </w:r>
    </w:p>
    <w:p>
      <w:pPr>
        <w:spacing w:after="0" w:line="117"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at the date of the issuance of the notes;</w:t>
      </w:r>
    </w:p>
    <w:p>
      <w:pPr>
        <w:spacing w:after="0" w:line="117" w:lineRule="exact"/>
        <w:rPr>
          <w:rFonts w:ascii="Times New Roman" w:cs="Times New Roman" w:eastAsia="Times New Roman" w:hAnsi="Times New Roman"/>
          <w:sz w:val="18"/>
          <w:szCs w:val="18"/>
          <w:color w:val="auto"/>
        </w:rPr>
      </w:pPr>
    </w:p>
    <w:p>
      <w:pPr>
        <w:ind w:left="460" w:right="140" w:firstLine="4"/>
        <w:spacing w:after="0" w:line="261" w:lineRule="auto"/>
        <w:tabs>
          <w:tab w:leader="none" w:pos="6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United States of America or any state, territory or possession thereof (or the District of Columbia), or any department, agency, instrumentality or political subdivision of the United States of America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71" w:lineRule="exact"/>
        <w:rPr>
          <w:rFonts w:ascii="Times New Roman" w:cs="Times New Roman" w:eastAsia="Times New Roman" w:hAnsi="Times New Roman"/>
          <w:sz w:val="18"/>
          <w:szCs w:val="18"/>
          <w:color w:val="auto"/>
        </w:rPr>
      </w:pPr>
    </w:p>
    <w:p>
      <w:pPr>
        <w:ind w:left="460" w:right="520" w:firstLine="4"/>
        <w:spacing w:after="0" w:line="282" w:lineRule="auto"/>
        <w:tabs>
          <w:tab w:leader="none" w:pos="7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or assumed in connection with the issuance of revenue bonds the interest on which is exempt from federal taxation pursuant to Section 103(b) of the Internal Revenue Code; and</w:t>
      </w:r>
    </w:p>
    <w:p>
      <w:pPr>
        <w:spacing w:after="0" w:line="53" w:lineRule="exact"/>
        <w:rPr>
          <w:rFonts w:ascii="Times New Roman" w:cs="Times New Roman" w:eastAsia="Times New Roman" w:hAnsi="Times New Roman"/>
          <w:sz w:val="18"/>
          <w:szCs w:val="18"/>
          <w:color w:val="auto"/>
        </w:rPr>
      </w:pPr>
    </w:p>
    <w:p>
      <w:pPr>
        <w:ind w:left="460" w:right="20" w:firstLine="4"/>
        <w:spacing w:after="0" w:line="261" w:lineRule="auto"/>
        <w:tabs>
          <w:tab w:leader="none" w:pos="7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renewals or replacements of any liens referred to in the foregoing clauses, provided that (i) the principal amount of debt secured thereby shall not exceed the principal amount of debt so secured at the time of such extension, renewal or replacement and (ii) such extension, renewal or replacement liens will be limited to all or part of the same property and improvement thereon which secured the debt so secured at the time of such extension, renewal or replacement.</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Notwithstanding the restrictions in the preceding paragraphs, we or any Subsidiary of ours may incur debt secured by a lien which would otherwise be prohibited by such restrictions, without equally and ratably securing the notes, provided that, after giving effect thereto, the then aggregate outstanding amount of all such debt so secured by such liens (not including liens permitted under clauses (a) through (h) above) plus the aggregate amount of Attributable Debt in respect of Sale and Lease Back Transactions of Principal Properties entered into after the date of issuance of the notes and permitted solely pursuant to clause (c) of the covenant described below under the caption “— Limitation on Sale and Lease Back Transactions” and still in existence does not exceed the greater of 15% of our Consolidated Net Tangible Assets at the time of such incurrence and $350 million.</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380"/>
          </w:cols>
          <w:pgMar w:left="240" w:top="455" w:right="2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Sale and Lease Back Transactions</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will not, nor will we permit any Subsidiary to, enter into any Sale and Lease Back Transaction with respect to any Principal Property, other than any such Sale and Lease Back Transaction involving a lease for a term of not more than three years or any such Sale and Lease Back Transaction between us and one of our Subsidiaries, or between Subsidiaries, unless:</w:t>
      </w:r>
    </w:p>
    <w:p>
      <w:pPr>
        <w:spacing w:after="0" w:line="68" w:lineRule="exact"/>
        <w:rPr>
          <w:sz w:val="20"/>
          <w:szCs w:val="20"/>
          <w:color w:val="auto"/>
        </w:rPr>
      </w:pPr>
    </w:p>
    <w:p>
      <w:pPr>
        <w:jc w:val="both"/>
        <w:ind w:left="460" w:right="100" w:firstLine="4"/>
        <w:spacing w:after="0" w:line="266" w:lineRule="auto"/>
        <w:tabs>
          <w:tab w:leader="none" w:pos="7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such Subsidiary would be entitled to incur debt secured by a lien on the Principal Property involved in such Sale and Lease Back Transaction at least equal in amount to the Attributable Debt with respect to such Sale and Lease Back Transaction, without equally and ratably securing the notes, pursuant to clauses (a) through (h) of the covenant described above under the caption “— Limitation on Liens”;</w:t>
      </w:r>
    </w:p>
    <w:p>
      <w:pPr>
        <w:spacing w:after="0" w:line="68" w:lineRule="exact"/>
        <w:rPr>
          <w:rFonts w:ascii="Times New Roman" w:cs="Times New Roman" w:eastAsia="Times New Roman" w:hAnsi="Times New Roman"/>
          <w:sz w:val="18"/>
          <w:szCs w:val="18"/>
          <w:color w:val="auto"/>
        </w:rPr>
      </w:pPr>
    </w:p>
    <w:p>
      <w:pPr>
        <w:ind w:left="460" w:right="220" w:firstLine="4"/>
        <w:spacing w:after="0" w:line="261" w:lineRule="auto"/>
        <w:tabs>
          <w:tab w:leader="none" w:pos="7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apply the Net Available Proceeds of such Sale and Lease Back Transaction within 180 days of such Sale and Lease Back Transaction to either (or a combination of) (i) the prepayment or retirement of debt of ours or a Subsidiary of ours (other than debt that is, in the case of our debt, subordinated to the notes or debt owed to us or a Subsidiary) that by its terms matures more than 12 months after its creation or (ii) the purchase, construction, development, expansion or improvement of comparable properties or facilities; or</w:t>
      </w:r>
    </w:p>
    <w:p>
      <w:pPr>
        <w:spacing w:after="0" w:line="71" w:lineRule="exact"/>
        <w:rPr>
          <w:rFonts w:ascii="Times New Roman" w:cs="Times New Roman" w:eastAsia="Times New Roman" w:hAnsi="Times New Roman"/>
          <w:sz w:val="18"/>
          <w:szCs w:val="18"/>
          <w:color w:val="auto"/>
        </w:rPr>
      </w:pPr>
    </w:p>
    <w:p>
      <w:pPr>
        <w:ind w:left="460" w:right="80" w:firstLine="4"/>
        <w:spacing w:after="0" w:line="258" w:lineRule="auto"/>
        <w:tabs>
          <w:tab w:leader="none" w:pos="7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Attributable Debt in respect of such Sale and Lease Back Transaction plus the Attributable Debt in respect of all other Sale and Lease Back Transactions of Principal Properties entered into after the date of issuance of the notes permitted solely pursuant to this clause (c) and still in existence, plus the aggregate amount of all debt secured by liens permitted solely pursuant to the last paragraph of the covenant described above under the caption “— Limitation on Liens” and still outstanding, does not exceed the greater of 15% of our Consolidated Net Tangible Assets at the time of such Sale and Lease Back Transaction and $350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Debt</w:t>
      </w:r>
      <w:r>
        <w:rPr>
          <w:rFonts w:ascii="Times New Roman" w:cs="Times New Roman" w:eastAsia="Times New Roman" w:hAnsi="Times New Roman"/>
          <w:sz w:val="18"/>
          <w:szCs w:val="18"/>
          <w:color w:val="auto"/>
        </w:rPr>
        <w:t>” with regard to a Sale and Lease Back Transaction with respect to any Principal Property means, at the time of determination, the lesser of:</w:t>
      </w:r>
    </w:p>
    <w:p>
      <w:pPr>
        <w:spacing w:after="0" w:line="133"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Principal Property subject to the transaction; or</w:t>
      </w:r>
    </w:p>
    <w:p>
      <w:pPr>
        <w:spacing w:after="0" w:line="130" w:lineRule="exact"/>
        <w:rPr>
          <w:rFonts w:ascii="Times New Roman" w:cs="Times New Roman" w:eastAsia="Times New Roman" w:hAnsi="Times New Roman"/>
          <w:sz w:val="18"/>
          <w:szCs w:val="18"/>
          <w:color w:val="auto"/>
        </w:rPr>
      </w:pPr>
    </w:p>
    <w:p>
      <w:pPr>
        <w:ind w:left="900" w:right="40" w:hanging="325"/>
        <w:spacing w:after="0" w:line="261"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(discounted by the weighted average interest rate borne by all securities then outstanding under the base indenture at the time of determination compounded semiannually) of the total obligations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Sale and Lease Back Transaction.</w:t>
      </w:r>
    </w:p>
    <w:p>
      <w:pPr>
        <w:spacing w:after="0" w:line="17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Tangible Assets</w:t>
      </w:r>
      <w:r>
        <w:rPr>
          <w:rFonts w:ascii="Times New Roman" w:cs="Times New Roman" w:eastAsia="Times New Roman" w:hAnsi="Times New Roman"/>
          <w:sz w:val="18"/>
          <w:szCs w:val="18"/>
          <w:color w:val="auto"/>
        </w:rPr>
        <w:t>” means, as of any date on which we effect a transaction requiring such Consolidated Net Tangible Assets to be measured hereunder, the aggregate amount of assets (less applicable reserves) after deducting therefrom (i) all current liabilities, except for any notes and loans payable, current maturities of long-term debt, the current portion of deferred revenue and obligations under capital leases and (ii) all goodwill, trade names, patents, unamortized debt discount and expense and any other like intangibles, to the extent included in said aggregate amount of assets, all as set forth on our most recent consolidated balance sheet and computed in accordance with GAAP.</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the determination.</w:t>
      </w:r>
    </w:p>
    <w:p>
      <w:pPr>
        <w:spacing w:after="0" w:line="180"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Available Proceeds</w:t>
      </w:r>
      <w:r>
        <w:rPr>
          <w:rFonts w:ascii="Times New Roman" w:cs="Times New Roman" w:eastAsia="Times New Roman" w:hAnsi="Times New Roman"/>
          <w:sz w:val="18"/>
          <w:szCs w:val="18"/>
          <w:color w:val="auto"/>
        </w:rPr>
        <w:t>” from any Sale and Lease Back Transaction by us or any Subsidiary means cash or readily marketable cash equivalents received (including by way of sale or discounting of a note, installment receivable or other receivable, but excluding any other consideration received in the form of assumption by the acquiree of debt or obligations relating to the properties or assets that are the subject of such Sale and Lease Back</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Transaction or received in any other noncash form) therefrom by us or our Subsidiary, net of (i) all legal, title and recording tax expenses, commissions and other fees and expenses incurred and all Federal, state, provincial, foreign and local taxes required to be accrued as a liability as a consequence of such Sale and Lease Back Transaction; (ii) all payments made by us or our Subsidiary on any debt which is secured in whole or in part by any such properties and assets in accordance with the terms of any lien upon or with respect to any such properties and assets or which must, by the terms of such lien, or in order to obtain a necessary consent to such Sale and Lease Back Transaction or by applicable law, be repaid out of the proceeds from such Sale and Lease Back Transaction; and (iii) all distributions and other payments made to our minority interest holders in Subsidiaries or joint ventures as a result of such Sale and Lease Back Transaction.</w:t>
      </w:r>
    </w:p>
    <w:p>
      <w:pPr>
        <w:spacing w:after="0" w:line="187"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w:t>
      </w:r>
      <w:r>
        <w:rPr>
          <w:rFonts w:ascii="Times New Roman" w:cs="Times New Roman" w:eastAsia="Times New Roman" w:hAnsi="Times New Roman"/>
          <w:sz w:val="18"/>
          <w:szCs w:val="18"/>
          <w:color w:val="auto"/>
        </w:rPr>
        <w:t>” means any single parcel of real property or any permanent improvement thereon (i) owned by us or any of our Subsidiaries located in the United States, including our principal corporate office, any manufacturing facility or plant or any portion thereof and (ii) having a book value, as of the date of determination, in excess of 3% of our most recently calculated Consolidated Net Tangible Assets. Principal Property does not include any property that our board of directors has determined not to be of material importance to the business conducted by our Subsidiaries and us, taken as a whole.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2015, we did not have any Principal Properties.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Subsidiary</w:t>
      </w:r>
      <w:r>
        <w:rPr>
          <w:rFonts w:ascii="Times New Roman" w:cs="Times New Roman" w:eastAsia="Times New Roman" w:hAnsi="Times New Roman"/>
          <w:sz w:val="18"/>
          <w:szCs w:val="18"/>
          <w:color w:val="auto"/>
        </w:rPr>
        <w:t>” means any Subsidiary which owns any Principal Property.</w:t>
      </w:r>
    </w:p>
    <w:p>
      <w:pPr>
        <w:spacing w:after="0" w:line="22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and Lease Back Transaction</w:t>
      </w:r>
      <w:r>
        <w:rPr>
          <w:rFonts w:ascii="Times New Roman" w:cs="Times New Roman" w:eastAsia="Times New Roman" w:hAnsi="Times New Roman"/>
          <w:sz w:val="18"/>
          <w:szCs w:val="18"/>
          <w:color w:val="auto"/>
        </w:rPr>
        <w:t>”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us or our Subsidiary to such lender or investor or to any person to whom funds have been or are to be advanced by such lender on the security of such Principal Property.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Mergers and Other Transactions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67" w:lineRule="exact"/>
        <w:rPr>
          <w:sz w:val="20"/>
          <w:szCs w:val="20"/>
          <w:color w:val="auto"/>
        </w:rPr>
      </w:pPr>
    </w:p>
    <w:p>
      <w:pPr>
        <w:ind w:left="900" w:right="240" w:hanging="325"/>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applicable indenture;</w:t>
      </w:r>
    </w:p>
    <w:p>
      <w:pPr>
        <w:spacing w:after="0" w:line="67"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and no event which, after notice or lapse of time, or both, would become an Event of Default, shall have occurred and be continuing under the applicable indenture;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are met.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above, any Subsidiary of ours may consolidate with, merge into or transfer all or part of its properties to 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following constitutes an Event of Default with respect to each series of notes:</w:t>
      </w:r>
    </w:p>
    <w:p>
      <w:pPr>
        <w:spacing w:after="0" w:line="131" w:lineRule="exact"/>
        <w:rPr>
          <w:sz w:val="20"/>
          <w:szCs w:val="20"/>
          <w:color w:val="auto"/>
        </w:rPr>
      </w:pPr>
    </w:p>
    <w:p>
      <w:pPr>
        <w:ind w:left="900" w:right="6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such series of notes when it becomes due and payable, and continuance of that default for a period of 30 days;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premium on such series of notes when due and payable;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58"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by us in the applicable indenture (other than a covenant that has been included in the base indenture or a separate supplemental indenture solely for the benefit of a series of debt securities other than the notes of the applicable series), which default continues uncured for a period of 90 days after we receive written notice from the trustee or we and the trustee receive written notice from the holders of not less than 25% in principal amount of the outstanding notes of the applicable series as provided in the applicable indenture;</w:t>
      </w:r>
    </w:p>
    <w:p>
      <w:pPr>
        <w:spacing w:after="0" w:line="89" w:lineRule="exact"/>
        <w:rPr>
          <w:rFonts w:ascii="Times New Roman" w:cs="Times New Roman" w:eastAsia="Times New Roman" w:hAnsi="Times New Roman"/>
          <w:sz w:val="18"/>
          <w:szCs w:val="18"/>
          <w:color w:val="auto"/>
        </w:rPr>
      </w:pPr>
    </w:p>
    <w:p>
      <w:pPr>
        <w:ind w:left="900" w:right="60" w:hanging="325"/>
        <w:spacing w:after="0" w:line="253"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our failure or the failure of any of our Subsidiaries to pay indebtedness for money we borrowed or any of our Subsidiaries borrowed in an aggregate principal amount of at least $100 million, at the later of final maturity and the expiration of any related applicable grace period and such defaulted payment shall not have been made, waived or extended within 30 days after written notice from the trustee or the holders of at least 25% in principal amount of the outstanding notes of such series or (2) acceleration of the maturity of indebtedness for money we borrowed or any of our Subsidiaries borrowed in an aggregate principal amount of at least $100 million, if that acceleration results from a default under the instrument giving rise to or securing such indebtedness for money borrowed and such indebtedness has not been discharged in full or such acceleration has not be rescinded or annulled within 30 days after written notice from the trustee or the holders of at least 25% in principal amount of the outstanding notes of the applicable series; provided, however, that, if the default under the instrument is cured by us, or waived by the holders of the indebtedness, in each case, as permitted by the governing instrument, then, unless the maturity of such series of notes has been accelerated in accordance with the indenture, the Event of Default under the indenture governing each series of notes caused by such default will be deemed likewise to be cured or waived; and</w:t>
      </w:r>
    </w:p>
    <w:p>
      <w:pPr>
        <w:spacing w:after="0" w:line="9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and Discharge</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Each series of notes is also subject to defeasance and discharge as described under the heading “Defeasance of Debt Securities and Certain Covenants in Certain Circumstances” and “Satisfaction and Discharge Prior to Maturity” in the accompanying 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and Form</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Each series of notes will be represented by one or more permanent global certificates (each a “Global Note” and collectively, the “Global Notes”) deposited with, or on behalf of the trustee as custodian for DTC and registered in the name of Cede &amp; Co. (DTC’s partnership nominee), for credit to an account of a direct or indirect participant in DTC (including the Euroclear System or Clearstream Banking, S.A.). Unless and until certificated notes are issued under the limited circumstances described in the accompanying prospectus, no beneficial owner of a note shall be entitled to receive a definitive certificate representing notes. So long as DTC or any successor depositary (collectively, the “Depositary”) or its nominee is the registered owner of the Global Notes, the Depositary, or such nominee, as the case may be, will be considered to be the sole owner or holder of the notes for all purposes of the indentures. Beneficial interests in the Global Notes will be represented through book-entry accounts of financial institutions acting on behalf of beneficial owners as direct and indirect participants in DTC. Investors may elect to hold interests in the Global Notes through DTC either directly if they are participants in DTC or indirectly through organizations that are participants in DTC (including the Euroclear System or Clearstream Banking, S.A.).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Clearance and Settlement Procedures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Initial settlement for the notes will be made in immediately available funds. Secondary market trading between DTC participants will occur in the ordinary way in accordance with DTC rules and will be settled in immediately available funds.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following is a summary of material U.S. federal income tax considerations related to the purchase, ownership and disposition of the notes. This summary is based upon provisions of the U.S. Internal Revenue Code of 1986, as amended (the “Code”), applicable regulations, administrative rulings and judicial decisions, all as in effect as of the date of this prospectus supplement, any of which may subsequently be changed, possibly retroactively, or interpreted differently by the U.S. Internal Revenue Service (the “IRS”), so as to result in U.S. federal income tax consequences different from those discussed below. This summary deals only with notes held as capital assets within the meaning of Section 1221 of the Code (generally for investment purposes) by a beneficial owner who purchases notes for cash on original issuance at the initial offering price at which a substantial amount of the notes are sold for cash to persons other than bond houses, brokers, or similar persons or organizations acting in the capacity of underwriters, placement agents or wholesalers, which we refer to as the “issue price.” This summary does not address all aspects of U.S. federal income tax related to the purchase, ownership and disposition of the notes and does not address all tax consequences that may be relevant to holders in light of their personal circumstances or particular situations, such as:</w:t>
      </w:r>
    </w:p>
    <w:p>
      <w:pPr>
        <w:spacing w:after="0" w:line="95" w:lineRule="exact"/>
        <w:rPr>
          <w:sz w:val="20"/>
          <w:szCs w:val="20"/>
          <w:color w:val="auto"/>
        </w:rPr>
      </w:pPr>
    </w:p>
    <w:p>
      <w:pPr>
        <w:ind w:left="900" w:right="80" w:hanging="325"/>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holders who may be subject to special tax treatment, including dealers in securities or currencies, banks and other financial institutions, regulated investment companies, real estate investment trusts, tax-exempt entities, insurance companies and traders in securities that elect to use a mark-to-market method of accounting for their securities;</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persons holding notes as a part of a hedging, integrated, conversion or constructive sale transaction or a straddle;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U.S. holders (as defined below) of notes whose “functional currency” is not the U.S. dollar;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partnerships or other pass-through entities and their members;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certain former citizens or residents of the United States;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alternative minimum tax consequences, if any;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application of the Medicare tax on net investment income;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 local or foreign tax consequences;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estate or gift tax consequences, if any.</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a partnership (including any entity or arrangement treated as a partnership for U.S. federal income tax purposes) holds notes, the tax treatment of a partner will generally depend upon the status of the partner and the activities of the partnership. A beneficial owner that is a partnership and partners in such a partnership should consult their tax advisors.</w:t>
      </w:r>
    </w:p>
    <w:p>
      <w:pPr>
        <w:spacing w:after="0" w:line="17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THIS SUMMARY OF MATERIAL UNITED STATES FEDERAL INCOME TAX CONSIDERATIONS IS FOR GENERAL INFORMATION ONLY AND IS NOT TAX ADVICE FOR ANY PARTICULAR INVESTOR. THIS SUMMARY DOES NOT ADDRESS ALL U.S. FEDERAL TAX CONSIDERATIONS OR THE TAX CONSIDERATIONS ARISING UNDER THE LAWS OF ANY FOREIGN, STATE OR LOCAL JURISDICTION. IF YOU ARE CONSIDERING THE PURCHASE OF NOTES, YOU SHOULD CONSULT YOUR TAX ADVISORS CONCERNING THE U.S. FEDERAL INCOME AND OTHER TAX CONSEQUENCES TO YOU IN LIGHT OF YOUR OWN SPECIFIC SITUATION, AS WELL AS CONSEQUENCES ARISING UNDER THE LAWS OF ANY OTHER TAXING JURISDICTION.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discussion, we use the term “U.S. holder” to refer to a beneficial owner of notes that is, for U.S. federal income tax purposes:</w:t>
      </w:r>
    </w:p>
    <w:p>
      <w:pPr>
        <w:spacing w:after="0" w:line="131" w:lineRule="exact"/>
        <w:rPr>
          <w:sz w:val="20"/>
          <w:szCs w:val="20"/>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18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or arrangement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jc w:val="both"/>
        <w:ind w:left="900" w:right="40" w:hanging="325"/>
        <w:spacing w:after="0" w:line="313" w:lineRule="auto"/>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if it (i) is subject to the primary supervision of a court within the United States and one or more U.S. persons have the authority to control all substantial decisions of the trust, or (ii) has a valid election in effect under applicable U.S. Treasury Regulations to be treated as a U.S. person.</w:t>
      </w:r>
    </w:p>
    <w:p>
      <w:pPr>
        <w:spacing w:after="0" w:line="3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use the term “non-U.S. holder” to describe a beneficial owner (other than a partnership or other entity or arrangement treated as a partnership for U.S. federal income tax purposes) of notes that is not a U.S. holder. Non-U.S. holders should consult their tax advisors to determine the U.S. federal, state, local and other tax consequences that may be relevant to them.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payments</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certain circumstances, we may be obligated to pay amounts in excess of stated interest or principal on the notes. For example, if we are required to repurchase notes in connection with a Change of Control Triggering Event as described in “Description of the Notes — Change of Control Offer,” we must pay a 1% premium. In addition, we may redeem the notes at any time, and upon such a redemption we may be required to pay amounts in excess of accrued interest and principal on the notes as described in “Description of the Notes — Optional Redemption.” The possibility of such payments may implicate special rules under U.S. Treasury Regulations governing “contingent payment debt instruments.” According to those regulations, the possibility that additional payments will be made will not cause the notes to be contingent payment debt instruments if, as of the date the notes are issued, there is only a remote chance that such payments will be made or certain other exceptions apply. We have determined and intend to take the position (and this discussion assumes) that the possibility of such events occurring will not subject the notes to the contingent payment debt instrument rules.</w:t>
      </w:r>
    </w:p>
    <w:p>
      <w:pPr>
        <w:spacing w:after="0" w:line="18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determination that the notes are not contingent payment debt instruments is binding on holders for U.S. federal income tax purposes unless they disclose their contrary positions to the IRS in the manner required by applicable U.S. Treasury Regulations. Our determination that the notes are not contingent payment debt instruments is not, however, binding on the IRS. If the IRS were to successfully challenge our determination and the notes were treated as contingent payment debt instruments, U.S. holders would be required, among other things, to (i) accrue interest income based on a projected payment schedule and comparable yield, which may be a higher rate than the stated interest rate on the notes, regardless of their method of tax accounting and</w:t>
      </w:r>
    </w:p>
    <w:p>
      <w:pPr>
        <w:spacing w:after="0" w:line="3" w:lineRule="exact"/>
        <w:rPr>
          <w:sz w:val="20"/>
          <w:szCs w:val="20"/>
          <w:color w:val="auto"/>
        </w:rPr>
      </w:pPr>
    </w:p>
    <w:p>
      <w:pPr>
        <w:ind w:firstLine="8"/>
        <w:spacing w:after="0" w:line="261" w:lineRule="auto"/>
        <w:tabs>
          <w:tab w:leader="none" w:pos="2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possibly treat as ordinary income, rather than capital gain, some or all of any gain recognized on a sale, exchange or redemption of a note. In the event that any of the above contingencies were to occur, it would affect the amount and timing of the income recognized by a U.S. holder.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to U.S. 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19"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 xml:space="preserve">It is anticipated, and this discussion assumes, that the notes will be issued with no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original issue discount for U.S. federal income tax purposes, in which case interest on a note generally will be taxable to a U.S. holder as ordinary income at the time it is received or accrued in accordance with the U.S. holder’s usual method of accounting for tax purposes. If, however, the issue price of the notes is less than their stated principal amount and the difference is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(as set forth in the applicable U.S. Treasury Regulations), a U.S. holder generally will be required to include the difference in income as original issue discount as it accrues in accordance with a constant yield method (as set forth in the applicable U.S. Treasury Regulations).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redemption or other taxable disposition of notes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U.S. holder generally will recognize gain or loss upon the sale, redemption or other taxable disposition of a note equal to the difference between the amount realized and such U.S. holder’s adjusted tax basis in the note. The amount realized will equal the amount of the cash and the fair market value of any property received in exchange for the note (other than amounts attributable to accrued but unpaid interest, which amounts will be treated as ordinary interest income for U.S. federal income tax purposes to the extent not previously included in income). A U.S. holder’s tax basis in a note will generally be equal to the amount that such U.S. holder paid for the note. In general, any gain or loss recognized on a taxable disposition of the note will be capital gain or loss. If, at the time of the sale, redemption or other taxable disposition of the note, a U.S. holder is treated as holding the note for more than one year, such capital gain or loss will be a long-term capital gain or loss. Otherwise, such capital gain or loss will be a short-term capital gain or loss. In the case of certain non-corporate U.S. holders (including individuals), long-term capital gain generally is subject to U.S. federal income tax at a lower rate than short-term capital gain, which is taxed at ordinary income rates. A U.S. holder’s ability to deduct capital losses is subject to significant limitations under the Code.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Information reporting requirements generally will apply to payments of interest on the notes and to the proceeds of a sale of a note paid to a U.S. holder unless the U.S. holder is an exempt recipient. Backup withholding at the applicable rate will apply to those payments if the U.S. holder fails to provide its correct taxpayer identification number or certification of its exempt status (generally by providing an IRS Form W-9 or an approved substitute), or if the U.S. holder is notified by the IRS that the U.S. holder has failed to report in full payments of interest and dividend income. Backup withholding is not an additional tax. Any amounts withheld under the backup withholding rules will be allowed as a refund or a credit against a U.S. holder’s U.S. federal income tax liability, provided the required information is timely furnished to the IRS.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to non-U.S. 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general, payments of interest on the notes to a non-U.S. holder will be considered “portfolio interest” and, subject to the discussions below of income effectively connected with a U.S. trade or business, backup withholding, and the Foreign Account Tax Compliance Act, will not be subject to U.S. federal income or withholding tax, provided that:</w:t>
      </w:r>
    </w:p>
    <w:p>
      <w:pPr>
        <w:spacing w:after="0" w:line="82" w:lineRule="exact"/>
        <w:rPr>
          <w:sz w:val="20"/>
          <w:szCs w:val="20"/>
          <w:color w:val="auto"/>
        </w:rPr>
      </w:pPr>
    </w:p>
    <w:p>
      <w:pPr>
        <w:ind w:left="900" w:right="100" w:hanging="325"/>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does not directly or indirectly, actually or constructively, own 10% or more of the total combined voting power of all classes of our stock entitled to vote within the meaning of Section 871(h)(3) of the Code;</w:t>
      </w:r>
    </w:p>
    <w:p>
      <w:pPr>
        <w:spacing w:after="0" w:line="67"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for U.S. federal income tax purposes, a controlled foreign corporation that is related (actually or constructively) to us through stock ownership;</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bank whose receipt of interest on a note is described in Section 881(c)(3)(A) of the Code; and</w:t>
      </w:r>
    </w:p>
    <w:p>
      <w:pPr>
        <w:spacing w:after="0" w:line="130" w:lineRule="exact"/>
        <w:rPr>
          <w:rFonts w:ascii="Times New Roman" w:cs="Times New Roman" w:eastAsia="Times New Roman" w:hAnsi="Times New Roman"/>
          <w:sz w:val="18"/>
          <w:szCs w:val="18"/>
          <w:color w:val="auto"/>
        </w:rPr>
      </w:pPr>
    </w:p>
    <w:p>
      <w:pPr>
        <w:ind w:left="900" w:right="20" w:hanging="325"/>
        <w:spacing w:after="0" w:line="258"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the non-U.S. holder provides its name, address and taxpayer identification number, if any, and certifies, under penalties of perjury, that it is not a U.S. person (which certification may be made on an IRS Form W-8BEN, W-8BEN-E or other applicable form) or (b) the non-U.S. holder holds the notes through certain foreign intermediaries or certain foreign partnerships, and the non-U.S. holder and the foreign intermediary or foreign partnership satisfy the certification requirements of applicable U.S. Treasury Regulations. Special certification rules apply to non-U.S. holders that are pass-through entities.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 non-U.S. holder cannot satisfy the requirements described above, payments of interest generally will be subject to a 30% U.S. federal withholding tax, unless the non-U.S. holder provides us with a properly executed (i) IRS Form W-8BEN or W-8BEN-E (or other applicable form) claiming an exemption from or reduction in withholding under the benefit of an applicable income tax treaty or (ii) IRS Form W-8ECI (or other applicable form) stating that interest paid on the notes is not subject to withholding tax because it is effectively connected with the non-U.S. holder’s conduct of a trade or business in the United States and includable in the non-U.S. holder’s gross income.</w:t>
      </w:r>
    </w:p>
    <w:p>
      <w:pPr>
        <w:spacing w:after="0" w:line="18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If a non-U.S. holder is engaged in a trade or business in the United States and interest on the notes is effectively connected with the conduct of that trade or business and, if required by an applicable income tax treaty, is attributable to a U.S. permanent establishment or fixed base, then, although the non-U.S. holder will be exempt from the 30% withholding tax (provided the certification requirements discussed above are satisfied), the non-U.S. holder generally will be subject to U.S. federal income tax on that interest on a net income basis at regular graduated U.S. federal income tax rates and generally in the same manner as if the non-U.S. holder were a U.S. holder. In addition, if a non-U.S. holder is a foreign corporation, it may be subject to a branch profits tax equal to 30% (or lesser rate under an applicable income tax treaty) of its effectively connected earnings and profits for the taxable year, subject to certain adjustments.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redemption or other taxable disposition of notes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the Foreign Account Tax Compliance Act, gain realized by a non-U.S. holder on the sale, redemption or other taxable disposition of a note will not be subject to U.S. federal income tax unless:</w:t>
      </w:r>
    </w:p>
    <w:p>
      <w:pPr>
        <w:spacing w:after="0" w:line="67" w:lineRule="exact"/>
        <w:rPr>
          <w:sz w:val="20"/>
          <w:szCs w:val="20"/>
          <w:color w:val="auto"/>
        </w:rPr>
      </w:pPr>
    </w:p>
    <w:p>
      <w:pPr>
        <w:ind w:left="900" w:right="8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gain is effectively connected with the non-U.S. holder’s conduct of a trade or business in the United States (and, if required by an applicable income tax treaty, is attributable to a U.S. permanent establishment or fixed base); or</w:t>
      </w:r>
    </w:p>
    <w:p>
      <w:pPr>
        <w:spacing w:after="0" w:line="67"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that disposition and certain other conditions are met.</w:t>
      </w:r>
    </w:p>
    <w:p>
      <w:pPr>
        <w:spacing w:after="0" w:line="162"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If a non-U.S. holder is described in the first bullet point above, it generally will be subject to tax on the net gain derived from the sale, redemption or other taxable disposition of the notes at regular graduated U.S. federal income tax rates and generally in the same manner as if the non-U.S. holder were a U.S. holder. In addition, if a non-U.S. holder is a foreign corporation, it may be subject to the branch profits tax equal to 30% (or lesser rate under an applicable income tax treaty) of its effectively connected earnings and profits for the taxable year, subject to certain adjustments. If a non-U.S. holder is an individual described in the second bullet point above, such holder will be subject to a flat 30% tax (unless an applicable income tax treaty provides otherwise) on the gain derived from the sale, redemption or other taxable disposition, which may be offset by certain U.S. source capital losses.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Generally, we must report annually to the IRS and to non-U.S. holders the amount of interest paid to non-U.S. holders on the notes and the amount of tax, if any, withheld with respect to those payments. Copies of the information returns reporting such interest payments and withholding may also be made available to the tax authorities in the country in which a non-U.S. holder resides under the provisions of an applicable income tax treaty.</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general, a non-U.S. holder will not be subject to backup withholding with respect to payments of interest that we make on the notes, provided the certification described above in the last bullet point under “Consequences to non-U.S. holders — Payments of interest” has been received and we do not have actual knowledge or reason to know that the holder is a U.S. person, as defined under the Code, who is not an exempt recipient. However, a</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non-U.S. holder will be subject to information reporting and, depending on the circumstances, backup withholding at the applicable rate with respect to payments of the proceeds of the sale of a note within the United States or conducted through certain U.S.-related financial intermediaries, unless the certification described above has been received, and the payor does not have actual knowledge or reason to know that a holder is a U.S. person, as defined under the Code, who is not an exempt recipient, or the non-U.S. holder otherwise establishes an exemption.</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refund or a credit against a non-U.S. holder’s U.S. federal income tax liability, provided the required information is timely furnished to the IRS. The backup withholding and information reporting rules are complex, and non-U.S. holders are urged to consult their tax advisors regarding application of these rules to their particular circumstances.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Provisions of the Code commonly referred to as the Foreign Account Tax Compliance Act, or FATCA, generally impose a 30% withholding tax on payments of interest on the notes and, after December 31, 2018, gross proceeds from the sale or other disposition of the notes (including settlement of the notes at maturity) if paid to a foreign entity (including, in some cases, when such foreign entity is acting as an intermediary) unless (i) if the foreign entity is a “foreign financial institution,” the foreign entity undertakes certain due diligence, reporting, withholding, and certification obligations, (ii) if the foreign entity is a “non-financial foreign entity,” the foreign entity identifies certain of its U.S. investors or provides certification that it does not have any such investors, or</w:t>
      </w:r>
    </w:p>
    <w:p>
      <w:pPr>
        <w:spacing w:after="0" w:line="3" w:lineRule="exact"/>
        <w:rPr>
          <w:sz w:val="20"/>
          <w:szCs w:val="20"/>
          <w:color w:val="auto"/>
        </w:rPr>
      </w:pPr>
    </w:p>
    <w:p>
      <w:pPr>
        <w:ind w:right="160" w:firstLine="8"/>
        <w:spacing w:after="0" w:line="253" w:lineRule="auto"/>
        <w:tabs>
          <w:tab w:leader="none" w:pos="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entity is otherwise exempt from FATCA. An intergovernmental agreement between the United States and an applicable foreign country may modify those requirements. If withholding under FATCA is required on any payment related to the notes, investors not otherwise subject to withholding (or that otherwise would be entitled to a reduced rate of withholding) on such payment may be required to seek a refund or credit from the IRS to obtain the benefit of such exemption (or reduction). Prospective investors are encouraged to consult their own tax advisors regarding the possible implications of FATCA on their investment in the notes.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contained in an underwriting agreement dated December , 2015, we have agreed to sell to the underwriters named below, for whom J.P. Morgan Securities LLC, Merrill Lynch, Pierce, Fenner &amp; Smith Incorporated and Credit Suisse Securities (USA) LLC are acting as representatives, the following respective principal amounts of the notes: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020" w:type="dxa"/>
            <w:vAlign w:val="bottom"/>
          </w:tcPr>
          <w:p>
            <w:pPr>
              <w:spacing w:after="0"/>
              <w:rPr>
                <w:sz w:val="13"/>
                <w:szCs w:val="13"/>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0" w:type="dxa"/>
            <w:vAlign w:val="bottom"/>
          </w:tcPr>
          <w:p>
            <w:pPr>
              <w:spacing w:after="0"/>
              <w:rPr>
                <w:sz w:val="1"/>
                <w:szCs w:val="1"/>
                <w:color w:val="auto"/>
              </w:rPr>
            </w:pPr>
          </w:p>
        </w:tc>
      </w:tr>
      <w:tr>
        <w:trPr>
          <w:trHeight w:val="173"/>
        </w:trPr>
        <w:tc>
          <w:tcPr>
            <w:tcW w:w="7160" w:type="dxa"/>
            <w:vAlign w:val="bottom"/>
            <w:gridSpan w:val="2"/>
            <w:vMerge w:val="continue"/>
          </w:tcPr>
          <w:p>
            <w:pPr>
              <w:spacing w:after="0"/>
              <w:rPr>
                <w:sz w:val="15"/>
                <w:szCs w:val="15"/>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of</w:t>
            </w: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20" w:type="dxa"/>
            <w:vAlign w:val="bottom"/>
          </w:tcPr>
          <w:p>
            <w:pPr>
              <w:spacing w:after="0"/>
              <w:rPr>
                <w:sz w:val="15"/>
                <w:szCs w:val="15"/>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of</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10"/>
        </w:trPr>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J.P. Morgan</w:t>
            </w:r>
          </w:p>
        </w:tc>
        <w:tc>
          <w:tcPr>
            <w:tcW w:w="63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Securities LLC.</w:t>
            </w: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Merrill Lynch, Pierce, Fenner &amp; Smith</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6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Incorporated</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Suisse Securities (USA) LLC</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4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underwriters are obligated to purchase all of the notes if any are purchased. The underwriting agreement also provides that if an underwriter defaults, the purchase commitments of non-defaulting underwriters may be increased or the offering of the notes may be terminated.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sold by the underwriters to the public will initially be offered at the public offering price set forth on the cover of this prospectus supplement. Any notes</w:t>
      </w:r>
    </w:p>
    <w:p>
      <w:pPr>
        <w:spacing w:after="0" w:line="27"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sold by the underwriters to securities dealers may be sold at a discount from the public offering price of up to % of the principal amount of the Notes and up to % of the principal amount of the Notes. Any such securities dealers may resell the notes purchased from the underwriters to certain other brokers or dealers at a discount from the public offering price of up to % of the principal amount of the Notes and up to % of the principal amount of the Notes. After the initial offering, the underwriters may change the public offering price and concession and discount to brokers or dealers.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of the notes by the underwriters is subject to receipt and acceptance and is subject to the underwriters’ right to reject any order in whole or in part.</w:t>
      </w:r>
    </w:p>
    <w:p>
      <w:pPr>
        <w:spacing w:after="0" w:line="207" w:lineRule="exact"/>
        <w:rPr>
          <w:sz w:val="20"/>
          <w:szCs w:val="20"/>
          <w:color w:val="auto"/>
        </w:rPr>
      </w:pPr>
    </w:p>
    <w:p>
      <w:pPr>
        <w:spacing w:after="0"/>
        <w:tabs>
          <w:tab w:leader="none" w:pos="6640" w:val="left"/>
        </w:tabs>
        <w:rPr>
          <w:sz w:val="20"/>
          <w:szCs w:val="20"/>
          <w:color w:val="auto"/>
        </w:rPr>
      </w:pPr>
      <w:r>
        <w:rPr>
          <w:rFonts w:ascii="Times New Roman" w:cs="Times New Roman" w:eastAsia="Times New Roman" w:hAnsi="Times New Roman"/>
          <w:sz w:val="18"/>
          <w:szCs w:val="18"/>
          <w:color w:val="auto"/>
        </w:rPr>
        <w:t>We estimate that our out of pocket expenses for this offering will be approximately $</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notes are new issues of securities with no established trading market. One or more of the underwriters intend to make a secondary market for the notes. However, they are not obligated to do so and may discontinue making a secondary market for the notes at any time without notice. No assurance can be given as to how liquid the trading market for any series of notes will be.</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liabilities under the Securities Act or contribute to payments which the underwriters may be required to make in that respect.</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expect that delivery of the notes will be made to investors on or about , 2015, which will be the 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business day following the date of this prospectus supplement (such settlement being referred to as “T+7”). Under Rule 15c6-1 under the Exchange Act, trades in the secondary market are required to settle in three business days, unless the parties to any such trade expressly agree otherwise. Accordingly, purchasers who wish to trade notes prior to the delivery of the notes hereunder will be required, by virtue of the fact that the notes initially settle in T+7, to specify an alternate settlement arrangement at the time of any such trade to prevent a failed settlement. Purchasers of the notes who wish to trade the notes prior to their date of delivery hereunder should consult their advisors.</w:t>
      </w:r>
    </w:p>
    <w:p>
      <w:pPr>
        <w:spacing w:after="0" w:line="188"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Certain of the underwriters and their respective affiliates have, from time to time, performed, and may in the future perform, various financial advisory, commercial banking and investment banking services in the ordinary course of business for us and our affiliates, for which they received or will receive customary fees and expense reimbursement.</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185" w:lineRule="exact"/>
        <w:rPr>
          <w:sz w:val="20"/>
          <w:szCs w:val="20"/>
          <w:color w:val="auto"/>
        </w:rPr>
      </w:pPr>
    </w:p>
    <w:p>
      <w:pPr>
        <w:jc w:val="both"/>
        <w:ind w:right="340"/>
        <w:spacing w:after="0" w:line="282" w:lineRule="auto"/>
        <w:rPr>
          <w:sz w:val="20"/>
          <w:szCs w:val="20"/>
          <w:color w:val="auto"/>
        </w:rPr>
      </w:pPr>
      <w:r>
        <w:rPr>
          <w:rFonts w:ascii="Times New Roman" w:cs="Times New Roman" w:eastAsia="Times New Roman" w:hAnsi="Times New Roman"/>
          <w:sz w:val="18"/>
          <w:szCs w:val="18"/>
          <w:color w:val="auto"/>
        </w:rPr>
        <w:t>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engage in stabilizing transactions, over-allotment transactions, syndicate covering transactions and penalty bids.</w:t>
      </w:r>
    </w:p>
    <w:p>
      <w:pPr>
        <w:spacing w:after="0" w:line="67" w:lineRule="exact"/>
        <w:rPr>
          <w:sz w:val="20"/>
          <w:szCs w:val="20"/>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130" w:lineRule="exact"/>
        <w:rPr>
          <w:rFonts w:ascii="Times New Roman" w:cs="Times New Roman" w:eastAsia="Times New Roman" w:hAnsi="Times New Roman"/>
          <w:sz w:val="18"/>
          <w:szCs w:val="18"/>
          <w:color w:val="auto"/>
        </w:rPr>
      </w:pPr>
    </w:p>
    <w:p>
      <w:pPr>
        <w:ind w:left="900" w:right="62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 involves sales by the underwriters of notes in excess of the principal amount of the notes the underwriters are obligated to purchase, which creates a syndicate short position.</w:t>
      </w:r>
    </w:p>
    <w:p>
      <w:pPr>
        <w:spacing w:after="0" w:line="67" w:lineRule="exact"/>
        <w:rPr>
          <w:rFonts w:ascii="Times New Roman" w:cs="Times New Roman" w:eastAsia="Times New Roman" w:hAnsi="Times New Roman"/>
          <w:sz w:val="18"/>
          <w:szCs w:val="18"/>
          <w:color w:val="auto"/>
        </w:rPr>
      </w:pPr>
    </w:p>
    <w:p>
      <w:pPr>
        <w:ind w:left="900" w:right="100" w:hanging="325"/>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notes in the open market after the distribution has been completed in order to cover syndicate short positions.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81"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representatives to reclaim a selling concession from a syndicate member when the notes originally sold by the syndicate member are purchased in a stabilizing or syndicate covering transaction to cover syndicate short positions.</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These stabilizing transactions, over-allotment transactions, syndicate covering transactions and penalty bids may have the effect of raising or maintaining the market price of the notes or preventing or retarding a decline in the market price of the notes. As a result, the price of the notes may be higher than the price that might otherwise exist in the open market. These transactions, if commenced, may be discontinued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are being offered for sale in the United States and in jurisdictions outside the United States, subject to applicable law.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notes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notes must be made in accordance with an exemption from,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transaction not subject to, the prospectus requirements of applicable securities laws.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preliminary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8"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an offer of the notes may not be made to the public in that Relevant Member State other than:</w:t>
      </w:r>
    </w:p>
    <w:p>
      <w:pPr>
        <w:spacing w:after="0" w:line="68" w:lineRule="exact"/>
        <w:rPr>
          <w:sz w:val="20"/>
          <w:szCs w:val="20"/>
          <w:color w:val="auto"/>
        </w:rPr>
      </w:pPr>
    </w:p>
    <w:p>
      <w:pPr>
        <w:ind w:left="700" w:hanging="236"/>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17" w:lineRule="exact"/>
        <w:rPr>
          <w:rFonts w:ascii="Times New Roman" w:cs="Times New Roman" w:eastAsia="Times New Roman" w:hAnsi="Times New Roman"/>
          <w:sz w:val="18"/>
          <w:szCs w:val="18"/>
          <w:color w:val="auto"/>
        </w:rPr>
      </w:pPr>
    </w:p>
    <w:p>
      <w:pPr>
        <w:ind w:left="460" w:right="180" w:firstLine="4"/>
        <w:spacing w:after="0" w:line="266" w:lineRule="auto"/>
        <w:tabs>
          <w:tab w:leader="none" w:pos="7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of the several underwriters; or</w:t>
      </w:r>
    </w:p>
    <w:p>
      <w:pPr>
        <w:spacing w:after="0" w:line="68" w:lineRule="exact"/>
        <w:rPr>
          <w:rFonts w:ascii="Times New Roman" w:cs="Times New Roman" w:eastAsia="Times New Roman" w:hAnsi="Times New Roman"/>
          <w:sz w:val="18"/>
          <w:szCs w:val="18"/>
          <w:color w:val="auto"/>
        </w:rPr>
      </w:pPr>
    </w:p>
    <w:p>
      <w:pPr>
        <w:ind w:left="460" w:right="540" w:firstLine="4"/>
        <w:spacing w:after="0" w:line="266" w:lineRule="auto"/>
        <w:tabs>
          <w:tab w:leader="none" w:pos="7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 provided that no such offer of notes shall require us or any underwriter to publish a prospectus pursuant to Article 3 of the Prospectus Directive or supplement a prospectus pursuant to Article 16 of the Prospectus Directive.</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that Member State by any measure implementing the Prospectus Directive in that Member State. The expression “Prospectus Directive” means Directive 2003/71/EC (and amendments thereto, including the 2010 PD Amending Directive, to the extent implemented in each Relevant Member State), and includes any relevant implementing measure in the Relevant Member State and the expression “2010 PD Amending Directive” means Directive 2010/73/EU.</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Each underwriter has represented and agreed that, in connection with the distribution of the notes: (a) it will only communicate or cause to be communicated an invitation or inducement to engage in investment activity (within the meaning of Section 21 of the Financial Services and Markets Act 2000 (the “FSMA”)) received by it in connection with the issue or sale of such notes in circumstances in which Section 21(1) of the FSMA does not apply to the issuer; and (b) it has complied and will comply with all applicable provisions of the FSMA with respect to anything done by it in relation to the notes in, from or otherwise involving the United Kingdom.</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notes may not be offered in Hong Kong or sold by means of this document or any document other than (i) in circumstances which do not constitute an offer or invitation to the public for the purposes of the Companies Ordinance (Cap.32, Laws of Hong Kong), or the Securities and Futures Ordinance (Cap. 571,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380"/>
          </w:cols>
          <w:pgMar w:left="240" w:top="455" w:right="2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(the Financial Instruments and Exchange Law) and disclosure under the Financial Instrument and Exchange Law has not been and will not be made with respect to the securities.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 and in compliance with any other relevant laws, regulations and governmental guidelines of Japan.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this prospectus supplement and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8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6" w:lineRule="exact"/>
        <w:rPr>
          <w:sz w:val="20"/>
          <w:szCs w:val="20"/>
          <w:color w:val="auto"/>
        </w:rPr>
      </w:pPr>
    </w:p>
    <w:p>
      <w:pPr>
        <w:ind w:right="120" w:firstLine="8"/>
        <w:spacing w:after="0" w:line="254"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notes pursuant to an offer made under Section 275 of the SFA except: (1) to an institutional investor under Section 274 of the SFA or to a relevant person defined in Section 275(2) of the SFA or to any person arising from an offer referred to in Section 275(1A) or Section 276(4)(i)(B) of the SFA; (2) where no consideration is or will be given for the transfer;</w:t>
      </w:r>
    </w:p>
    <w:p>
      <w:pPr>
        <w:spacing w:after="0" w:line="3" w:lineRule="exact"/>
        <w:rPr>
          <w:rFonts w:ascii="Times New Roman" w:cs="Times New Roman" w:eastAsia="Times New Roman" w:hAnsi="Times New Roman"/>
          <w:sz w:val="18"/>
          <w:szCs w:val="18"/>
          <w:color w:val="auto"/>
        </w:rPr>
      </w:pPr>
    </w:p>
    <w:p>
      <w:pPr>
        <w:ind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where the transfer is by operation of law; (4) as specified in Section 276(7) of the SFA; or (5) as specified in Regulation 32 of the Securities and Futures (Offers of Investments) (Shares and Debentures) Regulations 2005 of Singapore.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offering of the notes will be passed upon for us by Wilmer Cutler Pickering Hale and Dorr LLP. The underwriters have been represented by Cravath, Swaine &amp; Moore LLP.</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Analog Devices, Inc. appearing in Analog Devices, Inc.’s Annual Report (Form 10-K) for the year ended October 31, 2015 (including the schedule appearing therein), and the effectiveness of Analog Devices, Inc.’s internal control over financial reporting as of October 31, 2015,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380"/>
          </w:cols>
          <w:pgMar w:left="240" w:top="455" w:right="2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http://www.analog.com</w:t>
      </w:r>
      <w:r>
        <w:rPr>
          <w:rFonts w:ascii="Times New Roman" w:cs="Times New Roman" w:eastAsia="Times New Roman" w:hAnsi="Times New Roman"/>
          <w:sz w:val="18"/>
          <w:szCs w:val="18"/>
          <w:color w:val="auto"/>
        </w:rPr>
        <w:t>. The information contained on, or that can be accessed through, our website is not a part of this prospectus supplement.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our website address in this prospectus supplement solely as an inactive textual reference. You may also read and copy any document we file at the SEC’s Public Reference Room, 100 F Street, N.E., Washington, D.C. 20549. Please call the SEC at 1-800-SEC-0330 for further information on the operation of the Public Reference Room.</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is considered to be part of this prospectus supplement and the accompanying prospectus.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or in any document previously incorporated by reference have been modified or superseded. This prospectus supplement incorporates by reference the documents listed below (File No. 001-07819) and any future filings we make with the SEC under Sections 13(a), 13(c), 14 or 15(d) of the Exchange Act, until the offering of the securities under the registration statement is terminated or completed:</w:t>
      </w:r>
    </w:p>
    <w:p>
      <w:pPr>
        <w:spacing w:after="0" w:line="91" w:lineRule="exact"/>
        <w:rPr>
          <w:sz w:val="20"/>
          <w:szCs w:val="20"/>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October 31, 2015, filed with the SEC on November 24, 2015;</w:t>
      </w:r>
    </w:p>
    <w:p>
      <w:pPr>
        <w:spacing w:after="0" w:line="130" w:lineRule="exact"/>
        <w:rPr>
          <w:rFonts w:ascii="Times New Roman" w:cs="Times New Roman" w:eastAsia="Times New Roman" w:hAnsi="Times New Roman"/>
          <w:sz w:val="18"/>
          <w:szCs w:val="18"/>
          <w:color w:val="auto"/>
        </w:rPr>
      </w:pPr>
    </w:p>
    <w:p>
      <w:pPr>
        <w:ind w:left="900" w:right="160" w:hanging="325"/>
        <w:spacing w:after="0" w:line="266"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included in the Definitive Proxy Statement for our 2015 Annual Meeting of Stockholders, filed with the SEC on January 29, 2015, to the extent incorporated by reference into Part III of our Annual Report on Form 10-K for the fiscal year ended November 1, 2014, filed with the SEC on December 10, 2014; and</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with the SEC on November 3, 2015.</w:t>
      </w:r>
    </w:p>
    <w:p>
      <w:pPr>
        <w:spacing w:after="0" w:line="225"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We are not, however, incorporating by reference any documents or portions thereof, whether specifically listed above or filed in the future, that are not deemed “filed” with the SEC, including any information furnished pursuant to Items 2.02 or 7.01 of Form 8-K or certain exhibits furnished pursuant to Item 9.01 of Form 8-K.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One Technology Way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Norwood, MA 02062-9106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(800) 468-7751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174625</wp:posOffset>
            </wp:positionV>
            <wp:extent cx="2400935" cy="677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009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504825</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We may from time to time offer to sell the debt securities described in this prospectus. The debt securities will be senior unsecured obligations and will rank equally with all of our other senior unsecured indebtedness.</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Each time we offer debt securities using this prospectus, we will provide specific terms and offering prices in supplements to this prospectus. The prospectus supplements may also add to, update or change the information in this prospectus and will also describe the specific manner in which we will offer the debt securities. You should carefully read this prospectus and the applicable prospectus supplement, including the information incorporated by reference, prior to investing in our debt securities.</w:t>
      </w:r>
    </w:p>
    <w:p>
      <w:pPr>
        <w:spacing w:after="0" w:line="180"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We may offer and sell the debt securities on a continuous or delayed basis directly to investors or through underwriters, dealers or agents, or through a combination of these methods. The names of any underwriters, dealers or agents will be included in a prospectus supplement. If any agents, dealers or underwriters are involved in the sale of any debt securities, the applicable prospectus supplement will set forth any applicable commissions or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457835</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80" w:firstLine="456"/>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these debt securities involves certain risks. See “</w:t>
      </w:r>
      <w:hyperlink w:anchor="page38">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included in any accompanying prospectus supplement and in the documents incorporated by reference in this prospectus for a discussion of the factors you should carefully consider before deciding to purchase these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461010</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5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455295</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21, 2015.</w:t>
      </w:r>
    </w:p>
    <w:p>
      <w:pPr>
        <w:sectPr>
          <w:pgSz w:w="11900" w:h="16838" w:orient="portrait"/>
          <w:cols w:equalWidth="0" w:num="1">
            <w:col w:w="11400"/>
          </w:cols>
          <w:pgMar w:left="240" w:top="455" w:right="2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8920" w:type="dxa"/>
            <w:vAlign w:val="bottom"/>
            <w:gridSpan w:val="15"/>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2400" w:type="dxa"/>
            <w:vAlign w:val="bottom"/>
          </w:tcPr>
          <w:p>
            <w:pPr>
              <w:spacing w:after="0"/>
              <w:rPr>
                <w:sz w:val="17"/>
                <w:szCs w:val="17"/>
                <w:color w:val="auto"/>
              </w:rPr>
            </w:pPr>
          </w:p>
        </w:tc>
      </w:tr>
      <w:tr>
        <w:trPr>
          <w:trHeight w:val="534"/>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4"/>
                <w:szCs w:val="24"/>
                <w:color w:val="auto"/>
              </w:rPr>
            </w:pPr>
          </w:p>
        </w:tc>
      </w:tr>
      <w:tr>
        <w:trPr>
          <w:trHeight w:val="419"/>
        </w:trPr>
        <w:tc>
          <w:tcPr>
            <w:tcW w:w="22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ABOUT THIS PROSPECTUS</w:t>
              </w:r>
            </w:hyperlink>
          </w:p>
        </w:tc>
        <w:tc>
          <w:tcPr>
            <w:tcW w:w="6680" w:type="dxa"/>
            <w:vAlign w:val="bottom"/>
            <w:gridSpan w:val="6"/>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2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RISK FACTORS</w:t>
              </w:r>
            </w:hyperlink>
          </w:p>
        </w:tc>
        <w:tc>
          <w:tcPr>
            <w:tcW w:w="7660" w:type="dxa"/>
            <w:vAlign w:val="bottom"/>
            <w:gridSpan w:val="13"/>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8920" w:type="dxa"/>
            <w:vAlign w:val="bottom"/>
            <w:gridSpan w:val="15"/>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WHERE YOU CAN FIND MORE INFORMATION</w:t>
              </w:r>
            </w:hyperlink>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382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INCORPORATION BY REFERENCE</w:t>
              </w:r>
            </w:hyperlink>
          </w:p>
        </w:tc>
        <w:tc>
          <w:tcPr>
            <w:tcW w:w="5100" w:type="dxa"/>
            <w:vAlign w:val="bottom"/>
            <w:gridSpan w:val="2"/>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8920" w:type="dxa"/>
            <w:vAlign w:val="bottom"/>
            <w:gridSpan w:val="15"/>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FORWARD LOOKING STATEMENTS</w:t>
              </w:r>
            </w:hyperlink>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292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THE COMPANY</w:t>
              </w:r>
            </w:hyperlink>
          </w:p>
        </w:tc>
        <w:tc>
          <w:tcPr>
            <w:tcW w:w="6000" w:type="dxa"/>
            <w:vAlign w:val="bottom"/>
            <w:gridSpan w:val="4"/>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7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8920" w:type="dxa"/>
            <w:vAlign w:val="bottom"/>
            <w:gridSpan w:val="15"/>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CONSOLIDATED RATIOS OF EARNINGS TO FIXED CHARGES</w:t>
              </w:r>
            </w:hyperlink>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502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USE OF PROCEEDS</w:t>
              </w:r>
            </w:hyperlink>
          </w:p>
        </w:tc>
        <w:tc>
          <w:tcPr>
            <w:tcW w:w="39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88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30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DESCRIPTION OF DEBT SECURITIES</w:t>
              </w:r>
            </w:hyperlink>
          </w:p>
        </w:tc>
        <w:tc>
          <w:tcPr>
            <w:tcW w:w="5880" w:type="dxa"/>
            <w:vAlign w:val="bottom"/>
            <w:gridSpan w:val="3"/>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4"/>
        </w:trPr>
        <w:tc>
          <w:tcPr>
            <w:tcW w:w="19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FORMS OF SECURITIES</w:t>
              </w:r>
            </w:hyperlink>
          </w:p>
        </w:tc>
        <w:tc>
          <w:tcPr>
            <w:tcW w:w="6960" w:type="dxa"/>
            <w:vAlign w:val="bottom"/>
            <w:gridSpan w:val="8"/>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4"/>
        </w:trPr>
        <w:tc>
          <w:tcPr>
            <w:tcW w:w="20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PLAN OF DISTRIBUTION</w:t>
              </w:r>
            </w:hyperlink>
          </w:p>
        </w:tc>
        <w:tc>
          <w:tcPr>
            <w:tcW w:w="6860" w:type="dxa"/>
            <w:vAlign w:val="bottom"/>
            <w:gridSpan w:val="7"/>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4"/>
        </w:trPr>
        <w:tc>
          <w:tcPr>
            <w:tcW w:w="8920" w:type="dxa"/>
            <w:vAlign w:val="bottom"/>
            <w:gridSpan w:val="15"/>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LEGAL MATTERS</w:t>
              </w:r>
            </w:hyperlink>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78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58">
              <w:r>
                <w:rPr>
                  <w:rFonts w:ascii="Times New Roman" w:cs="Times New Roman" w:eastAsia="Times New Roman" w:hAnsi="Times New Roman"/>
                  <w:sz w:val="18"/>
                  <w:szCs w:val="18"/>
                  <w:color w:val="0000EE"/>
                  <w:w w:val="97"/>
                </w:rPr>
                <w:t>EXPERTS</w:t>
              </w:r>
            </w:hyperlink>
          </w:p>
        </w:tc>
        <w:tc>
          <w:tcPr>
            <w:tcW w:w="680" w:type="dxa"/>
            <w:vAlign w:val="bottom"/>
            <w:tcBorders>
              <w:top w:val="single" w:sz="8" w:color="0000EE"/>
            </w:tcBorders>
            <w:gridSpan w:val="4"/>
          </w:tcPr>
          <w:p>
            <w:pPr>
              <w:spacing w:after="0"/>
              <w:rPr>
                <w:sz w:val="24"/>
                <w:szCs w:val="24"/>
                <w:color w:val="auto"/>
              </w:rPr>
            </w:pPr>
          </w:p>
        </w:tc>
        <w:tc>
          <w:tcPr>
            <w:tcW w:w="7460" w:type="dxa"/>
            <w:vAlign w:val="bottom"/>
            <w:gridSpan w:val="10"/>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jc w:val="right"/>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debt securities described in this prospectus in one or more offerings.</w:t>
      </w:r>
    </w:p>
    <w:p>
      <w:pPr>
        <w:spacing w:after="0" w:line="176"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debt securities we may offer. Each time we sell debt securities, we will provide one or more prospectus supplements that will contain specific information about the terms of the offering. The prospectus supplement may also add, update or change information contained in this prospectus. You should read both this prospectus and any accompanying prospectus supplement together with the additional information described under the headings “Incorporation by Reference” and “Where You Can Find More Information” in this prospectus.</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debt securities other than the debt securities described in any accompanying prospectus supplement or an offer to sell or the solicitation of an offer to buy such debt securities in any circumstances in which such offer or solicitation is unlawful. You should assume that the information appearing in this prospectus, any prospectus supplement and the documents incorporated by reference is accurate only as of their respective dates. Our business, financial condition, results of operations and prospects may have changed materially since those dates.</w:t>
      </w:r>
    </w:p>
    <w:p>
      <w:pPr>
        <w:spacing w:after="0" w:line="189"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terms “the Company,” “we,” “our,” “ours” and “us” refer to Analog Devices, Inc., and its subsidiaries on a consolidated basis, unless the context otherwise requires.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Investing in our debt securities involves risk. You should carefully consider the risks and uncertainties described in this prospectus and any accompanying prospectus supplement, as well as all of the risk factors described in our filings with the SEC that are incorporated by reference herein, including the risk factors in our Annual Report on Form 10-K for the fiscal year ended November 1, 2014 and our Quarterly Reports on Form 10-Q for the fiscal quarters ended January 31, 2015, May 2, 2015 and August 1, 2015, before making an investment decision pursuant to this prospectus and any accompanying prospectus supplement relating to a specific offering.</w:t>
      </w:r>
    </w:p>
    <w:p>
      <w:pPr>
        <w:spacing w:after="0" w:line="184"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240" w:top="455" w:right="39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http://www.analog.com</w:t>
      </w:r>
      <w:r>
        <w:rPr>
          <w:rFonts w:ascii="Times New Roman" w:cs="Times New Roman" w:eastAsia="Times New Roman" w:hAnsi="Times New Roman"/>
          <w:sz w:val="18"/>
          <w:szCs w:val="18"/>
          <w:color w:val="auto"/>
        </w:rPr>
        <w:t>. The information contained on, or that can be accessed through, our website is not a part of this prospectus. We have included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website address in this prospectus solely as an inactive textual reference. You may also read and copy any document we file at the SEC’s Public Reference Room, 100 F Street, N.E., Washington, D.C. 20549. Please call the SEC at 1-800-SEC-0330 for further information on the operation of the Public Reference Room.</w:t>
      </w:r>
    </w:p>
    <w:p>
      <w:pPr>
        <w:spacing w:after="0" w:line="188"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455" w:right="2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firstLine="456"/>
        <w:spacing w:after="0" w:line="272" w:lineRule="auto"/>
        <w:rPr>
          <w:sz w:val="20"/>
          <w:szCs w:val="20"/>
          <w:color w:val="auto"/>
        </w:rPr>
      </w:pPr>
      <w:r>
        <w:rPr>
          <w:rFonts w:ascii="Times New Roman" w:cs="Times New Roman" w:eastAsia="Times New Roman" w:hAnsi="Times New Roman"/>
          <w:sz w:val="17"/>
          <w:szCs w:val="17"/>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001-07819)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78" w:lineRule="exact"/>
        <w:rPr>
          <w:sz w:val="20"/>
          <w:szCs w:val="20"/>
          <w:color w:val="auto"/>
        </w:rPr>
      </w:pPr>
    </w:p>
    <w:p>
      <w:pPr>
        <w:ind w:left="900" w:right="400" w:hanging="325"/>
        <w:spacing w:after="0" w:line="266"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November 1, 2014, filed with the SEC on December 10, 2014, including the information specifically incorporated by reference into the Annual Report on Form 10-K from our Definitive Proxy Statement for our 2015 Annual Meeting of Stockholders, filed with the SEC on January 29, 2015;</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fiscal quarter ended January 31, 2015, filed with the SEC on February 17, 2015;</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fiscal quarter ended May 2, 2015, filed with the SEC on May 19, 2015;</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fiscal quarter ended August 1, 2015, filed with the SEC on August 18, 2015; and</w:t>
      </w:r>
    </w:p>
    <w:p>
      <w:pPr>
        <w:spacing w:after="0" w:line="130"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SEC on December 5, 2014, January 21, 2015, March 11, 2015, April 30, 2015, June 18, 2015, July 13, 2015 and August 18, 2015.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One Technology Way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Norwood, MA 02062</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Telephone: (781) 461-3282</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40"/>
          </w:cols>
          <w:pgMar w:left="240" w:top="455" w:right="31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 this prospectus include “forward-looking statements” within the meaning of Section 27A of the Securities Act of 1933, as amended, or the Securities Act, and Section 21E of the Securities Exchange Act of 1934, as amended, or the Exchange Act.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our future liquidity, capital needs and capital expenditures; our future market position and expected competitive changes in the marketplace for our products; our ability to pay dividends or repurchase stock; our ability to service our outstanding debt; our expected tax rate; the effect of new accounting pronouncements; our ability to successfully integrate acquired businesses and technologies; and other characterizations of future events or circumstances are forward-looking statements. You are cautioned that these forward-looking statements are only predictions and are subject to risks, uncertainties and assumptions that are difficult to predict. You should pay particular attention to the important risk factors and cautionary statements referenced in the section of any accompanying prospectus supplement entitled “Risk Factors.” You should also carefully review the risk factors and cautionary statements described in the other documents we file from time to time with the SEC, specifically our Annual Reports on Form 10-K, our Quarterly Reports on Form 10-Q and our Current Reports on Form 8-K. We undertake no obligation to revise or update any forward-looking statements, except to the extent required by law.</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We are a world leader in the design, manufacture and marketing of a broad portfolio of high-performance analog, mixed-signal and digital signal processing integrated circuits used in virtually all types of electronic equipment.</w:t>
      </w:r>
    </w:p>
    <w:p>
      <w:pPr>
        <w:spacing w:after="0" w:line="162"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Since our inception in 1965, we have focused on solving the engineering challenges associated with signal processing in electronic equipment. Our signal processing products play a fundamental role in converting, conditioning and processing real-world phenomena such as temperature, pressure, sound, light, speed and motion into electrical signals to be used in a wide array of electronic devices.</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We sell our products globally through a direct sales force, third-party distributors and independent sales representatives and via our website. We have direct sales offices, sales representatives or distributors in over 40 countries outside North America.</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incorporated in Massachusetts. As of August 12, 2015, we employed approximately 9,800 individuals worldwide.</w:t>
      </w:r>
    </w:p>
    <w:p>
      <w:pPr>
        <w:spacing w:after="0" w:line="225"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ticker symbol “ADI”. Our principal executive offices are located at One Technology Way, Norwood, Massachusetts 02062, and our telephone number is (781) 329-4700.</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20"/>
          </w:cols>
          <w:pgMar w:left="240" w:top="455" w:right="3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RATIOS OF EARNINGS TO FIXED CHARGES</w:t>
      </w:r>
    </w:p>
    <w:p>
      <w:pPr>
        <w:spacing w:after="0" w:line="229"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ratio of earnings to fixed charges for each of the periods indicated. You should read this table in conjunction with the consolidated financial statements and notes incorporated by reference herein.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80" w:type="dxa"/>
            <w:vAlign w:val="bottom"/>
          </w:tcPr>
          <w:p>
            <w:pPr>
              <w:spacing w:after="0"/>
              <w:rPr>
                <w:sz w:val="10"/>
                <w:szCs w:val="10"/>
                <w:color w:val="auto"/>
              </w:rPr>
            </w:pP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520" w:type="dxa"/>
            <w:vAlign w:val="bottom"/>
          </w:tcPr>
          <w:p>
            <w:pPr>
              <w:spacing w:after="0"/>
              <w:rPr>
                <w:sz w:val="10"/>
                <w:szCs w:val="10"/>
                <w:color w:val="auto"/>
              </w:rPr>
            </w:pPr>
          </w:p>
        </w:tc>
        <w:tc>
          <w:tcPr>
            <w:tcW w:w="13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78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5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12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72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October 30,</w:t>
            </w: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300" w:type="dxa"/>
            <w:vAlign w:val="bottom"/>
            <w:gridSpan w:val="2"/>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2012</w:t>
            </w:r>
          </w:p>
        </w:tc>
        <w:tc>
          <w:tcPr>
            <w:tcW w:w="54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2011</w:t>
            </w:r>
          </w:p>
        </w:tc>
        <w:tc>
          <w:tcPr>
            <w:tcW w:w="540" w:type="dxa"/>
            <w:vAlign w:val="bottom"/>
          </w:tcPr>
          <w:p>
            <w:pPr>
              <w:spacing w:after="0"/>
              <w:rPr>
                <w:sz w:val="15"/>
                <w:szCs w:val="15"/>
                <w:color w:val="auto"/>
              </w:rPr>
            </w:pPr>
          </w:p>
        </w:tc>
        <w:tc>
          <w:tcPr>
            <w:tcW w:w="72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2010</w:t>
            </w:r>
          </w:p>
        </w:tc>
        <w:tc>
          <w:tcPr>
            <w:tcW w:w="0" w:type="dxa"/>
            <w:vAlign w:val="bottom"/>
          </w:tcPr>
          <w:p>
            <w:pPr>
              <w:spacing w:after="0"/>
              <w:rPr>
                <w:sz w:val="1"/>
                <w:szCs w:val="1"/>
                <w:color w:val="auto"/>
              </w:rPr>
            </w:pPr>
          </w:p>
        </w:tc>
      </w:tr>
      <w:tr>
        <w:trPr>
          <w:trHeight w:val="178"/>
        </w:trPr>
        <w:tc>
          <w:tcPr>
            <w:tcW w:w="418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Consolidated Ratios of Earnings to Fixed</w:t>
            </w:r>
          </w:p>
        </w:tc>
        <w:tc>
          <w:tcPr>
            <w:tcW w:w="8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Charges(1)</w:t>
            </w:r>
          </w:p>
        </w:tc>
        <w:tc>
          <w:tcPr>
            <w:tcW w:w="80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8"/>
                <w:szCs w:val="18"/>
                <w:color w:val="auto"/>
              </w:rPr>
              <w:t>34.2</w:t>
            </w:r>
          </w:p>
        </w:tc>
        <w:tc>
          <w:tcPr>
            <w:tcW w:w="5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21.3</w:t>
            </w:r>
          </w:p>
        </w:tc>
        <w:tc>
          <w:tcPr>
            <w:tcW w:w="5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26.3</w:t>
            </w:r>
          </w:p>
        </w:tc>
        <w:tc>
          <w:tcPr>
            <w:tcW w:w="130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26.0</w:t>
            </w:r>
          </w:p>
        </w:tc>
        <w:tc>
          <w:tcPr>
            <w:tcW w:w="5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54.4</w:t>
            </w:r>
          </w:p>
        </w:tc>
        <w:tc>
          <w:tcPr>
            <w:tcW w:w="5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right="520" w:hanging="452"/>
        <w:spacing w:after="0" w:line="282"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computing the ratio of earnings to fixed charges, earnings consist of income before income taxes plus amortization of capitalized interest and fixed charges. Fixed charges consist of interest expense (including an estimate of interest within rent expense).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the acquisition of companies or businesses, repayment and refinancing of debt, working capital and capital expenditures.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This prospectus describes certain general terms and provisions of our debt securities. When we offer to sell a particular series of debt securities, we will describe the specific terms of the series in a supplement to this prospectus. We will also indicate in the supplement whether the general terms and provisions described in this prospectus apply to a particular series of debt securities.</w:t>
      </w:r>
    </w:p>
    <w:p>
      <w:pPr>
        <w:spacing w:after="0" w:line="176"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Unless otherwise specified in a supplement to this prospectus, the debt securities will be our direct, unsecured obligations and will rank equally with all of our other unsecured and unsubordinated indebtedness.</w:t>
      </w:r>
    </w:p>
    <w:p>
      <w:pPr>
        <w:spacing w:after="0" w:line="162"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an indenture dated June 3, 2013 between us and The Bank of New York Mellon Trust Company, N.A., as trustee, which we refer to as the “indenture”. We have summarized select portions of the indenture below. The summary is not complete. The indenture has been incorporated by reference as an exhibit to the registration statement and you should read the indenture for provisions that may be important to you. Capitalized terms used in the summary and not defined herein have the meanings specified in the indenture.</w:t>
      </w:r>
    </w:p>
    <w:p>
      <w:pPr>
        <w:spacing w:after="0" w:line="180"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When we refer to “the Company,” “we,” “our” and “us” in this section, we mean Analog Devices, Inc. excluding, unless the context otherwise requires or as otherwise expressly stated, our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or a duly authorized committee of our board of directors and set forth or determined in the manner provided in a resolution of our board of directors or a duly authorized committee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8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76" w:lineRule="exact"/>
        <w:rPr>
          <w:sz w:val="20"/>
          <w:szCs w:val="20"/>
          <w:color w:val="auto"/>
        </w:rPr>
      </w:pPr>
    </w:p>
    <w:p>
      <w:pPr>
        <w:ind w:left="720" w:hanging="256"/>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we will pay the principal on the debt securities;</w:t>
      </w:r>
    </w:p>
    <w:p>
      <w:pPr>
        <w:spacing w:after="0" w:line="225" w:lineRule="exact"/>
        <w:rPr>
          <w:rFonts w:ascii="Times New Roman" w:cs="Times New Roman" w:eastAsia="Times New Roman" w:hAnsi="Times New Roman"/>
          <w:sz w:val="18"/>
          <w:szCs w:val="18"/>
          <w:color w:val="auto"/>
        </w:rPr>
      </w:pPr>
    </w:p>
    <w:p>
      <w:pPr>
        <w:ind w:firstLine="464"/>
        <w:spacing w:after="0" w:line="266" w:lineRule="auto"/>
        <w:tabs>
          <w:tab w:leader="none" w:pos="71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76"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premium and interest on the debt securities will be payable;</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redeem the debt securities;</w:t>
      </w:r>
    </w:p>
    <w:p>
      <w:pPr>
        <w:spacing w:after="0" w:line="225" w:lineRule="exact"/>
        <w:rPr>
          <w:rFonts w:ascii="Times New Roman" w:cs="Times New Roman" w:eastAsia="Times New Roman" w:hAnsi="Times New Roman"/>
          <w:sz w:val="18"/>
          <w:szCs w:val="18"/>
          <w:color w:val="auto"/>
        </w:rPr>
      </w:pPr>
    </w:p>
    <w:p>
      <w:pPr>
        <w:ind w:right="20" w:firstLine="464"/>
        <w:spacing w:after="0" w:line="282" w:lineRule="auto"/>
        <w:tabs>
          <w:tab w:leader="none" w:pos="71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40" w:firstLine="464"/>
        <w:spacing w:after="0" w:line="282" w:lineRule="auto"/>
        <w:tabs>
          <w:tab w:leader="none" w:pos="71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61" w:lineRule="exact"/>
        <w:rPr>
          <w:rFonts w:ascii="Times New Roman" w:cs="Times New Roman" w:eastAsia="Times New Roman" w:hAnsi="Times New Roman"/>
          <w:sz w:val="18"/>
          <w:szCs w:val="18"/>
          <w:color w:val="auto"/>
        </w:rPr>
      </w:pPr>
    </w:p>
    <w:p>
      <w:pPr>
        <w:ind w:left="800" w:hanging="336"/>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17" w:lineRule="exact"/>
        <w:rPr>
          <w:rFonts w:ascii="Times New Roman" w:cs="Times New Roman" w:eastAsia="Times New Roman" w:hAnsi="Times New Roman"/>
          <w:sz w:val="18"/>
          <w:szCs w:val="18"/>
          <w:color w:val="auto"/>
        </w:rPr>
      </w:pPr>
    </w:p>
    <w:p>
      <w:pPr>
        <w:ind w:left="800" w:hanging="336"/>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225" w:lineRule="exact"/>
        <w:rPr>
          <w:rFonts w:ascii="Times New Roman" w:cs="Times New Roman" w:eastAsia="Times New Roman" w:hAnsi="Times New Roman"/>
          <w:sz w:val="18"/>
          <w:szCs w:val="18"/>
          <w:color w:val="auto"/>
        </w:rPr>
      </w:pPr>
    </w:p>
    <w:p>
      <w:pPr>
        <w:ind w:left="800" w:hanging="336"/>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the debt securities payable upon declaration of acceleration of the maturity date, if other than the principal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w:t>
      </w:r>
    </w:p>
    <w:p>
      <w:pPr>
        <w:spacing w:after="0" w:line="206" w:lineRule="exact"/>
        <w:rPr>
          <w:rFonts w:ascii="Times New Roman" w:cs="Times New Roman" w:eastAsia="Times New Roman" w:hAnsi="Times New Roman"/>
          <w:sz w:val="18"/>
          <w:szCs w:val="18"/>
          <w:color w:val="auto"/>
        </w:rPr>
      </w:pPr>
    </w:p>
    <w:p>
      <w:pPr>
        <w:ind w:left="800" w:hanging="336"/>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w:t>
      </w:r>
    </w:p>
    <w:p>
      <w:pPr>
        <w:spacing w:after="0" w:line="225" w:lineRule="exact"/>
        <w:rPr>
          <w:rFonts w:ascii="Times New Roman" w:cs="Times New Roman" w:eastAsia="Times New Roman" w:hAnsi="Times New Roman"/>
          <w:sz w:val="18"/>
          <w:szCs w:val="18"/>
          <w:color w:val="auto"/>
        </w:rPr>
      </w:pPr>
    </w:p>
    <w:p>
      <w:pPr>
        <w:ind w:left="800" w:hanging="336"/>
        <w:spacing w:after="0"/>
        <w:tabs>
          <w:tab w:leader="none" w:pos="8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of the currency, currencies or currency units in which payment of principal of, premium and interest on the debt securities will be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made;</w:t>
      </w:r>
    </w:p>
    <w:p>
      <w:pPr>
        <w:spacing w:after="0" w:line="206" w:lineRule="exact"/>
        <w:rPr>
          <w:rFonts w:ascii="Times New Roman" w:cs="Times New Roman" w:eastAsia="Times New Roman" w:hAnsi="Times New Roman"/>
          <w:sz w:val="17"/>
          <w:szCs w:val="17"/>
          <w:color w:val="auto"/>
        </w:rPr>
      </w:pPr>
    </w:p>
    <w:p>
      <w:pPr>
        <w:ind w:right="40" w:firstLine="464"/>
        <w:spacing w:after="0" w:line="282" w:lineRule="auto"/>
        <w:tabs>
          <w:tab w:leader="none" w:pos="80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61" w:lineRule="exact"/>
        <w:rPr>
          <w:rFonts w:ascii="Times New Roman" w:cs="Times New Roman" w:eastAsia="Times New Roman" w:hAnsi="Times New Roman"/>
          <w:sz w:val="18"/>
          <w:szCs w:val="18"/>
          <w:color w:val="auto"/>
        </w:rPr>
      </w:pPr>
    </w:p>
    <w:p>
      <w:pPr>
        <w:ind w:right="20" w:firstLine="464"/>
        <w:spacing w:after="0" w:line="266" w:lineRule="auto"/>
        <w:tabs>
          <w:tab w:leader="none" w:pos="80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p>
      <w:pPr>
        <w:spacing w:after="0" w:line="176" w:lineRule="exact"/>
        <w:rPr>
          <w:rFonts w:ascii="Times New Roman" w:cs="Times New Roman" w:eastAsia="Times New Roman" w:hAnsi="Times New Roman"/>
          <w:sz w:val="18"/>
          <w:szCs w:val="18"/>
          <w:color w:val="auto"/>
        </w:rPr>
      </w:pPr>
    </w:p>
    <w:p>
      <w:pPr>
        <w:ind w:left="800" w:hanging="336"/>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225" w:lineRule="exact"/>
        <w:rPr>
          <w:rFonts w:ascii="Times New Roman" w:cs="Times New Roman" w:eastAsia="Times New Roman" w:hAnsi="Times New Roman"/>
          <w:sz w:val="18"/>
          <w:szCs w:val="18"/>
          <w:color w:val="auto"/>
        </w:rPr>
      </w:pPr>
    </w:p>
    <w:p>
      <w:pPr>
        <w:ind w:right="380" w:firstLine="464"/>
        <w:spacing w:after="0" w:line="282" w:lineRule="auto"/>
        <w:tabs>
          <w:tab w:leader="none" w:pos="80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61" w:lineRule="exact"/>
        <w:rPr>
          <w:rFonts w:ascii="Times New Roman" w:cs="Times New Roman" w:eastAsia="Times New Roman" w:hAnsi="Times New Roman"/>
          <w:sz w:val="18"/>
          <w:szCs w:val="18"/>
          <w:color w:val="auto"/>
        </w:rPr>
      </w:pPr>
    </w:p>
    <w:p>
      <w:pPr>
        <w:ind w:left="800" w:hanging="336"/>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described in this prospectus or in the indenture with respect to the debt securities;</w:t>
      </w:r>
    </w:p>
    <w:p>
      <w:pPr>
        <w:spacing w:after="0" w:line="225" w:lineRule="exact"/>
        <w:rPr>
          <w:rFonts w:ascii="Times New Roman" w:cs="Times New Roman" w:eastAsia="Times New Roman" w:hAnsi="Times New Roman"/>
          <w:sz w:val="18"/>
          <w:szCs w:val="18"/>
          <w:color w:val="auto"/>
        </w:rPr>
      </w:pPr>
    </w:p>
    <w:p>
      <w:pPr>
        <w:ind w:left="800" w:hanging="336"/>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on a securities exchange;</w:t>
      </w:r>
    </w:p>
    <w:p>
      <w:pPr>
        <w:spacing w:after="0" w:line="225" w:lineRule="exact"/>
        <w:rPr>
          <w:rFonts w:ascii="Times New Roman" w:cs="Times New Roman" w:eastAsia="Times New Roman" w:hAnsi="Times New Roman"/>
          <w:sz w:val="18"/>
          <w:szCs w:val="18"/>
          <w:color w:val="auto"/>
        </w:rPr>
      </w:pPr>
    </w:p>
    <w:p>
      <w:pPr>
        <w:ind w:left="800" w:hanging="336"/>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if any is established for such debt securities;</w:t>
      </w:r>
    </w:p>
    <w:p>
      <w:pPr>
        <w:spacing w:after="0" w:line="225" w:lineRule="exact"/>
        <w:rPr>
          <w:rFonts w:ascii="Times New Roman" w:cs="Times New Roman" w:eastAsia="Times New Roman" w:hAnsi="Times New Roman"/>
          <w:sz w:val="18"/>
          <w:szCs w:val="18"/>
          <w:color w:val="auto"/>
        </w:rPr>
      </w:pPr>
    </w:p>
    <w:p>
      <w:pPr>
        <w:ind w:left="800" w:hanging="336"/>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and</w:t>
      </w:r>
    </w:p>
    <w:p>
      <w:pPr>
        <w:spacing w:after="0" w:line="225" w:lineRule="exact"/>
        <w:rPr>
          <w:rFonts w:ascii="Times New Roman" w:cs="Times New Roman" w:eastAsia="Times New Roman" w:hAnsi="Times New Roman"/>
          <w:sz w:val="18"/>
          <w:szCs w:val="18"/>
          <w:color w:val="auto"/>
        </w:rPr>
      </w:pPr>
    </w:p>
    <w:p>
      <w:pPr>
        <w:ind w:right="100" w:firstLine="464"/>
        <w:spacing w:after="0" w:line="282" w:lineRule="auto"/>
        <w:tabs>
          <w:tab w:leader="none" w:pos="80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 if other than those appointed in the indenture.</w:t>
      </w:r>
    </w:p>
    <w:p>
      <w:pPr>
        <w:spacing w:after="0" w:line="162"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addition, the indenture does not limit our ability to issue convertible or subordinated debt securities. We may also issue debt securities that provide for an amount less than their stated principal amount to be due and payable upon declaration of acceleration of their maturity pursuant to the terms of the indenture. We will provide you with information on the material United States federal income tax considerations and other special considerations applicable to any of these debt securities in the applicable prospectus supplement.</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240" w:top="455" w:right="39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“Forms of Securities” in this prospectus for description of transfer and exchange.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162" w:lineRule="exact"/>
        <w:rPr>
          <w:sz w:val="20"/>
          <w:szCs w:val="20"/>
          <w:color w:val="auto"/>
        </w:rPr>
      </w:pPr>
    </w:p>
    <w:p>
      <w:pPr>
        <w:ind w:right="120" w:firstLine="464"/>
        <w:spacing w:after="0" w:line="282" w:lineRule="auto"/>
        <w:tabs>
          <w:tab w:leader="none" w:pos="71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Analog Devices, Inc.) is a corporation organized and validly existing under the laws of any U.S. domestic jurisdiction and expressly assumes by a supplemental indenture our obligations on the debt securities and under the indenture;</w:t>
      </w:r>
    </w:p>
    <w:p>
      <w:pPr>
        <w:spacing w:after="0" w:line="161" w:lineRule="exact"/>
        <w:rPr>
          <w:rFonts w:ascii="Times New Roman" w:cs="Times New Roman" w:eastAsia="Times New Roman" w:hAnsi="Times New Roman"/>
          <w:sz w:val="18"/>
          <w:szCs w:val="18"/>
          <w:color w:val="auto"/>
        </w:rPr>
      </w:pPr>
    </w:p>
    <w:p>
      <w:pPr>
        <w:ind w:right="120" w:firstLine="464"/>
        <w:spacing w:after="0" w:line="282" w:lineRule="auto"/>
        <w:tabs>
          <w:tab w:leader="none" w:pos="71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16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are met.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Notwithstanding the above, any subsidiary of ours may consolidate with, merge into or transfer all or part of its properties to 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19" w:lineRule="exact"/>
        <w:rPr>
          <w:sz w:val="20"/>
          <w:szCs w:val="20"/>
          <w:color w:val="auto"/>
        </w:rPr>
      </w:pPr>
    </w:p>
    <w:p>
      <w:pPr>
        <w:ind w:right="280" w:firstLine="45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means with respect to any series of debt securities, any of the following unless otherwise provided in the resolutions establishing such series:</w:t>
      </w:r>
    </w:p>
    <w:p>
      <w:pPr>
        <w:spacing w:after="0" w:line="160" w:lineRule="exact"/>
        <w:rPr>
          <w:sz w:val="20"/>
          <w:szCs w:val="20"/>
          <w:color w:val="auto"/>
        </w:rPr>
      </w:pPr>
    </w:p>
    <w:p>
      <w:pPr>
        <w:ind w:right="180" w:firstLine="464"/>
        <w:spacing w:after="0" w:line="282" w:lineRule="auto"/>
        <w:tabs>
          <w:tab w:leader="none" w:pos="7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that default for a period of 30 days;</w:t>
      </w:r>
    </w:p>
    <w:p>
      <w:pPr>
        <w:spacing w:after="0" w:line="16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premium on any debt security of that series when due and payable;</w:t>
      </w:r>
    </w:p>
    <w:p>
      <w:pPr>
        <w:spacing w:after="0" w:line="225" w:lineRule="exact"/>
        <w:rPr>
          <w:rFonts w:ascii="Times New Roman" w:cs="Times New Roman" w:eastAsia="Times New Roman" w:hAnsi="Times New Roman"/>
          <w:sz w:val="18"/>
          <w:szCs w:val="18"/>
          <w:color w:val="auto"/>
        </w:rPr>
      </w:pPr>
    </w:p>
    <w:p>
      <w:pPr>
        <w:jc w:val="both"/>
        <w:ind w:firstLine="464"/>
        <w:spacing w:after="0" w:line="261" w:lineRule="auto"/>
        <w:tabs>
          <w:tab w:leader="none" w:pos="7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by us in the indenture (other than a covenant that has been included in the indenture solely for the benefit of a series of debt securities other than such series), which default continues uncured for a period of 90 days after we receive written notice from the trustee or we and the trustee receive written notice from the holders of not less than 25% in principal amount of the outstanding debt securities of that series as provided in the indenture;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us; and</w:t>
      </w:r>
    </w:p>
    <w:p>
      <w:pPr>
        <w:spacing w:after="0" w:line="225" w:lineRule="exact"/>
        <w:rPr>
          <w:rFonts w:ascii="Times New Roman" w:cs="Times New Roman" w:eastAsia="Times New Roman" w:hAnsi="Times New Roman"/>
          <w:sz w:val="18"/>
          <w:szCs w:val="18"/>
          <w:color w:val="auto"/>
        </w:rPr>
      </w:pPr>
    </w:p>
    <w:p>
      <w:pPr>
        <w:ind w:right="780" w:firstLine="464"/>
        <w:spacing w:after="0" w:line="282" w:lineRule="auto"/>
        <w:tabs>
          <w:tab w:leader="none" w:pos="7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 accompanying this prospectus.</w:t>
      </w:r>
    </w:p>
    <w:p>
      <w:pPr>
        <w:spacing w:after="0" w:line="162"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of our other indebtedness outstanding from time to time.</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the principal and interest with respect to debt securities of that series which have become due solely by such declaration of acceleration, have been cured or waived as provided in the indenture and the trustee’s fees and expenses have been paid in full.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indenture provides that the trustee will be under no obligation to exercise any of its rights or powers under the indenture unless the trustee receives security or indemnity satisfactory to it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62" w:lineRule="exact"/>
        <w:rPr>
          <w:sz w:val="20"/>
          <w:szCs w:val="20"/>
          <w:color w:val="auto"/>
        </w:rPr>
      </w:pPr>
    </w:p>
    <w:p>
      <w:pPr>
        <w:ind w:left="720" w:hanging="256"/>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225" w:lineRule="exact"/>
        <w:rPr>
          <w:rFonts w:ascii="Times New Roman" w:cs="Times New Roman" w:eastAsia="Times New Roman" w:hAnsi="Times New Roman"/>
          <w:sz w:val="18"/>
          <w:szCs w:val="18"/>
          <w:color w:val="auto"/>
        </w:rPr>
      </w:pPr>
    </w:p>
    <w:p>
      <w:pPr>
        <w:ind w:right="20" w:firstLine="464"/>
        <w:spacing w:after="0" w:line="261" w:lineRule="auto"/>
        <w:tabs>
          <w:tab w:leader="none" w:pos="71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reasonable indemnity, to the trustee to institute the proceeding as trustee, and after receipt of such request the trustee has not received from the holders of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holder of any debt security will have an absolute and unconditional right to receive payment of the principal of, any premium and any interest on that debt security on or after the due dates expressed in that debt security and to institute suit for the enforcement of payment.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right="700" w:firstLine="456"/>
        <w:spacing w:after="0" w:line="282" w:lineRule="auto"/>
        <w:rPr>
          <w:sz w:val="20"/>
          <w:szCs w:val="20"/>
          <w:color w:val="auto"/>
        </w:rPr>
      </w:pPr>
      <w:r>
        <w:rPr>
          <w:rFonts w:ascii="Times New Roman" w:cs="Times New Roman" w:eastAsia="Times New Roman" w:hAnsi="Times New Roman"/>
          <w:sz w:val="18"/>
          <w:szCs w:val="18"/>
          <w:color w:val="auto"/>
        </w:rPr>
        <w:t>We or the trustee may amend or supplement the indenture or the debt securities of one or more series without the consent of the holders of the outstanding debt securities under the indenture:</w:t>
      </w:r>
    </w:p>
    <w:p>
      <w:pPr>
        <w:spacing w:after="0" w:line="162" w:lineRule="exact"/>
        <w:rPr>
          <w:sz w:val="20"/>
          <w:szCs w:val="20"/>
          <w:color w:val="auto"/>
        </w:rPr>
      </w:pPr>
    </w:p>
    <w:p>
      <w:pPr>
        <w:ind w:left="720" w:hanging="256"/>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certain covenants under the indenture with respect to mergers and sales of assets;</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 under the indenture;</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under the indenture as permitted thereunder;</w:t>
      </w:r>
    </w:p>
    <w:p>
      <w:pPr>
        <w:spacing w:after="0" w:line="225" w:lineRule="exact"/>
        <w:rPr>
          <w:rFonts w:ascii="Times New Roman" w:cs="Times New Roman" w:eastAsia="Times New Roman" w:hAnsi="Times New Roman"/>
          <w:sz w:val="18"/>
          <w:szCs w:val="18"/>
          <w:color w:val="auto"/>
        </w:rPr>
      </w:pPr>
    </w:p>
    <w:p>
      <w:pPr>
        <w:jc w:val="both"/>
        <w:ind w:right="100" w:firstLine="464"/>
        <w:spacing w:after="0" w:line="282" w:lineRule="auto"/>
        <w:tabs>
          <w:tab w:leader="none" w:pos="71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by a successor trustee with respect to any of the debt securities and to add to or change any of the provisions of the indenture as shall be necessary to provide for or facilitate the administration of the trusts thereunder by more than one trustee; or</w:t>
      </w:r>
    </w:p>
    <w:p>
      <w:pPr>
        <w:spacing w:after="0" w:line="16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In addition, we may modify and amend the indenture as to all other matters with the consent of the holders of at least a majority in principal amount of the outstanding debt securities of each series affected by the modifications or amendments, provided however that we may not make any modification or amendment without the consent of the holders of each affected debt security then outstanding if that amendment will:</w:t>
      </w:r>
    </w:p>
    <w:p>
      <w:pPr>
        <w:spacing w:after="0" w:line="176" w:lineRule="exact"/>
        <w:rPr>
          <w:sz w:val="20"/>
          <w:szCs w:val="20"/>
          <w:color w:val="auto"/>
        </w:rPr>
      </w:pPr>
    </w:p>
    <w:p>
      <w:pPr>
        <w:ind w:left="720" w:hanging="256"/>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225" w:lineRule="exact"/>
        <w:rPr>
          <w:rFonts w:ascii="Times New Roman" w:cs="Times New Roman" w:eastAsia="Times New Roman" w:hAnsi="Times New Roman"/>
          <w:sz w:val="18"/>
          <w:szCs w:val="18"/>
          <w:color w:val="auto"/>
        </w:rPr>
      </w:pPr>
    </w:p>
    <w:p>
      <w:pPr>
        <w:ind w:right="80" w:firstLine="464"/>
        <w:spacing w:after="0" w:line="282" w:lineRule="auto"/>
        <w:tabs>
          <w:tab w:leader="none" w:pos="71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6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225" w:lineRule="exact"/>
        <w:rPr>
          <w:rFonts w:ascii="Times New Roman" w:cs="Times New Roman" w:eastAsia="Times New Roman" w:hAnsi="Times New Roman"/>
          <w:sz w:val="18"/>
          <w:szCs w:val="18"/>
          <w:color w:val="auto"/>
        </w:rPr>
      </w:pPr>
    </w:p>
    <w:p>
      <w:pPr>
        <w:ind w:firstLine="464"/>
        <w:spacing w:after="0" w:line="266" w:lineRule="auto"/>
        <w:tabs>
          <w:tab w:leader="none" w:pos="71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455" w:right="2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 or</w:t>
      </w:r>
    </w:p>
    <w:p>
      <w:pPr>
        <w:spacing w:after="0" w:line="225" w:lineRule="exact"/>
        <w:rPr>
          <w:rFonts w:ascii="Times New Roman" w:cs="Times New Roman" w:eastAsia="Times New Roman" w:hAnsi="Times New Roman"/>
          <w:sz w:val="18"/>
          <w:szCs w:val="18"/>
          <w:color w:val="auto"/>
        </w:rPr>
      </w:pPr>
    </w:p>
    <w:p>
      <w:pPr>
        <w:ind w:right="140" w:firstLine="464"/>
        <w:spacing w:after="0" w:line="282" w:lineRule="auto"/>
        <w:tabs>
          <w:tab w:leader="none" w:pos="71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w:t>
      </w:r>
    </w:p>
    <w:p>
      <w:pPr>
        <w:spacing w:after="0" w:line="16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any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 applicable series of debt securities, we may be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and all obligations in respect of the debt securities of any series (except for certain obligations, including to register the transfer or exchange of debt securities of such series, to replace stolen, lost or mutilated debt securities of such series, and to maintain paying agencies and certain provisions relating to the treatment of funds held by paying agents). We will be so discharged upon the deposit with the trustee, in trust, of money and/or U.S. Government Obligations or, in the case of debt securities denominated in a single currency other than U.S. Dollars, money and/or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and any mandatory sinking fund payments in respect of the debt securities of that series on the stated maturity of those payments in accordance with the terms of the indenture and those debt securities.</w:t>
      </w:r>
    </w:p>
    <w:p>
      <w:pPr>
        <w:spacing w:after="0" w:line="19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6" w:lineRule="exact"/>
        <w:rPr>
          <w:sz w:val="20"/>
          <w:szCs w:val="20"/>
          <w:color w:val="auto"/>
        </w:rPr>
      </w:pPr>
    </w:p>
    <w:p>
      <w:pPr>
        <w:ind w:right="1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160" w:lineRule="exact"/>
        <w:rPr>
          <w:sz w:val="20"/>
          <w:szCs w:val="20"/>
          <w:color w:val="auto"/>
        </w:rPr>
      </w:pPr>
    </w:p>
    <w:p>
      <w:pPr>
        <w:ind w:right="140" w:firstLine="464"/>
        <w:spacing w:after="0" w:line="282" w:lineRule="auto"/>
        <w:tabs>
          <w:tab w:leader="none" w:pos="71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61" w:lineRule="exact"/>
        <w:rPr>
          <w:rFonts w:ascii="Times New Roman" w:cs="Times New Roman" w:eastAsia="Times New Roman" w:hAnsi="Times New Roman"/>
          <w:sz w:val="18"/>
          <w:szCs w:val="18"/>
          <w:color w:val="auto"/>
        </w:rPr>
      </w:pPr>
    </w:p>
    <w:p>
      <w:pPr>
        <w:ind w:right="400" w:firstLine="464"/>
        <w:spacing w:after="0" w:line="282" w:lineRule="auto"/>
        <w:tabs>
          <w:tab w:leader="none" w:pos="71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225" w:lineRule="exact"/>
        <w:rPr>
          <w:sz w:val="20"/>
          <w:szCs w:val="20"/>
          <w:color w:val="auto"/>
        </w:rPr>
      </w:pPr>
    </w:p>
    <w:p>
      <w:pPr>
        <w:ind w:right="20" w:firstLine="464"/>
        <w:spacing w:after="0" w:line="258" w:lineRule="auto"/>
        <w:tabs>
          <w:tab w:leader="none" w:pos="71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money and/or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83" w:lineRule="exact"/>
        <w:rPr>
          <w:rFonts w:ascii="Times New Roman" w:cs="Times New Roman" w:eastAsia="Times New Roman" w:hAnsi="Times New Roman"/>
          <w:sz w:val="18"/>
          <w:szCs w:val="18"/>
          <w:color w:val="auto"/>
        </w:rPr>
      </w:pPr>
    </w:p>
    <w:p>
      <w:pPr>
        <w:ind w:firstLine="464"/>
        <w:spacing w:after="0" w:line="266" w:lineRule="auto"/>
        <w:tabs>
          <w:tab w:leader="none" w:pos="71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stating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74"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Covenant Defeasance and Events of Default</w:t>
      </w:r>
      <w:r>
        <w:rPr>
          <w:rFonts w:ascii="Times New Roman" w:cs="Times New Roman" w:eastAsia="Times New Roman" w:hAnsi="Times New Roman"/>
          <w:sz w:val="18"/>
          <w:szCs w:val="18"/>
          <w:color w:val="auto"/>
        </w:rPr>
        <w:t>. In the event we exercise our option to effect covenant defeasance with respect to any series of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the debt securities of that series are declared due and payable because of the occurrence of any Event of Default, the amount of money and/or U.S. Government Obligations or Foreign Government Obligations on deposit with the trustee should be sufficient to pay amounts due on the debt securities of that series at the time of their stated maturity but may not be sufficient to pay amounts due on the debt securities of that series at the time of the acceleration resulting from the Event of Default. However, we shall remain liable for those payments.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Government Obligations</w:t>
      </w:r>
      <w:r>
        <w:rPr>
          <w:rFonts w:ascii="Times New Roman" w:cs="Times New Roman" w:eastAsia="Times New Roman" w:hAnsi="Times New Roman"/>
          <w:sz w:val="18"/>
          <w:szCs w:val="18"/>
          <w:color w:val="auto"/>
        </w:rPr>
        <w:t>” means, with respect to debt securities of any series that are denominated in a currency other than U.S. Dollars:</w:t>
      </w:r>
    </w:p>
    <w:p>
      <w:pPr>
        <w:spacing w:after="0" w:line="227" w:lineRule="exact"/>
        <w:rPr>
          <w:sz w:val="20"/>
          <w:szCs w:val="20"/>
          <w:color w:val="auto"/>
        </w:rPr>
      </w:pPr>
    </w:p>
    <w:p>
      <w:pPr>
        <w:ind w:right="60" w:firstLine="464"/>
        <w:spacing w:after="0" w:line="282" w:lineRule="auto"/>
        <w:tabs>
          <w:tab w:leader="none" w:pos="71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government that issued or caused to be issued such currency for the payment of which obligations its full faith and credit is pledged which are not callable or redeemable at the option of the issuer thereof; or</w:t>
      </w:r>
    </w:p>
    <w:p>
      <w:pPr>
        <w:spacing w:after="0" w:line="161" w:lineRule="exact"/>
        <w:rPr>
          <w:rFonts w:ascii="Times New Roman" w:cs="Times New Roman" w:eastAsia="Times New Roman" w:hAnsi="Times New Roman"/>
          <w:sz w:val="18"/>
          <w:szCs w:val="18"/>
          <w:color w:val="auto"/>
        </w:rPr>
      </w:pPr>
    </w:p>
    <w:p>
      <w:pPr>
        <w:ind w:right="300" w:firstLine="464"/>
        <w:spacing w:after="0" w:line="313" w:lineRule="auto"/>
        <w:tabs>
          <w:tab w:leader="none" w:pos="71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of a person controlled or supervised by or acting as an agency or instrumentality of that government the timely payment of which is unconditionally guaranteed as a full faith and credit obligation by that government which are not callable or redeemable at the option of the issuer thereof.</w:t>
      </w:r>
    </w:p>
    <w:p>
      <w:pPr>
        <w:spacing w:after="0" w:line="13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means securities that are: (1) direct obligations of the United States for the payment of which its full faith and credit is pledged, or (2) obligations of a person controlled or supervised by and acting as an agency or instrumentality of the United States the payment of which is unconditionally guaranteed as a full faith and credit obligation by the United States; that, in either case under clauses (1) or (2)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 Prior to Maturity</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Company has the right at any time to satisfy and discharge its obligations, other than certain specified obligations, under all debt securities under the indenture by depositing in trust with the trustee money and/or U.S. Government Obligations. The Company’s exercise of this right is subject to certain conditions including that either (1) all securities under the indenture (subject to certain exceptions) have been delivered to the trustee for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cancellation or (2) all securities under the indenture not previously delivered to the trustee for cancellation have become due and payable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If such deposit is sufficient, in the opinion of a nationally recognized firm of independent public accountants (unless the funds consist solely of money), to make all payments of (1) interest on the debt securities prior to their redemption or maturity and (2) principal of (and premium, if any) and interest on such debt securities when due upon redemption or at maturity, all the obligations of the Company under the indenture will be discharged and terminated except as otherwise provided in the indenture.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Each security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securities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84"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6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8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indenture.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global security desires to give or take any action that a holder is entitled to give or take under the indenture,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represented by a global security registered in the name of a depositary or its nominee will be made to the depositary or its nominee, as the case may be, as the registered owner of the global security. None of the Company, the trustee, or any other agent of the Company or the trustee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8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global security, upon receipt of any payment of principal, premium, interest or other distribution of underlying securities or other property to holders of that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securities held for the accounts of customers registered in “street name,” and will be the responsibility of those participants.</w:t>
      </w:r>
    </w:p>
    <w:p>
      <w:pPr>
        <w:spacing w:after="0" w:line="184" w:lineRule="exact"/>
        <w:rPr>
          <w:sz w:val="20"/>
          <w:szCs w:val="20"/>
          <w:color w:val="auto"/>
        </w:rPr>
      </w:pPr>
    </w:p>
    <w:p>
      <w:pPr>
        <w:ind w:right="60" w:firstLine="456"/>
        <w:spacing w:after="0" w:line="273" w:lineRule="auto"/>
        <w:rPr>
          <w:sz w:val="20"/>
          <w:szCs w:val="20"/>
          <w:color w:val="auto"/>
        </w:rPr>
      </w:pPr>
      <w:r>
        <w:rPr>
          <w:rFonts w:ascii="Times New Roman" w:cs="Times New Roman" w:eastAsia="Times New Roman" w:hAnsi="Times New Roman"/>
          <w:sz w:val="17"/>
          <w:szCs w:val="17"/>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In addition, we may, at any time and in our sole discretion and subject to the procedures of the depositary, determine not to have securities represented by global securities and, in that event, will issue securities in definitive form for the global securities of that series. Any securities issued in definitive form in exchange for a global security will be registered in the name or names that the depositary gives to the trustee. It is expected that the depositary’s instructions will be based on directions received by the depositary from participants with respect to ownership of beneficial interests in the global security that had been held by the depositary.</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sell debt securities:</w:t>
      </w:r>
    </w:p>
    <w:p>
      <w:pPr>
        <w:spacing w:after="0" w:line="225" w:lineRule="exact"/>
        <w:rPr>
          <w:sz w:val="20"/>
          <w:szCs w:val="20"/>
          <w:color w:val="auto"/>
        </w:rPr>
      </w:pPr>
    </w:p>
    <w:p>
      <w:pPr>
        <w:ind w:left="720" w:hanging="256"/>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This prospectus may be used in connection with any offering of our debt securities through any of these methods or other methods described in the applicable prospectus supplement.</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debt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distribution of the debt securities may be effected from time to time in one or more transactions:</w:t>
      </w:r>
    </w:p>
    <w:p>
      <w:pPr>
        <w:spacing w:after="0" w:line="225" w:lineRule="exact"/>
        <w:rPr>
          <w:sz w:val="20"/>
          <w:szCs w:val="20"/>
          <w:color w:val="auto"/>
        </w:rPr>
      </w:pPr>
    </w:p>
    <w:p>
      <w:pPr>
        <w:ind w:left="720" w:hanging="256"/>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debt securities and any applicable restrictions.</w:t>
      </w:r>
    </w:p>
    <w:p>
      <w:pPr>
        <w:spacing w:after="0" w:line="225"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debt securities of a particular series will describe the terms of the offering of the debt securities, including the following:</w:t>
      </w:r>
    </w:p>
    <w:p>
      <w:pPr>
        <w:spacing w:after="0" w:line="162" w:lineRule="exact"/>
        <w:rPr>
          <w:sz w:val="20"/>
          <w:szCs w:val="20"/>
          <w:color w:val="auto"/>
        </w:rPr>
      </w:pPr>
    </w:p>
    <w:p>
      <w:pPr>
        <w:ind w:left="720" w:hanging="256"/>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 and the proceeds we will receive from the sale of the debt securities;</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the agent or underwriters;</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debt securities will be listed.</w:t>
      </w:r>
    </w:p>
    <w:p>
      <w:pPr>
        <w:spacing w:after="0" w:line="1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240" w:top="455" w:right="5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debt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certain of the terms of the related agreement with them.</w:t>
      </w:r>
    </w:p>
    <w:p>
      <w:pPr>
        <w:spacing w:after="0" w:line="176"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debt securities in respect of which this prospectus is delivered, we will sell such debt securities to the dealer, as principal. The dealer may then resell such securities to the public at varying prices to be determined by such dealer at the time of resale.</w:t>
      </w:r>
    </w:p>
    <w:p>
      <w:pPr>
        <w:spacing w:after="0" w:line="162"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debt securities from us pursuant to delayed delivery contracts providing for payment and delivery on the date stated in the prospectus supplement. Each contract will be for an amount not less than, and the aggregate amount of debt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8" w:lineRule="exact"/>
        <w:rPr>
          <w:sz w:val="20"/>
          <w:szCs w:val="20"/>
          <w:color w:val="auto"/>
        </w:rPr>
      </w:pPr>
    </w:p>
    <w:p>
      <w:pPr>
        <w:ind w:right="180" w:firstLine="464"/>
        <w:spacing w:after="0" w:line="282" w:lineRule="auto"/>
        <w:tabs>
          <w:tab w:leader="none" w:pos="7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debt securities covered under that contract shall not at the time of delivery be prohibited under the laws of the jurisdiction to which that institution is subject; and</w:t>
      </w:r>
    </w:p>
    <w:p>
      <w:pPr>
        <w:spacing w:after="0" w:line="161" w:lineRule="exact"/>
        <w:rPr>
          <w:rFonts w:ascii="Times New Roman" w:cs="Times New Roman" w:eastAsia="Times New Roman" w:hAnsi="Times New Roman"/>
          <w:sz w:val="18"/>
          <w:szCs w:val="18"/>
          <w:color w:val="auto"/>
        </w:rPr>
      </w:pPr>
    </w:p>
    <w:p>
      <w:pPr>
        <w:jc w:val="both"/>
        <w:ind w:right="160" w:firstLine="464"/>
        <w:spacing w:after="0" w:line="266" w:lineRule="auto"/>
        <w:tabs>
          <w:tab w:leader="none" w:pos="7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also being sold to underwriters acting as principals for their own account, the underwriters shall have purchased such debt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Certain agents, underwriters,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debt securities, any underwriters may engage in transactions that stabilize, maintain or otherwise affect the price of the debt securities or any other securities the prices of which may be used to determine payments on such debt securities. Specifically, any underwriters may overallot in connection with the offering, creating a short position for their own accounts. In addition, to cover overallotments or to stabilize the price of the debt securities or of any such other securities, the underwriters may bid for, and purchase, the debt securities or any such other securities in the open market. Finally, in any offering of the debt securities through a syndicate of underwriters, the underwriting syndicate may reclaim selling concessions allowed to an underwriter or a dealer for distributing the debt securities in the offering if the syndicate repurchases previously distributed debt securities in transactions to cover syndicate short positions, in stabilization transactions or otherwise. Any of these activities may stabilize or maintain the market price of the debt securities above independent market levels. Any such underwriters are not required to engage in these activities and may end any of these activities at any time.</w:t>
      </w:r>
    </w:p>
    <w:p>
      <w:pPr>
        <w:spacing w:after="0" w:line="189"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more than three scheduled business days after the trade date for your securities, to make alternative settlement arrangements to prevent a failed settlement.</w:t>
      </w:r>
    </w:p>
    <w:p>
      <w:pPr>
        <w:spacing w:after="0" w:line="176"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debt securities may be new issues of securities and may have no established trading market. The debt securities may or may not be listed on a national securities exchange. We can make no assurance as to the liquidity of or the existence of trading markets for any of the debt securities.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240" w:top="455" w:right="41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debt securities in respect of which this prospectus is being delivered will be passed upon by Wilmer Cutler Pickering Hale and Dorr LLP.</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Analog Devices, Inc. appearing in Analog Devices, Inc.’s Annual Report (Form 10-K) for the year ended November 1, 2014 (including schedule appearing therein), and the effectiveness of Analog Devices, Inc.’s internal control over financial reporting as of November 1, 2014,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455" w:right="279" w:bottom="1440" w:gutter="0" w:footer="0" w:header="0"/>
        </w:sectPr>
      </w:pPr>
    </w:p>
    <w:bookmarkStart w:id="58" w:name="page59"/>
    <w:bookmarkEnd w:id="5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1724660</wp:posOffset>
            </wp:positionV>
            <wp:extent cx="2400935" cy="677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00935" cy="67754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20" w:hanging="1140"/>
        <w:spacing w:after="0"/>
        <w:tabs>
          <w:tab w:leader="none" w:pos="5220" w:val="left"/>
        </w:tabs>
        <w:numPr>
          <w:ilvl w:val="0"/>
          <w:numId w:val="46"/>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Senior Notes due</w:t>
      </w:r>
    </w:p>
    <w:p>
      <w:pPr>
        <w:spacing w:after="0" w:line="226" w:lineRule="exact"/>
        <w:rPr>
          <w:sz w:val="20"/>
          <w:szCs w:val="20"/>
          <w:color w:val="auto"/>
        </w:rPr>
      </w:pPr>
    </w:p>
    <w:p>
      <w:pPr>
        <w:ind w:left="5220" w:hanging="1140"/>
        <w:spacing w:after="0"/>
        <w:tabs>
          <w:tab w:leader="none" w:pos="5220" w:val="left"/>
        </w:tabs>
        <w:numPr>
          <w:ilvl w:val="0"/>
          <w:numId w:val="47"/>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Senior Notes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9"/>
          <w:szCs w:val="29"/>
          <w:b w:val="1"/>
          <w:bCs w:val="1"/>
          <w:color w:val="auto"/>
        </w:rPr>
        <w:t>J.P. Morgan</w:t>
      </w:r>
    </w:p>
    <w:p>
      <w:pPr>
        <w:spacing w:after="0" w:line="22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9"/>
          <w:szCs w:val="29"/>
          <w:b w:val="1"/>
          <w:bCs w:val="1"/>
          <w:color w:val="auto"/>
        </w:rPr>
        <w:t>BofA Merrill Lynch</w:t>
      </w:r>
    </w:p>
    <w:p>
      <w:pPr>
        <w:spacing w:after="0" w:line="22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9"/>
          <w:szCs w:val="29"/>
          <w:b w:val="1"/>
          <w:bCs w:val="1"/>
          <w:color w:val="auto"/>
        </w:rPr>
        <w:t>Credit Suisse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1459230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1501775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lowerRoman"/>
      <w:start w:val="1"/>
    </w:lvl>
  </w:abstractNum>
  <w:abstractNum w:abstractNumId="9">
    <w:nsid w:val="836C40E"/>
    <w:multiLevelType w:val="hybridMultilevel"/>
    <w:lvl w:ilvl="0">
      <w:lvlJc w:val="left"/>
      <w:lvlText w:val="(%1)"/>
      <w:numFmt w:val="lowerRoman"/>
      <w:start w:val="1"/>
    </w:lvl>
  </w:abstractNum>
  <w:abstractNum w:abstractNumId="10">
    <w:nsid w:val="2901D82"/>
    <w:multiLevelType w:val="hybridMultilevel"/>
    <w:lvl w:ilvl="0">
      <w:lvlJc w:val="left"/>
      <w:lvlText w:val="(%1)"/>
      <w:numFmt w:val="lowerLetter"/>
      <w:start w:val="1"/>
    </w:lvl>
  </w:abstractNum>
  <w:abstractNum w:abstractNumId="11">
    <w:nsid w:val="3A95F874"/>
    <w:multiLevelType w:val="hybridMultilevel"/>
    <w:lvl w:ilvl="0">
      <w:lvlJc w:val="left"/>
      <w:lvlText w:val="(%1)"/>
      <w:numFmt w:val="lowerLetter"/>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lowerRoman"/>
      <w:start w:val="2"/>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lowerRoman"/>
      <w:start w:val="3"/>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1)"/>
      <w:numFmt w:val="lowerLetter"/>
      <w:start w:val="1"/>
    </w:lvl>
  </w:abstractNum>
  <w:abstractNum w:abstractNumId="25">
    <w:nsid w:val="3804823E"/>
    <w:multiLevelType w:val="hybridMultilevel"/>
    <w:lvl w:ilvl="0">
      <w:lvlJc w:val="left"/>
      <w:lvlText w:val="(%1)"/>
      <w:numFmt w:val="lowerLetter"/>
      <w:start w:val="2"/>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9"/>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4"/>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6"/>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2019-12-05T02:35:37Z</dcterms:created>
  <dcterms:modified xsi:type="dcterms:W3CDTF">2019-12-05T02:35:37Z</dcterms:modified>
</cp:coreProperties>
</file>