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333-281670</w:t>
      </w:r>
    </w:p>
    <w:p>
      <w:pPr>
        <w:spacing w:after="0" w:line="13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(TO PROSPECTUS DATED AUGUST 21, 2024)</w:t>
      </w:r>
    </w:p>
    <w:p>
      <w:pPr>
        <w:spacing w:after="0" w:line="5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$1,500,000,000</w:t>
      </w:r>
    </w:p>
    <w:p>
      <w:pPr>
        <w:spacing w:after="0" w:line="20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244" w:lineRule="exact"/>
        <w:rPr>
          <w:sz w:val="24"/>
          <w:szCs w:val="24"/>
          <w:color w:val="auto"/>
        </w:rPr>
      </w:pPr>
    </w:p>
    <w:p>
      <w:pPr>
        <w:ind w:left="3124"/>
        <w:spacing w:after="0"/>
        <w:rPr>
          <w:sz w:val="20"/>
          <w:szCs w:val="20"/>
          <w:color w:val="auto"/>
        </w:rPr>
      </w:pPr>
      <w:r>
        <w:rPr>
          <w:rFonts w:ascii="Times New Roman" w:cs="Times New Roman" w:eastAsia="Times New Roman" w:hAnsi="Times New Roman"/>
          <w:sz w:val="25"/>
          <w:szCs w:val="25"/>
          <w:b w:val="1"/>
          <w:bCs w:val="1"/>
          <w:color w:val="auto"/>
        </w:rPr>
        <w:t>$850,000,000 4.250% Senior Notes Due 2028</w:t>
      </w:r>
    </w:p>
    <w:p>
      <w:pPr>
        <w:spacing w:after="0" w:line="44" w:lineRule="exact"/>
        <w:rPr>
          <w:sz w:val="24"/>
          <w:szCs w:val="24"/>
          <w:color w:val="auto"/>
        </w:rPr>
      </w:pPr>
    </w:p>
    <w:p>
      <w:pPr>
        <w:ind w:left="3124"/>
        <w:spacing w:after="0"/>
        <w:rPr>
          <w:sz w:val="20"/>
          <w:szCs w:val="20"/>
          <w:color w:val="auto"/>
        </w:rPr>
      </w:pPr>
      <w:r>
        <w:rPr>
          <w:rFonts w:ascii="Times New Roman" w:cs="Times New Roman" w:eastAsia="Times New Roman" w:hAnsi="Times New Roman"/>
          <w:sz w:val="25"/>
          <w:szCs w:val="25"/>
          <w:b w:val="1"/>
          <w:bCs w:val="1"/>
          <w:color w:val="auto"/>
        </w:rPr>
        <w:t>$650,000,000 4.500% Senior Notes Due 2030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 w:right="20"/>
        <w:spacing w:after="0" w:line="261" w:lineRule="auto"/>
        <w:rPr>
          <w:sz w:val="20"/>
          <w:szCs w:val="20"/>
          <w:color w:val="auto"/>
        </w:rPr>
      </w:pPr>
      <w:r>
        <w:rPr>
          <w:rFonts w:ascii="Times New Roman" w:cs="Times New Roman" w:eastAsia="Times New Roman" w:hAnsi="Times New Roman"/>
          <w:sz w:val="14"/>
          <w:szCs w:val="14"/>
          <w:color w:val="auto"/>
        </w:rPr>
        <w:t>We are offering $850,000,000 aggregate principal amount of our 4.250% senior notes due June 15, 2028 , which we refer to as the “2028 Notes” and $650,000,000 aggregate principal amount of our 4.500% senior notes due June 15, 2030, which we refer to as the “2030 Notes.” We refer to the 2028 Notes and the 2030 Notes, collectively, as the “notes.”</w:t>
      </w:r>
    </w:p>
    <w:p>
      <w:pPr>
        <w:spacing w:after="0" w:line="16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We will pay interest on each series of notes semi-annually in arrears each June 15 and December 15. The first interest payment for each series of notes will be made on December 15, 2025.</w:t>
      </w:r>
    </w:p>
    <w:p>
      <w:pPr>
        <w:spacing w:after="0" w:line="204" w:lineRule="exact"/>
        <w:rPr>
          <w:sz w:val="24"/>
          <w:szCs w:val="24"/>
          <w:color w:val="auto"/>
        </w:rPr>
      </w:pPr>
    </w:p>
    <w:p>
      <w:pPr>
        <w:ind w:left="4" w:right="120"/>
        <w:spacing w:after="0" w:line="236" w:lineRule="auto"/>
        <w:rPr>
          <w:sz w:val="20"/>
          <w:szCs w:val="20"/>
          <w:color w:val="auto"/>
        </w:rPr>
      </w:pPr>
      <w:r>
        <w:rPr>
          <w:rFonts w:ascii="Times New Roman" w:cs="Times New Roman" w:eastAsia="Times New Roman" w:hAnsi="Times New Roman"/>
          <w:sz w:val="14"/>
          <w:szCs w:val="14"/>
          <w:color w:val="auto"/>
        </w:rPr>
        <w:t>We may redeem some or all of the notes at any time and from time to time at the applicable redemption prices described under the caption “Description of the Notes — Optional Redemption.” If a Change of Control Triggering Event (as defined under the caption “Description of the Notes — Change of Control Offer”) occurs, we may be required to offer to purchase each series of notes from holders in cash at a repurchase price equal to 101% of the principal amount thereof, plus accrued and unpaid interest, if any, to the date of repurchase. There are no sinking funds for the notes.</w:t>
      </w:r>
    </w:p>
    <w:p>
      <w:pPr>
        <w:spacing w:after="0" w:line="177" w:lineRule="exact"/>
        <w:rPr>
          <w:sz w:val="24"/>
          <w:szCs w:val="24"/>
          <w:color w:val="auto"/>
        </w:rPr>
      </w:pPr>
    </w:p>
    <w:p>
      <w:pPr>
        <w:ind w:left="4" w:right="380"/>
        <w:spacing w:after="0" w:line="261" w:lineRule="auto"/>
        <w:rPr>
          <w:sz w:val="20"/>
          <w:szCs w:val="20"/>
          <w:color w:val="auto"/>
        </w:rPr>
      </w:pPr>
      <w:r>
        <w:rPr>
          <w:rFonts w:ascii="Times New Roman" w:cs="Times New Roman" w:eastAsia="Times New Roman" w:hAnsi="Times New Roman"/>
          <w:sz w:val="14"/>
          <w:szCs w:val="14"/>
          <w:color w:val="auto"/>
        </w:rPr>
        <w:t>The notes will be our senior unsecured obligations. Each series of notes will rank without preference or priority between themselves and equally in right of payment with all of our other existing and future senior unsecured and unsubordinated debt and rank senior in right of payment to all of our future subordinated debt.</w:t>
      </w:r>
    </w:p>
    <w:p>
      <w:pPr>
        <w:spacing w:after="0" w:line="163" w:lineRule="exact"/>
        <w:rPr>
          <w:sz w:val="24"/>
          <w:szCs w:val="24"/>
          <w:color w:val="auto"/>
        </w:rPr>
      </w:pPr>
    </w:p>
    <w:p>
      <w:pPr>
        <w:ind w:left="4" w:right="60"/>
        <w:spacing w:after="0" w:line="261" w:lineRule="auto"/>
        <w:rPr>
          <w:sz w:val="20"/>
          <w:szCs w:val="20"/>
          <w:color w:val="auto"/>
        </w:rPr>
      </w:pPr>
      <w:r>
        <w:rPr>
          <w:rFonts w:ascii="Times New Roman" w:cs="Times New Roman" w:eastAsia="Times New Roman" w:hAnsi="Times New Roman"/>
          <w:sz w:val="14"/>
          <w:szCs w:val="14"/>
          <w:color w:val="auto"/>
        </w:rPr>
        <w:t>The notes are new issues of securities with no established trading markets. We do not intend to apply for the listing of the notes on any securities exchange or for inclusion of the notes on any automated dealer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S-7.</w:t>
      </w:r>
    </w:p>
    <w:p>
      <w:pPr>
        <w:spacing w:after="0" w:line="237" w:lineRule="exact"/>
        <w:rPr>
          <w:sz w:val="24"/>
          <w:szCs w:val="24"/>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17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21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Proceeds, before expenses,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public</w:t>
            </w:r>
            <w:r>
              <w:rPr>
                <w:rFonts w:ascii="Times New Roman" w:cs="Times New Roman" w:eastAsia="Times New Roman" w:hAnsi="Times New Roman"/>
                <w:sz w:val="10"/>
                <w:szCs w:val="10"/>
                <w:b w:val="1"/>
                <w:bCs w:val="1"/>
                <w:color w:val="auto"/>
              </w:rPr>
              <w:t>(1)</w:t>
            </w:r>
          </w:p>
        </w:tc>
        <w:tc>
          <w:tcPr>
            <w:tcW w:w="4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4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 us</w:t>
            </w:r>
            <w:r>
              <w:rPr>
                <w:rFonts w:ascii="Times New Roman" w:cs="Times New Roman" w:eastAsia="Times New Roman" w:hAnsi="Times New Roman"/>
                <w:sz w:val="10"/>
                <w:szCs w:val="10"/>
                <w:b w:val="1"/>
                <w:bCs w:val="1"/>
                <w:color w:val="auto"/>
              </w:rPr>
              <w:t>(1)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2028 Note</w:t>
            </w: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99.892%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0.450%</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99.442%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 Notes Total</w:t>
            </w:r>
          </w:p>
        </w:tc>
        <w:tc>
          <w:tcPr>
            <w:tcW w:w="1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849,082,000</w:t>
            </w:r>
          </w:p>
        </w:tc>
        <w:tc>
          <w:tcPr>
            <w:tcW w:w="480" w:type="dxa"/>
            <w:vAlign w:val="bottom"/>
          </w:tcPr>
          <w:p>
            <w:pPr>
              <w:spacing w:after="0"/>
              <w:rPr>
                <w:sz w:val="12"/>
                <w:szCs w:val="12"/>
                <w:color w:val="auto"/>
              </w:rPr>
            </w:pPr>
          </w:p>
        </w:tc>
        <w:tc>
          <w:tcPr>
            <w:tcW w:w="4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3,825,000</w:t>
            </w:r>
          </w:p>
        </w:tc>
        <w:tc>
          <w:tcPr>
            <w:tcW w:w="48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845,257,000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 2030 Note</w:t>
            </w: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99.912%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0.600%</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99.312%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 Notes Total</w:t>
            </w:r>
          </w:p>
        </w:tc>
        <w:tc>
          <w:tcPr>
            <w:tcW w:w="1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649,428,000</w:t>
            </w:r>
          </w:p>
        </w:tc>
        <w:tc>
          <w:tcPr>
            <w:tcW w:w="480" w:type="dxa"/>
            <w:vAlign w:val="bottom"/>
          </w:tcPr>
          <w:p>
            <w:pPr>
              <w:spacing w:after="0"/>
              <w:rPr>
                <w:sz w:val="12"/>
                <w:szCs w:val="12"/>
                <w:color w:val="auto"/>
              </w:rPr>
            </w:pPr>
          </w:p>
        </w:tc>
        <w:tc>
          <w:tcPr>
            <w:tcW w:w="4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3,900,000</w:t>
            </w:r>
          </w:p>
        </w:tc>
        <w:tc>
          <w:tcPr>
            <w:tcW w:w="48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645,528,000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1,498,510,000</w:t>
            </w:r>
          </w:p>
        </w:tc>
        <w:tc>
          <w:tcPr>
            <w:tcW w:w="4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7,725,000</w:t>
            </w:r>
          </w:p>
        </w:tc>
        <w:tc>
          <w:tcPr>
            <w:tcW w:w="4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1,490,785,000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June 16, 2025, if settlement occurs after that date.</w:t>
      </w:r>
    </w:p>
    <w:p>
      <w:pPr>
        <w:spacing w:after="0" w:line="204" w:lineRule="exact"/>
        <w:rPr>
          <w:sz w:val="24"/>
          <w:szCs w:val="24"/>
          <w:color w:val="auto"/>
        </w:rPr>
      </w:pPr>
    </w:p>
    <w:p>
      <w:pPr>
        <w:ind w:left="4" w:right="260"/>
        <w:spacing w:after="0" w:line="261" w:lineRule="auto"/>
        <w:rPr>
          <w:sz w:val="20"/>
          <w:szCs w:val="20"/>
          <w:color w:val="auto"/>
        </w:rPr>
      </w:pPr>
      <w:r>
        <w:rPr>
          <w:rFonts w:ascii="Times New Roman" w:cs="Times New Roman" w:eastAsia="Times New Roman" w:hAnsi="Times New Roman"/>
          <w:sz w:val="14"/>
          <w:szCs w:val="14"/>
          <w:color w:val="auto"/>
        </w:rPr>
        <w:t>We expect that delivery of the notes in book-entry form will be made to investors through the facilities of The Depository Trust Company and its direct participants, including Clearstream Banking S.A. and Euroclear Bank SA/NV, on or about June 16, 2025.</w:t>
      </w:r>
    </w:p>
    <w:p>
      <w:pPr>
        <w:spacing w:after="0" w:line="161" w:lineRule="exact"/>
        <w:rPr>
          <w:sz w:val="24"/>
          <w:szCs w:val="24"/>
          <w:color w:val="auto"/>
        </w:rPr>
      </w:pPr>
    </w:p>
    <w:p>
      <w:pPr>
        <w:ind w:left="4" w:right="10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202565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11024"/>
          </w:cols>
          <w:pgMar w:left="436" w:top="225" w:right="439" w:bottom="1440" w:gutter="0" w:footer="0" w:header="0"/>
        </w:sectPr>
      </w:pPr>
    </w:p>
    <w:p>
      <w:pPr>
        <w:spacing w:after="0" w:line="230" w:lineRule="exact"/>
        <w:rPr>
          <w:sz w:val="24"/>
          <w:szCs w:val="24"/>
          <w:color w:val="auto"/>
        </w:rPr>
      </w:pPr>
    </w:p>
    <w:p>
      <w:pPr>
        <w:ind w:left="464"/>
        <w:spacing w:after="0"/>
        <w:rPr>
          <w:sz w:val="20"/>
          <w:szCs w:val="20"/>
          <w:color w:val="auto"/>
        </w:rPr>
      </w:pPr>
      <w:r>
        <w:rPr>
          <w:rFonts w:ascii="Times New Roman" w:cs="Times New Roman" w:eastAsia="Times New Roman" w:hAnsi="Times New Roman"/>
          <w:sz w:val="19"/>
          <w:szCs w:val="19"/>
          <w:b w:val="1"/>
          <w:bCs w:val="1"/>
          <w:color w:val="auto"/>
        </w:rPr>
        <w:t>BofA Securities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Barclays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BNP PARIBAS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Citigroup</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J.P. Morgan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9"/>
          <w:szCs w:val="19"/>
          <w:b w:val="1"/>
          <w:bCs w:val="1"/>
          <w:color w:val="auto"/>
        </w:rPr>
        <w:t>Morgan Stanley</w:t>
      </w:r>
    </w:p>
    <w:p>
      <w:pPr>
        <w:spacing w:after="0" w:line="43" w:lineRule="exact"/>
        <w:rPr>
          <w:sz w:val="24"/>
          <w:szCs w:val="24"/>
          <w:color w:val="auto"/>
        </w:rPr>
      </w:pPr>
    </w:p>
    <w:p>
      <w:pPr>
        <w:sectPr>
          <w:pgSz w:w="11900" w:h="16838" w:orient="portrait"/>
          <w:cols w:equalWidth="0" w:num="6">
            <w:col w:w="1764" w:space="580"/>
            <w:col w:w="720" w:space="600"/>
            <w:col w:w="1360" w:space="720"/>
            <w:col w:w="820" w:space="600"/>
            <w:col w:w="1040" w:space="720"/>
            <w:col w:w="2100"/>
          </w:cols>
          <w:pgMar w:left="436" w:top="2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0"/>
          <w:szCs w:val="20"/>
          <w:b w:val="1"/>
          <w:bCs w:val="1"/>
          <w:color w:val="auto"/>
        </w:rPr>
        <w:t>(Global Coordinator)</w:t>
      </w:r>
    </w:p>
    <w:p>
      <w:pPr>
        <w:spacing w:after="0" w:line="1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ectPr>
          <w:pgSz w:w="11900" w:h="16838" w:orient="portrait"/>
          <w:cols w:equalWidth="0" w:num="1">
            <w:col w:w="11024"/>
          </w:cols>
          <w:pgMar w:left="436" w:top="225" w:right="439" w:bottom="1440" w:gutter="0" w:footer="0" w:header="0"/>
          <w:type w:val="continuous"/>
        </w:sectPr>
      </w:pPr>
    </w:p>
    <w:p>
      <w:pPr>
        <w:spacing w:after="0" w:line="241" w:lineRule="exact"/>
        <w:rPr>
          <w:sz w:val="24"/>
          <w:szCs w:val="24"/>
          <w:color w:val="auto"/>
        </w:rPr>
      </w:pPr>
    </w:p>
    <w:p>
      <w:pPr>
        <w:ind w:left="164" w:hanging="170"/>
        <w:spacing w:after="0" w:line="459" w:lineRule="auto"/>
        <w:rPr>
          <w:sz w:val="20"/>
          <w:szCs w:val="20"/>
          <w:color w:val="auto"/>
        </w:rPr>
      </w:pPr>
      <w:r>
        <w:rPr>
          <w:rFonts w:ascii="Times New Roman" w:cs="Times New Roman" w:eastAsia="Times New Roman" w:hAnsi="Times New Roman"/>
          <w:sz w:val="16"/>
          <w:szCs w:val="16"/>
          <w:b w:val="1"/>
          <w:bCs w:val="1"/>
          <w:color w:val="auto"/>
        </w:rPr>
        <w:t>BMO Capital Markets   TD Securities</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HSBC</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Wells Fargo</w:t>
      </w:r>
    </w:p>
    <w:p>
      <w:pPr>
        <w:spacing w:after="0" w:line="2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Securities</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ind w:firstLine="148"/>
        <w:spacing w:after="0" w:line="459" w:lineRule="auto"/>
        <w:rPr>
          <w:sz w:val="20"/>
          <w:szCs w:val="20"/>
          <w:color w:val="auto"/>
        </w:rPr>
      </w:pPr>
      <w:r>
        <w:rPr>
          <w:rFonts w:ascii="Times New Roman" w:cs="Times New Roman" w:eastAsia="Times New Roman" w:hAnsi="Times New Roman"/>
          <w:sz w:val="16"/>
          <w:szCs w:val="16"/>
          <w:b w:val="1"/>
          <w:bCs w:val="1"/>
          <w:color w:val="auto"/>
        </w:rPr>
        <w:t>Mizuho MUFG Academy Securities</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PNC Capital Markets LLC</w:t>
      </w:r>
    </w:p>
    <w:p>
      <w:pPr>
        <w:spacing w:after="0" w:line="140" w:lineRule="exact"/>
        <w:rPr>
          <w:sz w:val="24"/>
          <w:szCs w:val="24"/>
          <w:color w:val="auto"/>
        </w:rPr>
      </w:pPr>
    </w:p>
    <w:p>
      <w:pPr>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Roberts &amp; Ryan</w:t>
      </w:r>
      <w:r>
        <w:rPr>
          <w:sz w:val="20"/>
          <w:szCs w:val="20"/>
          <w:color w:val="auto"/>
        </w:rPr>
        <w:tab/>
      </w:r>
      <w:r>
        <w:rPr>
          <w:rFonts w:ascii="Times New Roman" w:cs="Times New Roman" w:eastAsia="Times New Roman" w:hAnsi="Times New Roman"/>
          <w:sz w:val="16"/>
          <w:szCs w:val="16"/>
          <w:b w:val="1"/>
          <w:bCs w:val="1"/>
          <w:color w:val="auto"/>
        </w:rPr>
        <w:t>R. Seelaus &amp; Co., LLC</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SMBC Nikko</w:t>
      </w:r>
    </w:p>
    <w:p>
      <w:pPr>
        <w:spacing w:after="0" w:line="14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Siebert Williams</w:t>
      </w:r>
    </w:p>
    <w:p>
      <w:pPr>
        <w:spacing w:after="0" w:line="4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Shank</w:t>
      </w:r>
    </w:p>
    <w:p>
      <w:pPr>
        <w:spacing w:after="0" w:line="130" w:lineRule="exact"/>
        <w:rPr>
          <w:sz w:val="24"/>
          <w:szCs w:val="24"/>
          <w:color w:val="auto"/>
        </w:rPr>
      </w:pPr>
    </w:p>
    <w:p>
      <w:pPr>
        <w:sectPr>
          <w:pgSz w:w="11900" w:h="16838" w:orient="portrait"/>
          <w:cols w:equalWidth="0" w:num="5">
            <w:col w:w="1564" w:space="200"/>
            <w:col w:w="1340" w:space="520"/>
            <w:col w:w="1860" w:space="240"/>
            <w:col w:w="3280" w:space="260"/>
            <w:col w:w="1760"/>
          </w:cols>
          <w:pgMar w:left="436" w:top="225"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Drexel Hamilton</w:t>
      </w: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June 12, 2025.</w:t>
      </w:r>
    </w:p>
    <w:p>
      <w:pPr>
        <w:sectPr>
          <w:pgSz w:w="11900" w:h="16838" w:orient="portrait"/>
          <w:cols w:equalWidth="0" w:num="1">
            <w:col w:w="11024"/>
          </w:cols>
          <w:pgMar w:left="436"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60" w:type="dxa"/>
            <w:vAlign w:val="bottom"/>
            <w:gridSpan w:val="19"/>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4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000" w:type="dxa"/>
            <w:vAlign w:val="bottom"/>
            <w:tcBorders>
              <w:top w:val="single" w:sz="8" w:color="0000EE"/>
            </w:tcBorders>
            <w:gridSpan w:val="12"/>
          </w:tcPr>
          <w:p>
            <w:pPr>
              <w:spacing w:after="0"/>
              <w:rPr>
                <w:sz w:val="17"/>
                <w:szCs w:val="17"/>
                <w:color w:val="auto"/>
              </w:rPr>
            </w:pPr>
          </w:p>
        </w:tc>
        <w:tc>
          <w:tcPr>
            <w:tcW w:w="76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81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c>
          <w:tcPr>
            <w:tcW w:w="0" w:type="dxa"/>
            <w:vAlign w:val="bottom"/>
          </w:tcPr>
          <w:p>
            <w:pPr>
              <w:spacing w:after="0"/>
              <w:rPr>
                <w:sz w:val="1"/>
                <w:szCs w:val="1"/>
                <w:color w:val="auto"/>
              </w:rPr>
            </w:pPr>
          </w:p>
        </w:tc>
      </w:tr>
      <w:tr>
        <w:trPr>
          <w:trHeight w:val="196"/>
        </w:trPr>
        <w:tc>
          <w:tcPr>
            <w:tcW w:w="57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8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67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S-37</w:t>
            </w:r>
          </w:p>
        </w:tc>
        <w:tc>
          <w:tcPr>
            <w:tcW w:w="0" w:type="dxa"/>
            <w:vAlign w:val="bottom"/>
          </w:tcPr>
          <w:p>
            <w:pPr>
              <w:spacing w:after="0"/>
              <w:rPr>
                <w:sz w:val="1"/>
                <w:szCs w:val="1"/>
                <w:color w:val="auto"/>
              </w:rPr>
            </w:pPr>
          </w:p>
        </w:tc>
      </w:tr>
      <w:tr>
        <w:trPr>
          <w:trHeight w:val="461"/>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56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67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28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94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85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We are responsible only for the information contained in or incorporated by reference into this prospectus supplement and the accompanying prospectus or information contained in a free writing prospectus that we authorize to be delivered to you. This prospectus supplement and the accompanying prospectus may be used only for the purpose for which they have been prepared. No one is authorized to give information other than that contained in or incorporated by reference into this prospectus supplement, the accompanying prospectus or any free writing prospectus that we authorize to be delivered to you. We have not, and the underwriters have not, authorized any other person to provide you with different information. Neither we nor any of the underwriters or their affiliates take any responsibility for, nor can we or any of the underwriters or their affiliates provide any assurance as to the reliability of, any information that others may give you.</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We are not, and the underwriters are not, making an offer to sell these securities in any jurisdiction where the offer or sale is not permitted. You should not assume that the information appearing in this prospectus supplement, the accompanying prospectus or any document incorporated by reference herein or therein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underwriters, to subscribe for and purchase any of the notes and may not be used for or in connection with an offer or solicitation by anyone, in any jurisdiction in which such an offer or solicitation is not authorized or to any person to whom it is unlawful to make such an offer or solicitation.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0960"/>
          </w:cols>
          <w:pgMar w:left="440" w:top="266" w:right="49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 SUPPLEMENT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document consists of two parts. The first part is the prospectus supplement, which describes the specific terms of this offering and the notes offered. The second part is the accompanying prospectus, which describes more general information about debt securities we may offer from time to time, some of which may not apply to this offering of the notes. If the information set forth in this prospectus supplement differs in any way from the information set forth in the accompanying prospectus, you should rely on the information set forth in this prospectus supplement. You should read this prospectus supplement, the accompanying prospectus and any related free writing prospectus together with additional information described under the caption “Where You Can Find More Information” on page S-35.</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this prospectus supplement and the accompanying prospectus, “the Company,” “we,” “our,” “ours,” and “us” refer to Analog Devices, Inc. and its subsidiaries on a consolidated basis, unless the context otherwise requires.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amounts in this prospectus supplement are stated in U.S. dollars.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none of the trustee, registrar or paying agent (or any other agent under the indenture) makes any representation with respect to the accuracy or completeness of the information contained herein and shall have no liability whatsoever on its accuracy or completeness.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440" w:top="266" w:right="5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 this prospectus supplement and the accompanying prospectus contain forward-looking statements regarding future events and our future results that are subject to the safe harbor created under the Private Securities Litigation Reform Act of 1995 and other safe harbors under the Securities Act of 1933, as amended (the “Securities Act”) and the Securities Exchange Act of 1934, as amended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Our actual results could differ materially from those anticipated in these forward-looking statements as a result of various factors.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including increased uncertainty and volatility with respect to tariffs, export controls and other trade restrictions, actions taken or which may be taken by the presidential administration, executive offices of the U.S. government, or U.S. Congress, monetary policy, political, geopolitical, trade, or other issues in the United States or internationally, and the ongoing conflicts between Russia and Ukraine, and in Israel and the Middle East; changes in demand for semiconductor products; manufacturing delays, product and raw materials availability and supply chain disruptions; diversion of products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 dividends and our ability to pay dividends in the future; and factors impacting our ability to repurchase shares.</w:t>
      </w:r>
    </w:p>
    <w:p>
      <w:pPr>
        <w:spacing w:after="0" w:line="190"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You should pay particular attention to the important risk factors and cautionary statements referenced in the section of this prospectus supplement entitled “Risk Factors” beginning on page S-7. You should also carefully review the risk factors and cautionary statements described in the other documents we file from time to time with the SEC, including our Annual Report on Form 10-K for the fiscal year ended November 2, 2024 and our Quarterly Reports on Form 10-Q for the fiscal quarters ended February 1, 2025 and May 3, 2025, and our Current Reports on Form 8-K. Forward-looking statements represent management’s current expectations and are inherently uncertain. We undertake no obligation to revise or update any forward-looking statements, including to reflect events or circumstances occurring after the date of this prospectus supplement, except to the extent required by law.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60"/>
          </w:cols>
          <w:pgMar w:left="440" w:top="266"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619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619500"/>
                    </a:xfrm>
                    <a:prstGeom prst="rect">
                      <a:avLst/>
                    </a:prstGeom>
                    <a:noFill/>
                  </pic:spPr>
                </pic:pic>
              </a:graphicData>
            </a:graphic>
          </wp:anchor>
        </w:drawing>
        <w:t>SUMMARY</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or incorporated by reference into, this prospectus supplement and the accompanying prospectus. As a result, it may not contain all of the information that may be important to you or that you should consider before investing in the notes. You should read this entire prospectus supplement, the accompanying prospectus and any related free writing prospectus, including the “Risk Factors” section and the documents incorporated by reference, which are described under “Where You Can Find More Information” on page S-35.</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Analog Devices, Inc.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were incorporated in Massachusetts in 1965 with our corporate headquarters near Boston in Wilmington, Massachusetts. We have manufacturing facilities primarily in the United States, Ireland and Southeast Asia. Our common stock is listed on the Nasdaq Global Select Market under the symbol ADI and is included in the Standard &amp; Poor’s 500 Index.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One Analog Way, Wilmington, Massachusetts 01887, and our telephone number is (781) 935-5565.</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640"/>
          </w:cols>
          <w:pgMar w:left="620" w:top="455" w:right="6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28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6028690"/>
                    </a:xfrm>
                    <a:prstGeom prst="rect">
                      <a:avLst/>
                    </a:prstGeom>
                    <a:noFill/>
                  </pic:spPr>
                </pic:pic>
              </a:graphicData>
            </a:graphic>
          </wp:anchor>
        </w:drawing>
        <w:t>The Offering</w:t>
      </w:r>
    </w:p>
    <w:p>
      <w:pPr>
        <w:spacing w:after="0" w:line="227" w:lineRule="exact"/>
        <w:rPr>
          <w:sz w:val="20"/>
          <w:szCs w:val="20"/>
          <w:color w:val="auto"/>
        </w:rPr>
      </w:pPr>
    </w:p>
    <w:p>
      <w:pPr>
        <w:ind w:left="180" w:right="20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Some of the terms and conditions described below are subject to important limitations and exceptions. See “Description of the Notes” in this prospectus supplement and “Description of Debt Securities” in the accompanying prospectus for a more detailed description of the terms and conditions of the notes. Unless the context requires otherwise, references to “we” and “our” in this subsection refer to Analog Devices, Inc. and not to any of its subsidiaries.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34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$850,000,000 initial aggregate principal amount of 4.250% notes due June 15, 2028.</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$650,000,000 initial aggregate principal amount of 4.500% notes due June 15, 2030.</w:t>
            </w:r>
          </w:p>
        </w:tc>
      </w:tr>
      <w:tr>
        <w:trPr>
          <w:trHeight w:val="33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2028 Notes: June 15, 2028.</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2030 Notes: June 15, 2030.</w:t>
            </w:r>
          </w:p>
        </w:tc>
      </w:tr>
      <w:tr>
        <w:trPr>
          <w:trHeight w:val="33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2028 Notes will bear interest at a rate of 4.250% per annum.</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2030 Notes will bear interest at a rate of 4.500% per annum.</w:t>
            </w:r>
          </w:p>
        </w:tc>
      </w:tr>
      <w:tr>
        <w:trPr>
          <w:trHeight w:val="31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Interest on each series of notes will be paid semi-annually in arrears on June 15 and</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December 15 of each year, commencing on December 15, 2025.</w:t>
            </w:r>
          </w:p>
        </w:tc>
      </w:tr>
      <w:tr>
        <w:trPr>
          <w:trHeight w:val="31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will be our senior unsecured obligations. Each series of notes will rank without</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preference or priority between themselves and equally in right of payment with all of our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other existing and future unsecured and unsubordinated debt and rank senior in right of</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payment to all of our future debt that is subordinated to the notes. Each series of notes will</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 effectively subordinated to any of our future secured debt, to the extent of the assets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securing that debt, and will be structurally subordinated to any existing and future debt and</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other liabilities, including trade payables, of our subsidiaries.</w:t>
            </w:r>
          </w:p>
        </w:tc>
      </w:tr>
      <w:tr>
        <w:trPr>
          <w:trHeight w:val="319"/>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As of May 3, 2025, our total consolidated indebtedness was approximately $7.3 billion,</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and we had no secured indebtedness outstanding.</w:t>
            </w:r>
          </w:p>
        </w:tc>
      </w:tr>
      <w:tr>
        <w:trPr>
          <w:trHeight w:val="31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indenture governing the notes contains covenants that, among other things, limit our</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ability to:</w:t>
            </w:r>
          </w:p>
        </w:tc>
      </w:tr>
      <w:tr>
        <w:trPr>
          <w:trHeight w:val="319"/>
        </w:trPr>
        <w:tc>
          <w:tcPr>
            <w:tcW w:w="3040" w:type="dxa"/>
            <w:vAlign w:val="bottom"/>
          </w:tcPr>
          <w:p>
            <w:pPr>
              <w:spacing w:after="0"/>
              <w:rPr>
                <w:sz w:val="24"/>
                <w:szCs w:val="24"/>
                <w:color w:val="auto"/>
              </w:rPr>
            </w:pPr>
          </w:p>
        </w:tc>
        <w:tc>
          <w:tcPr>
            <w:tcW w:w="7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   incur, create, assume or guarantee any debt for borrowed money secured by a lien</w:t>
            </w:r>
          </w:p>
        </w:tc>
      </w:tr>
      <w:tr>
        <w:trPr>
          <w:trHeight w:val="216"/>
        </w:trPr>
        <w:tc>
          <w:tcPr>
            <w:tcW w:w="3040" w:type="dxa"/>
            <w:vAlign w:val="bottom"/>
          </w:tcPr>
          <w:p>
            <w:pPr>
              <w:spacing w:after="0"/>
              <w:rPr>
                <w:sz w:val="18"/>
                <w:szCs w:val="18"/>
                <w:color w:val="auto"/>
              </w:rPr>
            </w:pPr>
          </w:p>
        </w:tc>
        <w:tc>
          <w:tcPr>
            <w:tcW w:w="7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upon any Principal Property (as defined under the caption “Description of the</w:t>
            </w:r>
          </w:p>
        </w:tc>
      </w:tr>
      <w:tr>
        <w:trPr>
          <w:trHeight w:val="234"/>
        </w:trPr>
        <w:tc>
          <w:tcPr>
            <w:tcW w:w="3040" w:type="dxa"/>
            <w:vAlign w:val="bottom"/>
          </w:tcPr>
          <w:p>
            <w:pPr>
              <w:spacing w:after="0"/>
              <w:rPr>
                <w:sz w:val="20"/>
                <w:szCs w:val="20"/>
                <w:color w:val="auto"/>
              </w:rPr>
            </w:pPr>
          </w:p>
        </w:tc>
        <w:tc>
          <w:tcPr>
            <w:tcW w:w="7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Notes”) or shares of any subsidiary that owns a Principal Property;</w:t>
            </w:r>
          </w:p>
        </w:tc>
      </w:tr>
      <w:tr>
        <w:trPr>
          <w:trHeight w:val="319"/>
        </w:trPr>
        <w:tc>
          <w:tcPr>
            <w:tcW w:w="3040" w:type="dxa"/>
            <w:vAlign w:val="bottom"/>
          </w:tcPr>
          <w:p>
            <w:pPr>
              <w:spacing w:after="0"/>
              <w:rPr>
                <w:sz w:val="24"/>
                <w:szCs w:val="24"/>
                <w:color w:val="auto"/>
              </w:rPr>
            </w:pPr>
          </w:p>
        </w:tc>
        <w:tc>
          <w:tcPr>
            <w:tcW w:w="7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   enter into certain sale and lease back transactions with respect to any Principal</w:t>
            </w:r>
          </w:p>
        </w:tc>
      </w:tr>
      <w:tr>
        <w:trPr>
          <w:trHeight w:val="234"/>
        </w:trPr>
        <w:tc>
          <w:tcPr>
            <w:tcW w:w="3040" w:type="dxa"/>
            <w:vAlign w:val="bottom"/>
          </w:tcPr>
          <w:p>
            <w:pPr>
              <w:spacing w:after="0"/>
              <w:rPr>
                <w:sz w:val="20"/>
                <w:szCs w:val="20"/>
                <w:color w:val="auto"/>
              </w:rPr>
            </w:pPr>
          </w:p>
        </w:tc>
        <w:tc>
          <w:tcPr>
            <w:tcW w:w="7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Property; and</w:t>
            </w:r>
          </w:p>
        </w:tc>
      </w:tr>
      <w:tr>
        <w:trPr>
          <w:trHeight w:val="319"/>
        </w:trPr>
        <w:tc>
          <w:tcPr>
            <w:tcW w:w="3040" w:type="dxa"/>
            <w:vAlign w:val="bottom"/>
          </w:tcPr>
          <w:p>
            <w:pPr>
              <w:spacing w:after="0"/>
              <w:rPr>
                <w:sz w:val="24"/>
                <w:szCs w:val="24"/>
                <w:color w:val="auto"/>
              </w:rPr>
            </w:pPr>
          </w:p>
        </w:tc>
        <w:tc>
          <w:tcPr>
            <w:tcW w:w="7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   consolidate with or merge into, or transfer or lease all or substantially all of our</w:t>
            </w:r>
          </w:p>
        </w:tc>
      </w:tr>
      <w:tr>
        <w:trPr>
          <w:trHeight w:val="234"/>
        </w:trPr>
        <w:tc>
          <w:tcPr>
            <w:tcW w:w="3040" w:type="dxa"/>
            <w:vAlign w:val="bottom"/>
          </w:tcPr>
          <w:p>
            <w:pPr>
              <w:spacing w:after="0"/>
              <w:rPr>
                <w:sz w:val="20"/>
                <w:szCs w:val="20"/>
                <w:color w:val="auto"/>
              </w:rPr>
            </w:pPr>
          </w:p>
        </w:tc>
        <w:tc>
          <w:tcPr>
            <w:tcW w:w="79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assets to, any other party.</w:t>
            </w:r>
          </w:p>
        </w:tc>
      </w:tr>
      <w:tr>
        <w:trPr>
          <w:trHeight w:val="338"/>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As of May 3, 2025, we had one Principal Property.</w:t>
            </w:r>
          </w:p>
        </w:tc>
      </w:tr>
      <w:tr>
        <w:trPr>
          <w:trHeight w:val="159"/>
        </w:trPr>
        <w:tc>
          <w:tcPr>
            <w:tcW w:w="3040" w:type="dxa"/>
            <w:vAlign w:val="bottom"/>
            <w:tcBorders>
              <w:bottom w:val="single" w:sz="8" w:color="auto"/>
            </w:tcBorders>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020"/>
          </w:cols>
          <w:pgMar w:left="440" w:top="455" w:right="439" w:bottom="1440" w:gutter="0" w:footer="0" w:header="0"/>
        </w:sectPr>
      </w:pPr>
    </w:p>
    <w:bookmarkStart w:id="6" w:name="page7"/>
    <w:bookmarkEnd w:id="6"/>
    <w:p>
      <w:pPr>
        <w:ind w:left="4220"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608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608320"/>
                    </a:xfrm>
                    <a:prstGeom prst="rect">
                      <a:avLst/>
                    </a:prstGeom>
                    <a:noFill/>
                  </pic:spPr>
                </pic:pic>
              </a:graphicData>
            </a:graphic>
          </wp:anchor>
        </w:drawing>
        <w:t>These covenants are subject to important exceptions and qualifications that are described under the caption “Description of the Notes—Limitation on Liens,” “—Limitation on Sale and Lease Back Transactions,” and “—Limitation on Mergers and Other Transactions” in this prospectus supplement.</w:t>
      </w:r>
    </w:p>
    <w:p>
      <w:pPr>
        <w:spacing w:after="0" w:line="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Repurchase Offer Upon a Change of Control TriggeringIf we experience a Change of Control Triggering Event (as defined under the caption</w:t>
      </w:r>
    </w:p>
    <w:p>
      <w:pPr>
        <w:spacing w:after="0" w:line="27" w:lineRule="exact"/>
        <w:rPr>
          <w:sz w:val="20"/>
          <w:szCs w:val="20"/>
          <w:color w:val="auto"/>
        </w:rPr>
      </w:pPr>
    </w:p>
    <w:p>
      <w:pPr>
        <w:ind w:left="4220" w:right="220" w:hanging="3959"/>
        <w:spacing w:after="0" w:line="271" w:lineRule="auto"/>
        <w:tabs>
          <w:tab w:leader="none" w:pos="4200" w:val="left"/>
        </w:tabs>
        <w:rPr>
          <w:sz w:val="20"/>
          <w:szCs w:val="20"/>
          <w:color w:val="auto"/>
        </w:rPr>
      </w:pPr>
      <w:r>
        <w:rPr>
          <w:rFonts w:ascii="Times New Roman" w:cs="Times New Roman" w:eastAsia="Times New Roman" w:hAnsi="Times New Roman"/>
          <w:sz w:val="17"/>
          <w:szCs w:val="17"/>
          <w:color w:val="auto"/>
        </w:rPr>
        <w:t>Event</w:t>
      </w:r>
      <w:r>
        <w:rPr>
          <w:sz w:val="20"/>
          <w:szCs w:val="20"/>
          <w:color w:val="auto"/>
        </w:rPr>
        <w:tab/>
      </w:r>
      <w:r>
        <w:rPr>
          <w:rFonts w:ascii="Times New Roman" w:cs="Times New Roman" w:eastAsia="Times New Roman" w:hAnsi="Times New Roman"/>
          <w:sz w:val="17"/>
          <w:szCs w:val="17"/>
          <w:color w:val="auto"/>
        </w:rPr>
        <w:t>“Description of the Notes—Change of Control Offer”) with respect to a series of notes, we will be required, unless we have exercised our option to redeem the notes of such series or have defeased or satisfied and discharged the notes of such series, to offer to purchase the notes of such series from their holders in cash at a repurchase price equal to 101% of the principal amount thereof, plus accrued and unpaid interest, if any, to the date of repurchase.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At any time prior to the applicable Par Call Date (as defined under the caption “Description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 the Notes”), we will have the right, at our option, to redeem each series of notes, in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whole or in part, at any time and from time to time, at a redemption price (expressed as a</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percentage of principal amount and rounded to three decimal places) equal to the greater</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w:t>
            </w:r>
          </w:p>
        </w:tc>
      </w:tr>
      <w:tr>
        <w:trPr>
          <w:trHeight w:val="319"/>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interest thereon discounted to the redemption date (assuming the notes of such series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matured on the applicable Par Call Date) on a semi-annual basis (assuming a 360-day year</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consisting of twelve 30-day months) at the Treasury Rate plus 10 basis points (in the case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 the 2028 Notes) or 10 basis points (in the case of the 2030 Notes), in each case less</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 interest accrued to the date of redemption, and</w:t>
            </w:r>
          </w:p>
        </w:tc>
      </w:tr>
      <w:tr>
        <w:trPr>
          <w:trHeight w:val="338"/>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 100% of the principal amount of the notes of such series being redeemed,</w:t>
            </w:r>
          </w:p>
        </w:tc>
      </w:tr>
      <w:tr>
        <w:trPr>
          <w:trHeight w:val="338"/>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tc>
      </w:tr>
      <w:tr>
        <w:trPr>
          <w:trHeight w:val="319"/>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On or after the applicable Par Call Date, we will have the right, at our option, to redeem</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each series of notes, in whole or in part, at any time and from time to time, at a redemption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price equal to 100% of the principal amount of the notes of such series being redeemed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plus accrued and unpaid interest thereon to the redemption date. See “Description of the</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Notes—Optional Redemption.”</w:t>
            </w: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$1.487 billion, after deducting estimated expenses and underwriting discounts.</w:t>
            </w:r>
          </w:p>
        </w:tc>
      </w:tr>
      <w:tr>
        <w:trPr>
          <w:trHeight w:val="319"/>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intend to use the net proceeds for general corporate purposes, which may include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capital expenditures, repurchases of our common stock under our stock repurchase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program, repayment or refinancing of existing indebtedness, dividend payments and</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acquisitions. See “Use of Proceeds.”</w:t>
            </w:r>
          </w:p>
        </w:tc>
      </w:tr>
      <w:tr>
        <w:trPr>
          <w:trHeight w:val="159"/>
        </w:trPr>
        <w:tc>
          <w:tcPr>
            <w:tcW w:w="2980" w:type="dxa"/>
            <w:vAlign w:val="bottom"/>
            <w:tcBorders>
              <w:bottom w:val="single" w:sz="8" w:color="auto"/>
            </w:tcBorders>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020"/>
          </w:cols>
          <w:pgMar w:left="440" w:top="459"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0"/>
        </w:trPr>
        <w:tc>
          <w:tcPr>
            <w:tcW w:w="41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Denominations and Form</w:t>
            </w:r>
          </w:p>
        </w:tc>
        <w:tc>
          <w:tcPr>
            <w:tcW w:w="69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will issue the notes of each series in the form of one or more fully registered global</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notes registered in the name of the nominee of The Depository Trust Company (“DTC”).</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notes will be issued in minimum denominations of $2,000 and in integral multiples of</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 in excess thereof.</w:t>
            </w:r>
          </w:p>
        </w:tc>
      </w:tr>
      <w:tr>
        <w:trPr>
          <w:trHeight w:val="319"/>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Listing; Absence of a Public Market for the Notes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We do not</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intend to apply for the listing of either series of notes on any securities exchange or for the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quotation of either series of notes in any dealer quotation system. Certain of the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underwriters have advised us that they may make a market in the notes after completion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offering, but they will not be obligated to do so and may in their sole discretion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discontinue any market-making activities at any time without notice. No assurance can be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given as to the liquidity of any trading market for either series of notes or that active</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markets for the notes will develop.</w:t>
            </w:r>
          </w:p>
        </w:tc>
      </w:tr>
      <w:tr>
        <w:trPr>
          <w:trHeight w:val="319"/>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 investment in the notes involves risks. You should carefully consider the information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set forth in the section of this prospectus supplement entitled “Risk Factors” beginning 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S-7, as well as other information included or incorporated by reference in this</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prospectus supplement and the accompanying prospectus before deciding whether to invest</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the notes.</w:t>
            </w:r>
          </w:p>
        </w:tc>
      </w:tr>
      <w:tr>
        <w:trPr>
          <w:trHeight w:val="338"/>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Registrar and Paying Agent</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Bank of New York Mellon Trust Company, N.A.</w:t>
            </w:r>
          </w:p>
        </w:tc>
      </w:tr>
      <w:tr>
        <w:trPr>
          <w:trHeight w:val="35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indenture and the notes will be governed by the laws of the State of New York.</w:t>
            </w:r>
          </w:p>
        </w:tc>
      </w:tr>
      <w:tr>
        <w:trPr>
          <w:trHeight w:val="333"/>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Settlement</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June 16, 2025,</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which will be the second business day following the date of this prospectus supplement.</w:t>
            </w:r>
          </w:p>
        </w:tc>
      </w:tr>
      <w:tr>
        <w:trPr>
          <w:trHeight w:val="159"/>
        </w:trPr>
        <w:tc>
          <w:tcPr>
            <w:tcW w:w="4120" w:type="dxa"/>
            <w:vAlign w:val="bottom"/>
            <w:tcBorders>
              <w:left w:val="single" w:sz="8" w:color="auto"/>
              <w:bottom w:val="single" w:sz="8" w:color="auto"/>
            </w:tcBorders>
          </w:tcPr>
          <w:p>
            <w:pPr>
              <w:spacing w:after="0"/>
              <w:rPr>
                <w:sz w:val="13"/>
                <w:szCs w:val="13"/>
                <w:color w:val="auto"/>
              </w:rPr>
            </w:pPr>
          </w:p>
        </w:tc>
        <w:tc>
          <w:tcPr>
            <w:tcW w:w="6900" w:type="dxa"/>
            <w:vAlign w:val="bottom"/>
            <w:tcBorders>
              <w:bottom w:val="single" w:sz="8" w:color="auto"/>
              <w:right w:val="single" w:sz="8" w:color="auto"/>
            </w:tcBorders>
          </w:tcPr>
          <w:p>
            <w:pPr>
              <w:spacing w:after="0"/>
              <w:rPr>
                <w:sz w:val="13"/>
                <w:szCs w:val="13"/>
                <w:color w:val="auto"/>
              </w:rPr>
            </w:pPr>
          </w:p>
        </w:tc>
      </w:tr>
      <w:tr>
        <w:trPr>
          <w:trHeight w:val="361"/>
        </w:trPr>
        <w:tc>
          <w:tcPr>
            <w:tcW w:w="4120" w:type="dxa"/>
            <w:vAlign w:val="bottom"/>
          </w:tcPr>
          <w:p>
            <w:pPr>
              <w:spacing w:after="0"/>
              <w:rPr>
                <w:sz w:val="24"/>
                <w:szCs w:val="24"/>
                <w:color w:val="auto"/>
              </w:rPr>
            </w:pPr>
          </w:p>
        </w:tc>
        <w:tc>
          <w:tcPr>
            <w:tcW w:w="69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020"/>
          </w:cols>
          <w:pgMar w:left="440" w:top="265"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Before you decide to invest in the notes, you should carefully consider the factors set forth below, as well as the risk factors discussed in our Annual Report on Form 10-K for the fiscal year ended November 2, 2024, which is incorporated by reference in this prospectus supplement and the accompanying prospectus. See “Where You Can Find More Information” in this prospectus supplement. The information contained or incorporated by reference in this prospectus supplement and the accompanying prospectus includes forward-looking statements that involve risks and uncertainties. We refer you to “Forward-Looking Statements” in this prospectus supplement.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unsecured and, therefore, will be effectively subordinated to any of our future secured debt.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notes will not be secured by any of our assets. As a result, the notes will be effectively subordinated to any secured debt we may incur in the future, to the extent of the value of the assets securing that debt. In any liquidation, dissolution, bankruptcy or other similar proceeding involving us, the holders of any of our secured debt may assert rights against our secured assets in order to receive full payment of their debt before such assets may be used to pay the holders of the notes. The terms of the indenture governing the notes limit our ability to create, incur, assume or permit to exist liens on any Principal Property to secure any of our debt. However, these limitations are subject to numerous exceptions. See “Description of the Notes — Limitation on Liens.” As of May 3, 2025, we did not have any secured debt outstanding. See “Description of the Notes — Ranking.”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indebtedness and the indenture governing the notes does not restrict our ability to incur additional indebtedness.</w:t>
      </w:r>
    </w:p>
    <w:p>
      <w:pPr>
        <w:spacing w:after="0" w:line="12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As of May 3, 2025, we had approximately $7.3 billion of indebtedness outstanding. As of May 3, 2025, after giving effect to this offering including the expected use of proceeds therefrom, we would have had approximately $8.8 billion of indebtedness outstanding. In addition, we may incur substantial additional indebtedness in the future. In particular, the indenture pursuant to which the notes will be issued will not place any limitation on the amount of indebtedness that we or our subsidiaries may incur. Our incurrence of additional indebtedness may have important consequences for you as a holder of the notes, including:</w:t>
      </w:r>
    </w:p>
    <w:p>
      <w:pPr>
        <w:spacing w:after="0" w:line="89"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additional cash requirements in order to support the payment of interest on our outstanding indebtedness;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outstanding indebtedness and leverage may increase our vulnerability to adverse changes in general economic and industry conditions, as well as to competitive pressure;</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general corporate and other purposes may be limited;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our industry may be limited.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flow, we may not be able to service our debt obligations, including making payments on the notes.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8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financing in the debt or equity markets;</w:t>
      </w:r>
    </w:p>
    <w:p>
      <w:pPr>
        <w:spacing w:after="0" w:line="130"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or restructure all or a portion of our indebtedness, including our $6.7 billion in aggregate principal amount of senior notes previously issued and outstanding as of May 3, 2025 (the “Existing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00"/>
          </w:cols>
          <w:pgMar w:left="440" w:top="266" w:right="459" w:bottom="1440" w:gutter="0" w:footer="0" w:header="0"/>
        </w:sectPr>
      </w:pPr>
    </w:p>
    <w:bookmarkStart w:id="9" w:name="page10"/>
    <w:bookmarkEnd w:id="9"/>
    <w:p>
      <w:pPr>
        <w:ind w:left="980"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borrowings under our $3.0 billion revolving credit facility, issuances under our $2.5 billion commercial paper program (which had approximately $549 million of borrowings outstanding as of May 3, 2025) and the notes offered hereby;</w:t>
      </w:r>
    </w:p>
    <w:p>
      <w:pPr>
        <w:spacing w:after="0" w:line="67"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under the revolving credit facility or issue notes under our commercial paper program;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funds that would otherwise be invested in growing our business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repatriate earnings as dividends from foreign locations with potential for negative tax consequences;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selected assets.</w:t>
      </w:r>
    </w:p>
    <w:p>
      <w:pPr>
        <w:spacing w:after="0" w:line="22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including the notes,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existing and future liabilities of our subsidiaries.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equity interest in our subsidiaries is structurally subordinated to any debt and other liabilities of our subsidiaries, whether or not secured. The notes will not be guaranteed by our subsidiaries and we may not have direct access to the assets of our subsidiaries unless such assets are transferred by dividend or otherwise to us. As a result, the notes will be structurally subordinated to all debt and other liabilities of our existing and future subsidiaries, including trade payables and lease obligations. As of May 3, 2025, our subsidiaries had approximately $1.6 billion of total liabilities, excluding intercompany payables, outstanding. The ability of our subsidiaries to pay dividends or otherwise transfer assets to us is subject to various restrictions under applicable law. Our right to receive assets of any of our subsidiaries upon their bankruptcy, liquidation or reorganization, and therefore the right of the holders of the notes to realize any value in respect of those assets, will be structurally subordinated to the claims of any such subsidiary’s creditors. In addition, even if we are a creditor of any of our subsidiaries, our rights as a creditor would be effectively subordinated to any security interest in the assets of our subsidiaries and subordinated in right of payment to any debt of our subsidiaries that is senior to any debt held by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ratings may not reflect all risks of your investment in the notes.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credit ratings assigned to the notes will be limited in scope and will not address all material risks relating to an investment in the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agency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review for a downgrade, could affect the market value of the notes and increase our corporate borrowing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all of the notes upon a Change of Control Triggering Event, which would result in a default under the notes.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be required to offer to repurchase the notes and the Existing Notes upon the occurrence of a Change of Control Triggering Event as provided in the indentures governing the notes and the Existing Notes, respectively. However, we may not have sufficient funds to repurchase the notes and the Existing Notes at such time. In addition, our ability to repurchase the notes may be limited by law or the terms of other agreements relating to our indebtedness outstanding at the time. The failure to make such repurchases would result in a default under each series of notes and the Existing Notes. See “Description of the Notes — Change of Control Offer.”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governing the notes will have only limited covenants and these covenants may not protect your investment.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governing the notes will not:</w:t>
      </w:r>
    </w:p>
    <w:p>
      <w:pPr>
        <w:spacing w:after="0" w:line="131" w:lineRule="exact"/>
        <w:rPr>
          <w:sz w:val="20"/>
          <w:szCs w:val="20"/>
          <w:color w:val="auto"/>
        </w:rPr>
      </w:pPr>
    </w:p>
    <w:p>
      <w:pPr>
        <w:ind w:left="960" w:right="14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subsidiaries’ ability to incur indebtedness that would effectively rank senior to the notes;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common stock; or</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pay dividends, or make other payments in respect of our common stock or other securities ranking junior to the notes.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Furthermore, the indenture governing the notes will contain only limited protections in the event of a Change of Control Triggering Event as described in this prospectus supplement. The indenture governing the notes also will permit us and our subsidiaries to incur additional indebtedness, including secured indebtedness, that would effectively rank senior to the notes, and to engage in Sale and Lease Back Transactions (as defined in “Description of the Notes”), subject to certain limitations.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provisions of the notes will not necessarily protect you in the event of a highly leveraged transaction.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terms of the notes will not necessarily afford you protection in the event of a highly leveraged transaction that may adversely affect you, including a reorganization, recapitalization, restructuring, merger or other similar transaction involving us.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should occur, the value of your notes may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the notes may not develop.</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series of notes constitutes a new issue of securities for which there is no existing market. We do not intend to apply for listing of either series of notes on any securities exchange or for quotation of either series of notes in any automated dealer quotation system. Certain of the underwriters have advised us that they may make a market in the notes after completion of the offering, but they will not be obligated to do so and may in their sole discretion discontinue any market-making activities at any time without notice. We cannot provide you with any assurance regarding whether a trading market for either series of notes will develop, the ability of holders of notes of such series to sell their notes or the price at which holders may be able to sell their notes. In addition, the liquidity of the trading markets in the notes and the market prices quoted for both series of notes may be adversely affected by changes in the overall market for securities, changes in our financial performance or prospects, or changes in the financial performance or prospects of companies in our industry. If no active trading markets develop, you may be unable to resell the notes at a particular time, at any price, or at their fair market value.</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credit ratings, our financial condition, our financial performance, or our future prospects, or the debt markets could adversely affect the market prices of the notes.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prices for each series of notes will depend on many factors, including:</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00"/>
          </w:cols>
          <w:pgMar w:left="440" w:top="266" w:right="459" w:bottom="1440" w:gutter="0" w:footer="0" w:header="0"/>
        </w:sectPr>
      </w:pPr>
    </w:p>
    <w:bookmarkStart w:id="11" w:name="page12"/>
    <w:bookmarkEnd w:id="11"/>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significantly in the past and are likely to fluctuate in the future. Such fluctuations could have an adverse effect on the prices of the notes.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their ratings for the companies that they follow, including us. A negative change in our rating could have an adverse effect on the prices of the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00"/>
          </w:cols>
          <w:pgMar w:left="440" w:top="270" w:right="459" w:bottom="1440" w:gutter="0" w:footer="0" w:header="0"/>
        </w:sectPr>
      </w:pPr>
    </w:p>
    <w:bookmarkStart w:id="12" w:name="page13"/>
    <w:bookmarkEnd w:id="1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$1.487 billion, after deducting estimated expenses and underwriting discounts. We intend to use the net proceeds for general corporate purposes, which may include capital expenditures, repurchases of our common stock under our stock repurchase program, repayment or refinancing of existing indebtedness, dividend payments and acquisitions.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760"/>
          </w:cols>
          <w:pgMar w:left="440" w:top="266" w:right="699" w:bottom="1440" w:gutter="0" w:footer="0" w:header="0"/>
        </w:sectPr>
      </w:pPr>
    </w:p>
    <w:bookmarkStart w:id="13" w:name="page14"/>
    <w:bookmarkEnd w:id="13"/>
    <w:p>
      <w:pPr>
        <w:jc w:val="center"/>
        <w:ind w:right="-2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p>
    <w:p>
      <w:pPr>
        <w:spacing w:after="0" w:line="229"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May 3, 2025 on (1) an actual basis and (2) an as-adjusted basis, giving effect to the issuance and sale of the notes offered hereby, after deducting estimated expenses and underwriting discounts.</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You should read this in conjunction with our consolidated financial statements and the notes thereto in our Annual Report on Form 10-K for the fiscal year ended November 2, 2024 and the Quarterly Reports on Form 10-Q for the fiscal quarters ended February 1, 2025 and May 3, 2025, which are incorporated herein by reference.</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 May 3, 2025</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5"/>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2,376,235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3,862,820</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4.250% notes due Jun. 15, 2028 offered hereby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850,000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4.500% notes due Jun. 15, 2030 offered hereby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548,720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548,720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3.500% notes due Dec. 5, 2026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3.450% notes due Jun. 15, 2027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440,212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440,212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1.700% sustainability-linked notes due Oct. 1, 2028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2.100% notes due Oct. 1, 2031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4.250% notes due Oct. 1, 2032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5.050% notes due Apr. 1, 2034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4.500% notes due Dec. 5, 2036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144,278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144,278</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2.800% notes due Oct. 1, 2041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5.300% notes due Dec. 15, 2045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332,587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332,587</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2.950% notes due Oct. 1, 2051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5.300% notes due Apr. 1, 2054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3"/>
        </w:trPr>
        <w:tc>
          <w:tcPr>
            <w:tcW w:w="576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Total debt</w:t>
            </w:r>
            <w:r>
              <w:rPr>
                <w:rFonts w:ascii="Times New Roman" w:cs="Times New Roman" w:eastAsia="Times New Roman" w:hAnsi="Times New Roman"/>
                <w:sz w:val="25"/>
                <w:szCs w:val="25"/>
                <w:color w:val="auto"/>
                <w:vertAlign w:val="superscript"/>
              </w:rPr>
              <w:t>(2)</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7,265,797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35,010,620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35,010,620</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42,276,417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43,776,417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6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illustrative purposes, the net proceeds of this offering are reflected as cash and cash equivalents in the “As Adjusted” column pending their ultimate use, see “Use of Proceeds.”</w:t>
      </w: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figures reflect the principal amounts outstanding.</w:t>
      </w:r>
    </w:p>
    <w:p>
      <w:pPr>
        <w:spacing w:after="0" w:line="139"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784"/>
          </w:cols>
          <w:pgMar w:left="436" w:top="266" w:right="6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THE NOTES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of the terms of the notes supplements the description of the general terms and provisions of the debt securities contained in the accompanying prospectus and identifies any general terms and provisions described in the accompanying prospectus that will not apply to the notes. Certain terms used but not defined in this “Description of the Notes” have the meanings specified in the accompanying prospectus. In this prospectus supplement, we refer to the notes offered hereby as the “notes.” Although, for convenience, the 2028 Notes and the 2030 Notes are referred to as “notes,” each will be issued as a separate series and will not together have any class voting rights. Accordingly, for purposes of this “Description of the Notes,” references to “notes” shall be deemed to refer to each series of notes separately, and not to the 2028 Notes and the 2030 Notes on any combined basis. To the extent this summary differs from the summary in the accompanying prospectus, you should rely on the description of the notes in this prospectus supplement.</w:t>
      </w:r>
    </w:p>
    <w:p>
      <w:pPr>
        <w:spacing w:after="0" w:line="18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When we refer to “we,” “our,” “us,” and the “Company” in this section, we mean Analog Devices, Inc., the issuer of the notes, excluding, unless the context otherwise requires or as otherwise expressly stated, our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2028 Notes will be issued in an initial aggregate principal amount of $850,000,000 and the 2030 Notes will be issued in an initial aggregate principal amount of $650,000,000. We will issue the notes under the indenture dated as of June 3, 2013 between The Bank of New York Mellon Trust Company, N.A., as trustee, and us (the “base indenture”), as supplemented by a supplemental indenture to be entered into between us and the trustee (together with the base indenture, the “indenture”).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without the consent of the holders of the applicable series of notes, increase the principal amount of notes of such series in the future, on the same terms and conditions as the notes of such series being offered hereby (except for the issue date, issue price and, in some cases, the first interest payment date and the initial interest accrual date). If any such additional notes of the applicable series are not fungible for United States federal income tax purposes with the notes of the applicable series previously issued, such additional notes will not have the same CUSIP number (or other securities identification number) as the notes of the applicable series previously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the accompanying prospectus for a general discussion of the terms and provisions of the indenture.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2028 Notes will mature on June 15, 2028 and the 2030 Notes will mature on June 15, 2030. The notes will not be listed on any securities exchange or quoted on any automated quotation system.</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notes will be issued only in registered form without coupons, in denominations of $2,000 and integral multiples of $1,000 in excess thereof. The notes will be available in book-entry form only. No service charge will be made for any registration of transfer or any exchange of notes, but we may require payment of a sum sufficient to cover any transfer tax or similar governmental charge payable in connection therewith.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series of notes will be our senior unsecured obligations and will rank without preference or priority between themselves and equally with all of our other existing and future senior unsecured indebtedness. Each series of notes will be effectively subordinated to all of our future secured indebtedness, to the extent of the assets securing that indebtedness. In addition, each series of notes will be structurally subordinated to all existing and future indebtedness and other liabilities of our Subsidiaries, which are distinct legal entities having no obligation to pay any amounts in respect of the notes or to make funds available for such purpose.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00"/>
          </w:cols>
          <w:pgMar w:left="440" w:top="266" w:right="459" w:bottom="1440" w:gutter="0" w:footer="0" w:header="0"/>
        </w:sectPr>
      </w:pPr>
    </w:p>
    <w:bookmarkStart w:id="15" w:name="page16"/>
    <w:bookmarkEnd w:id="15"/>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us or one or more of our other Subsidiaries or a combination thereof.</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2028 Notes will bear interest at a rate of 4.250% per annum from June 16, 2025 or from the most recent interest payment date on which we paid or provided for interest on the 2028 Notes. The 2030 Notes will bear interest at a rate of 4.500% per annum from June 16, 2025 or from the most recent interest payment date on which we paid or provided for interest on the 2030 Notes. The interest payment dates for each series of notes will be each June 15 and December 15, beginning on December 15, 2025, and interest will be payable to the holders of record on the June 1 and December 1 (whether or not a business day) immediately preceding the related interest payment date.</w:t>
      </w:r>
    </w:p>
    <w:p>
      <w:pPr>
        <w:spacing w:after="0" w:line="183"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Interest on each series of the notes will be computed on the basis of a 360-day year comprised of twelve 30-day months. If any interest payment date, redemption date or the maturity date of the notes is not a business day, then payment of interest and/or principal on the notes will be made on the next succeeding business day, and no additional interest will accrue on the amount so payable in respect of the notes for that period.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4"/>
        <w:spacing w:after="0" w:line="312" w:lineRule="auto"/>
        <w:rPr>
          <w:sz w:val="20"/>
          <w:szCs w:val="20"/>
          <w:color w:val="auto"/>
        </w:rPr>
      </w:pPr>
      <w:r>
        <w:rPr>
          <w:rFonts w:ascii="Times New Roman" w:cs="Times New Roman" w:eastAsia="Times New Roman" w:hAnsi="Times New Roman"/>
          <w:sz w:val="17"/>
          <w:szCs w:val="17"/>
          <w:color w:val="auto"/>
        </w:rPr>
        <w:t>At any time prior to the applicable Par Call Date, we will have the right, at our option, to redeem each series of notes, in whole or in part, at any time and from time to time, at a redemption price (expressed as a percentage of principal amount and rounded to three decimal places) equal to the greater of:</w:t>
      </w:r>
    </w:p>
    <w:p>
      <w:pPr>
        <w:spacing w:after="0" w:line="140" w:lineRule="exact"/>
        <w:rPr>
          <w:sz w:val="20"/>
          <w:szCs w:val="20"/>
          <w:color w:val="auto"/>
        </w:rPr>
      </w:pPr>
    </w:p>
    <w:p>
      <w:pPr>
        <w:jc w:val="both"/>
        <w:ind w:left="4" w:right="40" w:hanging="4"/>
        <w:spacing w:after="0" w:line="261"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10 basis points (in the case of the 2028 Notes) or 10 basis points (in the case of the 2030 Notes), in each case less (b) interest accrued to the date of redemption, and</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such series being redeemed,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we will have the right, at our option, to redeem each series of notes, in whole or in part, at any time and from time to time, at a redemption price equal to 100% of the principal amount of the notes of such series being redeemed plus accrued and unpaid interest thereon to the redemption date.</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May 15, 2028 in the case of the 2028 Notes and May 15, 2030 in the case of the 2030 Notes.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227" w:lineRule="exact"/>
        <w:rPr>
          <w:sz w:val="20"/>
          <w:szCs w:val="20"/>
          <w:color w:val="auto"/>
        </w:rPr>
      </w:pPr>
    </w:p>
    <w:p>
      <w:pPr>
        <w:jc w:val="both"/>
        <w:ind w:left="4" w:right="40"/>
        <w:spacing w:after="0" w:line="261"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984"/>
          </w:cols>
          <w:pgMar w:left="436" w:top="268" w:right="479" w:bottom="1440" w:gutter="0" w:footer="0" w:header="0"/>
        </w:sectPr>
      </w:pPr>
    </w:p>
    <w:bookmarkStart w:id="16" w:name="page17"/>
    <w:bookmarkEnd w:id="16"/>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publication) (“</w:t>
      </w:r>
      <w:r>
        <w:rPr>
          <w:rFonts w:ascii="Times New Roman" w:cs="Times New Roman" w:eastAsia="Times New Roman" w:hAnsi="Times New Roman"/>
          <w:sz w:val="18"/>
          <w:szCs w:val="18"/>
          <w:i w:val="1"/>
          <w:i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i w:val="1"/>
          <w:iCs w:val="1"/>
          <w:color w:val="auto"/>
        </w:rPr>
        <w:t>H.15 TCM</w:t>
      </w:r>
      <w:r>
        <w:rPr>
          <w:rFonts w:ascii="Times New Roman" w:cs="Times New Roman" w:eastAsia="Times New Roman" w:hAnsi="Times New Roman"/>
          <w:sz w:val="18"/>
          <w:szCs w:val="18"/>
          <w:color w:val="auto"/>
        </w:rPr>
        <w:t>”). In determining the Treasury Rate, we will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(2)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shall not be obligated to calculate or verify any redemption price.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00"/>
          </w:cols>
          <w:pgMar w:left="440" w:top="268" w:right="45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Redemption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are not required to make any mandatory redemption with respect to the notes.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If a Change of Control Triggering Event (as defined below) occurs with respect to a series of notes, unless we have exercised our option to redeem such series of notes in full as described above under “— Optional Redemption” or have defeased such series of notes or satisfied and discharged such series of notes, we shall be required to make an offer (a “Change of Control Offer”) to each holder of such series of notes to repurchase all or any part (equal to $2,000 and in integral multiples of $1,000 in excess thereof; provided that the unrepurchased portion of a note must be in a minimum principal amount of $2,000) of that holder’s notes of such series pursuant to the offer described below. In a Change of Control Offer, we will be required to offer payment in cash equal to 101% of the aggregate principal amount of the notes repurchased, plus accrued and unpaid interest, if any, on the notes repurchased to the date of repurchase (a “Change of Control Payment”). Within 30 days following any Change of Control Triggering Event with respect to a series of notes or, at our option, prior to any Change of Control, but after public announcement of the transaction that constitutes or may constitute the Change of Control, a notice shall be mailed, or if the notes to be repurchased are represented by one or more Global Notes, transmitted in accordance with DTC’s standard procedures therefor, to holders of such series of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“Change of Control Payment Date”). The notice shall, if mailed or transmitted prior to the date of consummation of the Change of Control, state that the offer to purchase is conditioned on the Change of Control Triggering Event occurring on or prior to the Change of Control Payment Date.</w:t>
      </w:r>
    </w:p>
    <w:p>
      <w:pPr>
        <w:spacing w:after="0" w:line="1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the Change of Control Payment Date, we will, to the extent lawful:</w:t>
      </w:r>
    </w:p>
    <w:p>
      <w:pPr>
        <w:spacing w:after="0" w:line="225" w:lineRule="exact"/>
        <w:rPr>
          <w:sz w:val="20"/>
          <w:szCs w:val="20"/>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of the applicable series or portions of such notes properly tendered pursuant to the Change of Control Offer;</w:t>
      </w:r>
    </w:p>
    <w:p>
      <w:pPr>
        <w:spacing w:after="0" w:line="225" w:lineRule="exact"/>
        <w:rPr>
          <w:rFonts w:ascii="Times New Roman" w:cs="Times New Roman" w:eastAsia="Times New Roman" w:hAnsi="Times New Roman"/>
          <w:sz w:val="18"/>
          <w:szCs w:val="18"/>
          <w:color w:val="auto"/>
        </w:rPr>
      </w:pPr>
    </w:p>
    <w:p>
      <w:pPr>
        <w:ind w:left="4" w:right="120" w:hanging="4"/>
        <w:spacing w:after="0" w:line="282"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such notes properly tendered; and</w:t>
      </w:r>
    </w:p>
    <w:p>
      <w:pPr>
        <w:spacing w:after="0" w:line="161" w:lineRule="exact"/>
        <w:rPr>
          <w:rFonts w:ascii="Times New Roman" w:cs="Times New Roman" w:eastAsia="Times New Roman" w:hAnsi="Times New Roman"/>
          <w:sz w:val="18"/>
          <w:szCs w:val="18"/>
          <w:color w:val="auto"/>
        </w:rPr>
      </w:pPr>
    </w:p>
    <w:p>
      <w:pPr>
        <w:ind w:left="4" w:right="380" w:hanging="4"/>
        <w:spacing w:after="0" w:line="282"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of the applicable series properly accepted together with an officers’ certificate stating the aggregate principal amount of notes or portions of such notes being repurchased.</w:t>
      </w:r>
    </w:p>
    <w:p>
      <w:pPr>
        <w:spacing w:after="0" w:line="162"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purchases all notes of the applicable series properly tendered and not withdrawn under its offer.</w:t>
      </w:r>
    </w:p>
    <w:p>
      <w:pPr>
        <w:spacing w:after="0" w:line="176"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Exchange Act and any other securities laws and regulations thereunder to the extent those laws and regulations are applicable in connection with the repurchase of the notes of the applicable series as a result of a Change of Control Triggering Event. To the extent that the provisions of any such securities laws or regulations conflict with the Change of Control Offer provisions of the notes, we will comply with those securities laws and regulations and shall not be deemed to have breached our obligations under the Change of Control Offer provisions of the notes by virtue of any such conflict.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are applicable:</w:t>
      </w:r>
    </w:p>
    <w:p>
      <w:pPr>
        <w:spacing w:after="0" w:line="115" w:lineRule="exact"/>
        <w:rPr>
          <w:sz w:val="20"/>
          <w:szCs w:val="20"/>
          <w:color w:val="auto"/>
        </w:rPr>
      </w:pPr>
    </w:p>
    <w:p>
      <w:pPr>
        <w:ind w:left="4"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means, with respect to a series of notes, the applicable series of notes is downgraded below Investment Grade by at least two of the three Rating Agencies on any date during the period (the “Trigger Period”) commencing 60 days prior to the first public announcement by us of any Change 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04"/>
          </w:cols>
          <w:pgMar w:left="436" w:top="266" w:right="459" w:bottom="1440" w:gutter="0" w:footer="0" w:header="0"/>
        </w:sectPr>
      </w:pPr>
    </w:p>
    <w:bookmarkStart w:id="18" w:name="page19"/>
    <w:bookmarkEnd w:id="18"/>
    <w:p>
      <w:pPr>
        <w:ind w:left="4"/>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 (or pending Change of Control) and ending 60 days following the consummation of such Change of Control (which Trigger Period will be extended if the rating of such series of notes is under publicly announced consideration for possible downgrade by any Rating Agency on such 60th day, such extension to last with respect to each Rating Agency until the date on which such Rating Agency considering such possible downgrade either</w:t>
      </w:r>
    </w:p>
    <w:p>
      <w:pPr>
        <w:spacing w:after="0" w:line="1" w:lineRule="exact"/>
        <w:rPr>
          <w:sz w:val="20"/>
          <w:szCs w:val="20"/>
          <w:color w:val="auto"/>
        </w:rPr>
      </w:pPr>
    </w:p>
    <w:p>
      <w:pPr>
        <w:ind w:left="4" w:right="300" w:hanging="4"/>
        <w:spacing w:after="0" w:line="255"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such series of notes below Investment Grade or (y) publicly announces that it is no longer considering such series of notes for possible downgrade, provided that no such extension will occur if on such 60th day such series of notes is rated Investment Grade by at least two of the three Rating Agencies and are not subject to review for possible downgrade by any Rating Agency).</w:t>
      </w:r>
    </w:p>
    <w:p>
      <w:pPr>
        <w:spacing w:after="0" w:line="184"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(1) the direct or indirect sale, transfer, conveyance or other disposition (other than by way of merger or consolidation), in one or more series of related transactions, of all or substantially all of our assets and the assets of our Subsidiaries, taken as a whole, to any person, other than to us or one of our direct or indirect Subsidiaries; (2) the consummation of any transaction (including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 (4) the adoption of a plan providing for our liquidation or dissolution. Notwithstanding the foregoing, a transaction will not be deemed to involve a Change of Control if (1) we become a direct or indirect wholly owned subsidiary of a holding company (which shall include a parent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5"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There is no precise established definition of the phrase “substantially all” under applicable law. Accordingly, the ability of a holder of notes to require us to repurchase the notes as a result of a sale, transfer, conveyance or other disposition of less than all of our properties or assets and those of our Subsidiaries taken as a whole to another person may be uncertain. In such case, the holders of the notes may not be able to resolve this uncertainty without resorting to legal action.</w:t>
      </w:r>
    </w:p>
    <w:p>
      <w:pPr>
        <w:spacing w:after="0" w:line="181" w:lineRule="exact"/>
        <w:rPr>
          <w:sz w:val="20"/>
          <w:szCs w:val="20"/>
          <w:color w:val="auto"/>
        </w:rPr>
      </w:pPr>
    </w:p>
    <w:p>
      <w:pPr>
        <w:ind w:left="4" w:righ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with respect to a series of notes, the occurrence of both a Change of Control and a Below Investment Grade Rating Event with respect to such series of notes.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and its successors.</w:t>
      </w:r>
    </w:p>
    <w:p>
      <w:pPr>
        <w:spacing w:after="0" w:line="225" w:lineRule="exact"/>
        <w:rPr>
          <w:sz w:val="20"/>
          <w:szCs w:val="20"/>
          <w:color w:val="auto"/>
        </w:rPr>
      </w:pPr>
    </w:p>
    <w:p>
      <w:pPr>
        <w:ind w:left="4" w:right="2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with respect to Fitch, a rating equal to or higher than BBB- (or the equivalent under any successor rating categories of Fitch), with respect to Moody’s, a rating equal to or higher than Baa3 (or the equivalent under any successor rating categories of Moody’s) and, with respect to S&amp;P, a rating equal to or higher than BBB- (or the equivalent under any successor rating categories of S&amp;P).</w:t>
      </w:r>
    </w:p>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964"/>
          </w:cols>
          <w:pgMar w:left="436" w:top="270" w:right="499" w:bottom="1440" w:gutter="0" w:footer="0" w:header="0"/>
        </w:sectPr>
      </w:pPr>
    </w:p>
    <w:bookmarkStart w:id="19" w:name="page20"/>
    <w:bookmarkEnd w:id="19"/>
    <w:p>
      <w:pPr>
        <w:ind w:left="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each of Fitch, Moody’s and S&amp;P; provided, that if any of Fitch, Moody’s and S&amp;P ceases to provide rating services to issuers or investors, we may appoint a replacement for such Rating Agency that is a “nationally recognized statistical rating organization” within the meaning of Section 3(a)(62) of the Exchange Act.</w:t>
      </w:r>
    </w:p>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225"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shares, interests, participations, rights or other equivalents (however designated) of such person that is at the time entitled to vote generally in the election of the board of directors of such person.</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We will not, nor will we permit any Subsidiary to, issue, incur, create, assume or guarantee (collectively, “incur”) any debt for borrowed money, including all obligations evidenced by bonds, debentures, notes or similar instruments (collectively, a “debt”), secured by a mortgage, deed of trust, security interest, pledge, lien, charge or other encumbrance (collectively, a “lien”) upon any Principal Property or upon any shares of stock of any Principal Subsidiary (whether such Principal Property or shares are now existing or owned or hereafter created or acquired) without in any such case effectively providing, substantially concurrently with or prior to the creation or assumption of such lien, that the notes (together with, if we shall so determine, any other indebtedness of or guarantee by us or such Subsidiary ranking equally with the notes) shall be secured equally and ratably with (or, at our option, prior to) such secured debt. The foregoing restriction, however, will not apply to each of the following:</w:t>
      </w:r>
    </w:p>
    <w:p>
      <w:pPr>
        <w:spacing w:after="0" w:line="81" w:lineRule="exact"/>
        <w:rPr>
          <w:sz w:val="20"/>
          <w:szCs w:val="20"/>
          <w:color w:val="auto"/>
        </w:rPr>
      </w:pPr>
    </w:p>
    <w:p>
      <w:pPr>
        <w:jc w:val="both"/>
        <w:ind w:left="4" w:right="160" w:hanging="4"/>
        <w:spacing w:after="0" w:line="261"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shares of stock or other assets of any person existing at the time such person becomes a Subsidiary or existing at the time of acquisition thereof by us or a Subsidiary, provided that such liens are not incurred in anticipation of such person’s becoming a Subsidiary or such acquisition and do not extend to (i) any Principal Property or (ii) any shares of stock of any Principal Subsidiary that, in each case, were not previously encumbered by such liens;</w:t>
      </w:r>
    </w:p>
    <w:p>
      <w:pPr>
        <w:spacing w:after="0" w:line="179" w:lineRule="exact"/>
        <w:rPr>
          <w:rFonts w:ascii="Times New Roman" w:cs="Times New Roman" w:eastAsia="Times New Roman" w:hAnsi="Times New Roman"/>
          <w:sz w:val="18"/>
          <w:szCs w:val="18"/>
          <w:color w:val="auto"/>
        </w:rPr>
      </w:pPr>
    </w:p>
    <w:p>
      <w:pPr>
        <w:jc w:val="both"/>
        <w:ind w:left="4" w:right="160" w:hanging="4"/>
        <w:spacing w:after="0" w:line="261"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is merged into or consolidated with us or a Subsidiary or at the time of a sale, lease or other disposition of the properties of such person (or a division thereof) as an entirety or substantially as an entirety to us or a Subsidiary, provided that such liens are not incurred in anticipation of such merger or consolidation or sale, lease or other disposition and do not extend to (i) any Principal Property or (ii) any shares of stock of any Principal Subsidiary that, in each case, were not previously encumbered by such liens;</w:t>
      </w:r>
    </w:p>
    <w:p>
      <w:pPr>
        <w:spacing w:after="0" w:line="179" w:lineRule="exact"/>
        <w:rPr>
          <w:rFonts w:ascii="Times New Roman" w:cs="Times New Roman" w:eastAsia="Times New Roman" w:hAnsi="Times New Roman"/>
          <w:sz w:val="18"/>
          <w:szCs w:val="18"/>
          <w:color w:val="auto"/>
        </w:rPr>
      </w:pPr>
    </w:p>
    <w:p>
      <w:pPr>
        <w:ind w:left="4" w:right="40" w:hanging="4"/>
        <w:spacing w:after="0" w:line="258"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all or part of the cost of acquisition, construction, development or improvement of any property or to secure debt incurred to provide funds for any such purpose (including purchase money security interests or purchase money mortgages), provided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which secure debt owing to, us or any of our Subsidiaries;</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at the date of the issuance of the notes;</w:t>
      </w:r>
    </w:p>
    <w:p>
      <w:pPr>
        <w:spacing w:after="0" w:line="225" w:lineRule="exact"/>
        <w:rPr>
          <w:rFonts w:ascii="Times New Roman" w:cs="Times New Roman" w:eastAsia="Times New Roman" w:hAnsi="Times New Roman"/>
          <w:sz w:val="18"/>
          <w:szCs w:val="18"/>
          <w:color w:val="auto"/>
        </w:rPr>
      </w:pPr>
    </w:p>
    <w:p>
      <w:pPr>
        <w:ind w:left="4" w:right="260" w:hanging="4"/>
        <w:spacing w:after="0" w:line="266" w:lineRule="auto"/>
        <w:tabs>
          <w:tab w:leader="none" w:pos="2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24"/>
          </w:cols>
          <w:pgMar w:left="436" w:top="268" w:right="439" w:bottom="1440" w:gutter="0" w:footer="0" w:header="0"/>
        </w:sectPr>
      </w:pPr>
    </w:p>
    <w:bookmarkStart w:id="20" w:name="page21"/>
    <w:bookmarkEnd w:id="20"/>
    <w:p>
      <w:pPr>
        <w:ind w:left="4"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payments pursuant to any contract or statute or to secure any indebtedness incurred for the purpose of financing all or any part of the purchase price or the cost of constructing or improving the property subject to such liens;</w:t>
      </w:r>
    </w:p>
    <w:p>
      <w:pPr>
        <w:spacing w:after="0" w:line="162" w:lineRule="exact"/>
        <w:rPr>
          <w:sz w:val="20"/>
          <w:szCs w:val="20"/>
          <w:color w:val="auto"/>
        </w:rPr>
      </w:pPr>
    </w:p>
    <w:p>
      <w:pPr>
        <w:ind w:left="4" w:right="640" w:hanging="4"/>
        <w:spacing w:after="0" w:line="282"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assumed in connection with the issuance of revenue bonds the interest on which is exempt from federal taxation pursuant to Section 103(b) of the Internal Revenue Code of 1986, as amended; and</w:t>
      </w:r>
    </w:p>
    <w:p>
      <w:pPr>
        <w:spacing w:after="0" w:line="161" w:lineRule="exact"/>
        <w:rPr>
          <w:rFonts w:ascii="Times New Roman" w:cs="Times New Roman" w:eastAsia="Times New Roman" w:hAnsi="Times New Roman"/>
          <w:sz w:val="18"/>
          <w:szCs w:val="18"/>
          <w:color w:val="auto"/>
        </w:rPr>
      </w:pPr>
    </w:p>
    <w:p>
      <w:pPr>
        <w:ind w:left="4" w:right="120" w:hanging="4"/>
        <w:spacing w:after="0" w:line="26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renewals or replacements of any liens referred to in the foregoing clauses, provided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w:t>
      </w:r>
    </w:p>
    <w:p>
      <w:pPr>
        <w:spacing w:after="0" w:line="180"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Notwithstanding the restrictions in the preceding paragraphs, we or any Subsidiary of ours may incur debt secured by a lien which would otherwise be prohibited by such restrictions, without equally and ratably securing the notes, provided that, after giving effect thereto, the then aggregate outstanding amount of all such debt so secured by such liens (not including liens permitted under clauses (a) through (h) above) plus the aggregate amount of Attributable Debt in respect of Sale and Lease Back Transactions of Principal Properties entered into after the date of issuance of the notes and permitted solely pursuant to clause (c) of the covenant described below under the caption “— Limitation on Sale and Lease Back Transactions” and still in existence does not exceed the greater of 5% of our Consolidated Tangible Assets at the time of such incurrence and $750 million.</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Limitation on Sale and Lease Back Transactions</w:t>
      </w:r>
    </w:p>
    <w:p>
      <w:pPr>
        <w:spacing w:after="0" w:line="121"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We will not, nor will we permit any Subsidiary to, enter into any Sale and Lease Back Transaction with respect to any Principal Property, other than any such Sale and Lease Back Transaction involving a lease for a term of not more than three years or any such Sale and Lease Back Transaction between us and one of our Subsidiaries, or between Subsidiaries, unless:</w:t>
      </w:r>
    </w:p>
    <w:p>
      <w:pPr>
        <w:spacing w:after="0" w:line="68" w:lineRule="exact"/>
        <w:rPr>
          <w:sz w:val="20"/>
          <w:szCs w:val="20"/>
          <w:color w:val="auto"/>
        </w:rPr>
      </w:pPr>
    </w:p>
    <w:p>
      <w:pPr>
        <w:jc w:val="both"/>
        <w:ind w:left="4" w:right="160" w:hanging="4"/>
        <w:spacing w:after="0" w:line="266"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clauses (a) through (h) of the covenant described above under the caption “—Limitation on Liens”;</w:t>
      </w:r>
    </w:p>
    <w:p>
      <w:pPr>
        <w:spacing w:after="0" w:line="175" w:lineRule="exact"/>
        <w:rPr>
          <w:rFonts w:ascii="Times New Roman" w:cs="Times New Roman" w:eastAsia="Times New Roman" w:hAnsi="Times New Roman"/>
          <w:sz w:val="18"/>
          <w:szCs w:val="18"/>
          <w:color w:val="auto"/>
        </w:rPr>
      </w:pPr>
    </w:p>
    <w:p>
      <w:pPr>
        <w:jc w:val="both"/>
        <w:ind w:left="4" w:right="40" w:hanging="4"/>
        <w:spacing w:after="0" w:line="261"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the Net Available Proceeds of such Sale and Lease Back Transaction within 180 days of such Sale and Lease Back Transaction to either (or a combination of) (i) the prepayment or retirement of debt of ours or a Subsidiary of ours (other than debt that is, in the case of our debt, subordinated to the notes or debt owed to us or a Subsidiary) that by its terms matures more than 12 months after its creation or (ii) the purchase, construction, development, expansion or improvement of comparable properties or facilities; or</w:t>
      </w:r>
    </w:p>
    <w:p>
      <w:pPr>
        <w:spacing w:after="0" w:line="179" w:lineRule="exact"/>
        <w:rPr>
          <w:rFonts w:ascii="Times New Roman" w:cs="Times New Roman" w:eastAsia="Times New Roman" w:hAnsi="Times New Roman"/>
          <w:sz w:val="18"/>
          <w:szCs w:val="18"/>
          <w:color w:val="auto"/>
        </w:rPr>
      </w:pPr>
    </w:p>
    <w:p>
      <w:pPr>
        <w:ind w:left="4" w:right="140" w:hanging="4"/>
        <w:spacing w:after="0" w:line="258"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Attributable Debt in respect of such Sale and Lease Back Transaction plus the Attributable Debt in respect of all other Sale and Lease Back Transactions of Principal Properties entered into after the date of issuance of the notes permitted solely pursuant to this clause (c) and still in existence, plus the aggregate amount of all debt secured by liens permitted solely pursuant to the last paragraph of the covenant described above under the caption “—Limitation on Liens” and still outstanding, does not exceed the greater of 5% of our Consolidated Tangible Assets at the time of such Sale and Lease Back Transaction and $750 million.</w:t>
      </w:r>
    </w:p>
    <w:p>
      <w:pPr>
        <w:spacing w:after="0" w:line="181" w:lineRule="exact"/>
        <w:rPr>
          <w:sz w:val="20"/>
          <w:szCs w:val="20"/>
          <w:color w:val="auto"/>
        </w:rPr>
      </w:pPr>
    </w:p>
    <w:p>
      <w:pPr>
        <w:ind w:left="4"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with regard to a Sale and Lease Back Transaction with respect to any Principal Property means, at the time of determination, the lesser of:</w:t>
      </w:r>
    </w:p>
    <w:p>
      <w:pPr>
        <w:spacing w:after="0" w:line="66" w:lineRule="exact"/>
        <w:rPr>
          <w:sz w:val="20"/>
          <w:szCs w:val="20"/>
          <w:color w:val="auto"/>
        </w:rPr>
      </w:pPr>
    </w:p>
    <w:p>
      <w:pPr>
        <w:ind w:left="964" w:hanging="424"/>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Principal Property subject to the transaction; or</w:t>
      </w:r>
    </w:p>
    <w:p>
      <w:pPr>
        <w:spacing w:after="0" w:line="130" w:lineRule="exact"/>
        <w:rPr>
          <w:rFonts w:ascii="Times New Roman" w:cs="Times New Roman" w:eastAsia="Times New Roman" w:hAnsi="Times New Roman"/>
          <w:sz w:val="18"/>
          <w:szCs w:val="18"/>
          <w:color w:val="auto"/>
        </w:rPr>
      </w:pPr>
    </w:p>
    <w:p>
      <w:pPr>
        <w:jc w:val="both"/>
        <w:ind w:left="964" w:right="100" w:hanging="424"/>
        <w:spacing w:after="0" w:line="266"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account 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24"/>
          </w:cols>
          <w:pgMar w:left="436" w:top="270" w:right="439" w:bottom="1440" w:gutter="0" w:footer="0" w:header="0"/>
        </w:sectPr>
      </w:pPr>
    </w:p>
    <w:bookmarkStart w:id="21" w:name="page22"/>
    <w:bookmarkEnd w:id="21"/>
    <w:p>
      <w:pPr>
        <w:ind w:left="98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taxes as well as maintenance, repairs, insurance, water rates and other items which do not constitute payments for property rights) during the remaining portion of the base term of the lease included in such Sale and Lease Back Transaction.</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as of any date on which we effect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 (ii) all goodwill, trade names, patents, unamortized debt discount and expense and any other like intangibles, to the extent included in said aggregate amount of assets, all as set forth on our most recent consolidated balance sheet and computed in accordance with GAAP.</w:t>
      </w:r>
    </w:p>
    <w:p>
      <w:pPr>
        <w:spacing w:after="0" w:line="18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means, as of any date on which we effect a transaction requiring such Consolidated Tangible Assets to be measured hereunder, the aggregate amount of assets (less applicable reserves) set forth on our most recent consolidated balance sheet and computed in accordance with GAAP.</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determination.</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Available Proceeds</w:t>
      </w:r>
      <w:r>
        <w:rPr>
          <w:rFonts w:ascii="Times New Roman" w:cs="Times New Roman" w:eastAsia="Times New Roman" w:hAnsi="Times New Roman"/>
          <w:sz w:val="18"/>
          <w:szCs w:val="18"/>
          <w:color w:val="auto"/>
        </w:rPr>
        <w:t>” from any Sale and Lease Back Transaction by us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 Transaction or received in any other noncash form) therefrom by us or our Subsidiary, net of (i) all legal, title and recording tax expenses, commissions and other fees and expenses incurred and all Federal, state, provincial, foreign and local taxes required to be accrued as a liability as a consequence of such Sale and Lease Back Transaction; (ii) all payments made by us or our Subsidiary on any debt which is secured in whole or in part by any such properties and assets in accordance with the terms of any lien upon or with respect 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our minority interest holders in Subsidiaries or joint ventures as a result of such Sale and Lease Back Transaction.</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single parcel of real property or any permanent improvement thereon (i) owned by us or any of our Subsidiaries located in the United States, including our principal corporate office, any manufacturing facility or plant or any portion thereof and (ii) having a book value, as of the date of determination, in excess of 3% of our most recently calculated Consolidated Net Tangible Assets. Principal Property does not include any property that our board of directors has determined not to be of material importance to the business conducted by our Subsidiaries and us, taken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 2025, we had one Principal Property.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Subsidiary</w:t>
      </w:r>
      <w:r>
        <w:rPr>
          <w:rFonts w:ascii="Times New Roman" w:cs="Times New Roman" w:eastAsia="Times New Roman" w:hAnsi="Times New Roman"/>
          <w:sz w:val="18"/>
          <w:szCs w:val="18"/>
          <w:color w:val="auto"/>
        </w:rPr>
        <w:t>” means any Subsidiary which owns any Principal Property.</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 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00"/>
          </w:cols>
          <w:pgMar w:left="440" w:top="270" w:right="459" w:bottom="1440" w:gutter="0" w:footer="0" w:header="0"/>
        </w:sectPr>
      </w:pPr>
    </w:p>
    <w:bookmarkStart w:id="22" w:name="page23"/>
    <w:bookmarkEnd w:id="22"/>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by us or our Subsidiary to such lender or investor or to any person to whom funds have been or are to be advanced by such lender on the security of such Principal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Mergers and Other Transactions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89" w:lineRule="exact"/>
        <w:rPr>
          <w:sz w:val="20"/>
          <w:szCs w:val="20"/>
          <w:color w:val="auto"/>
        </w:rPr>
      </w:pPr>
    </w:p>
    <w:p>
      <w:pPr>
        <w:ind w:left="960" w:right="8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notes and under the indenture; and</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under the indenture.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will deliver to the trustee prior to the consummation of the proposed transaction an officers’ certificate to the foregoing effect and an opinion of counsel stating that the proposed transaction complies with the indenture.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ours may consolidate with, merge into or transfer all or part of its properties to us. Neither an officers’ certificate nor an opinion of counsel shall be required to be delivered in connection therewith.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following constitutes an Event of Default with respect to each series of notes:</w:t>
      </w:r>
    </w:p>
    <w:p>
      <w:pPr>
        <w:spacing w:after="0" w:line="131" w:lineRule="exact"/>
        <w:rPr>
          <w:sz w:val="20"/>
          <w:szCs w:val="20"/>
          <w:color w:val="auto"/>
        </w:rPr>
      </w:pPr>
    </w:p>
    <w:p>
      <w:pPr>
        <w:ind w:left="960" w:right="2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such series of notes when it becomes due and payable, and continuance of that default for a period of 30 days;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on such series of notes when due and payable;</w:t>
      </w:r>
    </w:p>
    <w:p>
      <w:pPr>
        <w:spacing w:after="0" w:line="130"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by us in the indenture (other than a covenant that has been included in the base indenture or a separate supplemental indenture solely for the benefit of a series of debt securities other than the notes of the applicable series), which default continues uncured for a period of 90 days after we receive written notice from the trustee or we and the trustee receive written notice from the holders of not less than 25% in principal amount of the outstanding notes of the applicable series as provided in the indenture;</w:t>
      </w:r>
    </w:p>
    <w:p>
      <w:pPr>
        <w:spacing w:after="0" w:line="88" w:lineRule="exact"/>
        <w:rPr>
          <w:rFonts w:ascii="Times New Roman" w:cs="Times New Roman" w:eastAsia="Times New Roman" w:hAnsi="Times New Roman"/>
          <w:sz w:val="18"/>
          <w:szCs w:val="18"/>
          <w:color w:val="auto"/>
        </w:rPr>
      </w:pPr>
    </w:p>
    <w:p>
      <w:pPr>
        <w:ind w:left="960" w:hanging="424"/>
        <w:spacing w:after="0" w:line="253"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our failure or the failure of any of our Subsidiaries to pay indebtedness for money we borrowed or any of our Subsidiaries borrowed in an aggregate principal amount of at least $300 million,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 of such series or (2) acceleration of the maturity of indebtedness for money we borrowed or any of our Subsidiaries borrowed in an aggregate principal amount of at least $300 million,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 of the applicable series; provided, however, that, if the default under the instrument is cured by us, or waived by the holders of the indebtedness, in each case, as permitted by the governing instrument, then, unless the maturity of such series of notes has been accelerated in accordance with the indenture, the Event of Default under the indenture governing such notes caused by such default will be deemed likewise to be cured or waived;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20"/>
          </w:cols>
          <w:pgMar w:left="440" w:top="270" w:right="439" w:bottom="1440" w:gutter="0" w:footer="0" w:header="0"/>
        </w:sectPr>
      </w:pPr>
    </w:p>
    <w:bookmarkStart w:id="23" w:name="page24"/>
    <w:bookmarkEnd w:id="23"/>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events of bankruptcy, insolvency or reorganization involving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Each series of notes is also subject to defeasance and discharge as described under the caption “Defeasance of Debt Securities and Certain Covenants in Certain Circumstances” and “Satisfaction and Discharge Prior to Maturity” in the accompanying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and Form</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series of notes will be represented by one or more permanent global certificates (each a “Global Note” and collectively, the “Global Notes”) deposited with, or on behalf of, the trustee as custodian for DTC and registered in the name of Cede &amp; Co. (DTC’s partnership nominee), for credit to an account of a direct or indirect participant in DTC (including Euroclear Bank AS/NV or Clearstream Banking, S.A.). Unless and until certificated notes are issued under the limited circumstances described in the accompanying prospectus, no beneficial owner of a note shall be entitled to receive a definitive certificate representing notes. So long as DTC or any successor depositary (collectively, the “Depositary”) or its nominee is the registered owner of the Global Notes, the Depositary, or such nominee, as the case may be, will be considered to be the sole owner or holder of the notes for all purposes of the indenture. Beneficial interests in the Global Notes will be represented through book-entry accounts of financial institutions acting on behalf of beneficial owners as direct and indirect participants in DTC. Investors may elect to hold interests in the Global Notes through DTC either directly if they are participants in DTC or indirectly through organizations that are participants in DTC (including Euroclear Bank AS/NV or Clearstream Banking, S.A.).</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Clearance and Settlement Procedures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0980"/>
          </w:cols>
          <w:pgMar w:left="440" w:top="270" w:right="47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UNITED STATES FEDERAL INCOME TAX CONSEQUENCES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related to the purchase, ownership and disposition of the notes. This summary is based upon provisions of the U.S. Internal Revenue Code of 1986, as amended (the “Code”), applicable regulations, administrative rulings and judicial decisions, all as in effect as of the date of this prospectus supplement, any of which may subsequently be changed, possibly retroactively, or interpreted differently by the U.S. Internal Revenue Service (the “IRS”), so as to result in U.S. federal income tax consequences different from those discussed below. This summary deals only with notes held as capital assets within the meaning of Section 1221 of the Code (generally for investment purposes) by a beneficial owner who purchases notes for cash on original issuance at the initial offering price at which a substantial amount of the notes are sold for cash to persons other than bond houses, brokers, or similar persons or organizations acting in the capacity of underwriters, placement agents or wholesalers, which we refer to as the “issue price.” This summary does not address all aspects of U.S. federal income tax related to the purchase, ownership and disposition of the notes and does not address all tax consequences that may be relevant to holders in light of their personal circumstances or particular situations, such as:</w:t>
      </w:r>
    </w:p>
    <w:p>
      <w:pPr>
        <w:spacing w:after="0" w:line="100" w:lineRule="exact"/>
        <w:rPr>
          <w:sz w:val="20"/>
          <w:szCs w:val="20"/>
          <w:color w:val="auto"/>
        </w:rPr>
      </w:pPr>
    </w:p>
    <w:p>
      <w:pPr>
        <w:ind w:left="960" w:right="10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holders who may be subject to special tax treatment, including dealers in securities or currencies, banks and other financial institutions, regulated investment companies, real estate investment trusts, tax-exempt entities, insurance companies and traders in securities that elect to use a mark-to-market method of accounting for their securities;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persons holding notes as a part of a hedging,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U.S. holders (as defined below) of notes whose “functional currency” is not the U.S. dollar;</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persons required for U.S. federal income tax purposes to conform the timing of income accruals with respect to the notes to their financial statements under Section 451 of the Code;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partnerships or other pass-through entities and their members;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certain former citizens or residents of the United States;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alternative minimum tax consequences,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application of the Medicare tax on net investment income;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local or foreign tax consequences;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estate or gift tax consequences, if any.</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notes, the tax treatment of a partner will generally depend upon the status of the partner and the activities of the partnership. A beneficial owner that is a partnership and partners in such a partnership should consult their tax advisors.</w:t>
      </w:r>
    </w:p>
    <w:p>
      <w:pPr>
        <w:spacing w:after="0" w:line="2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THIS SUMMARY OF MATERIAL UNITED STATES FEDERAL INCOME TAX CONSIDERATIONS IS FOR GENERAL INFORMATION ONLY AND IS NOT TAX ADVICE FOR ANY PARTICULAR INVESTOR. THIS SUMMARY DOES NOT ADDRESS ALL U.S. FEDERAL TAX CONSIDERATIONS OR THE TAX CONSIDERATIONS ARISING UNDER THE LAWS OF ANY FOREIGN, STATE OR LOCAL JURISDICTION. IF YOU ARE CONSIDERING THE PURCHASE OF NOTES, YOU SHOULD CONSULT YOUR TAX ADVISORS CONCERNING THE U.S. FEDERAL INCOME AND OTHER TAX CONSEQUENCES TO YOU IN LIGHT OF YOUR OWN SPECIFIC SITUATION, AS WELL AS CONSEQUENCES ARISING UNDER THE LAWS OF ANY OTHER TAXING JURISDICTION.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discussion, we use the term “U.S. holder” to refer to a beneficial owner of notes that is, for U.S. federal income tax purposes:</w:t>
      </w:r>
    </w:p>
    <w:p>
      <w:pPr>
        <w:spacing w:after="0" w:line="112" w:lineRule="exact"/>
        <w:rPr>
          <w:sz w:val="20"/>
          <w:szCs w:val="20"/>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0940"/>
          </w:cols>
          <w:pgMar w:left="440" w:top="266" w:right="519" w:bottom="1440" w:gutter="0" w:footer="0" w:header="0"/>
        </w:sectPr>
      </w:pPr>
    </w:p>
    <w:bookmarkStart w:id="25" w:name="page26"/>
    <w:bookmarkEnd w:id="25"/>
    <w:p>
      <w:pPr>
        <w:ind w:left="960" w:right="16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corporation (or any other entity or arrangement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use the term “non-U.S. holder” to describe a beneficial owner (other than a partnership or other entity or arrangement treated as a partnership for U.S. federal income tax purposes) of notes that is not a U.S. holder. Non-U.S. holders should consult their tax advisors to determine the U.S. federal, state, local and other tax consequences that may be relevant to them.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Payments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certain circumstances, we may be obligated to pay certain additional amounts on the notes. For example, if we are required to repurchase notes in connection with a Change of Control Triggering Event as described in “Description of the Notes — Change of Control Offer,” we must pay a 1% premium. The possibility of such payments may implicate special rules under U.S. Treasury Regulations governing “contingent payment debt instruments.” According to those regulations, the possibility that additional payments will be made will not cause the notes to be contingent payment debt instruments if, as of the date the notes are issued, there is only a remote chance that such payments will be made or certain other exceptions apply. We have determined and intend to take the position (and this discussion assumes) that the possibility of such events occurring will not subject the notes to the contingent payment debt instrument rules.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determination that the notes are not contingent payment debt instruments is binding on holders for U.S. federal income tax purposes unless they disclose their contrary positions to the IRS in the manner required by applicable U.S. Treasury Regulations. Our determination that the notes are not contingent payment debt instruments is not, however, binding on the IRS. If the IRS were to successfully challenge our determination and the notes were treated as contingent payment debt instruments, U.S. holders would be required, among other things, to (i) accrue interest income based on a projected payment schedule and comparable yield, which may be a higher rate than the stated interest rate on the notes, regardless of their method of tax accounting and (ii) possibly treat as ordinary income, rather than capital gain, some or all of any gain recognized on a sale, exchange or redemption of a note. In the event that any of the above contingencies were to occur, it would affect the amount and timing of the income recognized by a U.S. holder.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U.S.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It is anticipated, and this discussion assumes, that the notes will be issued with no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OID for U.S. federal income tax purposes, in which case interest on a note generally will be taxable to a U.S. holder as ordinary income at the time it is received or accrued in accordance with the U.S. holder’s usual method of accounting for tax purposes.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If, however, the issue price of the applicable series of notes is less than their stated principal amount and the difference is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(as set forth in the applicable U.S. Treasury Regulations), a U.S. holder of such series of notes generally will be required to include the difference in income as OID as it accrues on a constant yield-to-maturity basis (as set forth in the applicable U.S. Treasury Regulations) whether or not it receives cash payments and regardless of its method of tax accounting.</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20"/>
          </w:cols>
          <w:pgMar w:left="440" w:top="270"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Redemption or Other Taxable Disposition of Notes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upon the sale, redemption or other taxable disposition of a note equal to the difference between the amount realized and such U.S. holder’s adjusted tax basis in the note. The amount realized will equal the amount of the cash and the fair market value of any property received in exchange for the note (other than amounts attributable to accrued but unpaid interest, which amounts will be treated as ordinary interest income for U.S. federal income tax purposes to the extent not previously included in income). A U.S. holder’s tax basis in a note will generally be equal to the amount that such U.S. holder paid for the note. In general, any gain or loss recognized on a taxable disposition of the note will be capital gain or loss. If, at the time of the sale, redemption or other taxable disposition of the note, a U.S. holder is treated as holding the note for more than one year, such capital gain or loss will be a long-term capital gain or loss. Otherwise, such capital gain or loss will be a short-term capital gain or loss. In the case of certain non-corporate U.S. holders (including individuals), long-term capital gain generally is subject to U.S. federal income tax at a lower rate than short-term capital gain, which is taxed at ordinary income rates. A U.S. holder’s ability to deduct capital losses is subject to significant limitations under the Code.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interest on the notes and to the proceeds of a sale of a note paid to a U.S. holder unless the U.S. holder is an exempt recipient. Backup withholding at the applicable rate will apply to those payments if the U.S. holder fails to provide its correct taxpayer identification number or certification of its exempt status (generally by providing an IRS Form W-9 or an approved substitute), or if the U.S. holder is notified by the IRS that the U.S. holder has failed to report in full payments of interest and dividend income. 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Non-U.S.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general, payments of interest on the notes to a non-U.S. holder will be considered “portfolio interest” and, subject to the discussions below of income effectively connected with a U.S. trade or business, backup withholding, and the Foreign Account Tax Compliance Act, will not be subject to U.S. federal income or withholding tax, provided that:</w:t>
      </w:r>
    </w:p>
    <w:p>
      <w:pPr>
        <w:spacing w:after="0" w:line="81" w:lineRule="exact"/>
        <w:rPr>
          <w:sz w:val="20"/>
          <w:szCs w:val="20"/>
          <w:color w:val="auto"/>
        </w:rPr>
      </w:pPr>
    </w:p>
    <w:p>
      <w:pPr>
        <w:ind w:left="960" w:right="14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directly or indirectly, actually or constructively, own 10% or more of the total combined voting power of all classes of our stock entitled to vote within the meaning of Section 871(h)(3) of the Code;</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for U.S. federal income tax purposes, a controlled foreign corporation that is related (actually or constructively) to us through stock ownership;</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bank whose receipt of interest on a note is described in Section 881(c)(3)(A) of the Code; and</w:t>
      </w:r>
    </w:p>
    <w:p>
      <w:pPr>
        <w:spacing w:after="0" w:line="130" w:lineRule="exact"/>
        <w:rPr>
          <w:rFonts w:ascii="Times New Roman" w:cs="Times New Roman" w:eastAsia="Times New Roman" w:hAnsi="Times New Roman"/>
          <w:sz w:val="18"/>
          <w:szCs w:val="18"/>
          <w:color w:val="auto"/>
        </w:rPr>
      </w:pPr>
    </w:p>
    <w:p>
      <w:pPr>
        <w:ind w:left="960" w:right="200" w:hanging="424"/>
        <w:spacing w:after="0" w:line="276"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 the non-U.S. holder provides its name, address and taxpayer identification number, if any, and certifies, under penalties of perjury, that it is not a U.S. person (which certification may be made on an IRS Form W-8BEN, W-8BEN-E or other applicable form) or</w:t>
      </w:r>
    </w:p>
    <w:p>
      <w:pPr>
        <w:ind w:left="96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non-U.S. holder holds the notes through certain foreign intermediaries or certain foreign partnerships, and the non-U.S. holder and the foreign intermediary or foreign partnership satisfy the certification requirements of applicable U.S. Treasury Regulations. Special certification rules apply to non-U.S. holders that are pass-through entities.</w:t>
      </w:r>
    </w:p>
    <w:p>
      <w:pPr>
        <w:spacing w:after="0" w:line="1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above, payments of interest generally will be subject to a 30% U.S. federal withholding tax, unless the non-U.S. holder provides us with a properly executed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0980"/>
          </w:cols>
          <w:pgMar w:left="440" w:top="266" w:right="479" w:bottom="1440" w:gutter="0" w:footer="0" w:header="0"/>
        </w:sectPr>
      </w:pPr>
    </w:p>
    <w:bookmarkStart w:id="27" w:name="page28"/>
    <w:bookmarkEnd w:id="27"/>
    <w:p>
      <w:pPr>
        <w:ind w:left="4" w:right="140" w:hanging="4"/>
        <w:spacing w:after="0" w:line="261" w:lineRule="auto"/>
        <w:tabs>
          <w:tab w:leader="none" w:pos="2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IRS Form W-8BEN or W-8BEN-E (or other applicable form) claiming an exemption from or reduction in withholding under the benefit of an applicable income tax treaty or (ii) IRS Form W-8ECI (or other applicable form) stating that interest paid on the notes is not subject to withholding tax because it is effectively connected with the non-U.S. holder’s conduct of a trade or business within the United States and includable in the non-U.S. holder’s gross income.</w:t>
      </w:r>
    </w:p>
    <w:p>
      <w:pPr>
        <w:spacing w:after="0" w:line="180"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If a non-U.S. holder is engaged in a trade or business within the United States and interest on the notes is effectively connected with the conduct of that trade or business and, if required by an applicable income tax treaty, is attributable to a U.S. permanent establishment or fixed base, then, although the non-U.S. holder will be exempt from the 30% withholding tax (provided the certification requirements discussed above are satisfied), the non-U.S. holder generally will be subject to U.S. federal income tax on that interest on a net income basis at regular U.S. federal income tax rates and generally in the same manner as if the non-U.S. holder were a U.S. holder. In addition, if a non-U.S. holder is a foreign corporation, it may be subject to a branch profits tax equal to 30% (or lesser rate under an applicable income tax treaty) of its effectively connected earnings and profits for the taxable year, subject to certain adjustments.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or Other Taxable Disposition of Notes</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the Foreign Account Tax Compliance Act, gain realized by a non-U.S. holder on the sale, redemption or other taxable disposition of a note will not be subject to U.S. federal income tax unless:</w:t>
      </w:r>
    </w:p>
    <w:p>
      <w:pPr>
        <w:spacing w:after="0" w:line="67" w:lineRule="exact"/>
        <w:rPr>
          <w:sz w:val="20"/>
          <w:szCs w:val="20"/>
          <w:color w:val="auto"/>
        </w:rPr>
      </w:pPr>
    </w:p>
    <w:p>
      <w:pPr>
        <w:ind w:left="964" w:right="60" w:hanging="424"/>
        <w:spacing w:after="0" w:line="282" w:lineRule="auto"/>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gain is effectively connected with the non-U.S. holder’s conduct of a trade or business within the United States (and, if required by an applicable income tax treaty, is attributable to a U.S. permanent establishment or fixed base); or</w:t>
      </w:r>
    </w:p>
    <w:p>
      <w:pPr>
        <w:spacing w:after="0" w:line="67"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w:t>
      </w:r>
    </w:p>
    <w:p>
      <w:pPr>
        <w:spacing w:after="0" w:line="162" w:lineRule="exact"/>
        <w:rPr>
          <w:sz w:val="20"/>
          <w:szCs w:val="20"/>
          <w:color w:val="auto"/>
        </w:rPr>
      </w:pPr>
    </w:p>
    <w:p>
      <w:pPr>
        <w:ind w:left="4" w:right="120"/>
        <w:spacing w:after="0" w:line="274" w:lineRule="auto"/>
        <w:rPr>
          <w:sz w:val="20"/>
          <w:szCs w:val="20"/>
          <w:color w:val="auto"/>
        </w:rPr>
      </w:pPr>
      <w:r>
        <w:rPr>
          <w:rFonts w:ascii="Times New Roman" w:cs="Times New Roman" w:eastAsia="Times New Roman" w:hAnsi="Times New Roman"/>
          <w:sz w:val="17"/>
          <w:szCs w:val="17"/>
          <w:color w:val="auto"/>
        </w:rPr>
        <w:t>If a non-U.S. holder is described in the first bullet point above, it generally will be subject to tax on the net gain derived from the sale, redemption or other taxable disposition of the notes at regular U.S. federal income tax rates and generally in the same manner as if the non-U.S. holder were a U.S. holder. In addition, if a non-U.S. holder is a foreign corporation, it may be subject to branch profits tax equal to 30% (or lesser rate under an applicable income tax treaty) of its effectively connected earnings and profits for the taxable year, subject to certain adjustments. If a non-U.S. holder is an individual described in the second bullet point above, such holder will be subject to a flat 30% tax (unless an applicable income tax treaty provides otherwise) on the gain derived from the sale, redemption or other taxable disposition, which may be offset by certain U.S. source capital losses.</w:t>
      </w:r>
    </w:p>
    <w:p>
      <w:pPr>
        <w:spacing w:after="0" w:line="2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and to non-U.S. holders the amount of interest paid to non-U.S. holders on the notes and the amount of tax, if any, withheld with respect to those payments. Copies of the information returns reporting such interest payments and withholding may also be made available to the tax authorities in the country in which a non-U.S. holder resides under the provisions of an applicable income tax treaty.</w:t>
      </w:r>
    </w:p>
    <w:p>
      <w:pPr>
        <w:spacing w:after="0" w:line="176"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general, a non-U.S. holder will not be subject to backup withholding with respect to payments of interest that we make on the notes, provided the certification described above in the last bullet point under “Consequences to Non-U.S. Holders – Payments of Interest” has been received and we do not have actual knowledge or reason to know that the holder is a U.S. person, as defined under the Code, who is not an exempt recipient. However, a non-U.S. holder will be subject to information reporting and, depending on the circumstances, backup withholding at the applicable rate with respect to payments of the proceeds of the sale of a note within the United</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0984"/>
          </w:cols>
          <w:pgMar w:left="436" w:top="270" w:right="479" w:bottom="1440" w:gutter="0" w:footer="0" w:header="0"/>
        </w:sectPr>
      </w:pPr>
    </w:p>
    <w:bookmarkStart w:id="28" w:name="page29"/>
    <w:bookmarkEnd w:id="2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States or conducted through certain U.S.-related financial intermediaries, unless the certification described above has been received, and the payor does not have actual knowledge or reason to know that a holder is a U.S. person, as defined under the Code, who is not an exempt recipient, or the non-U.S. holder otherwise establishes an exemption.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a credit against a non-U.S. holder’s U.S. federal income tax liability, provided the required information is timely furnished to the IRS. The backup withholding and information reporting rules are complex, and non-U.S. holders are urged to consult their tax advisors regarding application of these rules to their particular circumstances.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30% withholding tax on payments of interest on the notes if paid to a foreign entity (including, in some cases, when such foreign entity is acting as an intermediary) unless (i) if the foreign entity is a “foreign financial institution,” the foreign entity undertakes certain due diligence, reporting, withholding, and certification obligations, (ii) if the foreign entity is a “non-financial foreign entity,” the foreign entity identifies certain of its U.S. investors or provides certification that it does not have any such investors, or (iii) the foreign entity is otherwise exempt from FATCA.</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While withholding under FATCA may also apply to gross proceeds from the sale or other disposition of the notes (including settlement of the notes at maturity), under proposed U.S. Treasury regulations, withholding on payments of gross proceeds is not required. Although such regulations are not final, applicable withholding agents may rely on the proposed regulations until final regulations are issued.</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An intergovernmental agreement between the United States and an applicable foreign country may modify those requirements. If withholding under FATCA is required on any payment related to the notes, investors not otherwise subject to withholding (or that otherwise would be entitled to a reduced rate of withholding) on such payment may be required to seek a refund or credit from the IRS to obtain the benefit of such exemption (or reduction). Prospective investors are encouraged to consult their own tax advisors regarding the possible implications of FATCA on their investment in the notes.</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0920"/>
          </w:cols>
          <w:pgMar w:left="440" w:top="270" w:right="5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BofA Securities, Inc., as representative for the underwriters for this offering of notes, have entered into an underwriting agreement, dated June 12, 2025, with respect to the notes. Under the terms and subject to the conditions contained in the underwriting agreement, we have agreed to sell to the underwriters named below, and each underwriter has severally agreed to purchase, at the initial public offering price less the underwriting discounts set forth on the cover page of this prospectus supplement, the aggregate principal amounts of the notes listed next to its name in the following table.</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7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4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2028 Notes</w:t>
            </w:r>
          </w:p>
        </w:tc>
        <w:tc>
          <w:tcPr>
            <w:tcW w:w="160" w:type="dxa"/>
            <w:vAlign w:val="bottom"/>
          </w:tcPr>
          <w:p>
            <w:pPr>
              <w:spacing w:after="0"/>
              <w:rPr>
                <w:sz w:val="15"/>
                <w:szCs w:val="15"/>
                <w:color w:val="auto"/>
              </w:rPr>
            </w:pPr>
          </w:p>
        </w:tc>
        <w:tc>
          <w:tcPr>
            <w:tcW w:w="10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2030 Notes</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80,750,000</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61,750,000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80,750,000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80,750,000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80,750,000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80,750,000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80,750,000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61,750,000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40,375,000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40,375,000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40,375,000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40,375,000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40,375,000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40,375,000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40,375,000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40,375,000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30,875,000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12,750,000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9,750,000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Roberts &amp; Ryan,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12,750,000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9,750,000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5,695,000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4,355,000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4,355,000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4,290,000</w:t>
            </w:r>
          </w:p>
        </w:tc>
        <w:tc>
          <w:tcPr>
            <w:tcW w:w="0" w:type="dxa"/>
            <w:vAlign w:val="bottom"/>
          </w:tcPr>
          <w:p>
            <w:pPr>
              <w:spacing w:after="0"/>
              <w:rPr>
                <w:sz w:val="1"/>
                <w:szCs w:val="1"/>
                <w:color w:val="auto"/>
              </w:rPr>
            </w:pPr>
          </w:p>
        </w:tc>
      </w:tr>
      <w:tr>
        <w:trPr>
          <w:trHeight w:val="223"/>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of the notes if they purchase any of the notes. The underwriting agreement also provides that if an underwriter defaults, the purchase commitments of non-defaulting underwriters may be increased or the offering of the notes may be terminated.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public offering price set forth on the cover of this prospectus supplement. Any notes sold by the underwriters to securities dealers may be sold at a discount from the public offering price of up to 0.250% of the principal amount of the 2028 Notes and up to 0.350% of the principal amount of the 2030 Notes. Any such securities dealers may resell the notes purchased from the underwriters to certain other brokers or dealers at a discount from the public offering price of up to 0.200% of the principal amount of the 2028 Notes and up to 0.250% of the principal amount of the 2030 Notes. After the initial public offering of the notes, the underwriters may change the public offering price and concession and discount to brokers or dealers. The offering of the notes by the underwriters is subject to receipt and acceptance and is subject to the underwriters’ right to reject any order in whole or in part.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out-of-pocket expenses for this offering, excluding the underwriting discounts, will be approximately $4.2 million.</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Certain of the underwriters have advised us that they may make a market in the notes after completion of the offering, but they will not be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0960"/>
          </w:cols>
          <w:pgMar w:left="440" w:top="266" w:right="499" w:bottom="1440" w:gutter="0" w:footer="0" w:header="0"/>
        </w:sectPr>
      </w:pPr>
    </w:p>
    <w:bookmarkStart w:id="30" w:name="page31"/>
    <w:bookmarkEnd w:id="30"/>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obligated to do so and may in their sole discretion discontinue any market-making activities at any time without notice. We cannot assure you that a liquid trading market will develop for either series of notes, that you will be able to sell your notes at a particular time or that the prices you receive when you sell your notes will be favorable.</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liabilities under the Securities Act or contribute to payments which the underwriters may be required to make in that respect.</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June 16, 2025, which will be the second business day following the date of this prospectus supplement (this settlement cycle being referred to as “T+2”). Under Rule 15c6-1 of the Exchange Act, trades in the secondary market are generally required to settle in one business day unless the parties to any such trade expressly agree otherwise. Accordingly, purchasers who wish to trade the notes prior to one business day before delivery of the notes will be required, by virtue of the fact that the notes initially will settle in T+2, to specify alternative settlement arrangements to prevent a failed settlement, and should consult their advisors.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Certain of the underwriters and their respective affiliates have, from time to time, performed, and may in the future perform, various financial advisory, commercial banking and investment banking services in the ordinary course of business for us and our affiliates, for which they received or will receive customary fees and expense reimbursement. Each of these parties has received or will receive customary fees in connection therewith.</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certain other of those underwriters are likely to hedge or otherwise reduce,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w:t>
      </w:r>
    </w:p>
    <w:p>
      <w:pPr>
        <w:spacing w:after="0" w:line="67"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notes in excess of the principal amount of the notes the underwriters are obligated to purchase, which creates a syndicate short position.</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notes in the open market after the distribution has been completed in order to cover syndicate short positions. A short position is more likely to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00"/>
          </w:cols>
          <w:pgMar w:left="440" w:top="270" w:right="459" w:bottom="1440" w:gutter="0" w:footer="0" w:header="0"/>
        </w:sectPr>
      </w:pPr>
    </w:p>
    <w:bookmarkStart w:id="31" w:name="page32"/>
    <w:bookmarkEnd w:id="31"/>
    <w:p>
      <w:pPr>
        <w:ind w:left="98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created if the underwriters are concerned that there may be downward pressure on the price of the notes in the open market after pricing that could adversely affect investors who purchase in the offering.</w:t>
      </w:r>
    </w:p>
    <w:p>
      <w:pPr>
        <w:spacing w:after="0" w:line="67" w:lineRule="exact"/>
        <w:rPr>
          <w:sz w:val="20"/>
          <w:szCs w:val="20"/>
          <w:color w:val="auto"/>
        </w:rPr>
      </w:pPr>
    </w:p>
    <w:p>
      <w:pPr>
        <w:ind w:left="964" w:right="420" w:hanging="424"/>
        <w:spacing w:after="0" w:line="282"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 to reclaim a selling concession from a syndicate member when the notes originally sold by the syndicate member are purchased in a stabilizing or syndicate covering transaction to cover syndicate short positions.</w:t>
      </w:r>
    </w:p>
    <w:p>
      <w:pPr>
        <w:spacing w:after="0" w:line="162"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by the underwriters in their sole discretion at any time and without notice.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Notice to Prospective ERISA Investors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Each purchaser of the notes that is (1) an employee benefit plan subject to Title I of the Employee Retirement Income Security Act of 1974, as amended (“ERISA”), (2) a plan or account subject to Section 4975 of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72" w:lineRule="exact"/>
        <w:rPr>
          <w:sz w:val="20"/>
          <w:szCs w:val="20"/>
          <w:color w:val="auto"/>
        </w:rPr>
      </w:pPr>
    </w:p>
    <w:p>
      <w:pPr>
        <w:jc w:val="both"/>
        <w:ind w:left="4" w:right="260" w:hanging="4"/>
        <w:spacing w:after="0" w:line="266"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bank, an insurance carrier, a registered investment adviser, a registered broker-dealer or an independent fiduciary with at least $50 million of assets under management or control as specified in 29 CFR Section 2510.3-21(c)(1)(i) (excluding an IRA owner or a relative of an IRA owner if the purchaser is an IRA);</w:t>
      </w:r>
    </w:p>
    <w:p>
      <w:pPr>
        <w:spacing w:after="0" w:line="175" w:lineRule="exact"/>
        <w:rPr>
          <w:rFonts w:ascii="Times New Roman" w:cs="Times New Roman" w:eastAsia="Times New Roman" w:hAnsi="Times New Roman"/>
          <w:sz w:val="18"/>
          <w:szCs w:val="18"/>
          <w:color w:val="auto"/>
        </w:rPr>
      </w:pPr>
    </w:p>
    <w:p>
      <w:pPr>
        <w:ind w:left="4" w:right="860" w:hanging="4"/>
        <w:spacing w:after="0" w:line="282"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 (for purposes of 29 CFR Section 2510.3-21(c)(1)) of Analog Devices, each underwriter and their respective affiliates (the “Transaction Parties”);</w:t>
      </w:r>
    </w:p>
    <w:p>
      <w:pPr>
        <w:spacing w:after="0" w:line="161" w:lineRule="exact"/>
        <w:rPr>
          <w:rFonts w:ascii="Times New Roman" w:cs="Times New Roman" w:eastAsia="Times New Roman" w:hAnsi="Times New Roman"/>
          <w:sz w:val="18"/>
          <w:szCs w:val="18"/>
          <w:color w:val="auto"/>
        </w:rPr>
      </w:pPr>
    </w:p>
    <w:p>
      <w:pPr>
        <w:ind w:left="4" w:right="640" w:hanging="4"/>
        <w:spacing w:after="0" w:line="282"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161" w:lineRule="exact"/>
        <w:rPr>
          <w:rFonts w:ascii="Times New Roman" w:cs="Times New Roman" w:eastAsia="Times New Roman" w:hAnsi="Times New Roman"/>
          <w:sz w:val="18"/>
          <w:szCs w:val="18"/>
          <w:color w:val="auto"/>
        </w:rPr>
      </w:pPr>
    </w:p>
    <w:p>
      <w:pPr>
        <w:ind w:left="4" w:right="160" w:hanging="4"/>
        <w:spacing w:after="0" w:line="282"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161" w:lineRule="exact"/>
        <w:rPr>
          <w:rFonts w:ascii="Times New Roman" w:cs="Times New Roman" w:eastAsia="Times New Roman" w:hAnsi="Times New Roman"/>
          <w:sz w:val="18"/>
          <w:szCs w:val="18"/>
          <w:color w:val="auto"/>
        </w:rPr>
      </w:pPr>
    </w:p>
    <w:p>
      <w:pPr>
        <w:ind w:left="4" w:right="220" w:hanging="4"/>
        <w:spacing w:after="0" w:line="282"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161" w:lineRule="exact"/>
        <w:rPr>
          <w:rFonts w:ascii="Times New Roman" w:cs="Times New Roman" w:eastAsia="Times New Roman" w:hAnsi="Times New Roman"/>
          <w:sz w:val="18"/>
          <w:szCs w:val="18"/>
          <w:color w:val="auto"/>
        </w:rPr>
      </w:pPr>
    </w:p>
    <w:p>
      <w:pPr>
        <w:ind w:left="4" w:right="100" w:hanging="4"/>
        <w:spacing w:after="0" w:line="256" w:lineRule="auto"/>
        <w:tabs>
          <w:tab w:leader="none" w:pos="2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and acknowledges the existence and nature of the underwriting discount,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 xml:space="preserve">The notes may be sold in Canada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0944"/>
          </w:cols>
          <w:pgMar w:left="436" w:top="270" w:right="519" w:bottom="1440" w:gutter="0" w:footer="0" w:header="0"/>
        </w:sectPr>
      </w:pPr>
    </w:p>
    <w:bookmarkStart w:id="32" w:name="page33"/>
    <w:bookmarkEnd w:id="32"/>
    <w:p>
      <w:pPr>
        <w:jc w:val="both"/>
        <w:ind w:right="2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applicable securities laws.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amendments to the foregoing)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w:t>
      </w:r>
    </w:p>
    <w:p>
      <w:pPr>
        <w:spacing w:after="0" w:line="67" w:lineRule="exact"/>
        <w:rPr>
          <w:sz w:val="20"/>
          <w:szCs w:val="20"/>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“MiFID II”);</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the “Prospectus Regulation”).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EEA selling restriction is in addition to any other selling restrictions set out in this prospectus supplement and the accompanying prospectus.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For these purposes, a “retail investor” means a person who is one (or more) of:</w:t>
      </w:r>
    </w:p>
    <w:p>
      <w:pPr>
        <w:spacing w:after="0" w:line="67" w:lineRule="exact"/>
        <w:rPr>
          <w:sz w:val="20"/>
          <w:szCs w:val="20"/>
          <w:color w:val="auto"/>
        </w:rPr>
      </w:pPr>
    </w:p>
    <w:p>
      <w:pPr>
        <w:ind w:left="960" w:right="260" w:hanging="532"/>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UK law by virtue of the European Union (Withdrawal) Act 2018 (“EUWA”);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0980"/>
          </w:cols>
          <w:pgMar w:left="440" w:top="268" w:right="479" w:bottom="1440" w:gutter="0" w:footer="0" w:header="0"/>
        </w:sectPr>
      </w:pPr>
    </w:p>
    <w:bookmarkStart w:id="33" w:name="page34"/>
    <w:bookmarkEnd w:id="33"/>
    <w:p>
      <w:pPr>
        <w:ind w:left="964" w:right="60" w:hanging="532"/>
        <w:spacing w:after="0" w:line="266"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UK law by virtue of the EUWA; or</w:t>
      </w:r>
    </w:p>
    <w:p>
      <w:pPr>
        <w:spacing w:after="0" w:line="81"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it forms part of UK law by virtue of the EUWA (the “UK Prospectus Regulation”).</w:t>
      </w:r>
    </w:p>
    <w:p>
      <w:pPr>
        <w:spacing w:after="0" w:line="162" w:lineRule="exact"/>
        <w:rPr>
          <w:sz w:val="20"/>
          <w:szCs w:val="20"/>
          <w:color w:val="auto"/>
        </w:rPr>
      </w:pPr>
    </w:p>
    <w:p>
      <w:pPr>
        <w:ind w:left="4" w:right="200"/>
        <w:spacing w:after="0" w:line="255"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 This prospectus supplement and the accompanying prospectus have been prepared on the basis that any offer of the notes in the United Kingdom will be made pursuant to an exemption under the FSMA and the UK Prospectus Regulation from the requirement to publish a prospectus for offers of the notes. Neither this prospectus supplement nor the accompanying prospectus is a prospectus for purposes of the FSMA and the UK Prospectus Regulation.</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United Kingdom, this prospectus supplement and the accompanying prospectus are for distribution only to, and are directed only at, persons who</w:t>
      </w:r>
    </w:p>
    <w:p>
      <w:pPr>
        <w:spacing w:after="0" w:line="27" w:lineRule="exact"/>
        <w:rPr>
          <w:sz w:val="20"/>
          <w:szCs w:val="20"/>
          <w:color w:val="auto"/>
        </w:rPr>
      </w:pPr>
    </w:p>
    <w:p>
      <w:pPr>
        <w:ind w:left="4" w:right="20" w:hanging="4"/>
        <w:spacing w:after="0" w:line="251" w:lineRule="auto"/>
        <w:tabs>
          <w:tab w:leader="none" w:pos="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professional experience in matters relating to investments falling within the meaning of Article 19(5) of the Financial Services and Markets Act 2000 (Financial Promotion) Order 2005 (as amended, the “Financial Promotion Order”), or (ii) are high net worth companies (or other persons to whom it may lawfully be communicated), falling within Article 49(2)(a) to (d) of the Financial Promotion Order, (all such persons together being referred to as “relevant persons”). This prospectus supplement and the accompanying prospectus are directed only at relevant persons and must not be acted on or relied on by persons who are not relevant persons. In the United Kingdom, the notes, or any investment or investment activity to which this prospectus supplement relates, are only available to, and any invitation, offer or agreement to subscribe, purchase or otherwise acquire the notes will be engaged in only with, relevant persons. Any person in the United Kingdom that is not a relevant person should not act or rely on this prospectus supplement or the accompanying prospectus or any of their contents.</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UK selling restriction is in addition to any other selling restrictions set out in this prospectus supplement and the accompanying prospectus.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4" w:hanging="4"/>
        <w:spacing w:after="0" w:line="270" w:lineRule="auto"/>
        <w:tabs>
          <w:tab w:leader="none" w:pos="21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Hong Kong or elsewhere, any advertisement, invitation or document relating to the notes, has been issued or is in the possession of any person for the purposes of issue, and will not be issues or come into the possession of any person for the purposes of issue,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87"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not been reviewed or approved by any regulatory authorities in Hong Kong, including the SFO and the Companies Registry of Hong Kong and neither has it been registered with the Registrar of Companies in Hong Kong. Accordingly, this prospectus supplement may not be issued, circulated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0984"/>
          </w:cols>
          <w:pgMar w:left="436" w:top="270" w:right="479" w:bottom="1440" w:gutter="0" w:footer="0" w:header="0"/>
        </w:sectPr>
      </w:pPr>
    </w:p>
    <w:bookmarkStart w:id="34" w:name="page35"/>
    <w:bookmarkEnd w:id="34"/>
    <w:p>
      <w:pPr>
        <w:ind w:right="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distributed (in whole or in part) in Hong Kong or be used for any purpose in Hong Kong, and the notes may not be offered for subscription to members of the public in Hong Kong. Each person acquiring the notes will be required, and is deemed by the acquisition of the notes, to confirm that such person is aware of the restriction on offers of the notes described in this prospectus supplement and the relevant offering documents and that such person is not acquiring, and has not been offered any notes in circumstances that contravene any such restrictions. You are advised to exercise caution in relation to the offer. If you are in any doubt about any of the contents of this prospectus supplement, you should obtain independent professional advice.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(Act No. 25 of 1948, as amended, the “FIEA”) and, accordingly, will not be offered or sold, directly or indirectly, in Japan or to, or for the benefit of, any Japanese Person or to others for re-offering or resale, directly or indirectly, in Japan or to, or for the benefit of, any Japanese Person, except pursuant to an exemption from the registration requirements of, and otherwise in compliance with, the FIEA and any other applicable laws, regulations and governmental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960" w:right="100" w:hanging="532"/>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 (1)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1" w:lineRule="exact"/>
        <w:rPr>
          <w:sz w:val="20"/>
          <w:szCs w:val="20"/>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00"/>
          </w:cols>
          <w:pgMar w:left="440" w:top="270" w:right="459" w:bottom="1440" w:gutter="0" w:footer="0" w:header="0"/>
        </w:sectPr>
      </w:pPr>
    </w:p>
    <w:bookmarkStart w:id="35" w:name="page36"/>
    <w:bookmarkEnd w:id="35"/>
    <w:p>
      <w:pPr>
        <w:ind w:left="960" w:right="740" w:hanging="532"/>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specified in Regulation 37A of the Securities and Futures (Offers of Investments) (Securities and Securities-based Derivatives Contracts) Regulations 2018.</w:t>
      </w:r>
    </w:p>
    <w:p>
      <w:pPr>
        <w:spacing w:after="0" w:line="16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i w:val="1"/>
          <w:iCs w:val="1"/>
          <w:color w:val="auto"/>
        </w:rPr>
        <w:t>Singapore SFA Product Classification</w:t>
      </w:r>
      <w:r>
        <w:rPr>
          <w:rFonts w:ascii="Times New Roman" w:cs="Times New Roman" w:eastAsia="Times New Roman" w:hAnsi="Times New Roman"/>
          <w:sz w:val="17"/>
          <w:szCs w:val="17"/>
          <w:color w:val="auto"/>
        </w:rPr>
        <w:t>: solely for the purposes of its obligations pursuant to sections 309B(1)(a) and 309B(1)(c) of the SFA, we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and hereby notified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in Switzerland.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 (“DIFC”)</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notes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0980"/>
          </w:cols>
          <w:pgMar w:left="440" w:top="270" w:right="479" w:bottom="1440" w:gutter="0" w:footer="0" w:header="0"/>
        </w:sectPr>
      </w:pPr>
    </w:p>
    <w:bookmarkStart w:id="36" w:name="page37"/>
    <w:bookmarkEnd w:id="36"/>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relation to its use in the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South Korea</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00"/>
          </w:cols>
          <w:pgMar w:left="440" w:top="270" w:right="4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MATTERS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notes will be passed upon for us by DLA Piper LLP (US). The underwriters have been represented by Cravath, Swaine &amp; Moore LLP.</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Analog Devices, Inc. appearing in Analog Devices, Inc.’s Annual Report (Form 10-K) for the year ended November 2, 2024 and the effectiveness of Analog Devices, Inc.’s internal control over financial reporting as of November 2,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http://www.analog.com</w:t>
      </w:r>
      <w:r>
        <w:rPr>
          <w:rFonts w:ascii="Times New Roman" w:cs="Times New Roman" w:eastAsia="Times New Roman" w:hAnsi="Times New Roman"/>
          <w:sz w:val="18"/>
          <w:szCs w:val="18"/>
          <w:color w:val="auto"/>
        </w:rPr>
        <w:t>. The information contained on, or that can be accessed through, our website is not a part of this prospectus supplement.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our website address in this prospectus supplement solely as an inactive textual reference.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0960"/>
          </w:cols>
          <w:pgMar w:left="440" w:top="266" w:right="49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and the accompanying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the SEC filings that we incorporate by reference to determine if any of the statements in this prospectus or in any document previously incorporated by reference have been modified or superseded. This prospectus supplement incorporates by reference the documents listed below (File No. 001-07819) and any future filings that we make with the SEC under Sections 13(a), 13(c), 14 or 15(d) of the Exchange Act, until the offering of the notes is terminated or completed:</w:t>
      </w:r>
    </w:p>
    <w:p>
      <w:pPr>
        <w:spacing w:after="0" w:line="97" w:lineRule="exact"/>
        <w:rPr>
          <w:sz w:val="20"/>
          <w:szCs w:val="20"/>
          <w:color w:val="auto"/>
        </w:rPr>
      </w:pPr>
    </w:p>
    <w:p>
      <w:pPr>
        <w:jc w:val="both"/>
        <w:ind w:left="960" w:hanging="424"/>
        <w:spacing w:after="0" w:line="266" w:lineRule="auto"/>
        <w:tabs>
          <w:tab w:leader="none" w:pos="960" w:val="left"/>
        </w:tabs>
        <w:numPr>
          <w:ilvl w:val="0"/>
          <w:numId w:val="3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w:t>
      </w:r>
      <w:hyperlink r:id="rId5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November 2, 2024, as filed with the SEC on November 26, 2024, including the </w:t>
      </w:r>
      <w:hyperlink r:id="rId52">
        <w:r>
          <w:rPr>
            <w:rFonts w:ascii="Times New Roman" w:cs="Times New Roman" w:eastAsia="Times New Roman" w:hAnsi="Times New Roman"/>
            <w:sz w:val="18"/>
            <w:szCs w:val="18"/>
            <w:color w:val="auto"/>
          </w:rPr>
          <w:t xml:space="preserve">information specifically incorporated by reference into the Annual Report on Form 10-K from our Definitive Proxy Statement on </w:t>
        </w:r>
        <w:r>
          <w:rPr>
            <w:rFonts w:ascii="Times New Roman" w:cs="Times New Roman" w:eastAsia="Times New Roman" w:hAnsi="Times New Roman"/>
            <w:sz w:val="18"/>
            <w:szCs w:val="18"/>
            <w:u w:val="single" w:color="auto"/>
            <w:color w:val="0000EE"/>
          </w:rPr>
          <w:t>Schedule</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14A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our 2025 Annual Meeting of Stockholders, as filed with the SEC on January 27, 2025;</w:t>
        </w:r>
      </w:hyperlink>
    </w:p>
    <w:p>
      <w:pPr>
        <w:spacing w:after="0" w:line="81" w:lineRule="exact"/>
        <w:rPr>
          <w:rFonts w:ascii="Times New Roman" w:cs="Times New Roman" w:eastAsia="Times New Roman" w:hAnsi="Times New Roman"/>
          <w:sz w:val="18"/>
          <w:szCs w:val="18"/>
          <w:color w:val="0000EE"/>
        </w:rPr>
      </w:pPr>
    </w:p>
    <w:p>
      <w:pPr>
        <w:ind w:left="960" w:right="18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 ended </w:t>
      </w:r>
      <w:hyperlink r:id="rId53">
        <w:r>
          <w:rPr>
            <w:rFonts w:ascii="Times New Roman" w:cs="Times New Roman" w:eastAsia="Times New Roman" w:hAnsi="Times New Roman"/>
            <w:sz w:val="18"/>
            <w:szCs w:val="18"/>
            <w:u w:val="single" w:color="auto"/>
            <w:color w:val="0000EE"/>
          </w:rPr>
          <w:t>February 1, 2025</w:t>
        </w:r>
      </w:hyperlink>
      <w:r>
        <w:rPr>
          <w:rFonts w:ascii="Times New Roman" w:cs="Times New Roman" w:eastAsia="Times New Roman" w:hAnsi="Times New Roman"/>
          <w:sz w:val="18"/>
          <w:szCs w:val="18"/>
          <w:color w:val="auto"/>
        </w:rPr>
        <w:t xml:space="preserve">, as filed with the SEC on February 19, 2025, and for the fiscal quarter ended </w:t>
      </w:r>
      <w:hyperlink r:id="rId54">
        <w:r>
          <w:rPr>
            <w:rFonts w:ascii="Times New Roman" w:cs="Times New Roman" w:eastAsia="Times New Roman" w:hAnsi="Times New Roman"/>
            <w:sz w:val="18"/>
            <w:szCs w:val="18"/>
            <w:u w:val="single" w:color="auto"/>
            <w:color w:val="0000EE"/>
          </w:rPr>
          <w:t>May 3, 2025</w:t>
        </w:r>
      </w:hyperlink>
      <w:r>
        <w:rPr>
          <w:rFonts w:ascii="Times New Roman" w:cs="Times New Roman" w:eastAsia="Times New Roman" w:hAnsi="Times New Roman"/>
          <w:sz w:val="18"/>
          <w:szCs w:val="18"/>
          <w:color w:val="auto"/>
        </w:rPr>
        <w:t>, as filed with the SEC on May 22, 2025;</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as filed with the SEC on </w:t>
      </w:r>
      <w:hyperlink r:id="rId55">
        <w:r>
          <w:rPr>
            <w:rFonts w:ascii="Times New Roman" w:cs="Times New Roman" w:eastAsia="Times New Roman" w:hAnsi="Times New Roman"/>
            <w:sz w:val="18"/>
            <w:szCs w:val="18"/>
            <w:u w:val="single" w:color="auto"/>
            <w:color w:val="0000EE"/>
          </w:rPr>
          <w:t>November 20,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5.02 only), </w:t>
      </w:r>
      <w:hyperlink r:id="rId56">
        <w:r>
          <w:rPr>
            <w:rFonts w:ascii="Times New Roman" w:cs="Times New Roman" w:eastAsia="Times New Roman" w:hAnsi="Times New Roman"/>
            <w:sz w:val="18"/>
            <w:szCs w:val="18"/>
            <w:u w:val="single" w:color="auto"/>
            <w:color w:val="0000EE"/>
          </w:rPr>
          <w:t>January 13, 2025</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February 19, 2025</w:t>
        </w:r>
      </w:hyperlink>
      <w:r>
        <w:rPr>
          <w:rFonts w:ascii="Times New Roman" w:cs="Times New Roman" w:eastAsia="Times New Roman" w:hAnsi="Times New Roman"/>
          <w:sz w:val="18"/>
          <w:szCs w:val="18"/>
          <w:color w:val="auto"/>
        </w:rPr>
        <w:t xml:space="preserve"> (Item 8.01 and Exhibit 99.2 of Item 9.01 only), </w:t>
      </w:r>
      <w:hyperlink r:id="rId58">
        <w:r>
          <w:rPr>
            <w:rFonts w:ascii="Times New Roman" w:cs="Times New Roman" w:eastAsia="Times New Roman" w:hAnsi="Times New Roman"/>
            <w:sz w:val="18"/>
            <w:szCs w:val="18"/>
            <w:u w:val="single" w:color="auto"/>
            <w:color w:val="0000EE"/>
          </w:rPr>
          <w:t>March 13, 2025</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April 11, 2025</w:t>
        </w:r>
      </w:hyperlink>
      <w:r>
        <w:rPr>
          <w:rFonts w:ascii="Times New Roman" w:cs="Times New Roman" w:eastAsia="Times New Roman" w:hAnsi="Times New Roman"/>
          <w:sz w:val="18"/>
          <w:szCs w:val="18"/>
          <w:color w:val="auto"/>
        </w:rPr>
        <w:t xml:space="preserve">, and </w:t>
      </w:r>
      <w:hyperlink r:id="rId60">
        <w:r>
          <w:rPr>
            <w:rFonts w:ascii="Times New Roman" w:cs="Times New Roman" w:eastAsia="Times New Roman" w:hAnsi="Times New Roman"/>
            <w:sz w:val="18"/>
            <w:szCs w:val="18"/>
            <w:u w:val="single" w:color="auto"/>
            <w:color w:val="0000EE"/>
          </w:rPr>
          <w:t>May 27, 2025</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(781) 461-3282</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0980"/>
          </w:cols>
          <w:pgMar w:left="440" w:top="266"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173990</wp:posOffset>
            </wp:positionV>
            <wp:extent cx="2451735" cy="702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245173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3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from time to time offer to sell the debt securities described in this prospectus. The debt securities will be senior unsecured obligations and will rank equally with all of our other senior unsecured indebtedness.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One Analog Way, Wilmington, Massachusetts 01887, and our telephone number is 781-935-5565.</w:t>
      </w:r>
    </w:p>
    <w:p>
      <w:pPr>
        <w:spacing w:after="0" w:line="21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debt securities involves certain risks. See the information included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on page 5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debt securities.</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21, 2024.</w:t>
      </w:r>
    </w:p>
    <w:p>
      <w:pPr>
        <w:sectPr>
          <w:pgSz w:w="11900" w:h="16838" w:orient="portrait"/>
          <w:cols w:equalWidth="0" w:num="1">
            <w:col w:w="10980"/>
          </w:cols>
          <w:pgMar w:left="440" w:top="266" w:right="4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8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41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9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60" w:type="dxa"/>
            <w:vAlign w:val="bottom"/>
            <w:gridSpan w:val="3"/>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2900" w:type="dxa"/>
            <w:vAlign w:val="bottom"/>
            <w:gridSpan w:val="10"/>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600" w:type="dxa"/>
            <w:vAlign w:val="bottom"/>
            <w:gridSpan w:val="8"/>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160" w:type="dxa"/>
            <w:vAlign w:val="bottom"/>
            <w:gridSpan w:val="2"/>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2140" w:type="dxa"/>
            <w:vAlign w:val="bottom"/>
            <w:gridSpan w:val="6"/>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PROSPECTUS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w:t>
      </w:r>
    </w:p>
    <w:p>
      <w:pPr>
        <w:spacing w:after="0" w:line="17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this prospectus or such accompanying prospectus supplement or an offer to sell or the solicitation of an offer to buy such debt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terms “the Company,” “Analog Devices,” “we,” “our,” “ours” and “us” refer to Analog Devices, Inc. and its subsidiaries on a consolidated basis, unless the context otherwise requires.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0"/>
          </w:cols>
          <w:pgMar w:left="440" w:top="266" w:right="4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MORE INFORMATION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https://www.analog.com</w:t>
      </w:r>
      <w:r>
        <w:rPr>
          <w:rFonts w:ascii="Times New Roman" w:cs="Times New Roman" w:eastAsia="Times New Roman" w:hAnsi="Times New Roman"/>
          <w:sz w:val="18"/>
          <w:szCs w:val="18"/>
          <w:color w:val="auto"/>
        </w:rPr>
        <w:t>. The information contained on, or that can be accessed through, our website is not a part of this prospectus and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We have included our website address in this prospectus solely as an inactive textual reference.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66" w:right="47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960" w:hanging="424"/>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October 28, 2023, as filed with the SEC on November 21, 2023, including the information specifically incorporated by reference into the Annual Report on Form 10-K from our </w:t>
      </w:r>
      <w:hyperlink r:id="rId68">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2024 Annual Meeting of Stockholders, as filed with the SEC on January 19, 2024;</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February 3, 2024, as filed with the SEC on February 21,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May 4, 2024, as filed with the SEC on May 22,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August 3, 2024, as filed with the SEC on August 21, 2024; and</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3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as filed with the SEC on </w:t>
      </w:r>
      <w:hyperlink r:id="rId72">
        <w:r>
          <w:rPr>
            <w:rFonts w:ascii="Times New Roman" w:cs="Times New Roman" w:eastAsia="Times New Roman" w:hAnsi="Times New Roman"/>
            <w:sz w:val="18"/>
            <w:szCs w:val="18"/>
            <w:u w:val="single" w:color="auto"/>
            <w:color w:val="0000EE"/>
          </w:rPr>
          <w:t>December 7, 2023</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January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5.02 only), </w:t>
      </w:r>
      <w:hyperlink r:id="rId75">
        <w:r>
          <w:rPr>
            <w:rFonts w:ascii="Times New Roman" w:cs="Times New Roman" w:eastAsia="Times New Roman" w:hAnsi="Times New Roman"/>
            <w:sz w:val="18"/>
            <w:szCs w:val="18"/>
            <w:u w:val="single" w:color="auto"/>
            <w:color w:val="0000EE"/>
          </w:rPr>
          <w:t>February 21,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8.01 only),</w:t>
      </w:r>
      <w:r>
        <w:rPr>
          <w:rFonts w:ascii="Times New Roman" w:cs="Times New Roman" w:eastAsia="Times New Roman" w:hAnsi="Times New Roman"/>
          <w:sz w:val="18"/>
          <w:szCs w:val="18"/>
          <w:color w:val="0000EE"/>
        </w:rPr>
        <w:t xml:space="preserve"> </w:t>
      </w:r>
      <w:hyperlink r:id="rId76">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and April 3, 2024</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(781) 461-3282</w:t>
      </w:r>
    </w:p>
    <w:p>
      <w:pPr>
        <w:spacing w:after="0" w:line="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66" w:right="4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forward-looking statements regarding future events and our future results that are subject to the safe harbor created under the Private Securities Litigation Reform Act of 1995 and other safe harbors under the Securities Act of 1933, as amended, or the Securities Act, and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expected cost savings; the effect of new accounting pronouncements; our plans to integrate or realize the benefits or synergies expected of acquired businesses and technologies; our Global Repositioning Actions and Q4 2023 Plan (each as described in our Annual Report on Form 10-K for the fiscal year ended October 28, 2023 and our Quarterly Report on Form 10-Q for the quarter ended February 3, 2024); and other characterizations of future events or circumstances are forward-looking statements. Our actual results could differ materially from those anticipated in these forward-looking statements as a result of various factors.</w:t>
      </w:r>
    </w:p>
    <w:p>
      <w:pPr>
        <w:spacing w:after="0" w:line="19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and unanticipated difficulties or expenditures relating to integrating Maxim Integrated Products, Inc.</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 on Form 10-Q for the quarter ended August 3, 2024 and our Current Reports on Form 8-K.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prospectus, except to the extent required by law.</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0"/>
          </w:cols>
          <w:pgMar w:left="440" w:top="266" w:right="4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Investing in our debt securities involves risk. You should carefully consider the risks and uncertainties described in the accompanying prospectus supplement, as well as all of the risk factors contained in our filings with the SEC that are incorporated by reference in this prospectus, including the risk factors in our Annual Report on Form 10-K for the fiscal year ended October 28, 2023, before making an investment decision pursuant to this prospectus and any accompanying prospectus supplement relating to a specific offering.</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66" w:right="45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 We serve approximately 125,000 customers worldwide with more than 75,000 products in the industrial, automotive, communications, and consumer markets.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were incorporated in Massachusetts in 1965. Our headquarters is near Boston, in Wilmington, Massachusetts. In addition, we have manufacturing facilities primarily in the United States, Ireland and Southeast Asia. Our common stock is listed on The Nasdaq Global Select Market under the symbol ADI and is included in the Standard &amp; Poor’s 500 Index.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One Analog Way, Wilmington, Massachusetts 01887, and our telephone number is (781) 935-5565.</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40"/>
          </w:cols>
          <w:pgMar w:left="440" w:top="266" w:right="519" w:bottom="1440" w:gutter="0" w:footer="0" w:header="0"/>
        </w:sectPr>
      </w:pPr>
    </w:p>
    <w:bookmarkStart w:id="47" w:name="page48"/>
    <w:bookmarkEnd w:id="4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and/or refinancing of debt, working capital, capital expenditures, repurchases of our common stock under our stock repurchase program and dividend payments. We have not determined the amount of net proceeds to be used specifically for such purposes. As a result, management will retain broad discretion over the allocation of the net proceeds of any offering.</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40"/>
          </w:cols>
          <w:pgMar w:left="440" w:top="266" w:right="519" w:bottom="1440" w:gutter="0" w:footer="0" w:header="0"/>
        </w:sectPr>
      </w:pPr>
    </w:p>
    <w:bookmarkStart w:id="48" w:name="page49"/>
    <w:bookmarkEnd w:id="4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DEBT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in a supplement to this prospectus, the debt securities will be our direct, unsecured obligations and will rank equally with all of our other unsecured and unsubordinated indebtedness.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When we refer to “the Company,” “we,” “our” and “us” in this section, we mean Analog Devices, Inc. excluding, unless the context otherwise requires or as otherwise expressly stated,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pay the principal on the debt securities;</w:t>
      </w:r>
    </w:p>
    <w:p>
      <w:pPr>
        <w:spacing w:after="0" w:line="225"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premium and any interest on the debt securities will be payable;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20"/>
          </w:cols>
          <w:pgMar w:left="440" w:top="266" w:right="539" w:bottom="1440" w:gutter="0" w:footer="0" w:header="0"/>
        </w:sectPr>
      </w:pPr>
    </w:p>
    <w:bookmarkStart w:id="49" w:name="page50"/>
    <w:bookmarkEnd w:id="49"/>
    <w:p>
      <w:pPr>
        <w:ind w:right="20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right="520" w:firstLine="436"/>
        <w:spacing w:after="0" w:line="282" w:lineRule="auto"/>
        <w:tabs>
          <w:tab w:leader="none" w:pos="7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any interest on the debt securities will be made;</w:t>
      </w:r>
    </w:p>
    <w:p>
      <w:pPr>
        <w:spacing w:after="0" w:line="161" w:lineRule="exact"/>
        <w:rPr>
          <w:rFonts w:ascii="Times New Roman" w:cs="Times New Roman" w:eastAsia="Times New Roman" w:hAnsi="Times New Roman"/>
          <w:sz w:val="18"/>
          <w:szCs w:val="18"/>
          <w:color w:val="auto"/>
        </w:rPr>
      </w:pPr>
    </w:p>
    <w:p>
      <w:pPr>
        <w:ind w:right="20" w:firstLine="436"/>
        <w:spacing w:after="0" w:line="312" w:lineRule="auto"/>
        <w:tabs>
          <w:tab w:leader="none" w:pos="78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premium or any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39" w:lineRule="exact"/>
        <w:rPr>
          <w:rFonts w:ascii="Times New Roman" w:cs="Times New Roman" w:eastAsia="Times New Roman" w:hAnsi="Times New Roman"/>
          <w:sz w:val="17"/>
          <w:szCs w:val="17"/>
          <w:color w:val="auto"/>
        </w:rPr>
      </w:pPr>
    </w:p>
    <w:p>
      <w:pPr>
        <w:ind w:right="200" w:firstLine="436"/>
        <w:spacing w:after="0" w:line="266" w:lineRule="auto"/>
        <w:tabs>
          <w:tab w:leader="none" w:pos="7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or any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7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on a securities exchange;</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if any is established for such debt securities;</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and</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7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 if other than those appointed in the indenture.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“Forms of Securities” in this prospectus for a description of transfer and exchange.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Protection in the Event of a Change of Control</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right="60" w:firstLine="436"/>
        <w:spacing w:after="0" w:line="26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w:t>
      </w:r>
    </w:p>
    <w:p>
      <w:pPr>
        <w:spacing w:after="0" w:line="175"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above, any subsidiary of ours may consolidate with, merge into or transfer all or part of its properties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means with respect to any series of debt securities, any of the following unless otherwise provided in the resolutions, officers’ certificate or supplemental indenture establishing such series:</w:t>
      </w:r>
    </w:p>
    <w:p>
      <w:pPr>
        <w:spacing w:after="0" w:line="160" w:lineRule="exact"/>
        <w:rPr>
          <w:sz w:val="20"/>
          <w:szCs w:val="20"/>
          <w:color w:val="auto"/>
        </w:rPr>
      </w:pPr>
    </w:p>
    <w:p>
      <w:pPr>
        <w:ind w:right="20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that default for a period of 30 days;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that series when due and payable;</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and</w:t>
      </w:r>
    </w:p>
    <w:p>
      <w:pPr>
        <w:spacing w:after="0" w:line="225"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accompanying this prospectus.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66" w:right="459" w:bottom="1440" w:gutter="0" w:footer="0" w:header="0"/>
        </w:sectPr>
      </w:pPr>
    </w:p>
    <w:bookmarkStart w:id="51" w:name="page52"/>
    <w:bookmarkEnd w:id="51"/>
    <w:p>
      <w:pPr>
        <w:ind w:right="6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w:t>
      </w:r>
    </w:p>
    <w:p>
      <w:pPr>
        <w:spacing w:after="0" w:line="18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indenture provides that the trustee will be under no obligation to exercise any of its rights or powers under the indenture unless the trustee receives security or indemnity satisfactory to it against any cost,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20"/>
          </w:cols>
          <w:pgMar w:left="440" w:top="270" w:right="439" w:bottom="1440" w:gutter="0" w:footer="0" w:header="0"/>
        </w:sectPr>
      </w:pPr>
    </w:p>
    <w:bookmarkStart w:id="52" w:name="page53"/>
    <w:bookmarkEnd w:id="52"/>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with respect to debt securities of that series if it in good faith determines that withholding notice is in the interest of the holders of those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of one or more series without the consent of the holders of the outstanding debt securities under the indenture:</w:t>
      </w:r>
    </w:p>
    <w:p>
      <w:pPr>
        <w:spacing w:after="0" w:line="162" w:lineRule="exact"/>
        <w:rPr>
          <w:sz w:val="20"/>
          <w:szCs w:val="20"/>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supplemental indenture as contemplated by Article V of the indenture;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 under the indenture;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under the indenture as permitted thereunder;</w:t>
      </w:r>
    </w:p>
    <w:p>
      <w:pPr>
        <w:spacing w:after="0" w:line="225"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In addition, we and the trustee may enter into a supplemental indenture as to all other matters with the written consent of the holders of at least a majority in principal amount of the outstanding debt securities of each series affected by such supplemental indenture, provided however that we may not make any modification or amendment without the consent of the holders of each affected debt security then outstanding if that amendment will:</w:t>
      </w:r>
    </w:p>
    <w:p>
      <w:pPr>
        <w:spacing w:after="0" w:line="158" w:lineRule="exact"/>
        <w:rPr>
          <w:sz w:val="20"/>
          <w:szCs w:val="20"/>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25"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any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 or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0940"/>
          </w:cols>
          <w:pgMar w:left="440" w:top="270" w:right="519" w:bottom="1440" w:gutter="0" w:footer="0" w:header="0"/>
        </w:sectPr>
      </w:pPr>
    </w:p>
    <w:bookmarkStart w:id="53" w:name="page54"/>
    <w:bookmarkEnd w:id="53"/>
    <w:p>
      <w:pPr>
        <w:ind w:right="200" w:firstLine="436"/>
        <w:spacing w:after="0" w:line="266"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ind w:right="40" w:firstLine="436"/>
        <w:spacing w:after="0" w:line="26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20"/>
          </w:cols>
          <w:pgMar w:left="440" w:top="270" w:right="439" w:bottom="1440" w:gutter="0" w:footer="0" w:header="0"/>
        </w:sectPr>
      </w:pPr>
    </w:p>
    <w:bookmarkStart w:id="54" w:name="page55"/>
    <w:bookmarkEnd w:id="54"/>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76" w:lineRule="exact"/>
        <w:rPr>
          <w:sz w:val="20"/>
          <w:szCs w:val="20"/>
          <w:color w:val="auto"/>
        </w:rPr>
      </w:pPr>
    </w:p>
    <w:p>
      <w:pPr>
        <w:ind w:right="100" w:firstLine="436"/>
        <w:spacing w:after="0" w:line="261"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Covenant Defeasance and Events of Default</w:t>
      </w:r>
      <w:r>
        <w:rPr>
          <w:rFonts w:ascii="Times New Roman" w:cs="Times New Roman" w:eastAsia="Times New Roman" w:hAnsi="Times New Roman"/>
          <w:sz w:val="18"/>
          <w:szCs w:val="18"/>
          <w:color w:val="auto"/>
        </w:rPr>
        <w:t>. In the event we exercise our option to effect covenant defeasance with respect to any series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debt securities of any series that are denominated in a currency other than U.S. Dollars:</w:t>
      </w:r>
    </w:p>
    <w:p>
      <w:pPr>
        <w:spacing w:after="0" w:line="227" w:lineRule="exact"/>
        <w:rPr>
          <w:sz w:val="20"/>
          <w:szCs w:val="20"/>
          <w:color w:val="auto"/>
        </w:rPr>
      </w:pPr>
    </w:p>
    <w:p>
      <w:pPr>
        <w:ind w:right="320" w:firstLine="436"/>
        <w:spacing w:after="0" w:line="282"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1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Prior to Maturity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the right at any time to satisfy and discharge its obligations, other than certain specified obligations, under all debt securities issued pursuant to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000"/>
          </w:cols>
          <w:pgMar w:left="440" w:top="270" w:right="45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0960"/>
          </w:cols>
          <w:pgMar w:left="440" w:top="270" w:right="49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FORMS OF SECURITIES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Each debt security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0980"/>
          </w:cols>
          <w:pgMar w:left="440" w:top="266" w:right="479" w:bottom="1440" w:gutter="0" w:footer="0" w:header="0"/>
        </w:sectPr>
      </w:pPr>
    </w:p>
    <w:bookmarkStart w:id="57" w:name="page58"/>
    <w:bookmarkEnd w:id="57"/>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or other relevant agent of ours or theirs. It is expected that the depositary’s instructions will be based on directions received by the depositary from participants with respect to ownership of beneficial interests in the global security that had been held by the depositary.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000"/>
          </w:cols>
          <w:pgMar w:left="440" w:top="270" w:right="4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debt securities:</w:t>
      </w:r>
    </w:p>
    <w:p>
      <w:pPr>
        <w:spacing w:after="0" w:line="225" w:lineRule="exact"/>
        <w:rPr>
          <w:sz w:val="20"/>
          <w:szCs w:val="20"/>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This prospectus may be used in connection with any offering of our debt securities through any of these methods or other methods described in the applicable prospectus supplement.</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the debt securities may be effected from time to time in one or more transactions:</w:t>
      </w:r>
    </w:p>
    <w:p>
      <w:pPr>
        <w:spacing w:after="0" w:line="225" w:lineRule="exact"/>
        <w:rPr>
          <w:sz w:val="20"/>
          <w:szCs w:val="20"/>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debt securities and any applicable restrictions.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debt securities of a particular series will describe the terms of the offering of the debt securities, including the following:</w:t>
      </w:r>
    </w:p>
    <w:p>
      <w:pPr>
        <w:spacing w:after="0" w:line="162" w:lineRule="exact"/>
        <w:rPr>
          <w:sz w:val="20"/>
          <w:szCs w:val="20"/>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debt securities;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debt securities will be listed.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000"/>
          </w:cols>
          <w:pgMar w:left="440" w:top="266" w:right="459" w:bottom="1440" w:gutter="0" w:footer="0" w:header="0"/>
        </w:sectPr>
      </w:pPr>
    </w:p>
    <w:bookmarkStart w:id="59" w:name="page60"/>
    <w:bookmarkEnd w:id="59"/>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73" w:lineRule="exact"/>
        <w:rPr>
          <w:sz w:val="20"/>
          <w:szCs w:val="20"/>
          <w:color w:val="auto"/>
        </w:rPr>
      </w:pPr>
    </w:p>
    <w:p>
      <w:pPr>
        <w:ind w:firstLine="436"/>
        <w:spacing w:after="0" w:line="282"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debt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w:t>
      </w:r>
    </w:p>
    <w:p>
      <w:pPr>
        <w:spacing w:after="0" w:line="18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0940"/>
          </w:cols>
          <w:pgMar w:left="440" w:top="270" w:right="519" w:bottom="1440" w:gutter="0" w:footer="0" w:header="0"/>
        </w:sectPr>
      </w:pPr>
    </w:p>
    <w:bookmarkStart w:id="60" w:name="page61"/>
    <w:bookmarkEnd w:id="6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000"/>
          </w:cols>
          <w:pgMar w:left="440" w:top="270" w:right="45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debt securities in respect of which this prospectus is being delivered will be passed upon by Wilmer Cutler Pickering Hale and Dorr LLP.</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Analog Devices, Inc. appearing in Analog Devices, Inc.’s Annual Report (Form 10-K) for the year ended October 28, 2023, and the effectiveness of Analog Devices, Inc.’s internal control over financial reporting as of October 28,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0960"/>
          </w:cols>
          <w:pgMar w:left="440" w:top="266" w:right="499" w:bottom="1440" w:gutter="0" w:footer="0" w:header="0"/>
        </w:sectPr>
      </w:pPr>
    </w:p>
    <w:bookmarkStart w:id="62" w:name="page63"/>
    <w:bookmarkEnd w:id="62"/>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1586865</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344170</wp:posOffset>
            </wp:positionV>
            <wp:extent cx="2486025" cy="7029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248602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5"/>
          <w:szCs w:val="25"/>
          <w:b w:val="1"/>
          <w:bCs w:val="1"/>
          <w:color w:val="auto"/>
        </w:rPr>
        <w:t>$850,000,000 4.250% Senior Notes Due 2028</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5"/>
          <w:szCs w:val="25"/>
          <w:b w:val="1"/>
          <w:bCs w:val="1"/>
          <w:color w:val="auto"/>
        </w:rPr>
        <w:t>$650,000,000 4.500%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ectPr>
          <w:pgSz w:w="11900" w:h="16838" w:orient="portrait"/>
          <w:cols w:equalWidth="0" w:num="1">
            <w:col w:w="10820"/>
          </w:cols>
          <w:pgMar w:left="440" w:top="1033" w:right="639" w:bottom="144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BofA Securities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Barclays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BNP PARIBAS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J.P. Morgan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Morgan Stanley</w:t>
      </w:r>
    </w:p>
    <w:p>
      <w:pPr>
        <w:spacing w:after="0" w:line="43" w:lineRule="exact"/>
        <w:rPr>
          <w:sz w:val="20"/>
          <w:szCs w:val="20"/>
          <w:color w:val="auto"/>
        </w:rPr>
      </w:pPr>
    </w:p>
    <w:p>
      <w:pPr>
        <w:sectPr>
          <w:pgSz w:w="11900" w:h="16838" w:orient="portrait"/>
          <w:cols w:equalWidth="0" w:num="6">
            <w:col w:w="1860" w:space="720"/>
            <w:col w:w="720" w:space="700"/>
            <w:col w:w="1300" w:space="700"/>
            <w:col w:w="820" w:space="660"/>
            <w:col w:w="1080" w:space="720"/>
            <w:col w:w="1540"/>
          </w:cols>
          <w:pgMar w:left="440" w:top="1033" w:right="6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(Global Coordinator)</w:t>
      </w:r>
    </w:p>
    <w:p>
      <w:pPr>
        <w:spacing w:after="0" w:line="1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i w:val="1"/>
          <w:iCs w:val="1"/>
          <w:color w:val="auto"/>
        </w:rPr>
        <w:t>Co-Managers</w:t>
      </w:r>
    </w:p>
    <w:p>
      <w:pPr>
        <w:sectPr>
          <w:pgSz w:w="11900" w:h="16838" w:orient="portrait"/>
          <w:cols w:equalWidth="0" w:num="1">
            <w:col w:w="10820"/>
          </w:cols>
          <w:pgMar w:left="440" w:top="1033" w:right="639" w:bottom="1440" w:gutter="0" w:footer="0" w:header="0"/>
          <w:type w:val="continuous"/>
        </w:sectPr>
      </w:pPr>
    </w:p>
    <w:p>
      <w:pPr>
        <w:spacing w:after="0" w:line="262" w:lineRule="exact"/>
        <w:rPr>
          <w:sz w:val="20"/>
          <w:szCs w:val="20"/>
          <w:color w:val="auto"/>
        </w:rPr>
      </w:pPr>
    </w:p>
    <w:p>
      <w:pPr>
        <w:ind w:left="160" w:hanging="170"/>
        <w:spacing w:after="0" w:line="442" w:lineRule="auto"/>
        <w:rPr>
          <w:sz w:val="20"/>
          <w:szCs w:val="20"/>
          <w:color w:val="auto"/>
        </w:rPr>
      </w:pPr>
      <w:r>
        <w:rPr>
          <w:rFonts w:ascii="Times New Roman" w:cs="Times New Roman" w:eastAsia="Times New Roman" w:hAnsi="Times New Roman"/>
          <w:sz w:val="16"/>
          <w:szCs w:val="16"/>
          <w:b w:val="1"/>
          <w:bCs w:val="1"/>
          <w:color w:val="auto"/>
        </w:rPr>
        <w:t>BMO Capital Markets   TD Securities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HSBC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Wells Fargo</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Securities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firstLine="148"/>
        <w:spacing w:after="0" w:line="442" w:lineRule="auto"/>
        <w:rPr>
          <w:sz w:val="20"/>
          <w:szCs w:val="20"/>
          <w:color w:val="auto"/>
        </w:rPr>
      </w:pPr>
      <w:r>
        <w:rPr>
          <w:rFonts w:ascii="Times New Roman" w:cs="Times New Roman" w:eastAsia="Times New Roman" w:hAnsi="Times New Roman"/>
          <w:sz w:val="16"/>
          <w:szCs w:val="16"/>
          <w:b w:val="1"/>
          <w:bCs w:val="1"/>
          <w:color w:val="auto"/>
        </w:rPr>
        <w:t>Mizuho MUFG Academy Securities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PNC Capital Markets LLC</w:t>
      </w:r>
    </w:p>
    <w:p>
      <w:pPr>
        <w:spacing w:after="0" w:line="12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6"/>
          <w:szCs w:val="16"/>
          <w:b w:val="1"/>
          <w:bCs w:val="1"/>
          <w:color w:val="auto"/>
        </w:rPr>
        <w:t>Roberts &amp; Ryan</w:t>
      </w:r>
      <w:r>
        <w:rPr>
          <w:sz w:val="20"/>
          <w:szCs w:val="20"/>
          <w:color w:val="auto"/>
        </w:rPr>
        <w:tab/>
      </w:r>
      <w:r>
        <w:rPr>
          <w:rFonts w:ascii="Times New Roman" w:cs="Times New Roman" w:eastAsia="Times New Roman" w:hAnsi="Times New Roman"/>
          <w:sz w:val="16"/>
          <w:szCs w:val="16"/>
          <w:b w:val="1"/>
          <w:bCs w:val="1"/>
          <w:color w:val="auto"/>
        </w:rPr>
        <w:t>R. Seelaus &amp; Co., LLC</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SMBC Nikko</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Siebert Williams</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Shank</w:t>
      </w:r>
    </w:p>
    <w:p>
      <w:pPr>
        <w:spacing w:after="0" w:line="130" w:lineRule="exact"/>
        <w:rPr>
          <w:sz w:val="20"/>
          <w:szCs w:val="20"/>
          <w:color w:val="auto"/>
        </w:rPr>
      </w:pPr>
    </w:p>
    <w:p>
      <w:pPr>
        <w:sectPr>
          <w:pgSz w:w="11900" w:h="16838" w:orient="portrait"/>
          <w:cols w:equalWidth="0" w:num="5">
            <w:col w:w="1560" w:space="200"/>
            <w:col w:w="1340" w:space="520"/>
            <w:col w:w="1860" w:space="240"/>
            <w:col w:w="3340" w:space="200"/>
            <w:col w:w="1560"/>
          </w:cols>
          <w:pgMar w:left="440" w:top="1033" w:right="63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Drexel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518795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579120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820"/>
          </w:cols>
          <w:pgMar w:left="440" w:top="1033" w:right="639" w:bottom="1440" w:gutter="0" w:footer="0" w:header="0"/>
          <w:type w:val="continuous"/>
        </w:sectPr>
      </w:pPr>
    </w:p>
    <w:bookmarkStart w:id="63" w:name="page64"/>
    <w:bookmarkEnd w:id="63"/>
    <w:p>
      <w:pPr>
        <w:ind w:left="10164"/>
        <w:spacing w:after="0"/>
        <w:rPr>
          <w:sz w:val="20"/>
          <w:szCs w:val="20"/>
          <w:color w:val="auto"/>
        </w:rPr>
      </w:pPr>
      <w:r>
        <w:rPr>
          <w:rFonts w:ascii="Times New Roman" w:cs="Times New Roman" w:eastAsia="Times New Roman" w:hAnsi="Times New Roman"/>
          <w:sz w:val="18"/>
          <w:szCs w:val="18"/>
          <w:color w:val="auto"/>
        </w:rPr>
        <w:t>Exhibit 107</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424(b)(2)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61"/>
        </w:trPr>
        <w:tc>
          <w:tcPr>
            <w:tcW w:w="1020" w:type="dxa"/>
            <w:vAlign w:val="bottom"/>
            <w:tcBorders>
              <w:top w:val="single" w:sz="8" w:color="auto"/>
              <w:left w:val="single" w:sz="8" w:color="auto"/>
              <w:right w:val="single" w:sz="8" w:color="auto"/>
            </w:tcBorders>
          </w:tcPr>
          <w:p>
            <w:pPr>
              <w:spacing w:after="0"/>
              <w:rPr>
                <w:sz w:val="22"/>
                <w:szCs w:val="22"/>
                <w:color w:val="auto"/>
              </w:rPr>
            </w:pPr>
          </w:p>
        </w:tc>
        <w:tc>
          <w:tcPr>
            <w:tcW w:w="640" w:type="dxa"/>
            <w:vAlign w:val="bottom"/>
            <w:tcBorders>
              <w:top w:val="single" w:sz="8" w:color="auto"/>
              <w:right w:val="single" w:sz="8" w:color="auto"/>
            </w:tcBorders>
          </w:tcPr>
          <w:p>
            <w:pPr>
              <w:spacing w:after="0"/>
              <w:rPr>
                <w:sz w:val="22"/>
                <w:szCs w:val="22"/>
                <w:color w:val="auto"/>
              </w:rPr>
            </w:pPr>
          </w:p>
        </w:tc>
        <w:tc>
          <w:tcPr>
            <w:tcW w:w="94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80" w:type="dxa"/>
            <w:vAlign w:val="bottom"/>
            <w:tcBorders>
              <w:top w:val="single" w:sz="8" w:color="auto"/>
              <w:right w:val="single" w:sz="8" w:color="auto"/>
            </w:tcBorders>
          </w:tcPr>
          <w:p>
            <w:pPr>
              <w:spacing w:after="0"/>
              <w:rPr>
                <w:sz w:val="22"/>
                <w:szCs w:val="22"/>
                <w:color w:val="auto"/>
              </w:rPr>
            </w:pPr>
          </w:p>
        </w:tc>
        <w:tc>
          <w:tcPr>
            <w:tcW w:w="900" w:type="dxa"/>
            <w:vAlign w:val="bottom"/>
            <w:tcBorders>
              <w:top w:val="single" w:sz="8" w:color="auto"/>
              <w:right w:val="single" w:sz="8" w:color="auto"/>
            </w:tcBorders>
          </w:tcPr>
          <w:p>
            <w:pPr>
              <w:spacing w:after="0"/>
              <w:rPr>
                <w:sz w:val="22"/>
                <w:szCs w:val="22"/>
                <w:color w:val="auto"/>
              </w:rPr>
            </w:pPr>
          </w:p>
        </w:tc>
        <w:tc>
          <w:tcPr>
            <w:tcW w:w="840" w:type="dxa"/>
            <w:vAlign w:val="bottom"/>
            <w:tcBorders>
              <w:top w:val="single" w:sz="8" w:color="auto"/>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78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tcPr>
          <w:p>
            <w:pPr>
              <w:spacing w:after="0"/>
              <w:rPr>
                <w:sz w:val="22"/>
                <w:szCs w:val="22"/>
                <w:color w:val="auto"/>
              </w:rPr>
            </w:pPr>
          </w:p>
        </w:tc>
        <w:tc>
          <w:tcPr>
            <w:tcW w:w="680" w:type="dxa"/>
            <w:vAlign w:val="bottom"/>
            <w:tcBorders>
              <w:top w:val="single" w:sz="8" w:color="auto"/>
              <w:right w:val="single" w:sz="8" w:color="auto"/>
            </w:tcBorders>
          </w:tcPr>
          <w:p>
            <w:pPr>
              <w:spacing w:after="0"/>
              <w:rPr>
                <w:sz w:val="22"/>
                <w:szCs w:val="22"/>
                <w:color w:val="auto"/>
              </w:rPr>
            </w:pPr>
          </w:p>
        </w:tc>
        <w:tc>
          <w:tcPr>
            <w:tcW w:w="700" w:type="dxa"/>
            <w:vAlign w:val="bottom"/>
            <w:tcBorders>
              <w:top w:val="single" w:sz="8" w:color="auto"/>
              <w:right w:val="single" w:sz="8" w:color="auto"/>
            </w:tcBorders>
          </w:tcPr>
          <w:p>
            <w:pPr>
              <w:spacing w:after="0"/>
              <w:rPr>
                <w:sz w:val="22"/>
                <w:szCs w:val="22"/>
                <w:color w:val="auto"/>
              </w:rPr>
            </w:pPr>
          </w:p>
        </w:tc>
        <w:tc>
          <w:tcPr>
            <w:tcW w:w="74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 Connection</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58"/>
        </w:trPr>
        <w:tc>
          <w:tcPr>
            <w:tcW w:w="1020" w:type="dxa"/>
            <w:vAlign w:val="bottom"/>
            <w:tcBorders>
              <w:left w:val="single" w:sz="8" w:color="auto"/>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60" w:type="dxa"/>
            <w:vAlign w:val="bottom"/>
          </w:tcPr>
          <w:p>
            <w:pPr>
              <w:jc w:val="center"/>
              <w:ind w:left="48"/>
              <w:spacing w:after="0" w:line="158" w:lineRule="exact"/>
              <w:rPr>
                <w:sz w:val="20"/>
                <w:szCs w:val="20"/>
                <w:color w:val="auto"/>
              </w:rPr>
            </w:pPr>
            <w:r>
              <w:rPr>
                <w:rFonts w:ascii="Times New Roman" w:cs="Times New Roman" w:eastAsia="Times New Roman" w:hAnsi="Times New Roman"/>
                <w:sz w:val="14"/>
                <w:szCs w:val="14"/>
                <w:color w:val="auto"/>
              </w:rPr>
              <w:t>Fee</w:t>
            </w:r>
          </w:p>
        </w:tc>
        <w:tc>
          <w:tcPr>
            <w:tcW w:w="1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4"/>
                <w:szCs w:val="14"/>
                <w:color w:val="auto"/>
                <w:w w:val="99"/>
              </w:rPr>
              <w:t>Proposed</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6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Carry</w:t>
            </w:r>
          </w:p>
        </w:tc>
        <w:tc>
          <w:tcPr>
            <w:tcW w:w="9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Unsold</w:t>
            </w: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840" w:type="dxa"/>
            <w:vAlign w:val="bottom"/>
            <w:tcBorders>
              <w:right w:val="single" w:sz="8" w:color="auto"/>
            </w:tcBorders>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 Calculation</w:t>
            </w: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0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 Forward</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940" w:type="dxa"/>
            <w:vAlign w:val="bottom"/>
            <w:tcBorders>
              <w:right w:val="single" w:sz="8" w:color="auto"/>
            </w:tcBorders>
            <w:vMerge w:val="continue"/>
          </w:tcPr>
          <w:p>
            <w:pPr>
              <w:spacing w:after="0"/>
              <w:rPr>
                <w:sz w:val="12"/>
                <w:szCs w:val="12"/>
                <w:color w:val="auto"/>
              </w:rPr>
            </w:pPr>
          </w:p>
        </w:tc>
        <w:tc>
          <w:tcPr>
            <w:tcW w:w="6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or Carry</w:t>
            </w: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60" w:type="dxa"/>
            <w:vAlign w:val="bottom"/>
          </w:tcPr>
          <w:p>
            <w:pPr>
              <w:spacing w:after="0"/>
              <w:rPr>
                <w:sz w:val="12"/>
                <w:szCs w:val="12"/>
                <w:color w:val="auto"/>
              </w:rPr>
            </w:pPr>
          </w:p>
        </w:tc>
        <w:tc>
          <w:tcPr>
            <w:tcW w:w="7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Fee</w:t>
            </w:r>
          </w:p>
        </w:tc>
        <w:tc>
          <w:tcPr>
            <w:tcW w:w="9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 Forward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 Forward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Initial</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be</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Class</w:t>
            </w:r>
          </w:p>
        </w:tc>
        <w:tc>
          <w:tcPr>
            <w:tcW w:w="6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6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Form</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File</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 Effective</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Carried</w:t>
            </w:r>
          </w:p>
        </w:tc>
        <w:tc>
          <w:tcPr>
            <w:tcW w:w="0" w:type="dxa"/>
            <w:vAlign w:val="bottom"/>
          </w:tcPr>
          <w:p>
            <w:pPr>
              <w:spacing w:after="0"/>
              <w:rPr>
                <w:sz w:val="1"/>
                <w:szCs w:val="1"/>
                <w:color w:val="auto"/>
              </w:rPr>
            </w:pPr>
          </w:p>
        </w:tc>
      </w:tr>
      <w:tr>
        <w:trPr>
          <w:trHeight w:val="198"/>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66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w w:val="98"/>
              </w:rPr>
              <w:t>Rule</w:t>
            </w:r>
          </w:p>
        </w:tc>
        <w:tc>
          <w:tcPr>
            <w:tcW w:w="1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Registered</w:t>
            </w:r>
          </w:p>
        </w:tc>
        <w:tc>
          <w:tcPr>
            <w:tcW w:w="8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6"/>
              </w:rPr>
              <w:t>Unit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w:t>
            </w:r>
            <w:r>
              <w:rPr>
                <w:rFonts w:ascii="Times New Roman" w:cs="Times New Roman" w:eastAsia="Times New Roman" w:hAnsi="Times New Roman"/>
                <w:sz w:val="8"/>
                <w:szCs w:val="8"/>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255"/>
        </w:trPr>
        <w:tc>
          <w:tcPr>
            <w:tcW w:w="1020" w:type="dxa"/>
            <w:vAlign w:val="bottom"/>
            <w:tcBorders>
              <w:left w:val="single" w:sz="8" w:color="auto"/>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center"/>
              <w:ind w:right="268"/>
              <w:spacing w:after="0"/>
              <w:rPr>
                <w:sz w:val="20"/>
                <w:szCs w:val="20"/>
                <w:color w:val="auto"/>
              </w:rPr>
            </w:pPr>
            <w:r>
              <w:rPr>
                <w:rFonts w:ascii="Times New Roman" w:cs="Times New Roman" w:eastAsia="Times New Roman" w:hAnsi="Times New Roman"/>
                <w:sz w:val="14"/>
                <w:szCs w:val="14"/>
                <w:color w:val="auto"/>
              </w:rPr>
              <w:t>Newly Registered Securities</w:t>
            </w:r>
          </w:p>
        </w:tc>
        <w:tc>
          <w:tcPr>
            <w:tcW w:w="9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right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Fees to Be</w:t>
            </w:r>
          </w:p>
        </w:tc>
        <w:tc>
          <w:tcPr>
            <w:tcW w:w="6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4.250%</w:t>
            </w: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020" w:type="dxa"/>
            <w:vAlign w:val="bottom"/>
            <w:tcBorders>
              <w:left w:val="single" w:sz="8" w:color="auto"/>
              <w:right w:val="single" w:sz="8" w:color="auto"/>
            </w:tcBorders>
            <w:vMerge w:val="continue"/>
          </w:tcPr>
          <w:p>
            <w:pPr>
              <w:spacing w:after="0"/>
              <w:rPr>
                <w:sz w:val="12"/>
                <w:szCs w:val="12"/>
                <w:color w:val="auto"/>
              </w:rPr>
            </w:pPr>
          </w:p>
        </w:tc>
        <w:tc>
          <w:tcPr>
            <w:tcW w:w="6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Debt</w:t>
            </w:r>
          </w:p>
        </w:tc>
        <w:tc>
          <w:tcPr>
            <w:tcW w:w="9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Senior Notes</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457(r)</w:t>
            </w: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$ 850,000,000</w:t>
            </w:r>
          </w:p>
        </w:tc>
        <w:tc>
          <w:tcPr>
            <w:tcW w:w="8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99.892%</w:t>
            </w:r>
          </w:p>
        </w:tc>
        <w:tc>
          <w:tcPr>
            <w:tcW w:w="106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$849,082,000</w:t>
            </w:r>
          </w:p>
        </w:tc>
        <w:tc>
          <w:tcPr>
            <w:tcW w:w="60" w:type="dxa"/>
            <w:vAlign w:val="bottom"/>
          </w:tcPr>
          <w:p>
            <w:pPr>
              <w:spacing w:after="0"/>
              <w:rPr>
                <w:sz w:val="12"/>
                <w:szCs w:val="12"/>
                <w:color w:val="auto"/>
              </w:rPr>
            </w:pP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0.00015310</w:t>
            </w: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$129,994.45</w:t>
            </w: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640" w:type="dxa"/>
            <w:vAlign w:val="bottom"/>
            <w:tcBorders>
              <w:bottom w:val="single" w:sz="8" w:color="auto"/>
              <w:right w:val="single" w:sz="8" w:color="auto"/>
            </w:tcBorders>
            <w:vMerge w:val="continue"/>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2028</w:t>
            </w: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vMerge w:val="continue"/>
          </w:tcPr>
          <w:p>
            <w:pPr>
              <w:spacing w:after="0"/>
              <w:rPr>
                <w:sz w:val="15"/>
                <w:szCs w:val="15"/>
                <w:color w:val="auto"/>
              </w:rPr>
            </w:pPr>
          </w:p>
        </w:tc>
        <w:tc>
          <w:tcPr>
            <w:tcW w:w="840" w:type="dxa"/>
            <w:vAlign w:val="bottom"/>
            <w:tcBorders>
              <w:bottom w:val="single" w:sz="8" w:color="auto"/>
              <w:right w:val="single" w:sz="8" w:color="auto"/>
            </w:tcBorders>
            <w:vMerge w:val="continue"/>
          </w:tcPr>
          <w:p>
            <w:pPr>
              <w:spacing w:after="0"/>
              <w:rPr>
                <w:sz w:val="15"/>
                <w:szCs w:val="15"/>
                <w:color w:val="auto"/>
              </w:rPr>
            </w:pPr>
          </w:p>
        </w:tc>
        <w:tc>
          <w:tcPr>
            <w:tcW w:w="1060" w:type="dxa"/>
            <w:vAlign w:val="bottom"/>
            <w:tcBorders>
              <w:bottom w:val="single" w:sz="8" w:color="auto"/>
              <w:right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vMerge w:val="continue"/>
          </w:tcPr>
          <w:p>
            <w:pPr>
              <w:spacing w:after="0"/>
              <w:rPr>
                <w:sz w:val="15"/>
                <w:szCs w:val="15"/>
                <w:color w:val="auto"/>
              </w:rPr>
            </w:pP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right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Fees to Be</w:t>
            </w:r>
          </w:p>
        </w:tc>
        <w:tc>
          <w:tcPr>
            <w:tcW w:w="6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4.500%</w:t>
            </w: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020" w:type="dxa"/>
            <w:vAlign w:val="bottom"/>
            <w:tcBorders>
              <w:left w:val="single" w:sz="8" w:color="auto"/>
              <w:right w:val="single" w:sz="8" w:color="auto"/>
            </w:tcBorders>
            <w:vMerge w:val="continue"/>
          </w:tcPr>
          <w:p>
            <w:pPr>
              <w:spacing w:after="0"/>
              <w:rPr>
                <w:sz w:val="12"/>
                <w:szCs w:val="12"/>
                <w:color w:val="auto"/>
              </w:rPr>
            </w:pPr>
          </w:p>
        </w:tc>
        <w:tc>
          <w:tcPr>
            <w:tcW w:w="6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Debt</w:t>
            </w:r>
          </w:p>
        </w:tc>
        <w:tc>
          <w:tcPr>
            <w:tcW w:w="9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Senior Notes</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457(r)</w:t>
            </w: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$ 650,000,000</w:t>
            </w:r>
          </w:p>
        </w:tc>
        <w:tc>
          <w:tcPr>
            <w:tcW w:w="8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99.912%</w:t>
            </w:r>
          </w:p>
        </w:tc>
        <w:tc>
          <w:tcPr>
            <w:tcW w:w="106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$649,428,000</w:t>
            </w:r>
          </w:p>
        </w:tc>
        <w:tc>
          <w:tcPr>
            <w:tcW w:w="60" w:type="dxa"/>
            <w:vAlign w:val="bottom"/>
          </w:tcPr>
          <w:p>
            <w:pPr>
              <w:spacing w:after="0"/>
              <w:rPr>
                <w:sz w:val="12"/>
                <w:szCs w:val="12"/>
                <w:color w:val="auto"/>
              </w:rPr>
            </w:pP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0.00015310</w:t>
            </w: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$99,427.43</w:t>
            </w: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640" w:type="dxa"/>
            <w:vAlign w:val="bottom"/>
            <w:tcBorders>
              <w:bottom w:val="single" w:sz="8" w:color="auto"/>
              <w:right w:val="single" w:sz="8" w:color="auto"/>
            </w:tcBorders>
            <w:vMerge w:val="continue"/>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2030</w:t>
            </w: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vMerge w:val="continue"/>
          </w:tcPr>
          <w:p>
            <w:pPr>
              <w:spacing w:after="0"/>
              <w:rPr>
                <w:sz w:val="15"/>
                <w:szCs w:val="15"/>
                <w:color w:val="auto"/>
              </w:rPr>
            </w:pPr>
          </w:p>
        </w:tc>
        <w:tc>
          <w:tcPr>
            <w:tcW w:w="840" w:type="dxa"/>
            <w:vAlign w:val="bottom"/>
            <w:tcBorders>
              <w:bottom w:val="single" w:sz="8" w:color="auto"/>
              <w:right w:val="single" w:sz="8" w:color="auto"/>
            </w:tcBorders>
            <w:vMerge w:val="continue"/>
          </w:tcPr>
          <w:p>
            <w:pPr>
              <w:spacing w:after="0"/>
              <w:rPr>
                <w:sz w:val="15"/>
                <w:szCs w:val="15"/>
                <w:color w:val="auto"/>
              </w:rPr>
            </w:pPr>
          </w:p>
        </w:tc>
        <w:tc>
          <w:tcPr>
            <w:tcW w:w="1060" w:type="dxa"/>
            <w:vAlign w:val="bottom"/>
            <w:tcBorders>
              <w:bottom w:val="single" w:sz="8" w:color="auto"/>
              <w:right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vMerge w:val="continue"/>
          </w:tcPr>
          <w:p>
            <w:pPr>
              <w:spacing w:after="0"/>
              <w:rPr>
                <w:sz w:val="15"/>
                <w:szCs w:val="15"/>
                <w:color w:val="auto"/>
              </w:rPr>
            </w:pP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Fees</w:t>
            </w:r>
          </w:p>
        </w:tc>
        <w:tc>
          <w:tcPr>
            <w:tcW w:w="6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6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6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368"/>
              <w:spacing w:after="0"/>
              <w:rPr>
                <w:sz w:val="20"/>
                <w:szCs w:val="20"/>
                <w:color w:val="auto"/>
              </w:rPr>
            </w:pPr>
            <w:r>
              <w:rPr>
                <w:rFonts w:ascii="Times New Roman" w:cs="Times New Roman" w:eastAsia="Times New Roman" w:hAnsi="Times New Roman"/>
                <w:sz w:val="14"/>
                <w:szCs w:val="14"/>
                <w:color w:val="auto"/>
              </w:rPr>
              <w:t>Carry Forward Securities</w:t>
            </w:r>
          </w:p>
        </w:tc>
        <w:tc>
          <w:tcPr>
            <w:tcW w:w="7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Carry</w:t>
            </w:r>
          </w:p>
        </w:tc>
        <w:tc>
          <w:tcPr>
            <w:tcW w:w="6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6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2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 xml:space="preserve">Securities   </w:t>
            </w:r>
          </w:p>
        </w:tc>
        <w:tc>
          <w:tcPr>
            <w:tcW w:w="6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Total Offering Amounts</w:t>
            </w:r>
          </w:p>
        </w:tc>
        <w:tc>
          <w:tcPr>
            <w:tcW w:w="8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$1,498,510,000</w:t>
            </w: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$229,421.88</w:t>
            </w:r>
          </w:p>
        </w:tc>
        <w:tc>
          <w:tcPr>
            <w:tcW w:w="6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8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Total Fee Offsets</w:t>
            </w:r>
          </w:p>
        </w:tc>
        <w:tc>
          <w:tcPr>
            <w:tcW w:w="8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Net Fee Due</w:t>
            </w:r>
          </w:p>
        </w:tc>
        <w:tc>
          <w:tcPr>
            <w:tcW w:w="8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$229,421.88</w:t>
            </w:r>
          </w:p>
        </w:tc>
        <w:tc>
          <w:tcPr>
            <w:tcW w:w="6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right="60" w:hanging="424"/>
        <w:spacing w:after="0" w:line="236" w:lineRule="auto"/>
        <w:tabs>
          <w:tab w:leader="none" w:pos="42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under the Securities Act of 1933, as amended (the “Securities Act”), Analog Devices, Inc. (the “Company”) deferred payment of registration fees for the Registration Statement on Form S-3 (File No. 333-281670), filed with the Securities and Exchange Commission (the “Commission”) on August 21, 2024. This filing fee exhibit is in connection with a final prospectus supplement (the “prospectus supplement”) dated June 12, 2025, filed by the Company with the Commission pursuant to Rule 424(b) of the Securities Act for the related offering.</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lowerRoman"/>
      <w:start w:val="10"/>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lowerLetter"/>
      <w:start w:val="7"/>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Roman"/>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lowerRoman"/>
      <w:start w:val="1"/>
    </w:lvl>
  </w:abstractNum>
  <w:abstractNum w:abstractNumId="28">
    <w:nsid w:val="3855585C"/>
    <w:multiLevelType w:val="hybridMultilevel"/>
    <w:lvl w:ilvl="0">
      <w:lvlJc w:val="left"/>
      <w:lvlText w:val="(%1)"/>
      <w:numFmt w:val="lowerRoman"/>
      <w:start w:val="1"/>
    </w:lvl>
  </w:abstractNum>
  <w:abstractNum w:abstractNumId="29">
    <w:nsid w:val="70A64E2A"/>
    <w:multiLevelType w:val="hybridMultilevel"/>
    <w:lvl w:ilvl="0">
      <w:lvlJc w:val="left"/>
      <w:lvlText w:val="(%1)"/>
      <w:numFmt w:val="lowerRoman"/>
      <w:start w:val="2"/>
    </w:lvl>
  </w:abstractNum>
  <w:abstractNum w:abstractNumId="30">
    <w:nsid w:val="6A2342EC"/>
    <w:multiLevelType w:val="hybridMultilevel"/>
    <w:lvl w:ilvl="0">
      <w:lvlJc w:val="left"/>
      <w:lvlText w:val="(%1)"/>
      <w:numFmt w:val="lowerRoman"/>
      <w:start w:val="1"/>
    </w:lvl>
  </w:abstractNum>
  <w:abstractNum w:abstractNumId="31">
    <w:nsid w:val="2A487CB0"/>
    <w:multiLevelType w:val="hybridMultilevel"/>
    <w:lvl w:ilvl="0">
      <w:lvlJc w:val="left"/>
      <w:lvlText w:val="(%1)"/>
      <w:numFmt w:val="lowerRoman"/>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5"/>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9"/>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7"/>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2"/>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jpe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jpe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51" Type="http://schemas.openxmlformats.org/officeDocument/2006/relationships/hyperlink" Target="http://www.sec.gov/ix?doc=/Archives/edgar/data/0000006281/000000628124000204/adi-20241102.htm" TargetMode="External"/><Relationship Id="rId52" Type="http://schemas.openxmlformats.org/officeDocument/2006/relationships/hyperlink" Target="http://www.sec.gov/ix?doc=/Archives/edgar/data/0000006281/000000628125000016/adi-20250123.htm" TargetMode="External"/><Relationship Id="rId53" Type="http://schemas.openxmlformats.org/officeDocument/2006/relationships/hyperlink" Target="http://www.sec.gov/ix?doc=/Archives/edgar/data/0000006281/000000628125000023/adi-20250201.htm" TargetMode="External"/><Relationship Id="rId54" Type="http://schemas.openxmlformats.org/officeDocument/2006/relationships/hyperlink" Target="http://www.sec.gov/ix?doc=/Archives/edgar/data/0000006281/000000628125000125/adi-20250503.htm" TargetMode="External"/><Relationship Id="rId55" Type="http://schemas.openxmlformats.org/officeDocument/2006/relationships/hyperlink" Target="http://www.sec.gov/ix?doc=/Archives/edgar/data/0000006281/000119312524262529/d803633d8k.htm" TargetMode="External"/><Relationship Id="rId56" Type="http://schemas.openxmlformats.org/officeDocument/2006/relationships/hyperlink" Target="http://www.sec.gov/ix?doc=/Archives/edgar/data/0000006281/000119312525005302/d909821d8k.htm" TargetMode="External"/><Relationship Id="rId57" Type="http://schemas.openxmlformats.org/officeDocument/2006/relationships/hyperlink" Target="http://www.sec.gov/ix?doc=/Archives/edgar/data/0000006281/000000628125000022/adi-20250218.htm" TargetMode="External"/><Relationship Id="rId58" Type="http://schemas.openxmlformats.org/officeDocument/2006/relationships/hyperlink" Target="http://www.sec.gov/ix?doc=/Archives/edgar/data/0000006281/000000628125000050/adi-20250312.htm" TargetMode="External"/><Relationship Id="rId59" Type="http://schemas.openxmlformats.org/officeDocument/2006/relationships/hyperlink" Target="http://www.sec.gov/ix?doc=/Archives/edgar/data/0000006281/000119312525079081/d920343d8k.htm" TargetMode="External"/><Relationship Id="rId60" Type="http://schemas.openxmlformats.org/officeDocument/2006/relationships/hyperlink" Target="http://www.sec.gov/ix?doc=/Archives/edgar/data/0000006281/000119312525127564/d33944d8k.htm" TargetMode="External"/><Relationship Id="rId67" Type="http://schemas.openxmlformats.org/officeDocument/2006/relationships/hyperlink" Target="http://www.sec.gov/ix?doc=/Archives/edgar/data/0000006281/000000628123000203/adi-20231028.htm" TargetMode="External"/><Relationship Id="rId68" Type="http://schemas.openxmlformats.org/officeDocument/2006/relationships/hyperlink" Target="http://www.sec.gov/ix?doc=/Archives/edgar/data/0000006281/000000628124000014/adi-20240118.htm" TargetMode="External"/><Relationship Id="rId69" Type="http://schemas.openxmlformats.org/officeDocument/2006/relationships/hyperlink" Target="http://www.sec.gov/ix?doc=/Archives/edgar/data/0000006281/000000628124000034/adi-20240203.htm" TargetMode="External"/><Relationship Id="rId70" Type="http://schemas.openxmlformats.org/officeDocument/2006/relationships/hyperlink" Target="http://www.sec.gov/ix?doc=/Archives/edgar/data/6281/000000628124000132/adi-20240504.htm" TargetMode="External"/><Relationship Id="rId71" Type="http://schemas.openxmlformats.org/officeDocument/2006/relationships/hyperlink" Target="http://www.sec.gov/ix?doc=/Archives/edgar/data/6281/000000628124000159/adi-20240803.htm" TargetMode="External"/><Relationship Id="rId72" Type="http://schemas.openxmlformats.org/officeDocument/2006/relationships/hyperlink" Target="http://www.sec.gov/ix?doc=/Archives/edgar/data/0000006281/000000628123000209/adi-20231205.htm" TargetMode="External"/><Relationship Id="rId73" Type="http://schemas.openxmlformats.org/officeDocument/2006/relationships/hyperlink" Target="http://www.sec.gov/ix?doc=/Archives/edgar/data/0000006281/000000628124000012/adi-20240116.htm" TargetMode="External"/><Relationship Id="rId74" Type="http://schemas.openxmlformats.org/officeDocument/2006/relationships/hyperlink" Target="http://www.sec.gov/ix?doc=/Archives/edgar/data/0000006281/000000628124000019/adi-20240124.htm" TargetMode="External"/><Relationship Id="rId75" Type="http://schemas.openxmlformats.org/officeDocument/2006/relationships/hyperlink" Target="http://www.sec.gov/ix?doc=/Archives/edgar/data/0000006281/000000628124000032/adi-20240220.htm" TargetMode="External"/><Relationship Id="rId76" Type="http://schemas.openxmlformats.org/officeDocument/2006/relationships/hyperlink" Target="http://www.sec.gov/ix?doc=/Archives/edgar/data/0000006281/000000628124000071/adi-20240313.htm" TargetMode="External"/><Relationship Id="rId77" Type="http://schemas.openxmlformats.org/officeDocument/2006/relationships/hyperlink" Target="http://www.sec.gov/ix?doc=/Archives/edgar/data/0000006281/000119312524085997/d78655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2025-06-13T16:21:16Z</dcterms:created>
  <dcterms:modified xsi:type="dcterms:W3CDTF">2025-06-13T16:21:16Z</dcterms:modified>
</cp:coreProperties>
</file>