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As filed with the Securities and Exchange Commission on September 21, 2015</w:t>
      </w:r>
    </w:p>
    <w:p>
      <w:pPr>
        <w:spacing w:after="0" w:line="6" w:lineRule="exact"/>
        <w:rPr>
          <w:sz w:val="24"/>
          <w:szCs w:val="24"/>
          <w:color w:val="auto"/>
        </w:rPr>
      </w:pPr>
    </w:p>
    <w:p>
      <w:pPr>
        <w:ind w:left="9580"/>
        <w:spacing w:after="0"/>
        <w:rPr>
          <w:sz w:val="20"/>
          <w:szCs w:val="20"/>
          <w:color w:val="auto"/>
        </w:rPr>
      </w:pPr>
      <w:r>
        <w:rPr>
          <w:rFonts w:ascii="Arial" w:cs="Arial" w:eastAsia="Arial" w:hAnsi="Arial"/>
          <w:sz w:val="15"/>
          <w:szCs w:val="15"/>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103505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7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S-3</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REGISTRATION STATEMENT</w:t>
      </w:r>
    </w:p>
    <w:p>
      <w:pPr>
        <w:jc w:val="center"/>
        <w:spacing w:after="0"/>
        <w:rPr>
          <w:sz w:val="20"/>
          <w:szCs w:val="20"/>
          <w:color w:val="auto"/>
        </w:rPr>
      </w:pPr>
      <w:r>
        <w:rPr>
          <w:rFonts w:ascii="Arial" w:cs="Arial" w:eastAsia="Arial" w:hAnsi="Arial"/>
          <w:sz w:val="16"/>
          <w:szCs w:val="16"/>
          <w:b w:val="1"/>
          <w:bCs w:val="1"/>
          <w:i w:val="1"/>
          <w:iCs w:val="1"/>
          <w:color w:val="auto"/>
        </w:rPr>
        <w:t>UNDER</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6"/>
          <w:szCs w:val="16"/>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84455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ANALOG DEVICES, INC.</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88265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1" w:lineRule="exact"/>
        <w:rPr>
          <w:sz w:val="24"/>
          <w:szCs w:val="24"/>
          <w:color w:val="auto"/>
        </w:rPr>
      </w:pPr>
    </w:p>
    <w:tbl>
      <w:tblPr>
        <w:tblLayout w:type="fixed"/>
        <w:tblInd w:w="1880" w:type="dxa"/>
        <w:tblCellMar>
          <w:top w:w="0" w:type="dxa"/>
          <w:left w:w="0" w:type="dxa"/>
          <w:bottom w:w="0" w:type="dxa"/>
          <w:right w:w="0" w:type="dxa"/>
        </w:tblCellMar>
      </w:tblPr>
      <w:tr>
        <w:trPr>
          <w:trHeight w:val="172"/>
        </w:trPr>
        <w:tc>
          <w:tcPr>
            <w:tcW w:w="3980" w:type="dxa"/>
            <w:vAlign w:val="bottom"/>
          </w:tcPr>
          <w:p>
            <w:pPr>
              <w:jc w:val="center"/>
              <w:ind w:right="2047"/>
              <w:spacing w:after="0"/>
              <w:rPr>
                <w:sz w:val="20"/>
                <w:szCs w:val="20"/>
                <w:color w:val="auto"/>
              </w:rPr>
            </w:pPr>
            <w:r>
              <w:rPr>
                <w:rFonts w:ascii="Arial" w:cs="Arial" w:eastAsia="Arial" w:hAnsi="Arial"/>
                <w:sz w:val="15"/>
                <w:szCs w:val="15"/>
                <w:b w:val="1"/>
                <w:bCs w:val="1"/>
                <w:color w:val="auto"/>
                <w:w w:val="87"/>
              </w:rPr>
              <w:t>Massachusetts</w:t>
            </w:r>
          </w:p>
        </w:tc>
        <w:tc>
          <w:tcPr>
            <w:tcW w:w="3540" w:type="dxa"/>
            <w:vAlign w:val="bottom"/>
          </w:tcPr>
          <w:p>
            <w:pPr>
              <w:jc w:val="center"/>
              <w:ind w:left="2047"/>
              <w:spacing w:after="0"/>
              <w:rPr>
                <w:sz w:val="20"/>
                <w:szCs w:val="20"/>
                <w:color w:val="auto"/>
              </w:rPr>
            </w:pPr>
            <w:r>
              <w:rPr>
                <w:rFonts w:ascii="Arial" w:cs="Arial" w:eastAsia="Arial" w:hAnsi="Arial"/>
                <w:sz w:val="15"/>
                <w:szCs w:val="15"/>
                <w:b w:val="1"/>
                <w:bCs w:val="1"/>
                <w:color w:val="auto"/>
                <w:w w:val="92"/>
              </w:rPr>
              <w:t>04-2348234</w:t>
            </w:r>
          </w:p>
        </w:tc>
      </w:tr>
      <w:tr>
        <w:trPr>
          <w:trHeight w:val="149"/>
        </w:trPr>
        <w:tc>
          <w:tcPr>
            <w:tcW w:w="3980" w:type="dxa"/>
            <w:vAlign w:val="bottom"/>
          </w:tcPr>
          <w:p>
            <w:pPr>
              <w:jc w:val="center"/>
              <w:ind w:right="2047"/>
              <w:spacing w:after="0" w:line="149" w:lineRule="exact"/>
              <w:rPr>
                <w:sz w:val="20"/>
                <w:szCs w:val="20"/>
                <w:color w:val="auto"/>
              </w:rPr>
            </w:pPr>
            <w:r>
              <w:rPr>
                <w:rFonts w:ascii="Arial" w:cs="Arial" w:eastAsia="Arial" w:hAnsi="Arial"/>
                <w:sz w:val="14"/>
                <w:szCs w:val="14"/>
                <w:b w:val="1"/>
                <w:bCs w:val="1"/>
                <w:color w:val="auto"/>
                <w:w w:val="92"/>
              </w:rPr>
              <w:t>(State or other jurisdiction of</w:t>
            </w:r>
          </w:p>
        </w:tc>
        <w:tc>
          <w:tcPr>
            <w:tcW w:w="3540" w:type="dxa"/>
            <w:vAlign w:val="bottom"/>
          </w:tcPr>
          <w:p>
            <w:pPr>
              <w:jc w:val="center"/>
              <w:ind w:left="2027"/>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980" w:type="dxa"/>
            <w:vAlign w:val="bottom"/>
          </w:tcPr>
          <w:p>
            <w:pPr>
              <w:jc w:val="center"/>
              <w:ind w:right="2047"/>
              <w:spacing w:after="0"/>
              <w:rPr>
                <w:sz w:val="20"/>
                <w:szCs w:val="20"/>
                <w:color w:val="auto"/>
              </w:rPr>
            </w:pPr>
            <w:r>
              <w:rPr>
                <w:rFonts w:ascii="Arial" w:cs="Arial" w:eastAsia="Arial" w:hAnsi="Arial"/>
                <w:sz w:val="14"/>
                <w:szCs w:val="14"/>
                <w:b w:val="1"/>
                <w:bCs w:val="1"/>
                <w:color w:val="auto"/>
                <w:w w:val="93"/>
              </w:rPr>
              <w:t>incorporation or organization)</w:t>
            </w:r>
          </w:p>
        </w:tc>
        <w:tc>
          <w:tcPr>
            <w:tcW w:w="3540" w:type="dxa"/>
            <w:vAlign w:val="bottom"/>
          </w:tcPr>
          <w:p>
            <w:pPr>
              <w:jc w:val="center"/>
              <w:ind w:left="2047"/>
              <w:spacing w:after="0"/>
              <w:rPr>
                <w:sz w:val="20"/>
                <w:szCs w:val="20"/>
                <w:color w:val="auto"/>
              </w:rPr>
            </w:pPr>
            <w:r>
              <w:rPr>
                <w:rFonts w:ascii="Arial" w:cs="Arial" w:eastAsia="Arial" w:hAnsi="Arial"/>
                <w:sz w:val="14"/>
                <w:szCs w:val="14"/>
                <w:b w:val="1"/>
                <w:bCs w:val="1"/>
                <w:color w:val="auto"/>
                <w:w w:val="95"/>
              </w:rPr>
              <w:t>Identification Number)</w:t>
            </w:r>
          </w:p>
        </w:tc>
      </w:tr>
    </w:tbl>
    <w:p>
      <w:pPr>
        <w:spacing w:after="0" w:line="8"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One Technology Way,</w:t>
      </w:r>
    </w:p>
    <w:p>
      <w:pPr>
        <w:jc w:val="center"/>
        <w:spacing w:after="0" w:line="233" w:lineRule="auto"/>
        <w:rPr>
          <w:sz w:val="20"/>
          <w:szCs w:val="20"/>
          <w:color w:val="auto"/>
        </w:rPr>
      </w:pPr>
      <w:r>
        <w:rPr>
          <w:rFonts w:ascii="Arial" w:cs="Arial" w:eastAsia="Arial" w:hAnsi="Arial"/>
          <w:sz w:val="15"/>
          <w:szCs w:val="15"/>
          <w:b w:val="1"/>
          <w:bCs w:val="1"/>
          <w:color w:val="auto"/>
        </w:rPr>
        <w:t>Norwood, Massachusetts 02062-9106</w:t>
      </w:r>
    </w:p>
    <w:p>
      <w:pPr>
        <w:jc w:val="center"/>
        <w:spacing w:after="0" w:line="218" w:lineRule="auto"/>
        <w:rPr>
          <w:sz w:val="20"/>
          <w:szCs w:val="20"/>
          <w:color w:val="auto"/>
        </w:rPr>
      </w:pPr>
      <w:r>
        <w:rPr>
          <w:rFonts w:ascii="Arial" w:cs="Arial" w:eastAsia="Arial" w:hAnsi="Arial"/>
          <w:sz w:val="15"/>
          <w:szCs w:val="15"/>
          <w:b w:val="1"/>
          <w:bCs w:val="1"/>
          <w:color w:val="auto"/>
        </w:rPr>
        <w:t>Telephone: 781-329-4700</w:t>
      </w: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60"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Margaret K. Seif, Esq.</w:t>
      </w:r>
    </w:p>
    <w:p>
      <w:pPr>
        <w:jc w:val="center"/>
        <w:spacing w:after="0" w:line="233" w:lineRule="auto"/>
        <w:rPr>
          <w:sz w:val="20"/>
          <w:szCs w:val="20"/>
          <w:color w:val="auto"/>
        </w:rPr>
      </w:pPr>
      <w:r>
        <w:rPr>
          <w:rFonts w:ascii="Arial" w:cs="Arial" w:eastAsia="Arial" w:hAnsi="Arial"/>
          <w:sz w:val="15"/>
          <w:szCs w:val="15"/>
          <w:b w:val="1"/>
          <w:bCs w:val="1"/>
          <w:color w:val="auto"/>
        </w:rPr>
        <w:t>Senior Vice President, General Counsel and Secretary</w:t>
      </w:r>
    </w:p>
    <w:p>
      <w:pPr>
        <w:jc w:val="center"/>
        <w:spacing w:after="0" w:line="225" w:lineRule="auto"/>
        <w:rPr>
          <w:sz w:val="20"/>
          <w:szCs w:val="20"/>
          <w:color w:val="auto"/>
        </w:rPr>
      </w:pPr>
      <w:r>
        <w:rPr>
          <w:rFonts w:ascii="Arial" w:cs="Arial" w:eastAsia="Arial" w:hAnsi="Arial"/>
          <w:sz w:val="15"/>
          <w:szCs w:val="15"/>
          <w:b w:val="1"/>
          <w:bCs w:val="1"/>
          <w:color w:val="auto"/>
        </w:rPr>
        <w:t>One Technology Way</w:t>
      </w:r>
    </w:p>
    <w:p>
      <w:pPr>
        <w:jc w:val="center"/>
        <w:spacing w:after="0" w:line="226" w:lineRule="auto"/>
        <w:rPr>
          <w:sz w:val="20"/>
          <w:szCs w:val="20"/>
          <w:color w:val="auto"/>
        </w:rPr>
      </w:pPr>
      <w:r>
        <w:rPr>
          <w:rFonts w:ascii="Arial" w:cs="Arial" w:eastAsia="Arial" w:hAnsi="Arial"/>
          <w:sz w:val="15"/>
          <w:szCs w:val="15"/>
          <w:b w:val="1"/>
          <w:bCs w:val="1"/>
          <w:color w:val="auto"/>
        </w:rPr>
        <w:t>Norwood, Massachusetts 02062-9106</w:t>
      </w:r>
    </w:p>
    <w:p>
      <w:pPr>
        <w:jc w:val="center"/>
        <w:spacing w:after="0" w:line="218" w:lineRule="auto"/>
        <w:rPr>
          <w:sz w:val="20"/>
          <w:szCs w:val="20"/>
          <w:color w:val="auto"/>
        </w:rPr>
      </w:pPr>
      <w:r>
        <w:rPr>
          <w:rFonts w:ascii="Arial" w:cs="Arial" w:eastAsia="Arial" w:hAnsi="Arial"/>
          <w:sz w:val="15"/>
          <w:szCs w:val="15"/>
          <w:b w:val="1"/>
          <w:bCs w:val="1"/>
          <w:color w:val="auto"/>
        </w:rPr>
        <w:t>Telephone: 781-329-4700</w:t>
      </w: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64" w:lineRule="exact"/>
        <w:rPr>
          <w:sz w:val="24"/>
          <w:szCs w:val="24"/>
          <w:color w:val="auto"/>
        </w:rPr>
      </w:pPr>
    </w:p>
    <w:p>
      <w:pPr>
        <w:jc w:val="center"/>
        <w:spacing w:after="0"/>
        <w:rPr>
          <w:sz w:val="20"/>
          <w:szCs w:val="20"/>
          <w:color w:val="auto"/>
        </w:rPr>
      </w:pPr>
      <w:r>
        <w:rPr>
          <w:rFonts w:ascii="Arial" w:cs="Arial" w:eastAsia="Arial" w:hAnsi="Arial"/>
          <w:sz w:val="15"/>
          <w:szCs w:val="15"/>
          <w:b w:val="1"/>
          <w:bCs w:val="1"/>
          <w:i w:val="1"/>
          <w:iCs w:val="1"/>
          <w:color w:val="auto"/>
        </w:rPr>
        <w:t>Copy to:</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Mark G. Borden, Esq.</w:t>
      </w:r>
    </w:p>
    <w:p>
      <w:pPr>
        <w:jc w:val="center"/>
        <w:spacing w:after="0" w:line="233" w:lineRule="auto"/>
        <w:rPr>
          <w:sz w:val="20"/>
          <w:szCs w:val="20"/>
          <w:color w:val="auto"/>
        </w:rPr>
      </w:pPr>
      <w:r>
        <w:rPr>
          <w:rFonts w:ascii="Arial" w:cs="Arial" w:eastAsia="Arial" w:hAnsi="Arial"/>
          <w:sz w:val="15"/>
          <w:szCs w:val="15"/>
          <w:b w:val="1"/>
          <w:bCs w:val="1"/>
          <w:color w:val="auto"/>
        </w:rPr>
        <w:t>Erika L. Robinson, Esq.</w:t>
      </w:r>
    </w:p>
    <w:p>
      <w:pPr>
        <w:jc w:val="center"/>
        <w:spacing w:after="0" w:line="225" w:lineRule="auto"/>
        <w:rPr>
          <w:sz w:val="20"/>
          <w:szCs w:val="20"/>
          <w:color w:val="auto"/>
        </w:rPr>
      </w:pPr>
      <w:r>
        <w:rPr>
          <w:rFonts w:ascii="Arial" w:cs="Arial" w:eastAsia="Arial" w:hAnsi="Arial"/>
          <w:sz w:val="15"/>
          <w:szCs w:val="15"/>
          <w:b w:val="1"/>
          <w:bCs w:val="1"/>
          <w:color w:val="auto"/>
        </w:rPr>
        <w:t>Wilmer Cutler Pickering Hale and Dorr LLP</w:t>
      </w:r>
    </w:p>
    <w:p>
      <w:pPr>
        <w:jc w:val="center"/>
        <w:spacing w:after="0" w:line="226" w:lineRule="auto"/>
        <w:rPr>
          <w:sz w:val="20"/>
          <w:szCs w:val="20"/>
          <w:color w:val="auto"/>
        </w:rPr>
      </w:pPr>
      <w:r>
        <w:rPr>
          <w:rFonts w:ascii="Arial" w:cs="Arial" w:eastAsia="Arial" w:hAnsi="Arial"/>
          <w:sz w:val="15"/>
          <w:szCs w:val="15"/>
          <w:b w:val="1"/>
          <w:bCs w:val="1"/>
          <w:color w:val="auto"/>
        </w:rPr>
        <w:t>7 World Trade Center</w:t>
      </w:r>
    </w:p>
    <w:p>
      <w:pPr>
        <w:jc w:val="center"/>
        <w:spacing w:after="0" w:line="225" w:lineRule="auto"/>
        <w:rPr>
          <w:sz w:val="20"/>
          <w:szCs w:val="20"/>
          <w:color w:val="auto"/>
        </w:rPr>
      </w:pPr>
      <w:r>
        <w:rPr>
          <w:rFonts w:ascii="Arial" w:cs="Arial" w:eastAsia="Arial" w:hAnsi="Arial"/>
          <w:sz w:val="15"/>
          <w:szCs w:val="15"/>
          <w:b w:val="1"/>
          <w:bCs w:val="1"/>
          <w:color w:val="auto"/>
        </w:rPr>
        <w:t>250 Greenwich Street</w:t>
      </w:r>
    </w:p>
    <w:p>
      <w:pPr>
        <w:jc w:val="center"/>
        <w:spacing w:after="0" w:line="226" w:lineRule="auto"/>
        <w:rPr>
          <w:sz w:val="20"/>
          <w:szCs w:val="20"/>
          <w:color w:val="auto"/>
        </w:rPr>
      </w:pPr>
      <w:r>
        <w:rPr>
          <w:rFonts w:ascii="Arial" w:cs="Arial" w:eastAsia="Arial" w:hAnsi="Arial"/>
          <w:sz w:val="15"/>
          <w:szCs w:val="15"/>
          <w:b w:val="1"/>
          <w:bCs w:val="1"/>
          <w:color w:val="auto"/>
        </w:rPr>
        <w:t>New York, New York 10007</w:t>
      </w:r>
    </w:p>
    <w:p>
      <w:pPr>
        <w:jc w:val="center"/>
        <w:spacing w:after="0"/>
        <w:rPr>
          <w:sz w:val="20"/>
          <w:szCs w:val="20"/>
          <w:color w:val="auto"/>
        </w:rPr>
      </w:pPr>
      <w:r>
        <w:rPr>
          <w:rFonts w:ascii="Arial" w:cs="Arial" w:eastAsia="Arial" w:hAnsi="Arial"/>
          <w:sz w:val="15"/>
          <w:szCs w:val="15"/>
          <w:b w:val="1"/>
          <w:bCs w:val="1"/>
          <w:color w:val="auto"/>
        </w:rPr>
        <w:t>212-230-8800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88265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6" w:lineRule="exact"/>
        <w:rPr>
          <w:sz w:val="24"/>
          <w:szCs w:val="24"/>
          <w:color w:val="auto"/>
        </w:rPr>
      </w:pPr>
    </w:p>
    <w:p>
      <w:pPr>
        <w:ind w:left="360"/>
        <w:spacing w:after="0"/>
        <w:rPr>
          <w:sz w:val="20"/>
          <w:szCs w:val="20"/>
          <w:color w:val="auto"/>
        </w:rPr>
      </w:pPr>
      <w:r>
        <w:rPr>
          <w:rFonts w:ascii="Arial" w:cs="Arial" w:eastAsia="Arial" w:hAnsi="Arial"/>
          <w:sz w:val="15"/>
          <w:szCs w:val="15"/>
          <w:b w:val="1"/>
          <w:bCs w:val="1"/>
          <w:color w:val="auto"/>
        </w:rPr>
        <w:t xml:space="preserve">Approximate date of commencement of proposed sale to the public: </w:t>
      </w:r>
      <w:r>
        <w:rPr>
          <w:rFonts w:ascii="Arial" w:cs="Arial" w:eastAsia="Arial" w:hAnsi="Arial"/>
          <w:sz w:val="15"/>
          <w:szCs w:val="15"/>
          <w:color w:val="auto"/>
        </w:rPr>
        <w:t>From time to time after the effective date of this Registration Statement.</w:t>
      </w:r>
    </w:p>
    <w:p>
      <w:pPr>
        <w:spacing w:after="0" w:line="26" w:lineRule="exact"/>
        <w:rPr>
          <w:sz w:val="24"/>
          <w:szCs w:val="24"/>
          <w:color w:val="auto"/>
        </w:rPr>
      </w:pPr>
    </w:p>
    <w:p>
      <w:pPr>
        <w:ind w:left="360"/>
        <w:spacing w:after="0" w:line="173" w:lineRule="exact"/>
        <w:rPr>
          <w:sz w:val="20"/>
          <w:szCs w:val="20"/>
          <w:color w:val="auto"/>
        </w:rPr>
      </w:pPr>
      <w:r>
        <w:rPr>
          <w:rFonts w:ascii="Arial" w:cs="Arial" w:eastAsia="Arial" w:hAnsi="Arial"/>
          <w:sz w:val="15"/>
          <w:szCs w:val="15"/>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5"/>
          <w:szCs w:val="15"/>
          <w:color w:val="auto"/>
        </w:rPr>
        <w:t>☐</w:t>
      </w:r>
    </w:p>
    <w:p>
      <w:pPr>
        <w:spacing w:after="0" w:line="60" w:lineRule="exact"/>
        <w:rPr>
          <w:sz w:val="24"/>
          <w:szCs w:val="24"/>
          <w:color w:val="auto"/>
        </w:rPr>
      </w:pPr>
    </w:p>
    <w:p>
      <w:pPr>
        <w:ind w:right="140" w:firstLine="342"/>
        <w:spacing w:after="0" w:line="190" w:lineRule="exact"/>
        <w:rPr>
          <w:sz w:val="20"/>
          <w:szCs w:val="20"/>
          <w:color w:val="auto"/>
        </w:rPr>
      </w:pPr>
      <w:r>
        <w:rPr>
          <w:rFonts w:ascii="Arial" w:cs="Arial" w:eastAsia="Arial" w:hAnsi="Arial"/>
          <w:sz w:val="15"/>
          <w:szCs w:val="15"/>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5"/>
          <w:szCs w:val="15"/>
          <w:color w:val="auto"/>
        </w:rPr>
        <w:t>☒</w:t>
      </w:r>
    </w:p>
    <w:p>
      <w:pPr>
        <w:spacing w:after="0" w:line="6" w:lineRule="exact"/>
        <w:rPr>
          <w:sz w:val="24"/>
          <w:szCs w:val="24"/>
          <w:color w:val="auto"/>
        </w:rPr>
      </w:pPr>
    </w:p>
    <w:p>
      <w:pPr>
        <w:ind w:right="440" w:firstLine="342"/>
        <w:spacing w:after="0" w:line="193" w:lineRule="exact"/>
        <w:rPr>
          <w:sz w:val="20"/>
          <w:szCs w:val="20"/>
          <w:color w:val="auto"/>
        </w:rPr>
      </w:pPr>
      <w:r>
        <w:rPr>
          <w:rFonts w:ascii="Arial" w:cs="Arial" w:eastAsia="Arial" w:hAnsi="Arial"/>
          <w:sz w:val="15"/>
          <w:szCs w:val="15"/>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6" w:lineRule="exact"/>
        <w:rPr>
          <w:sz w:val="24"/>
          <w:szCs w:val="24"/>
          <w:color w:val="auto"/>
        </w:rPr>
      </w:pPr>
    </w:p>
    <w:p>
      <w:pPr>
        <w:ind w:right="120" w:firstLine="342"/>
        <w:spacing w:after="0" w:line="193" w:lineRule="exact"/>
        <w:rPr>
          <w:sz w:val="20"/>
          <w:szCs w:val="20"/>
          <w:color w:val="auto"/>
        </w:rPr>
      </w:pPr>
      <w:r>
        <w:rPr>
          <w:rFonts w:ascii="Arial" w:cs="Arial" w:eastAsia="Arial" w:hAnsi="Arial"/>
          <w:sz w:val="15"/>
          <w:szCs w:val="15"/>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1" w:lineRule="exact"/>
        <w:rPr>
          <w:sz w:val="24"/>
          <w:szCs w:val="24"/>
          <w:color w:val="auto"/>
        </w:rPr>
      </w:pPr>
    </w:p>
    <w:p>
      <w:pPr>
        <w:ind w:right="400" w:firstLine="342"/>
        <w:spacing w:after="0" w:line="190" w:lineRule="exact"/>
        <w:rPr>
          <w:sz w:val="20"/>
          <w:szCs w:val="20"/>
          <w:color w:val="auto"/>
        </w:rPr>
      </w:pPr>
      <w:r>
        <w:rPr>
          <w:rFonts w:ascii="Arial" w:cs="Arial" w:eastAsia="Arial" w:hAnsi="Arial"/>
          <w:sz w:val="15"/>
          <w:szCs w:val="15"/>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5"/>
          <w:szCs w:val="15"/>
          <w:color w:val="auto"/>
        </w:rPr>
        <w:t>☒</w:t>
      </w:r>
    </w:p>
    <w:p>
      <w:pPr>
        <w:spacing w:after="0" w:line="6" w:lineRule="exact"/>
        <w:rPr>
          <w:sz w:val="24"/>
          <w:szCs w:val="24"/>
          <w:color w:val="auto"/>
        </w:rPr>
      </w:pPr>
    </w:p>
    <w:p>
      <w:pPr>
        <w:ind w:firstLine="342"/>
        <w:spacing w:after="0" w:line="193" w:lineRule="exact"/>
        <w:rPr>
          <w:sz w:val="20"/>
          <w:szCs w:val="20"/>
          <w:color w:val="auto"/>
        </w:rPr>
      </w:pPr>
      <w:r>
        <w:rPr>
          <w:rFonts w:ascii="Arial" w:cs="Arial" w:eastAsia="Arial" w:hAnsi="Arial"/>
          <w:sz w:val="15"/>
          <w:szCs w:val="15"/>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5"/>
          <w:szCs w:val="15"/>
          <w:color w:val="auto"/>
        </w:rPr>
        <w:t>☐</w:t>
      </w:r>
    </w:p>
    <w:p>
      <w:pPr>
        <w:sectPr>
          <w:pgSz w:w="11900" w:h="16838" w:orient="portrait"/>
          <w:cols w:equalWidth="0" w:num="1">
            <w:col w:w="11420"/>
          </w:cols>
          <w:pgMar w:left="240" w:top="230" w:right="239" w:bottom="1440" w:gutter="0" w:footer="0" w:header="0"/>
        </w:sectPr>
      </w:pPr>
    </w:p>
    <w:p>
      <w:pPr>
        <w:spacing w:after="0" w:line="6" w:lineRule="exact"/>
        <w:rPr>
          <w:sz w:val="24"/>
          <w:szCs w:val="24"/>
          <w:color w:val="auto"/>
        </w:rPr>
      </w:pPr>
    </w:p>
    <w:p>
      <w:pPr>
        <w:ind w:firstLine="342"/>
        <w:spacing w:after="0" w:line="247"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 w:lineRule="exact"/>
        <w:rPr>
          <w:sz w:val="24"/>
          <w:szCs w:val="24"/>
          <w:color w:val="auto"/>
        </w:rPr>
      </w:pPr>
    </w:p>
    <w:p>
      <w:pPr>
        <w:spacing w:after="0" w:line="173" w:lineRule="exact"/>
        <w:tabs>
          <w:tab w:leader="none" w:pos="1920" w:val="left"/>
          <w:tab w:leader="none" w:pos="8880" w:val="left"/>
        </w:tabs>
        <w:rPr>
          <w:sz w:val="20"/>
          <w:szCs w:val="20"/>
          <w:color w:val="auto"/>
        </w:rPr>
      </w:pPr>
      <w:r>
        <w:rPr>
          <w:rFonts w:ascii="Arial" w:cs="Arial" w:eastAsia="Arial" w:hAnsi="Arial"/>
          <w:sz w:val="15"/>
          <w:szCs w:val="15"/>
          <w:color w:val="auto"/>
        </w:rPr>
        <w:t>Large accelerated filer</w:t>
      </w:r>
      <w:r>
        <w:rPr>
          <w:sz w:val="20"/>
          <w:szCs w:val="20"/>
          <w:color w:val="auto"/>
        </w:rPr>
        <w:tab/>
      </w:r>
      <w:r>
        <w:rPr>
          <w:rFonts w:ascii="MS PGothic" w:cs="MS PGothic" w:eastAsia="MS PGothic" w:hAnsi="MS PGothic"/>
          <w:sz w:val="15"/>
          <w:szCs w:val="15"/>
          <w:color w:val="auto"/>
        </w:rPr>
        <w:t>☒</w:t>
      </w:r>
      <w:r>
        <w:rPr>
          <w:sz w:val="20"/>
          <w:szCs w:val="20"/>
          <w:color w:val="auto"/>
        </w:rPr>
        <w:tab/>
      </w:r>
      <w:r>
        <w:rPr>
          <w:rFonts w:ascii="Arial" w:cs="Arial" w:eastAsia="Arial" w:hAnsi="Arial"/>
          <w:sz w:val="14"/>
          <w:szCs w:val="14"/>
          <w:color w:val="auto"/>
        </w:rPr>
        <w:t>Accelerated filer</w:t>
      </w:r>
    </w:p>
    <w:p>
      <w:pPr>
        <w:spacing w:after="0" w:line="117" w:lineRule="exact"/>
        <w:rPr>
          <w:sz w:val="24"/>
          <w:szCs w:val="24"/>
          <w:color w:val="auto"/>
        </w:rPr>
      </w:pPr>
    </w:p>
    <w:p>
      <w:pPr>
        <w:spacing w:after="0" w:line="173" w:lineRule="exact"/>
        <w:tabs>
          <w:tab w:leader="none" w:pos="1920" w:val="left"/>
          <w:tab w:leader="none" w:pos="8880" w:val="left"/>
        </w:tabs>
        <w:rPr>
          <w:sz w:val="20"/>
          <w:szCs w:val="20"/>
          <w:color w:val="auto"/>
        </w:rPr>
      </w:pPr>
      <w:r>
        <w:rPr>
          <w:rFonts w:ascii="Arial" w:cs="Arial" w:eastAsia="Arial" w:hAnsi="Arial"/>
          <w:sz w:val="15"/>
          <w:szCs w:val="15"/>
          <w:color w:val="auto"/>
        </w:rPr>
        <w:t>Non-accelerated filer</w:t>
      </w:r>
      <w:r>
        <w:rPr>
          <w:sz w:val="20"/>
          <w:szCs w:val="20"/>
          <w:color w:val="auto"/>
        </w:rPr>
        <w:tab/>
      </w:r>
      <w:r>
        <w:rPr>
          <w:rFonts w:ascii="MS PGothic" w:cs="MS PGothic" w:eastAsia="MS PGothic" w:hAnsi="MS PGothic"/>
          <w:sz w:val="15"/>
          <w:szCs w:val="15"/>
          <w:color w:val="auto"/>
        </w:rPr>
        <w:t xml:space="preserve">☐ </w:t>
      </w:r>
      <w:r>
        <w:rPr>
          <w:rFonts w:ascii="Arial" w:cs="Arial" w:eastAsia="Arial" w:hAnsi="Arial"/>
          <w:sz w:val="15"/>
          <w:szCs w:val="15"/>
          <w:color w:val="auto"/>
        </w:rPr>
        <w:t>(Do not check if a smaller reporting company)</w:t>
      </w:r>
      <w:r>
        <w:rPr>
          <w:sz w:val="20"/>
          <w:szCs w:val="20"/>
          <w:color w:val="auto"/>
        </w:rPr>
        <w:tab/>
      </w:r>
      <w:r>
        <w:rPr>
          <w:rFonts w:ascii="Arial" w:cs="Arial" w:eastAsia="Arial" w:hAnsi="Arial"/>
          <w:sz w:val="13"/>
          <w:szCs w:val="13"/>
          <w:color w:val="auto"/>
        </w:rPr>
        <w:t>Smaller reporting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123825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3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5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32" w:lineRule="exact"/>
        <w:rPr>
          <w:sz w:val="24"/>
          <w:szCs w:val="24"/>
          <w:color w:val="auto"/>
        </w:rPr>
      </w:pPr>
    </w:p>
    <w:p>
      <w:pPr>
        <w:sectPr>
          <w:pgSz w:w="11900" w:h="16838" w:orient="portrait"/>
          <w:cols w:equalWidth="0" w:num="2">
            <w:col w:w="11200" w:space="80"/>
            <w:col w:w="140"/>
          </w:cols>
          <w:pgMar w:left="240" w:top="230" w:right="239" w:bottom="1440" w:gutter="0" w:footer="0" w:header="0"/>
          <w:type w:val="continuous"/>
        </w:sectPr>
      </w:pPr>
    </w:p>
    <w:p>
      <w:pPr>
        <w:spacing w:after="0" w:line="31"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246620" cy="523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523240"/>
                    </a:xfrm>
                    <a:prstGeom prst="rect">
                      <a:avLst/>
                    </a:prstGeom>
                    <a:noFill/>
                  </pic:spPr>
                </pic:pic>
              </a:graphicData>
            </a:graphic>
          </wp:anchor>
        </w:drawing>
      </w: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4100" w:type="dxa"/>
            <w:vAlign w:val="bottom"/>
            <w:tcBorders>
              <w:top w:val="single" w:sz="8" w:color="auto"/>
            </w:tcBorders>
          </w:tcPr>
          <w:p>
            <w:pPr>
              <w:spacing w:after="0"/>
              <w:rPr>
                <w:sz w:val="13"/>
                <w:szCs w:val="13"/>
                <w:color w:val="auto"/>
              </w:rPr>
            </w:pPr>
          </w:p>
        </w:tc>
        <w:tc>
          <w:tcPr>
            <w:tcW w:w="1840" w:type="dxa"/>
            <w:vAlign w:val="bottom"/>
            <w:tcBorders>
              <w:top w:val="single" w:sz="8" w:color="auto"/>
            </w:tcBorders>
            <w:vMerge w:val="restart"/>
          </w:tcPr>
          <w:p>
            <w:pPr>
              <w:jc w:val="center"/>
              <w:ind w:left="68"/>
              <w:spacing w:after="0"/>
              <w:rPr>
                <w:sz w:val="20"/>
                <w:szCs w:val="20"/>
                <w:color w:val="auto"/>
              </w:rPr>
            </w:pPr>
            <w:r>
              <w:rPr>
                <w:rFonts w:ascii="Arial" w:cs="Arial" w:eastAsia="Arial" w:hAnsi="Arial"/>
                <w:sz w:val="14"/>
                <w:szCs w:val="14"/>
                <w:b w:val="1"/>
                <w:bCs w:val="1"/>
                <w:color w:val="auto"/>
                <w:w w:val="94"/>
              </w:rPr>
              <w:t>Amount</w:t>
            </w:r>
          </w:p>
        </w:tc>
        <w:tc>
          <w:tcPr>
            <w:tcW w:w="1900" w:type="dxa"/>
            <w:vAlign w:val="bottom"/>
            <w:tcBorders>
              <w:top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86"/>
              </w:rPr>
              <w:t>Proposed</w:t>
            </w:r>
          </w:p>
        </w:tc>
        <w:tc>
          <w:tcPr>
            <w:tcW w:w="1780" w:type="dxa"/>
            <w:vAlign w:val="bottom"/>
            <w:tcBorders>
              <w:top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86"/>
              </w:rPr>
              <w:t>Proposed</w:t>
            </w:r>
          </w:p>
        </w:tc>
        <w:tc>
          <w:tcPr>
            <w:tcW w:w="17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Title of Each Class of</w:t>
            </w:r>
          </w:p>
        </w:tc>
        <w:tc>
          <w:tcPr>
            <w:tcW w:w="1840" w:type="dxa"/>
            <w:vAlign w:val="bottom"/>
            <w:vMerge w:val="continue"/>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780" w:type="dxa"/>
            <w:vAlign w:val="bottom"/>
            <w:vMerge w:val="restart"/>
          </w:tcPr>
          <w:p>
            <w:pPr>
              <w:jc w:val="center"/>
              <w:ind w:left="8"/>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vMerge w:val="continue"/>
          </w:tcPr>
          <w:p>
            <w:pPr>
              <w:spacing w:after="0"/>
              <w:rPr>
                <w:sz w:val="12"/>
                <w:szCs w:val="12"/>
                <w:color w:val="auto"/>
              </w:rPr>
            </w:pPr>
          </w:p>
        </w:tc>
        <w:tc>
          <w:tcPr>
            <w:tcW w:w="1840" w:type="dxa"/>
            <w:vAlign w:val="bottom"/>
          </w:tcPr>
          <w:p>
            <w:pPr>
              <w:jc w:val="center"/>
              <w:ind w:left="68"/>
              <w:spacing w:after="0" w:line="149" w:lineRule="exact"/>
              <w:rPr>
                <w:sz w:val="20"/>
                <w:szCs w:val="20"/>
                <w:color w:val="auto"/>
              </w:rPr>
            </w:pPr>
            <w:r>
              <w:rPr>
                <w:rFonts w:ascii="Arial" w:cs="Arial" w:eastAsia="Arial" w:hAnsi="Arial"/>
                <w:sz w:val="14"/>
                <w:szCs w:val="14"/>
                <w:b w:val="1"/>
                <w:bCs w:val="1"/>
                <w:color w:val="auto"/>
                <w:w w:val="89"/>
              </w:rPr>
              <w:t>to be</w:t>
            </w:r>
          </w:p>
        </w:tc>
        <w:tc>
          <w:tcPr>
            <w:tcW w:w="1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Offering Price</w:t>
            </w:r>
          </w:p>
        </w:tc>
        <w:tc>
          <w:tcPr>
            <w:tcW w:w="1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Aggregate</w:t>
            </w:r>
          </w:p>
        </w:tc>
        <w:tc>
          <w:tcPr>
            <w:tcW w:w="1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 to be Registered</w:t>
            </w:r>
          </w:p>
        </w:tc>
        <w:tc>
          <w:tcPr>
            <w:tcW w:w="1840" w:type="dxa"/>
            <w:vAlign w:val="bottom"/>
            <w:tcBorders>
              <w:bottom w:val="single" w:sz="8" w:color="auto"/>
            </w:tcBorders>
          </w:tcPr>
          <w:p>
            <w:pPr>
              <w:jc w:val="center"/>
              <w:ind w:left="68"/>
              <w:spacing w:after="0"/>
              <w:rPr>
                <w:sz w:val="20"/>
                <w:szCs w:val="20"/>
                <w:color w:val="auto"/>
              </w:rPr>
            </w:pPr>
            <w:r>
              <w:rPr>
                <w:rFonts w:ascii="Arial" w:cs="Arial" w:eastAsia="Arial" w:hAnsi="Arial"/>
                <w:sz w:val="14"/>
                <w:szCs w:val="14"/>
                <w:b w:val="1"/>
                <w:bCs w:val="1"/>
                <w:color w:val="auto"/>
                <w:w w:val="91"/>
              </w:rPr>
              <w:t>Registered</w:t>
            </w: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per Unit</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Offering Price</w:t>
            </w:r>
          </w:p>
        </w:tc>
        <w:tc>
          <w:tcPr>
            <w:tcW w:w="178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92"/>
              </w:rPr>
              <w:t>Registration Fee</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100" w:type="dxa"/>
            <w:vAlign w:val="bottom"/>
          </w:tcPr>
          <w:p>
            <w:pPr>
              <w:spacing w:after="0"/>
              <w:rPr>
                <w:sz w:val="20"/>
                <w:szCs w:val="20"/>
                <w:color w:val="auto"/>
              </w:rPr>
            </w:pPr>
            <w:r>
              <w:rPr>
                <w:rFonts w:ascii="Arial" w:cs="Arial" w:eastAsia="Arial" w:hAnsi="Arial"/>
                <w:sz w:val="15"/>
                <w:szCs w:val="15"/>
                <w:color w:val="auto"/>
              </w:rPr>
              <w:t>Debt Securities(1)</w:t>
            </w:r>
          </w:p>
        </w:tc>
        <w:tc>
          <w:tcPr>
            <w:tcW w:w="18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right="40" w:hanging="332"/>
        <w:spacing w:after="0" w:line="234" w:lineRule="auto"/>
        <w:tabs>
          <w:tab w:leader="none" w:pos="340" w:val="left"/>
        </w:tabs>
        <w:numPr>
          <w:ilvl w:val="0"/>
          <w:numId w:val="1"/>
        </w:numPr>
        <w:rPr>
          <w:rFonts w:ascii="Arial" w:cs="Arial" w:eastAsia="Arial" w:hAnsi="Arial"/>
          <w:sz w:val="15"/>
          <w:szCs w:val="15"/>
          <w:color w:val="auto"/>
        </w:rPr>
      </w:pPr>
      <w:r>
        <w:rPr>
          <w:rFonts w:ascii="Arial" w:cs="Arial" w:eastAsia="Arial" w:hAnsi="Arial"/>
          <w:sz w:val="15"/>
          <w:szCs w:val="15"/>
          <w:color w:val="auto"/>
        </w:rPr>
        <w:t>An indeterminate amount of debt securities of Analog Devices, Inc. to be offered from time to time at indeterminate prices is being registered pursuant to this registration statement. In accordance with Rules 456(b) and Rule 457(r) under the Securities Act of 1933, as amended, the registrant is deferring payment of all registration fees and will pay the registration fees subsequently in advance or on a “pay as you go” basis.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100965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2432050</wp:posOffset>
            </wp:positionH>
            <wp:positionV relativeFrom="paragraph">
              <wp:posOffset>172085</wp:posOffset>
            </wp:positionV>
            <wp:extent cx="2400935" cy="677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00935"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43"/>
          <w:szCs w:val="43"/>
          <w:b w:val="1"/>
          <w:bCs w:val="1"/>
          <w:color w:val="auto"/>
        </w:rPr>
        <w:t>Analog Devices, Inc.</w:t>
      </w: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501015</wp:posOffset>
            </wp:positionV>
            <wp:extent cx="15176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We may from time to time offer to sell the debt securities described in this prospectus. The debt securities will be senior unsecured obligations and will rank equally with all of our other senior unsecured indebtedness.</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Each time we offer debt securities using this prospectus, we will provide specific terms and offering prices in supplements to this prospectus. The prospectus supplements may also add to, update or change the information in this prospectus and will also describe the specific manner in which we will offer the debt securities. You should carefully read this prospectus and the applicable prospectus supplement, including the information incorporated by reference, prior to investing in our debt securities.</w:t>
      </w:r>
    </w:p>
    <w:p>
      <w:pPr>
        <w:spacing w:after="0" w:line="187"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color w:val="auto"/>
        </w:rPr>
        <w:t>We may offer and sell the debt securities on a continuous or delayed basis directly to investors or through underwriters, dealers or agents, or through a combination of these methods. The names of any underwriters, dealers or agents will be included in a prospectus supplement. If any agents, dealers or underwriters are involved in the sale of any debt securities, the applicable prospectus supplement will set forth any applicable commissions or discounts.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436880</wp:posOffset>
            </wp:positionV>
            <wp:extent cx="15176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180" w:firstLine="456"/>
        <w:spacing w:after="0" w:line="261" w:lineRule="auto"/>
        <w:rPr>
          <w:rFonts w:ascii="Arial" w:cs="Arial" w:eastAsia="Arial" w:hAnsi="Arial"/>
          <w:sz w:val="21"/>
          <w:szCs w:val="21"/>
          <w:b w:val="1"/>
          <w:bCs w:val="1"/>
          <w:color w:val="auto"/>
        </w:rPr>
      </w:pPr>
      <w:r>
        <w:rPr>
          <w:rFonts w:ascii="Arial" w:cs="Arial" w:eastAsia="Arial" w:hAnsi="Arial"/>
          <w:sz w:val="21"/>
          <w:szCs w:val="21"/>
          <w:b w:val="1"/>
          <w:bCs w:val="1"/>
          <w:color w:val="auto"/>
        </w:rPr>
        <w:t>Investing in these debt securities involves certain risks. See “</w:t>
      </w:r>
      <w:hyperlink w:anchor="page5">
        <w:r>
          <w:rPr>
            <w:rFonts w:ascii="Arial" w:cs="Arial" w:eastAsia="Arial" w:hAnsi="Arial"/>
            <w:sz w:val="21"/>
            <w:szCs w:val="21"/>
            <w:b w:val="1"/>
            <w:bCs w:val="1"/>
            <w:u w:val="single" w:color="auto"/>
            <w:color w:val="0000EE"/>
          </w:rPr>
          <w:t>Risk Factors</w:t>
        </w:r>
      </w:hyperlink>
      <w:r>
        <w:rPr>
          <w:rFonts w:ascii="Arial" w:cs="Arial" w:eastAsia="Arial" w:hAnsi="Arial"/>
          <w:sz w:val="21"/>
          <w:szCs w:val="21"/>
          <w:b w:val="1"/>
          <w:bCs w:val="1"/>
          <w:color w:val="auto"/>
        </w:rPr>
        <w:t>” included in any accompanying prospectus supplement and in the documents incorporated by reference in this prospectus for a discussion of the factors you should carefully consider before deciding to purchase these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452120</wp:posOffset>
            </wp:positionV>
            <wp:extent cx="15176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500" w:firstLine="456"/>
        <w:spacing w:after="0" w:line="31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442595</wp:posOffset>
            </wp:positionV>
            <wp:extent cx="15176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date of this prospectus is September 21, 2015.</w:t>
      </w:r>
    </w:p>
    <w:p>
      <w:pPr>
        <w:sectPr>
          <w:pgSz w:w="11900" w:h="16838" w:orient="portrait"/>
          <w:cols w:equalWidth="0" w:num="1">
            <w:col w:w="11400"/>
          </w:cols>
          <w:pgMar w:left="240" w:top="459" w:right="2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8920" w:type="dxa"/>
            <w:vAlign w:val="bottom"/>
            <w:gridSpan w:val="15"/>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400" w:type="dxa"/>
            <w:vAlign w:val="bottom"/>
          </w:tcPr>
          <w:p>
            <w:pPr>
              <w:spacing w:after="0"/>
              <w:rPr>
                <w:sz w:val="17"/>
                <w:szCs w:val="17"/>
                <w:color w:val="auto"/>
              </w:rPr>
            </w:pPr>
          </w:p>
        </w:tc>
      </w:tr>
      <w:tr>
        <w:trPr>
          <w:trHeight w:val="534"/>
        </w:trPr>
        <w:tc>
          <w:tcPr>
            <w:tcW w:w="78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100" w:type="dxa"/>
            <w:vAlign w:val="bottom"/>
            <w:gridSpan w:val="2"/>
          </w:tcPr>
          <w:p>
            <w:pPr>
              <w:ind w:left="940"/>
              <w:spacing w:after="0"/>
              <w:rPr>
                <w:sz w:val="20"/>
                <w:szCs w:val="20"/>
                <w:color w:val="auto"/>
              </w:rPr>
            </w:pPr>
            <w:r>
              <w:rPr>
                <w:rFonts w:ascii="Arial" w:cs="Arial" w:eastAsia="Arial" w:hAnsi="Arial"/>
                <w:sz w:val="18"/>
                <w:szCs w:val="18"/>
                <w:b w:val="1"/>
                <w:bCs w:val="1"/>
                <w:color w:val="auto"/>
              </w:rPr>
              <w:t>TABLE OF CONTENTS</w:t>
            </w:r>
          </w:p>
        </w:tc>
        <w:tc>
          <w:tcPr>
            <w:tcW w:w="2400" w:type="dxa"/>
            <w:vAlign w:val="bottom"/>
          </w:tcPr>
          <w:p>
            <w:pPr>
              <w:spacing w:after="0"/>
              <w:rPr>
                <w:sz w:val="24"/>
                <w:szCs w:val="24"/>
                <w:color w:val="auto"/>
              </w:rPr>
            </w:pPr>
          </w:p>
        </w:tc>
      </w:tr>
      <w:tr>
        <w:trPr>
          <w:trHeight w:val="419"/>
        </w:trPr>
        <w:tc>
          <w:tcPr>
            <w:tcW w:w="2240" w:type="dxa"/>
            <w:vAlign w:val="bottom"/>
            <w:tcBorders>
              <w:bottom w:val="single" w:sz="8" w:color="0000EE"/>
            </w:tcBorders>
            <w:gridSpan w:val="9"/>
          </w:tcPr>
          <w:p>
            <w:pPr>
              <w:spacing w:after="0"/>
              <w:rPr>
                <w:rFonts w:ascii="Arial" w:cs="Arial" w:eastAsia="Arial" w:hAnsi="Arial"/>
                <w:sz w:val="18"/>
                <w:szCs w:val="18"/>
                <w:color w:val="0000EE"/>
                <w:w w:val="93"/>
              </w:rPr>
            </w:pPr>
            <w:hyperlink w:anchor="page4">
              <w:r>
                <w:rPr>
                  <w:rFonts w:ascii="Arial" w:cs="Arial" w:eastAsia="Arial" w:hAnsi="Arial"/>
                  <w:sz w:val="18"/>
                  <w:szCs w:val="18"/>
                  <w:color w:val="0000EE"/>
                  <w:w w:val="93"/>
                </w:rPr>
                <w:t>ABOUT THIS PROSPECTUS</w:t>
              </w:r>
            </w:hyperlink>
          </w:p>
        </w:tc>
        <w:tc>
          <w:tcPr>
            <w:tcW w:w="6680" w:type="dxa"/>
            <w:vAlign w:val="bottom"/>
            <w:gridSpan w:val="6"/>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1260" w:type="dxa"/>
            <w:vAlign w:val="bottom"/>
            <w:tcBorders>
              <w:bottom w:val="single" w:sz="8" w:color="0000EE"/>
            </w:tcBorders>
            <w:gridSpan w:val="2"/>
          </w:tcPr>
          <w:p>
            <w:pPr>
              <w:spacing w:after="0"/>
              <w:rPr>
                <w:rFonts w:ascii="Arial" w:cs="Arial" w:eastAsia="Arial" w:hAnsi="Arial"/>
                <w:sz w:val="18"/>
                <w:szCs w:val="18"/>
                <w:color w:val="0000EE"/>
                <w:w w:val="93"/>
              </w:rPr>
            </w:pPr>
            <w:hyperlink w:anchor="page5">
              <w:r>
                <w:rPr>
                  <w:rFonts w:ascii="Arial" w:cs="Arial" w:eastAsia="Arial" w:hAnsi="Arial"/>
                  <w:sz w:val="18"/>
                  <w:szCs w:val="18"/>
                  <w:color w:val="0000EE"/>
                  <w:w w:val="93"/>
                </w:rPr>
                <w:t>RISK FACTORS</w:t>
              </w:r>
            </w:hyperlink>
          </w:p>
        </w:tc>
        <w:tc>
          <w:tcPr>
            <w:tcW w:w="7660" w:type="dxa"/>
            <w:vAlign w:val="bottom"/>
            <w:gridSpan w:val="13"/>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04"/>
        </w:trPr>
        <w:tc>
          <w:tcPr>
            <w:tcW w:w="8920" w:type="dxa"/>
            <w:vAlign w:val="bottom"/>
            <w:gridSpan w:val="15"/>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WHERE YOU CAN FIND MORE INFORMATION</w:t>
              </w:r>
            </w:hyperlink>
          </w:p>
        </w:tc>
        <w:tc>
          <w:tcPr>
            <w:tcW w:w="24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3820" w:type="dxa"/>
            <w:vAlign w:val="bottom"/>
            <w:tcBorders>
              <w:top w:val="single" w:sz="8" w:color="0000EE"/>
            </w:tcBorders>
            <w:gridSpan w:val="13"/>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INCORPORATION BY REFERENCE</w:t>
              </w:r>
            </w:hyperlink>
          </w:p>
        </w:tc>
        <w:tc>
          <w:tcPr>
            <w:tcW w:w="5100" w:type="dxa"/>
            <w:vAlign w:val="bottom"/>
            <w:gridSpan w:val="2"/>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78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304"/>
        </w:trPr>
        <w:tc>
          <w:tcPr>
            <w:tcW w:w="8920" w:type="dxa"/>
            <w:vAlign w:val="bottom"/>
            <w:gridSpan w:val="15"/>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FORWARD LOOKING STATEMENTS</w:t>
              </w:r>
            </w:hyperlink>
          </w:p>
        </w:tc>
        <w:tc>
          <w:tcPr>
            <w:tcW w:w="24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2920" w:type="dxa"/>
            <w:vAlign w:val="bottom"/>
            <w:tcBorders>
              <w:top w:val="single" w:sz="8" w:color="0000EE"/>
            </w:tcBorders>
            <w:gridSpan w:val="11"/>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THE COMPANY</w:t>
              </w:r>
            </w:hyperlink>
          </w:p>
        </w:tc>
        <w:tc>
          <w:tcPr>
            <w:tcW w:w="6000" w:type="dxa"/>
            <w:vAlign w:val="bottom"/>
            <w:gridSpan w:val="4"/>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78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304"/>
        </w:trPr>
        <w:tc>
          <w:tcPr>
            <w:tcW w:w="8920" w:type="dxa"/>
            <w:vAlign w:val="bottom"/>
            <w:gridSpan w:val="15"/>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CONSOLIDATED RATIOS OF EARNINGS TO FIXED CHARGES</w:t>
              </w:r>
            </w:hyperlink>
          </w:p>
        </w:tc>
        <w:tc>
          <w:tcPr>
            <w:tcW w:w="24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04"/>
        </w:trPr>
        <w:tc>
          <w:tcPr>
            <w:tcW w:w="5020" w:type="dxa"/>
            <w:vAlign w:val="bottom"/>
            <w:tcBorders>
              <w:top w:val="single" w:sz="8" w:color="0000EE"/>
            </w:tcBorders>
            <w:gridSpan w:val="14"/>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USE OF PROCEEDS</w:t>
              </w:r>
            </w:hyperlink>
          </w:p>
        </w:tc>
        <w:tc>
          <w:tcPr>
            <w:tcW w:w="3900" w:type="dxa"/>
            <w:vAlign w:val="bottom"/>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5880" w:type="dxa"/>
            <w:vAlign w:val="bottom"/>
            <w:gridSpan w:val="3"/>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304"/>
        </w:trPr>
        <w:tc>
          <w:tcPr>
            <w:tcW w:w="3040" w:type="dxa"/>
            <w:vAlign w:val="bottom"/>
            <w:tcBorders>
              <w:bottom w:val="single" w:sz="8" w:color="0000EE"/>
            </w:tcBorders>
            <w:gridSpan w:val="12"/>
          </w:tcPr>
          <w:p>
            <w:pPr>
              <w:spacing w:after="0"/>
              <w:rPr>
                <w:rFonts w:ascii="Arial" w:cs="Arial" w:eastAsia="Arial" w:hAnsi="Arial"/>
                <w:sz w:val="18"/>
                <w:szCs w:val="18"/>
                <w:color w:val="0000EE"/>
                <w:w w:val="94"/>
              </w:rPr>
            </w:pPr>
            <w:hyperlink w:anchor="page12">
              <w:r>
                <w:rPr>
                  <w:rFonts w:ascii="Arial" w:cs="Arial" w:eastAsia="Arial" w:hAnsi="Arial"/>
                  <w:sz w:val="18"/>
                  <w:szCs w:val="18"/>
                  <w:color w:val="0000EE"/>
                  <w:w w:val="94"/>
                </w:rPr>
                <w:t>DESCRIPTION OF DEBT SECURITIES</w:t>
              </w:r>
            </w:hyperlink>
          </w:p>
        </w:tc>
        <w:tc>
          <w:tcPr>
            <w:tcW w:w="5880" w:type="dxa"/>
            <w:vAlign w:val="bottom"/>
            <w:gridSpan w:val="3"/>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04"/>
        </w:trPr>
        <w:tc>
          <w:tcPr>
            <w:tcW w:w="1960" w:type="dxa"/>
            <w:vAlign w:val="bottom"/>
            <w:tcBorders>
              <w:bottom w:val="single" w:sz="8" w:color="0000EE"/>
            </w:tcBorders>
            <w:gridSpan w:val="7"/>
          </w:tcPr>
          <w:p>
            <w:pPr>
              <w:spacing w:after="0"/>
              <w:rPr>
                <w:rFonts w:ascii="Arial" w:cs="Arial" w:eastAsia="Arial" w:hAnsi="Arial"/>
                <w:sz w:val="18"/>
                <w:szCs w:val="18"/>
                <w:color w:val="0000EE"/>
                <w:w w:val="93"/>
              </w:rPr>
            </w:pPr>
            <w:hyperlink w:anchor="page20">
              <w:r>
                <w:rPr>
                  <w:rFonts w:ascii="Arial" w:cs="Arial" w:eastAsia="Arial" w:hAnsi="Arial"/>
                  <w:sz w:val="18"/>
                  <w:szCs w:val="18"/>
                  <w:color w:val="0000EE"/>
                  <w:w w:val="93"/>
                </w:rPr>
                <w:t>FORMS OF SECURITIES</w:t>
              </w:r>
            </w:hyperlink>
          </w:p>
        </w:tc>
        <w:tc>
          <w:tcPr>
            <w:tcW w:w="6960" w:type="dxa"/>
            <w:vAlign w:val="bottom"/>
            <w:gridSpan w:val="8"/>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04"/>
        </w:trPr>
        <w:tc>
          <w:tcPr>
            <w:tcW w:w="2060" w:type="dxa"/>
            <w:vAlign w:val="bottom"/>
            <w:tcBorders>
              <w:bottom w:val="single" w:sz="8" w:color="0000EE"/>
            </w:tcBorders>
            <w:gridSpan w:val="8"/>
          </w:tcPr>
          <w:p>
            <w:pPr>
              <w:spacing w:after="0"/>
              <w:rPr>
                <w:rFonts w:ascii="Arial" w:cs="Arial" w:eastAsia="Arial" w:hAnsi="Arial"/>
                <w:sz w:val="18"/>
                <w:szCs w:val="18"/>
                <w:color w:val="0000EE"/>
                <w:w w:val="97"/>
              </w:rPr>
            </w:pPr>
            <w:hyperlink w:anchor="page22">
              <w:r>
                <w:rPr>
                  <w:rFonts w:ascii="Arial" w:cs="Arial" w:eastAsia="Arial" w:hAnsi="Arial"/>
                  <w:sz w:val="18"/>
                  <w:szCs w:val="18"/>
                  <w:color w:val="0000EE"/>
                  <w:w w:val="97"/>
                </w:rPr>
                <w:t>PLAN OF DISTRIBUTION</w:t>
              </w:r>
            </w:hyperlink>
          </w:p>
        </w:tc>
        <w:tc>
          <w:tcPr>
            <w:tcW w:w="6860" w:type="dxa"/>
            <w:vAlign w:val="bottom"/>
            <w:gridSpan w:val="7"/>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04"/>
        </w:trPr>
        <w:tc>
          <w:tcPr>
            <w:tcW w:w="8920" w:type="dxa"/>
            <w:vAlign w:val="bottom"/>
            <w:gridSpan w:val="15"/>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LEGAL MATTERS</w:t>
              </w:r>
            </w:hyperlink>
          </w:p>
        </w:tc>
        <w:tc>
          <w:tcPr>
            <w:tcW w:w="24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04"/>
        </w:trPr>
        <w:tc>
          <w:tcPr>
            <w:tcW w:w="78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EXPERTS</w:t>
              </w:r>
            </w:hyperlink>
          </w:p>
        </w:tc>
        <w:tc>
          <w:tcPr>
            <w:tcW w:w="680" w:type="dxa"/>
            <w:vAlign w:val="bottom"/>
            <w:tcBorders>
              <w:top w:val="single" w:sz="8" w:color="0000EE"/>
            </w:tcBorders>
            <w:gridSpan w:val="4"/>
          </w:tcPr>
          <w:p>
            <w:pPr>
              <w:spacing w:after="0"/>
              <w:rPr>
                <w:sz w:val="24"/>
                <w:szCs w:val="24"/>
                <w:color w:val="auto"/>
              </w:rPr>
            </w:pPr>
          </w:p>
        </w:tc>
        <w:tc>
          <w:tcPr>
            <w:tcW w:w="7460" w:type="dxa"/>
            <w:vAlign w:val="bottom"/>
            <w:gridSpan w:val="10"/>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22</w:t>
            </w:r>
          </w:p>
        </w:tc>
      </w:tr>
    </w:tbl>
    <w:p>
      <w:pPr>
        <w:jc w:val="right"/>
        <w:spacing w:after="0"/>
        <w:rPr>
          <w:sz w:val="20"/>
          <w:szCs w:val="20"/>
          <w:color w:val="auto"/>
        </w:rPr>
        <w:sectPr>
          <w:pgSz w:w="11900" w:h="16838" w:orient="portrait"/>
          <w:cols w:equalWidth="0" w:num="1">
            <w:col w:w="11320"/>
          </w:cols>
          <w:pgMar w:left="240" w:top="446"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This prospectus is part of a registration statement that we filed with the Securities and Exchange Commission, which we refer to as the “SEC,” utilizing a “shelf” registration process. Under this shelf registration process, we may from time to time sell debt securities described in this prospectus in one or more offerings.</w:t>
      </w:r>
    </w:p>
    <w:p>
      <w:pPr>
        <w:spacing w:after="0" w:line="181" w:lineRule="exact"/>
        <w:rPr>
          <w:sz w:val="20"/>
          <w:szCs w:val="20"/>
          <w:color w:val="auto"/>
        </w:rPr>
      </w:pPr>
    </w:p>
    <w:p>
      <w:pPr>
        <w:ind w:right="220" w:firstLine="456"/>
        <w:spacing w:after="0" w:line="302" w:lineRule="auto"/>
        <w:rPr>
          <w:sz w:val="20"/>
          <w:szCs w:val="20"/>
          <w:color w:val="auto"/>
        </w:rPr>
      </w:pPr>
      <w:r>
        <w:rPr>
          <w:rFonts w:ascii="Arial" w:cs="Arial" w:eastAsia="Arial" w:hAnsi="Arial"/>
          <w:sz w:val="16"/>
          <w:szCs w:val="16"/>
          <w:color w:val="auto"/>
        </w:rPr>
        <w:t>This prospectus provides you with a general description of the debt securities we may offer. Each time we sell debt securities, we will provide one or more prospectus supplements that will contain specific information about the terms of the offering. The prospectus supplement may also add, update or change information contained in this prospectus. You should read both this prospectus and any accompanying prospectus supplement together with the additional information described under the headings “Incorporation by Reference” and “Where You Can Find More Information” in this prospectus.</w:t>
      </w:r>
    </w:p>
    <w:p>
      <w:pPr>
        <w:spacing w:after="0" w:line="15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You should rely only on the information contained in or incorporated by reference in this prospectus, any accompanying prospectus supplement or in any related free writing prospectus filed by us with the SEC. We have not authorized anyone to provide you with different information. This prospectus and any accompanying prospectus supplement do not constitute an offer to sell or the solicitation of an offer to buy any debt securities other than the debt securities described in any accompanying prospectus supplement or an offer to sell or the solicitation of an offer to buy such debt securities in any circumstances in which such offer or solicitation is unlawful. You should assume that the information appearing in this prospectus, any prospectus supplement and the documents incorporated by reference is accurate only as of their respective dates. Our business, financial condition, results of operations and prospects may have changed materially since those dates.</w:t>
      </w:r>
    </w:p>
    <w:p>
      <w:pPr>
        <w:spacing w:after="0" w:line="189"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terms “the Company,” “we,” “our,” “ours” and “us” refer to Analog Devices, Inc., and its subsidiaries on a consolidated basis, unless the context otherwise requires.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Investing in our debt securities involves risk. You should carefully consider the risks and uncertainties described in this prospectus and any accompanying prospectus supplement, as well as all of the risk factors described in our filings with the SEC that are incorporated by reference herein, including the risk factors in our Annual Report on Form 10-K for the fiscal year ended November 1, 2014 and our Quarterly Reports on Form 10-Q for the fiscal quarters ended January 31, 2015, May 2, 2015 and August 1, 2015, before making an investment decision pursuant to this prospectus and any accompanying prospectus supplement relating to a specific offering.</w:t>
      </w:r>
    </w:p>
    <w:p>
      <w:pPr>
        <w:spacing w:after="0" w:line="188"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Our business, financial condition and results of operations could be materially and adversely affected by any or all of these risks or by additional risks and uncertainties not presently known to us or that we currently deem immaterial that may adversely affect us in the future.</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459" w:right="3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with the SEC. Our SEC filings are available to the public over the Internet at the SEC’s website at </w:t>
      </w:r>
      <w:r>
        <w:rPr>
          <w:rFonts w:ascii="Arial" w:cs="Arial" w:eastAsia="Arial" w:hAnsi="Arial"/>
          <w:sz w:val="18"/>
          <w:szCs w:val="18"/>
          <w:i w:val="1"/>
          <w:iCs w:val="1"/>
          <w:color w:val="auto"/>
        </w:rPr>
        <w:t>http://www.sec.gov</w:t>
      </w:r>
      <w:r>
        <w:rPr>
          <w:rFonts w:ascii="Arial" w:cs="Arial" w:eastAsia="Arial" w:hAnsi="Arial"/>
          <w:sz w:val="18"/>
          <w:szCs w:val="18"/>
          <w:color w:val="auto"/>
        </w:rPr>
        <w:t xml:space="preserve">. Copies of certain information filed by us with the SEC are also available on our website at </w:t>
      </w:r>
      <w:r>
        <w:rPr>
          <w:rFonts w:ascii="Arial" w:cs="Arial" w:eastAsia="Arial" w:hAnsi="Arial"/>
          <w:sz w:val="18"/>
          <w:szCs w:val="18"/>
          <w:i w:val="1"/>
          <w:iCs w:val="1"/>
          <w:color w:val="auto"/>
        </w:rPr>
        <w:t>http://www.analog.com</w:t>
      </w:r>
      <w:r>
        <w:rPr>
          <w:rFonts w:ascii="Arial" w:cs="Arial" w:eastAsia="Arial" w:hAnsi="Arial"/>
          <w:sz w:val="18"/>
          <w:szCs w:val="18"/>
          <w:color w:val="auto"/>
        </w:rPr>
        <w:t>. The information contained on, or that can be accessed through, our website is not a part of this prospectus. We have included our</w:t>
      </w:r>
      <w:r>
        <w:rPr>
          <w:rFonts w:ascii="Arial" w:cs="Arial" w:eastAsia="Arial" w:hAnsi="Arial"/>
          <w:sz w:val="18"/>
          <w:szCs w:val="18"/>
          <w:i w:val="1"/>
          <w:iCs w:val="1"/>
          <w:color w:val="auto"/>
        </w:rPr>
        <w:t xml:space="preserve"> </w:t>
      </w:r>
      <w:r>
        <w:rPr>
          <w:rFonts w:ascii="Arial" w:cs="Arial" w:eastAsia="Arial" w:hAnsi="Arial"/>
          <w:sz w:val="18"/>
          <w:szCs w:val="18"/>
          <w:color w:val="auto"/>
        </w:rPr>
        <w:t>website address in this prospectus solely as an inactive textual reference. You may also read and copy any document we file at the SEC’s Public Reference Room, 100 F Street, N.E., Washington, D.C. 20549. Please call the SEC at 1-800-SEC-0330 for further information on the operation of the Public Reference Room.</w:t>
      </w:r>
    </w:p>
    <w:p>
      <w:pPr>
        <w:spacing w:after="0" w:line="193"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This prospectus is part of a registration statement we filed with the SEC. This prospectus omits some information contained in the registration statement in accordance with SEC rules and regulations. You should review the information and exhibits in the registration statement for further information about us and the securities we are offering. Statements in this prospectus concerning any document we filed as an exhibit to the registration statement or that we otherwise filed with the SEC are not intended to be comprehensive and are qualified by reference to these filings. You should review the complete document to evaluate these statements.</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459"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SEC allows us to incorporate by reference much of the information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(File No. 001-07819) and any future filings we make with the SEC under Sections 13(a), 13(c), 14 or 15(d) of the Securities Exchange Act of 1934, as amended, or the Exchange Act (in each case, other than those documents or the portions of those documents not deemed to be filed), until the offering of the securities under the registration statement is terminated or completed:</w:t>
      </w:r>
    </w:p>
    <w:p>
      <w:pPr>
        <w:spacing w:after="0" w:line="72" w:lineRule="exact"/>
        <w:rPr>
          <w:sz w:val="20"/>
          <w:szCs w:val="20"/>
          <w:color w:val="auto"/>
        </w:rPr>
      </w:pPr>
    </w:p>
    <w:p>
      <w:pPr>
        <w:ind w:left="900" w:right="400" w:hanging="325"/>
        <w:spacing w:after="0" w:line="264"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November 1, 2014, filed with the SEC on December 10, 2014, including the information specifically incorporated by reference into the Annual Report on Form 10-K from our Definitive Proxy Statement for our 2015 Annual Meeting of Stockholders, filed with the SEC on January 29, 2015;</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Quarterly Report on Form 10-Q for the fiscal quarter ended January 31, 2015, filed with the SEC on February 17, 2015;</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Quarterly Report on Form 10-Q for the fiscal quarter ended May 2, 2015, filed with the SEC on May 19, 2015;</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Quarterly Report on Form 10-Q for the fiscal quarter ended August 1, 2015, filed with the SEC on August 18, 2015; and</w:t>
      </w:r>
    </w:p>
    <w:p>
      <w:pPr>
        <w:spacing w:after="0" w:line="130"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Current Reports on Form 8-K, filed with the SEC on December 5, 2014, January 21, 2015, March 11, 2015, April 30, 2015, June 18, 2015, July 13, 2015 and August 18,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You may request a copy of these filings, at no cost, by writing or telephoning us at the following address or telephone number:</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One Technology Way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Norwood, MA 02062</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Telephone: (781) 461-3282</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Attention: Investor Relations</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40" w:top="459" w:right="3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This prospectus and the information incorporated by reference in this prospectus include “forward-looking statements” within the meaning of Section 27A of the Securities Act of 1933, as amended, or the Securities Act, and Section 21E of the Securities Exchange Act of 1934, as amended, or the Exchange Act. These statements are based on current expectations, estimates, forecasts, and projections about the industries in which we operate and the beliefs and assumptions of our management. Words such as “expects,” “anticipates,” “targets,” “goals,” “projects,” “intends,” “plans,” “believes,” “seeks,” “estimates,” “continues,” “may,” “could” and “will” and variations of such words and similar expressions are intended to identify such forward-looking statements. In addition, any statements that refer to projections regarding our future financial performance; our anticipated growth and trends in our businesses; our future liquidity, capital needs and capital expenditures; our future market position and expected competitive changes in the marketplace for our products; our ability to pay dividends or repurchase stock; our ability to service our outstanding debt; our expected tax rate; the effect of new accounting pronouncements; our ability to successfully integrate acquired businesses and technologies; and other characterizations of future events or circumstances are forward-looking statements. You are cautioned that these forward-looking statements are only predictions and are subject to risks, uncertainties and assumptions that are difficult to predict. You should pay particular attention to the important risk factors and cautionary statements referenced in the section of any accompanying prospectus supplement entitled “Risk Factors.” You should also carefully review the risk factors and cautionary statements described in the other documents we file from time to time with the SEC, specifically our Annual Reports on Form 10-K, our Quarterly Reports on Form 10-Q and our Current Reports on Form 8-K. We undertake no obligation to revise or update any forward-looking statements, except to the extent required by law.</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We are a world leader in the design, manufacture and marketing of a broad portfolio of high-performance analog, mixed-signal and digital signal processing integrated circuits used in virtually all types of electronic equipment.</w:t>
      </w:r>
    </w:p>
    <w:p>
      <w:pPr>
        <w:spacing w:after="0" w:line="170"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Since our inception in 1965, we have focused on solving the engineering challenges associated with signal processing in electronic equipment. Our signal processing products play a fundamental role in converting, conditioning and processing real-world phenomena such as temperature, pressure, sound, light, speed and motion into electrical signals to be used in a wide array of electronic devices.</w:t>
      </w:r>
    </w:p>
    <w:p>
      <w:pPr>
        <w:spacing w:after="0" w:line="18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We sell our products globally through a direct sales force, third-party distributors and independent sales representatives and via our website. We have direct sales offices, sales representatives or distributors in over 40 countries outside North America.</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incorporated in Massachusetts. As of August 12, 2015, we employed approximately 9,800 individuals worldwide.</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Our common stock is listed on The NASDAQ Global Select Market under the ticker symbol “ADI”. Our principal executive offices are located at One Technology Way, Norwood, Massachusetts 02062, and our telephone number is (781) 329-4700.</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20"/>
          </w:cols>
          <w:pgMar w:left="240" w:top="459"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RATIOS OF EARNINGS TO FIXED CHARGES</w:t>
      </w:r>
    </w:p>
    <w:p>
      <w:pPr>
        <w:spacing w:after="0" w:line="229"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following table sets forth our ratio of earnings to fixed charges for each of the periods indicated. You should read this table in conjunction with the consolidated financial statements and notes incorporated by reference herein.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13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5"/>
              </w:rPr>
              <w:t>Nine Months</w:t>
            </w: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40" w:type="dxa"/>
            <w:vAlign w:val="bottom"/>
            <w:gridSpan w:val="3"/>
            <w:vMerge w:val="restart"/>
          </w:tcPr>
          <w:p>
            <w:pPr>
              <w:ind w:left="300"/>
              <w:spacing w:after="0"/>
              <w:rPr>
                <w:sz w:val="20"/>
                <w:szCs w:val="20"/>
                <w:color w:val="auto"/>
              </w:rPr>
            </w:pPr>
            <w:r>
              <w:rPr>
                <w:rFonts w:ascii="Arial" w:cs="Arial" w:eastAsia="Arial" w:hAnsi="Arial"/>
                <w:sz w:val="14"/>
                <w:szCs w:val="14"/>
                <w:b w:val="1"/>
                <w:bCs w:val="1"/>
                <w:color w:val="auto"/>
              </w:rPr>
              <w:t>Fiscal Year Ended</w:t>
            </w: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80" w:type="dxa"/>
            <w:vAlign w:val="bottom"/>
          </w:tcPr>
          <w:p>
            <w:pPr>
              <w:spacing w:after="0"/>
              <w:rPr>
                <w:sz w:val="14"/>
                <w:szCs w:val="14"/>
                <w:color w:val="auto"/>
              </w:rPr>
            </w:pPr>
          </w:p>
        </w:tc>
        <w:tc>
          <w:tcPr>
            <w:tcW w:w="13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3"/>
              </w:rPr>
              <w:t>Ended</w:t>
            </w: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40" w:type="dxa"/>
            <w:vAlign w:val="bottom"/>
            <w:gridSpan w:val="3"/>
            <w:vMerge w:val="continue"/>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180" w:type="dxa"/>
            <w:vAlign w:val="bottom"/>
          </w:tcPr>
          <w:p>
            <w:pPr>
              <w:spacing w:after="0"/>
              <w:rPr>
                <w:sz w:val="10"/>
                <w:szCs w:val="10"/>
                <w:color w:val="auto"/>
              </w:rPr>
            </w:pPr>
          </w:p>
        </w:tc>
        <w:tc>
          <w:tcPr>
            <w:tcW w:w="8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August 1,</w:t>
            </w:r>
          </w:p>
        </w:tc>
        <w:tc>
          <w:tcPr>
            <w:tcW w:w="520" w:type="dxa"/>
            <w:vAlign w:val="bottom"/>
          </w:tcPr>
          <w:p>
            <w:pPr>
              <w:spacing w:after="0"/>
              <w:rPr>
                <w:sz w:val="10"/>
                <w:szCs w:val="10"/>
                <w:color w:val="auto"/>
              </w:rPr>
            </w:pPr>
          </w:p>
        </w:tc>
        <w:tc>
          <w:tcPr>
            <w:tcW w:w="132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November 1,</w:t>
            </w:r>
          </w:p>
        </w:tc>
        <w:tc>
          <w:tcPr>
            <w:tcW w:w="780" w:type="dxa"/>
            <w:vAlign w:val="bottom"/>
            <w:tcBorders>
              <w:top w:val="single" w:sz="8" w:color="auto"/>
            </w:tcBorders>
          </w:tcPr>
          <w:p>
            <w:pPr>
              <w:spacing w:after="0" w:line="119" w:lineRule="exact"/>
              <w:rPr>
                <w:sz w:val="20"/>
                <w:szCs w:val="20"/>
                <w:color w:val="auto"/>
              </w:rPr>
            </w:pPr>
            <w:r>
              <w:rPr>
                <w:rFonts w:ascii="Arial" w:cs="Arial" w:eastAsia="Arial" w:hAnsi="Arial"/>
                <w:sz w:val="13"/>
                <w:szCs w:val="13"/>
                <w:b w:val="1"/>
                <w:bCs w:val="1"/>
                <w:color w:val="auto"/>
                <w:w w:val="97"/>
              </w:rPr>
              <w:t>November 2,</w:t>
            </w:r>
          </w:p>
        </w:tc>
        <w:tc>
          <w:tcPr>
            <w:tcW w:w="52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November 3,</w:t>
            </w:r>
          </w:p>
        </w:tc>
        <w:tc>
          <w:tcPr>
            <w:tcW w:w="126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October 29,</w:t>
            </w:r>
          </w:p>
        </w:tc>
        <w:tc>
          <w:tcPr>
            <w:tcW w:w="720" w:type="dxa"/>
            <w:vAlign w:val="bottom"/>
            <w:tcBorders>
              <w:top w:val="single" w:sz="8" w:color="auto"/>
            </w:tcBorders>
          </w:tcPr>
          <w:p>
            <w:pPr>
              <w:spacing w:after="0" w:line="119" w:lineRule="exact"/>
              <w:rPr>
                <w:sz w:val="20"/>
                <w:szCs w:val="20"/>
                <w:color w:val="auto"/>
              </w:rPr>
            </w:pPr>
            <w:r>
              <w:rPr>
                <w:rFonts w:ascii="Arial" w:cs="Arial" w:eastAsia="Arial" w:hAnsi="Arial"/>
                <w:sz w:val="13"/>
                <w:szCs w:val="13"/>
                <w:b w:val="1"/>
                <w:bCs w:val="1"/>
                <w:color w:val="auto"/>
                <w:w w:val="97"/>
              </w:rPr>
              <w:t>October 30,</w:t>
            </w:r>
          </w:p>
        </w:tc>
        <w:tc>
          <w:tcPr>
            <w:tcW w:w="0" w:type="dxa"/>
            <w:vAlign w:val="bottom"/>
          </w:tcPr>
          <w:p>
            <w:pPr>
              <w:spacing w:after="0"/>
              <w:rPr>
                <w:sz w:val="1"/>
                <w:szCs w:val="1"/>
                <w:color w:val="auto"/>
              </w:rPr>
            </w:pPr>
          </w:p>
        </w:tc>
      </w:tr>
      <w:tr>
        <w:trPr>
          <w:trHeight w:val="171"/>
        </w:trPr>
        <w:tc>
          <w:tcPr>
            <w:tcW w:w="4180" w:type="dxa"/>
            <w:vAlign w:val="bottom"/>
          </w:tcPr>
          <w:p>
            <w:pPr>
              <w:spacing w:after="0"/>
              <w:rPr>
                <w:sz w:val="14"/>
                <w:szCs w:val="14"/>
                <w:color w:val="auto"/>
              </w:rPr>
            </w:pPr>
          </w:p>
        </w:tc>
        <w:tc>
          <w:tcPr>
            <w:tcW w:w="800" w:type="dxa"/>
            <w:vAlign w:val="bottom"/>
          </w:tcPr>
          <w:p>
            <w:pPr>
              <w:jc w:val="right"/>
              <w:ind w:right="185"/>
              <w:spacing w:after="0"/>
              <w:rPr>
                <w:sz w:val="20"/>
                <w:szCs w:val="20"/>
                <w:color w:val="auto"/>
              </w:rPr>
            </w:pPr>
            <w:r>
              <w:rPr>
                <w:rFonts w:ascii="Arial" w:cs="Arial" w:eastAsia="Arial" w:hAnsi="Arial"/>
                <w:sz w:val="14"/>
                <w:szCs w:val="14"/>
                <w:b w:val="1"/>
                <w:bCs w:val="1"/>
                <w:color w:val="auto"/>
              </w:rPr>
              <w:t>2015</w:t>
            </w:r>
          </w:p>
        </w:tc>
        <w:tc>
          <w:tcPr>
            <w:tcW w:w="520" w:type="dxa"/>
            <w:vAlign w:val="bottom"/>
          </w:tcPr>
          <w:p>
            <w:pPr>
              <w:spacing w:after="0"/>
              <w:rPr>
                <w:sz w:val="14"/>
                <w:szCs w:val="14"/>
                <w:color w:val="auto"/>
              </w:rPr>
            </w:pPr>
          </w:p>
        </w:tc>
        <w:tc>
          <w:tcPr>
            <w:tcW w:w="780" w:type="dxa"/>
            <w:vAlign w:val="bottom"/>
          </w:tcPr>
          <w:p>
            <w:pPr>
              <w:jc w:val="right"/>
              <w:ind w:right="164"/>
              <w:spacing w:after="0"/>
              <w:rPr>
                <w:sz w:val="20"/>
                <w:szCs w:val="20"/>
                <w:color w:val="auto"/>
              </w:rPr>
            </w:pPr>
            <w:r>
              <w:rPr>
                <w:rFonts w:ascii="Arial" w:cs="Arial" w:eastAsia="Arial" w:hAnsi="Arial"/>
                <w:sz w:val="14"/>
                <w:szCs w:val="14"/>
                <w:b w:val="1"/>
                <w:bCs w:val="1"/>
                <w:color w:val="auto"/>
              </w:rPr>
              <w:t>2014</w:t>
            </w:r>
          </w:p>
        </w:tc>
        <w:tc>
          <w:tcPr>
            <w:tcW w:w="540" w:type="dxa"/>
            <w:vAlign w:val="bottom"/>
          </w:tcPr>
          <w:p>
            <w:pPr>
              <w:spacing w:after="0"/>
              <w:rPr>
                <w:sz w:val="14"/>
                <w:szCs w:val="14"/>
                <w:color w:val="auto"/>
              </w:rPr>
            </w:pPr>
          </w:p>
        </w:tc>
        <w:tc>
          <w:tcPr>
            <w:tcW w:w="780" w:type="dxa"/>
            <w:vAlign w:val="bottom"/>
          </w:tcPr>
          <w:p>
            <w:pPr>
              <w:jc w:val="right"/>
              <w:ind w:right="164"/>
              <w:spacing w:after="0"/>
              <w:rPr>
                <w:sz w:val="20"/>
                <w:szCs w:val="20"/>
                <w:color w:val="auto"/>
              </w:rPr>
            </w:pPr>
            <w:r>
              <w:rPr>
                <w:rFonts w:ascii="Arial" w:cs="Arial" w:eastAsia="Arial" w:hAnsi="Arial"/>
                <w:sz w:val="14"/>
                <w:szCs w:val="14"/>
                <w:b w:val="1"/>
                <w:bCs w:val="1"/>
                <w:color w:val="auto"/>
              </w:rPr>
              <w:t>2013</w:t>
            </w:r>
          </w:p>
        </w:tc>
        <w:tc>
          <w:tcPr>
            <w:tcW w:w="1300" w:type="dxa"/>
            <w:vAlign w:val="bottom"/>
            <w:gridSpan w:val="2"/>
          </w:tcPr>
          <w:p>
            <w:pPr>
              <w:jc w:val="right"/>
              <w:ind w:right="173"/>
              <w:spacing w:after="0"/>
              <w:rPr>
                <w:sz w:val="20"/>
                <w:szCs w:val="20"/>
                <w:color w:val="auto"/>
              </w:rPr>
            </w:pPr>
            <w:r>
              <w:rPr>
                <w:rFonts w:ascii="Arial" w:cs="Arial" w:eastAsia="Arial" w:hAnsi="Arial"/>
                <w:sz w:val="14"/>
                <w:szCs w:val="14"/>
                <w:b w:val="1"/>
                <w:bCs w:val="1"/>
                <w:color w:val="auto"/>
              </w:rPr>
              <w:t>2012</w:t>
            </w:r>
          </w:p>
        </w:tc>
        <w:tc>
          <w:tcPr>
            <w:tcW w:w="540" w:type="dxa"/>
            <w:vAlign w:val="bottom"/>
          </w:tcPr>
          <w:p>
            <w:pPr>
              <w:spacing w:after="0"/>
              <w:rPr>
                <w:sz w:val="14"/>
                <w:szCs w:val="14"/>
                <w:color w:val="auto"/>
              </w:rPr>
            </w:pPr>
          </w:p>
        </w:tc>
        <w:tc>
          <w:tcPr>
            <w:tcW w:w="720" w:type="dxa"/>
            <w:vAlign w:val="bottom"/>
          </w:tcPr>
          <w:p>
            <w:pPr>
              <w:jc w:val="right"/>
              <w:ind w:right="144"/>
              <w:spacing w:after="0"/>
              <w:rPr>
                <w:sz w:val="20"/>
                <w:szCs w:val="20"/>
                <w:color w:val="auto"/>
              </w:rPr>
            </w:pPr>
            <w:r>
              <w:rPr>
                <w:rFonts w:ascii="Arial" w:cs="Arial" w:eastAsia="Arial" w:hAnsi="Arial"/>
                <w:sz w:val="14"/>
                <w:szCs w:val="14"/>
                <w:b w:val="1"/>
                <w:bCs w:val="1"/>
                <w:color w:val="auto"/>
              </w:rPr>
              <w:t>2011</w:t>
            </w:r>
          </w:p>
        </w:tc>
        <w:tc>
          <w:tcPr>
            <w:tcW w:w="540" w:type="dxa"/>
            <w:vAlign w:val="bottom"/>
          </w:tcPr>
          <w:p>
            <w:pPr>
              <w:spacing w:after="0"/>
              <w:rPr>
                <w:sz w:val="14"/>
                <w:szCs w:val="14"/>
                <w:color w:val="auto"/>
              </w:rPr>
            </w:pPr>
          </w:p>
        </w:tc>
        <w:tc>
          <w:tcPr>
            <w:tcW w:w="720" w:type="dxa"/>
            <w:vAlign w:val="bottom"/>
          </w:tcPr>
          <w:p>
            <w:pPr>
              <w:jc w:val="right"/>
              <w:ind w:right="144"/>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182"/>
        </w:trPr>
        <w:tc>
          <w:tcPr>
            <w:tcW w:w="41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Consolidated Ratios of Earnings to Fixed</w:t>
            </w:r>
          </w:p>
        </w:tc>
        <w:tc>
          <w:tcPr>
            <w:tcW w:w="80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Charges(1)</w:t>
            </w:r>
          </w:p>
        </w:tc>
        <w:tc>
          <w:tcPr>
            <w:tcW w:w="800" w:type="dxa"/>
            <w:vAlign w:val="bottom"/>
            <w:shd w:val="clear" w:color="auto" w:fill="CCEEFF"/>
          </w:tcPr>
          <w:p>
            <w:pPr>
              <w:jc w:val="right"/>
              <w:ind w:right="165"/>
              <w:spacing w:after="0"/>
              <w:rPr>
                <w:sz w:val="20"/>
                <w:szCs w:val="20"/>
                <w:color w:val="auto"/>
              </w:rPr>
            </w:pPr>
            <w:r>
              <w:rPr>
                <w:rFonts w:ascii="Arial" w:cs="Arial" w:eastAsia="Arial" w:hAnsi="Arial"/>
                <w:sz w:val="18"/>
                <w:szCs w:val="18"/>
                <w:color w:val="auto"/>
              </w:rPr>
              <w:t>34.2</w:t>
            </w:r>
          </w:p>
        </w:tc>
        <w:tc>
          <w:tcPr>
            <w:tcW w:w="52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44"/>
              <w:spacing w:after="0"/>
              <w:rPr>
                <w:sz w:val="20"/>
                <w:szCs w:val="20"/>
                <w:color w:val="auto"/>
              </w:rPr>
            </w:pPr>
            <w:r>
              <w:rPr>
                <w:rFonts w:ascii="Arial" w:cs="Arial" w:eastAsia="Arial" w:hAnsi="Arial"/>
                <w:sz w:val="18"/>
                <w:szCs w:val="18"/>
                <w:color w:val="auto"/>
              </w:rPr>
              <w:t>21.3</w:t>
            </w:r>
          </w:p>
        </w:tc>
        <w:tc>
          <w:tcPr>
            <w:tcW w:w="54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64"/>
              <w:spacing w:after="0"/>
              <w:rPr>
                <w:sz w:val="20"/>
                <w:szCs w:val="20"/>
                <w:color w:val="auto"/>
              </w:rPr>
            </w:pPr>
            <w:r>
              <w:rPr>
                <w:rFonts w:ascii="Arial" w:cs="Arial" w:eastAsia="Arial" w:hAnsi="Arial"/>
                <w:sz w:val="18"/>
                <w:szCs w:val="18"/>
                <w:color w:val="auto"/>
              </w:rPr>
              <w:t>26.3</w:t>
            </w:r>
          </w:p>
        </w:tc>
        <w:tc>
          <w:tcPr>
            <w:tcW w:w="1300" w:type="dxa"/>
            <w:vAlign w:val="bottom"/>
            <w:gridSpan w:val="2"/>
            <w:shd w:val="clear" w:color="auto" w:fill="CCEEFF"/>
          </w:tcPr>
          <w:p>
            <w:pPr>
              <w:jc w:val="right"/>
              <w:ind w:right="153"/>
              <w:spacing w:after="0"/>
              <w:rPr>
                <w:sz w:val="20"/>
                <w:szCs w:val="20"/>
                <w:color w:val="auto"/>
              </w:rPr>
            </w:pPr>
            <w:r>
              <w:rPr>
                <w:rFonts w:ascii="Arial" w:cs="Arial" w:eastAsia="Arial" w:hAnsi="Arial"/>
                <w:sz w:val="18"/>
                <w:szCs w:val="18"/>
                <w:color w:val="auto"/>
              </w:rPr>
              <w:t>26.0</w:t>
            </w:r>
          </w:p>
        </w:tc>
        <w:tc>
          <w:tcPr>
            <w:tcW w:w="54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124"/>
              <w:spacing w:after="0"/>
              <w:rPr>
                <w:sz w:val="20"/>
                <w:szCs w:val="20"/>
                <w:color w:val="auto"/>
              </w:rPr>
            </w:pPr>
            <w:r>
              <w:rPr>
                <w:rFonts w:ascii="Arial" w:cs="Arial" w:eastAsia="Arial" w:hAnsi="Arial"/>
                <w:sz w:val="18"/>
                <w:szCs w:val="18"/>
                <w:color w:val="auto"/>
              </w:rPr>
              <w:t>54.4</w:t>
            </w:r>
          </w:p>
        </w:tc>
        <w:tc>
          <w:tcPr>
            <w:tcW w:w="54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124"/>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520" w:hanging="452"/>
        <w:spacing w:after="0" w:line="308" w:lineRule="auto"/>
        <w:tabs>
          <w:tab w:leader="none" w:pos="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For purposes of computing the ratio of earnings to fixed charges, earnings consist of income before income taxes plus amortization of capitalized interest and fixed charges. Fixed charges consist of interest expense (including an estimate of interest within rent expense).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intend to use the net proceeds from the sale of any securities offered under this prospectus for general corporate purposes unless otherwise indicated in the applicable prospectus supplement. General corporate purposes may include the acquisition of companies or businesses, repayment and refinancing of debt, working capital and capital expenditures.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This prospectus describes certain general terms and provisions of our debt securities. When we offer to sell a particular series of debt securities, we will describe the specific terms of the series in a supplement to this prospectus. We will also indicate in the supplement whether the general terms and provisions described in this prospectus apply to a particular series of debt securities.</w:t>
      </w:r>
    </w:p>
    <w:p>
      <w:pPr>
        <w:spacing w:after="0" w:line="18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Unless otherwise specified in a supplement to this prospectus, the debt securities will be our direct, unsecured obligations and will rank equally with all of our other unsecured and unsubordinated indebtedness.</w:t>
      </w:r>
    </w:p>
    <w:p>
      <w:pPr>
        <w:spacing w:after="0" w:line="170" w:lineRule="exact"/>
        <w:rPr>
          <w:sz w:val="20"/>
          <w:szCs w:val="20"/>
          <w:color w:val="auto"/>
        </w:rPr>
      </w:pPr>
    </w:p>
    <w:p>
      <w:pPr>
        <w:ind w:right="240" w:firstLine="456"/>
        <w:spacing w:after="0" w:line="279" w:lineRule="auto"/>
        <w:rPr>
          <w:sz w:val="20"/>
          <w:szCs w:val="20"/>
          <w:color w:val="auto"/>
        </w:rPr>
      </w:pPr>
      <w:r>
        <w:rPr>
          <w:rFonts w:ascii="Arial" w:cs="Arial" w:eastAsia="Arial" w:hAnsi="Arial"/>
          <w:sz w:val="17"/>
          <w:szCs w:val="17"/>
          <w:color w:val="auto"/>
        </w:rPr>
        <w:t>The debt securities will be issued under an indenture dated June 3, 2013 between us and The Bank of New York Mellon Trust Company, N.A., as trustee, which we refer to as the “indenture”. We have summarized select portions of the indenture below. The summary is not complete. The indenture has been incorporated by reference as an exhibit to the registration statement and you should read the indenture for provisions that may be important to you. Capitalized terms used in the summary and not defined herein have the meanings specified in the indenture.</w:t>
      </w:r>
    </w:p>
    <w:p>
      <w:pPr>
        <w:spacing w:after="0" w:line="17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When we refer to “the Company,” “we,” “our” and “us” in this section, we mean Analog Devices, Inc. excluding, unless the context otherwise requires or as otherwise expressly stated, our subsidiaries.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terms of each series of debt securities will be established by or pursuant to a resolution of our board of directors or a duly authorized committee of our board of directors and set forth or determined in the manner provided in a resolution of our board of directors or a duly authorized committee of our board of directors, in an officers’ certificate or by a supplemental indenture. The particular terms of each series of debt securities will be described in a prospectus supplement relating to such series (including any pricing supplement or term sheet).</w:t>
      </w:r>
    </w:p>
    <w:p>
      <w:pPr>
        <w:spacing w:after="0" w:line="187"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We can issue an unlimited amount of debt securities under the indenture that may be in one or more series with the same or various maturities, at par, at a premium, or at a discount. We will set forth in a prospectus supplement (including any pricing supplement or term sheet) relating to any series of debt securities being offered, the aggregate principal amount and the following terms of the debt securities, if applicable:</w:t>
      </w:r>
    </w:p>
    <w:p>
      <w:pPr>
        <w:spacing w:after="0" w:line="166" w:lineRule="exact"/>
        <w:rPr>
          <w:sz w:val="20"/>
          <w:szCs w:val="20"/>
          <w:color w:val="auto"/>
        </w:rPr>
      </w:pPr>
    </w:p>
    <w:p>
      <w:pPr>
        <w:ind w:left="720" w:hanging="256"/>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title of the debt securities;</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price or prices (expressed as a percentage of the principal amount) at which we will sell the debt securities;</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limit on the aggregate principal amount of the debt securities;</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date or dates on which we will pay the principal on the debt securities;</w:t>
      </w:r>
    </w:p>
    <w:p>
      <w:pPr>
        <w:spacing w:after="0" w:line="225" w:lineRule="exact"/>
        <w:rPr>
          <w:rFonts w:ascii="Arial" w:cs="Arial" w:eastAsia="Arial" w:hAnsi="Arial"/>
          <w:sz w:val="18"/>
          <w:szCs w:val="18"/>
          <w:color w:val="auto"/>
        </w:rPr>
      </w:pPr>
    </w:p>
    <w:p>
      <w:pPr>
        <w:ind w:firstLine="464"/>
        <w:spacing w:after="0" w:line="312" w:lineRule="auto"/>
        <w:tabs>
          <w:tab w:leader="none" w:pos="711"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spacing w:after="0" w:line="146" w:lineRule="exact"/>
        <w:rPr>
          <w:rFonts w:ascii="Arial" w:cs="Arial" w:eastAsia="Arial" w:hAnsi="Arial"/>
          <w:sz w:val="16"/>
          <w:szCs w:val="16"/>
          <w:color w:val="auto"/>
        </w:rPr>
      </w:pPr>
    </w:p>
    <w:p>
      <w:pPr>
        <w:ind w:left="720" w:hanging="256"/>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place or places where principal of, premium and interest on the debt securities will be payable;</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terms and conditions upon which we may redeem the debt securities;</w:t>
      </w:r>
    </w:p>
    <w:p>
      <w:pPr>
        <w:spacing w:after="0" w:line="225" w:lineRule="exact"/>
        <w:rPr>
          <w:rFonts w:ascii="Arial" w:cs="Arial" w:eastAsia="Arial" w:hAnsi="Arial"/>
          <w:sz w:val="18"/>
          <w:szCs w:val="18"/>
          <w:color w:val="auto"/>
        </w:rPr>
      </w:pPr>
    </w:p>
    <w:p>
      <w:pPr>
        <w:ind w:right="20" w:firstLine="464"/>
        <w:spacing w:after="0" w:line="277" w:lineRule="auto"/>
        <w:tabs>
          <w:tab w:leader="none" w:pos="711"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obligation we have to redeem or purchase the debt securities pursuant to any sinking fund or analogous provisions or at the option of a holder of debt securities;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40" w:firstLine="464"/>
        <w:spacing w:after="0" w:line="277" w:lineRule="auto"/>
        <w:tabs>
          <w:tab w:leader="none" w:pos="711"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dates on which and the price or prices at which we will repurchase debt securities at the option of the holders of debt securities and other detailed terms and provisions of these repurchase obligations;</w:t>
      </w:r>
    </w:p>
    <w:p>
      <w:pPr>
        <w:spacing w:after="0" w:line="170" w:lineRule="exact"/>
        <w:rPr>
          <w:rFonts w:ascii="Arial" w:cs="Arial" w:eastAsia="Arial" w:hAnsi="Arial"/>
          <w:sz w:val="18"/>
          <w:szCs w:val="18"/>
          <w:color w:val="auto"/>
        </w:rPr>
      </w:pPr>
    </w:p>
    <w:p>
      <w:pPr>
        <w:ind w:left="800" w:hanging="336"/>
        <w:spacing w:after="0"/>
        <w:tabs>
          <w:tab w:leader="none" w:pos="8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denominations in which the debt securities will be issued, if other than denominations of $1,000 and any integral multiple thereof;</w:t>
      </w:r>
    </w:p>
    <w:p>
      <w:pPr>
        <w:spacing w:after="0" w:line="128" w:lineRule="exact"/>
        <w:rPr>
          <w:rFonts w:ascii="Arial" w:cs="Arial" w:eastAsia="Arial" w:hAnsi="Arial"/>
          <w:sz w:val="17"/>
          <w:szCs w:val="17"/>
          <w:color w:val="auto"/>
        </w:rPr>
      </w:pPr>
    </w:p>
    <w:p>
      <w:pPr>
        <w:ind w:left="800" w:hanging="336"/>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whether the debt securities will be issued in the form of certificated debt securities or global debt securities;</w:t>
      </w:r>
    </w:p>
    <w:p>
      <w:pPr>
        <w:spacing w:after="0" w:line="225" w:lineRule="exact"/>
        <w:rPr>
          <w:rFonts w:ascii="Arial" w:cs="Arial" w:eastAsia="Arial" w:hAnsi="Arial"/>
          <w:sz w:val="18"/>
          <w:szCs w:val="18"/>
          <w:color w:val="auto"/>
        </w:rPr>
      </w:pPr>
    </w:p>
    <w:p>
      <w:pPr>
        <w:ind w:left="800" w:hanging="336"/>
        <w:spacing w:after="0"/>
        <w:tabs>
          <w:tab w:leader="none" w:pos="8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portion of the principal amount of the debt securities payable upon declaration of acceleration of the maturity date, if other than the principal</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amount;</w:t>
      </w:r>
    </w:p>
    <w:p>
      <w:pPr>
        <w:spacing w:after="0" w:line="210" w:lineRule="exact"/>
        <w:rPr>
          <w:rFonts w:ascii="Arial" w:cs="Arial" w:eastAsia="Arial" w:hAnsi="Arial"/>
          <w:sz w:val="16"/>
          <w:szCs w:val="16"/>
          <w:color w:val="auto"/>
        </w:rPr>
      </w:pPr>
    </w:p>
    <w:p>
      <w:pPr>
        <w:ind w:left="800" w:hanging="336"/>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currency of denomination of the debt securities;</w:t>
      </w:r>
    </w:p>
    <w:p>
      <w:pPr>
        <w:spacing w:after="0" w:line="225" w:lineRule="exact"/>
        <w:rPr>
          <w:rFonts w:ascii="Arial" w:cs="Arial" w:eastAsia="Arial" w:hAnsi="Arial"/>
          <w:sz w:val="18"/>
          <w:szCs w:val="18"/>
          <w:color w:val="auto"/>
        </w:rPr>
      </w:pPr>
    </w:p>
    <w:p>
      <w:pPr>
        <w:ind w:left="800" w:hanging="336"/>
        <w:spacing w:after="0"/>
        <w:tabs>
          <w:tab w:leader="none" w:pos="8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designation of the currency, currencies or currency units in which payment of principal of, premium and interest on the debt securities will be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made;</w:t>
      </w:r>
    </w:p>
    <w:p>
      <w:pPr>
        <w:spacing w:after="0" w:line="210" w:lineRule="exact"/>
        <w:rPr>
          <w:rFonts w:ascii="Arial" w:cs="Arial" w:eastAsia="Arial" w:hAnsi="Arial"/>
          <w:sz w:val="16"/>
          <w:szCs w:val="16"/>
          <w:color w:val="auto"/>
        </w:rPr>
      </w:pPr>
    </w:p>
    <w:p>
      <w:pPr>
        <w:ind w:right="40" w:firstLine="464"/>
        <w:spacing w:after="0" w:line="342" w:lineRule="auto"/>
        <w:tabs>
          <w:tab w:leader="none" w:pos="801" w:val="left"/>
        </w:tabs>
        <w:numPr>
          <w:ilvl w:val="0"/>
          <w:numId w:val="5"/>
        </w:numPr>
        <w:rPr>
          <w:rFonts w:ascii="Arial" w:cs="Arial" w:eastAsia="Arial" w:hAnsi="Arial"/>
          <w:sz w:val="16"/>
          <w:szCs w:val="16"/>
          <w:color w:val="auto"/>
        </w:rPr>
      </w:pPr>
      <w:r>
        <w:rPr>
          <w:rFonts w:ascii="Arial" w:cs="Arial" w:eastAsia="Arial" w:hAnsi="Arial"/>
          <w:sz w:val="16"/>
          <w:szCs w:val="16"/>
          <w:color w:val="auto"/>
        </w:rPr>
        <w:t>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w:t>
      </w:r>
    </w:p>
    <w:p>
      <w:pPr>
        <w:spacing w:after="0" w:line="123" w:lineRule="exact"/>
        <w:rPr>
          <w:rFonts w:ascii="Arial" w:cs="Arial" w:eastAsia="Arial" w:hAnsi="Arial"/>
          <w:sz w:val="16"/>
          <w:szCs w:val="16"/>
          <w:color w:val="auto"/>
        </w:rPr>
      </w:pPr>
    </w:p>
    <w:p>
      <w:pPr>
        <w:ind w:right="20" w:firstLine="464"/>
        <w:spacing w:after="0" w:line="264" w:lineRule="auto"/>
        <w:tabs>
          <w:tab w:leader="none" w:pos="801"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manner in which the amounts of payment of principal of, premium or interest on the debt securities will be determined, if these amounts may be determined by reference to an index based on a currency or currencies other than that in which the debt securities are denominated or designated to be payable or by reference to a commodity, commodity index, stock exchange index or financial index;</w:t>
      </w:r>
    </w:p>
    <w:p>
      <w:pPr>
        <w:spacing w:after="0" w:line="181" w:lineRule="exact"/>
        <w:rPr>
          <w:rFonts w:ascii="Arial" w:cs="Arial" w:eastAsia="Arial" w:hAnsi="Arial"/>
          <w:sz w:val="18"/>
          <w:szCs w:val="18"/>
          <w:color w:val="auto"/>
        </w:rPr>
      </w:pPr>
    </w:p>
    <w:p>
      <w:pPr>
        <w:ind w:left="800" w:hanging="336"/>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provisions relating to any security provided for the debt securities;</w:t>
      </w:r>
    </w:p>
    <w:p>
      <w:pPr>
        <w:spacing w:after="0" w:line="225" w:lineRule="exact"/>
        <w:rPr>
          <w:rFonts w:ascii="Arial" w:cs="Arial" w:eastAsia="Arial" w:hAnsi="Arial"/>
          <w:sz w:val="18"/>
          <w:szCs w:val="18"/>
          <w:color w:val="auto"/>
        </w:rPr>
      </w:pPr>
    </w:p>
    <w:p>
      <w:pPr>
        <w:ind w:right="380" w:firstLine="464"/>
        <w:spacing w:after="0" w:line="308" w:lineRule="auto"/>
        <w:tabs>
          <w:tab w:leader="none" w:pos="801" w:val="left"/>
        </w:tabs>
        <w:numPr>
          <w:ilvl w:val="0"/>
          <w:numId w:val="5"/>
        </w:numPr>
        <w:rPr>
          <w:rFonts w:ascii="Arial" w:cs="Arial" w:eastAsia="Arial" w:hAnsi="Arial"/>
          <w:sz w:val="17"/>
          <w:szCs w:val="17"/>
          <w:color w:val="auto"/>
        </w:rPr>
      </w:pPr>
      <w:r>
        <w:rPr>
          <w:rFonts w:ascii="Arial" w:cs="Arial" w:eastAsia="Arial" w:hAnsi="Arial"/>
          <w:sz w:val="17"/>
          <w:szCs w:val="17"/>
          <w:color w:val="auto"/>
        </w:rPr>
        <w:t>any addition to or change in the Events of Default described in this prospectus or in the indenture with respect to the debt securities and any change in the acceleration provisions described in this prospectus or in the indenture with respect to the debt securities;</w:t>
      </w:r>
    </w:p>
    <w:p>
      <w:pPr>
        <w:spacing w:after="0" w:line="146" w:lineRule="exact"/>
        <w:rPr>
          <w:rFonts w:ascii="Arial" w:cs="Arial" w:eastAsia="Arial" w:hAnsi="Arial"/>
          <w:sz w:val="17"/>
          <w:szCs w:val="17"/>
          <w:color w:val="auto"/>
        </w:rPr>
      </w:pPr>
    </w:p>
    <w:p>
      <w:pPr>
        <w:ind w:left="800" w:hanging="336"/>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addition to or change in the covenants described in this prospectus or in the indenture with respect to the debt securities;</w:t>
      </w:r>
    </w:p>
    <w:p>
      <w:pPr>
        <w:spacing w:after="0" w:line="225" w:lineRule="exact"/>
        <w:rPr>
          <w:rFonts w:ascii="Arial" w:cs="Arial" w:eastAsia="Arial" w:hAnsi="Arial"/>
          <w:sz w:val="18"/>
          <w:szCs w:val="18"/>
          <w:color w:val="auto"/>
        </w:rPr>
      </w:pPr>
    </w:p>
    <w:p>
      <w:pPr>
        <w:ind w:left="800" w:hanging="336"/>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listing on a securities exchange;</w:t>
      </w:r>
    </w:p>
    <w:p>
      <w:pPr>
        <w:spacing w:after="0" w:line="225" w:lineRule="exact"/>
        <w:rPr>
          <w:rFonts w:ascii="Arial" w:cs="Arial" w:eastAsia="Arial" w:hAnsi="Arial"/>
          <w:sz w:val="18"/>
          <w:szCs w:val="18"/>
          <w:color w:val="auto"/>
        </w:rPr>
      </w:pPr>
    </w:p>
    <w:p>
      <w:pPr>
        <w:ind w:left="800" w:hanging="336"/>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initial public offering price, if any is established for such debt securities;</w:t>
      </w:r>
    </w:p>
    <w:p>
      <w:pPr>
        <w:spacing w:after="0" w:line="225" w:lineRule="exact"/>
        <w:rPr>
          <w:rFonts w:ascii="Arial" w:cs="Arial" w:eastAsia="Arial" w:hAnsi="Arial"/>
          <w:sz w:val="18"/>
          <w:szCs w:val="18"/>
          <w:color w:val="auto"/>
        </w:rPr>
      </w:pPr>
    </w:p>
    <w:p>
      <w:pPr>
        <w:ind w:left="800" w:hanging="336"/>
        <w:spacing w:after="0"/>
        <w:tabs>
          <w:tab w:leader="none" w:pos="800" w:val="left"/>
        </w:tabs>
        <w:numPr>
          <w:ilvl w:val="0"/>
          <w:numId w:val="5"/>
        </w:numPr>
        <w:rPr>
          <w:rFonts w:ascii="Arial" w:cs="Arial" w:eastAsia="Arial" w:hAnsi="Arial"/>
          <w:sz w:val="16"/>
          <w:szCs w:val="16"/>
          <w:color w:val="auto"/>
        </w:rPr>
      </w:pPr>
      <w:r>
        <w:rPr>
          <w:rFonts w:ascii="Arial" w:cs="Arial" w:eastAsia="Arial" w:hAnsi="Arial"/>
          <w:sz w:val="16"/>
          <w:szCs w:val="16"/>
          <w:color w:val="auto"/>
        </w:rPr>
        <w:t>any other terms of the debt securities, which may supplement, modify or delete any provision of the indenture as it applies to that series; and</w:t>
      </w:r>
    </w:p>
    <w:p>
      <w:pPr>
        <w:spacing w:after="0" w:line="248" w:lineRule="exact"/>
        <w:rPr>
          <w:rFonts w:ascii="Arial" w:cs="Arial" w:eastAsia="Arial" w:hAnsi="Arial"/>
          <w:sz w:val="16"/>
          <w:szCs w:val="16"/>
          <w:color w:val="auto"/>
        </w:rPr>
      </w:pPr>
    </w:p>
    <w:p>
      <w:pPr>
        <w:ind w:right="100" w:firstLine="464"/>
        <w:spacing w:after="0" w:line="277" w:lineRule="auto"/>
        <w:tabs>
          <w:tab w:leader="none" w:pos="801"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depositaries, interest rate calculation agents, exchange rate calculation agents or other agents with respect to the debt securities if other than those appointed in the indenture.</w:t>
      </w:r>
    </w:p>
    <w:p>
      <w:pPr>
        <w:spacing w:after="0" w:line="17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addition, the indenture does not limit our ability to issue convertible or subordinated debt securities. We may also issue debt securities that provide for an amount less than their stated principal amount to be due and payable upon declaration of acceleration of their maturity pursuant to the terms of the indenture. We will provide you with information on the material United States federal income tax considerations and other special considerations applicable to any of these debt securities in the applicable prospectus supplement.</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60"/>
          </w:cols>
          <w:pgMar w:left="240" w:top="459" w:right="3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and Exchange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“Forms of Securities” in this prospectus for description of transfer and exchange.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Protection In the Event of a Change of Control</w:t>
      </w:r>
    </w:p>
    <w:p>
      <w:pPr>
        <w:spacing w:after="0" w:line="121"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set forth in the applicable prospectus supplement any restrictive covenants applicable to any issue of debt securities.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12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We may not consolidate with or merge with or into, or convey, transfer or lease all or substantially all of our properties and assets to, any person (a “successor person”) unless:</w:t>
      </w:r>
    </w:p>
    <w:p>
      <w:pPr>
        <w:spacing w:after="0" w:line="170" w:lineRule="exact"/>
        <w:rPr>
          <w:sz w:val="20"/>
          <w:szCs w:val="20"/>
          <w:color w:val="auto"/>
        </w:rPr>
      </w:pPr>
    </w:p>
    <w:p>
      <w:pPr>
        <w:ind w:right="120" w:firstLine="464"/>
        <w:spacing w:after="0" w:line="342" w:lineRule="auto"/>
        <w:tabs>
          <w:tab w:leader="none" w:pos="711"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are the surviving corporation or the successor person (if other than Analog Devices, Inc.) is a corporation organized and validly existing under the laws of any U.S. domestic jurisdiction and expressly assumes by a supplemental indenture our obligations on the debt securities and under the indenture;</w:t>
      </w:r>
    </w:p>
    <w:p>
      <w:pPr>
        <w:spacing w:after="0" w:line="123" w:lineRule="exact"/>
        <w:rPr>
          <w:rFonts w:ascii="Arial" w:cs="Arial" w:eastAsia="Arial" w:hAnsi="Arial"/>
          <w:sz w:val="16"/>
          <w:szCs w:val="16"/>
          <w:color w:val="auto"/>
        </w:rPr>
      </w:pPr>
    </w:p>
    <w:p>
      <w:pPr>
        <w:ind w:right="120" w:firstLine="464"/>
        <w:spacing w:after="0" w:line="277" w:lineRule="auto"/>
        <w:tabs>
          <w:tab w:leader="none" w:pos="711" w:val="left"/>
        </w:tabs>
        <w:numPr>
          <w:ilvl w:val="0"/>
          <w:numId w:val="6"/>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Event of Default, and no event which, after notice or lapse of time, or both, would become an Event of Default, shall have occurred and be continuing under the indenture; and</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certain other conditions are met.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Notwithstanding the above, any subsidiary of ours may consolidate with, merge into or transfer all or part of its properties to us.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Default</w:t>
      </w:r>
      <w:r>
        <w:rPr>
          <w:rFonts w:ascii="Arial" w:cs="Arial" w:eastAsia="Arial" w:hAnsi="Arial"/>
          <w:sz w:val="18"/>
          <w:szCs w:val="18"/>
          <w:color w:val="auto"/>
        </w:rPr>
        <w:t>” means with respect to any series of debt securities, any of the following unless otherwise provided in the resolutions establishing such series:</w:t>
      </w:r>
    </w:p>
    <w:p>
      <w:pPr>
        <w:spacing w:after="0" w:line="170" w:lineRule="exact"/>
        <w:rPr>
          <w:sz w:val="20"/>
          <w:szCs w:val="20"/>
          <w:color w:val="auto"/>
        </w:rPr>
      </w:pPr>
    </w:p>
    <w:p>
      <w:pPr>
        <w:ind w:right="180" w:firstLine="464"/>
        <w:spacing w:after="0" w:line="277" w:lineRule="auto"/>
        <w:tabs>
          <w:tab w:leader="none" w:pos="711" w:val="left"/>
        </w:tabs>
        <w:numPr>
          <w:ilvl w:val="0"/>
          <w:numId w:val="7"/>
        </w:numPr>
        <w:rPr>
          <w:rFonts w:ascii="Arial" w:cs="Arial" w:eastAsia="Arial" w:hAnsi="Arial"/>
          <w:sz w:val="18"/>
          <w:szCs w:val="18"/>
          <w:color w:val="auto"/>
        </w:rPr>
      </w:pPr>
      <w:r>
        <w:rPr>
          <w:rFonts w:ascii="Arial" w:cs="Arial" w:eastAsia="Arial" w:hAnsi="Arial"/>
          <w:sz w:val="18"/>
          <w:szCs w:val="18"/>
          <w:color w:val="auto"/>
        </w:rPr>
        <w:t>default in the payment of any interest upon any debt security of that series when it becomes due and payable, and continuance of that default for a period of 30 days;</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default in the payment of principal of or premium on any debt security of that series when due and payable;</w:t>
      </w:r>
    </w:p>
    <w:p>
      <w:pPr>
        <w:spacing w:after="0" w:line="225" w:lineRule="exact"/>
        <w:rPr>
          <w:rFonts w:ascii="Arial" w:cs="Arial" w:eastAsia="Arial" w:hAnsi="Arial"/>
          <w:sz w:val="18"/>
          <w:szCs w:val="18"/>
          <w:color w:val="auto"/>
        </w:rPr>
      </w:pPr>
    </w:p>
    <w:p>
      <w:pPr>
        <w:jc w:val="both"/>
        <w:ind w:firstLine="464"/>
        <w:spacing w:after="0" w:line="259" w:lineRule="auto"/>
        <w:tabs>
          <w:tab w:leader="none" w:pos="711" w:val="left"/>
        </w:tabs>
        <w:numPr>
          <w:ilvl w:val="0"/>
          <w:numId w:val="7"/>
        </w:numPr>
        <w:rPr>
          <w:rFonts w:ascii="Arial" w:cs="Arial" w:eastAsia="Arial" w:hAnsi="Arial"/>
          <w:sz w:val="18"/>
          <w:szCs w:val="18"/>
          <w:color w:val="auto"/>
        </w:rPr>
      </w:pPr>
      <w:r>
        <w:rPr>
          <w:rFonts w:ascii="Arial" w:cs="Arial" w:eastAsia="Arial" w:hAnsi="Arial"/>
          <w:sz w:val="18"/>
          <w:szCs w:val="18"/>
          <w:color w:val="auto"/>
        </w:rPr>
        <w:t>default in the performance or breach of any other covenant by us in the indenture (other than a covenant that has been included in the indenture solely for the benefit of a series of debt securities other than such series), which default continues uncured for a period of 90 days after we receive written notice from the trustee or we and the trustee receive written notice from the holders of not less than 25% in principal amount of the outstanding debt securities of that series as provided in the indenture;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20" w:hanging="256"/>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certain events of bankruptcy, insolvency or reorganization involving us; and</w:t>
      </w:r>
    </w:p>
    <w:p>
      <w:pPr>
        <w:spacing w:after="0" w:line="225" w:lineRule="exact"/>
        <w:rPr>
          <w:rFonts w:ascii="Arial" w:cs="Arial" w:eastAsia="Arial" w:hAnsi="Arial"/>
          <w:sz w:val="18"/>
          <w:szCs w:val="18"/>
          <w:color w:val="auto"/>
        </w:rPr>
      </w:pPr>
    </w:p>
    <w:p>
      <w:pPr>
        <w:ind w:right="780" w:firstLine="464"/>
        <w:spacing w:after="0" w:line="277" w:lineRule="auto"/>
        <w:tabs>
          <w:tab w:leader="none" w:pos="711"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debt securities of that series that is described in the applicable prospectus supplement accompanying this prospectus.</w:t>
      </w:r>
    </w:p>
    <w:p>
      <w:pPr>
        <w:spacing w:after="0" w:line="170" w:lineRule="exact"/>
        <w:rPr>
          <w:sz w:val="20"/>
          <w:szCs w:val="20"/>
          <w:color w:val="auto"/>
        </w:rPr>
      </w:pPr>
    </w:p>
    <w:p>
      <w:pPr>
        <w:ind w:right="200" w:firstLine="456"/>
        <w:spacing w:after="0" w:line="312" w:lineRule="auto"/>
        <w:rPr>
          <w:sz w:val="20"/>
          <w:szCs w:val="20"/>
          <w:color w:val="auto"/>
        </w:rPr>
      </w:pPr>
      <w:r>
        <w:rPr>
          <w:rFonts w:ascii="Arial" w:cs="Arial" w:eastAsia="Arial" w:hAnsi="Arial"/>
          <w:sz w:val="16"/>
          <w:szCs w:val="16"/>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certain Events of Default or an acceleration under the indenture may constitute an event of default under certain of our other indebtedness outstanding from time to time.</w:t>
      </w:r>
    </w:p>
    <w:p>
      <w:pPr>
        <w:spacing w:after="0" w:line="147"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the principal and interest with respect to debt securities of that series which have become due solely by such declaration of acceleration, have been cured or waived as provided in the indenture and the trustee’s fees and expenses have been paid in full.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88"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The indenture provides that the trustee will be under no obligation to exercise any of its rights or powers under the indenture unless the trustee receives security or indemnity satisfactory to it against any loss, liability or expense.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w:t>
      </w:r>
    </w:p>
    <w:p>
      <w:pPr>
        <w:spacing w:after="0" w:line="17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170" w:lineRule="exact"/>
        <w:rPr>
          <w:sz w:val="20"/>
          <w:szCs w:val="20"/>
          <w:color w:val="auto"/>
        </w:rPr>
      </w:pPr>
    </w:p>
    <w:p>
      <w:pPr>
        <w:ind w:left="720" w:hanging="256"/>
        <w:spacing w:after="0"/>
        <w:tabs>
          <w:tab w:leader="none" w:pos="72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that holder has previously given to the trustee written notice of a continuing Event of Default with respect to debt securities of that series; and</w:t>
      </w:r>
    </w:p>
    <w:p>
      <w:pPr>
        <w:spacing w:after="0" w:line="236" w:lineRule="exact"/>
        <w:rPr>
          <w:rFonts w:ascii="Arial" w:cs="Arial" w:eastAsia="Arial" w:hAnsi="Arial"/>
          <w:sz w:val="17"/>
          <w:szCs w:val="17"/>
          <w:color w:val="auto"/>
        </w:rPr>
      </w:pPr>
    </w:p>
    <w:p>
      <w:pPr>
        <w:ind w:right="20" w:firstLine="464"/>
        <w:spacing w:after="0" w:line="259" w:lineRule="auto"/>
        <w:tabs>
          <w:tab w:leader="none" w:pos="711"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holders of not less than 25% in principal amount of the outstanding debt securities of that series have made written request, and offered reasonable indemnity, to the trustee to institute the proceeding as trustee, and after receipt of such request the trustee has not received from the holders of a majority in principal amount of the outstanding debt securities of that series a direction inconsistent with that request and has failed to institute the proceeding within 60 days.</w:t>
      </w:r>
    </w:p>
    <w:p>
      <w:pPr>
        <w:spacing w:after="0" w:line="187"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color w:val="auto"/>
        </w:rPr>
        <w:t>Notwithstanding the foregoing, the holder of any debt security will have an absolute and unconditional right to receive payment of the principal of, any premium and any interest on that debt security on or after the due dates expressed in that debt security and to institute suit for the enforcement of payment.</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indenture requires us, within 120 days after the end of our fiscal year, to furnish to the trustee a statement as to compliance with the indenture. The indenture provides that the trustee may withhold notice to the holders of debt securities of any series of any default or Event of Default (except in payment on any debt securities of that series) with respect to debt securities of that series if it in good faith determines that withholding notice is in the interest of the holders of those debt securities.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and Waiver</w:t>
      </w:r>
    </w:p>
    <w:p>
      <w:pPr>
        <w:spacing w:after="0" w:line="121"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We or the trustee may amend or supplement the indenture or the debt securities of one or more series without the consent of the holders of the outstanding debt securities under the indenture:</w:t>
      </w:r>
    </w:p>
    <w:p>
      <w:pPr>
        <w:spacing w:after="0" w:line="170" w:lineRule="exact"/>
        <w:rPr>
          <w:sz w:val="20"/>
          <w:szCs w:val="20"/>
          <w:color w:val="auto"/>
        </w:rPr>
      </w:pPr>
    </w:p>
    <w:p>
      <w:pPr>
        <w:ind w:left="720" w:hanging="256"/>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comply with certain covenants under the indenture with respect to mergers and sales of assets;</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provide for uncertificated debt securities in addition to or in place of certificated debt securities;</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holder of debt securities under the indenture;</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to provide for the issuance of and establish the form and terms and conditions of debt securities under the indenture as permitted thereunder;</w:t>
      </w:r>
    </w:p>
    <w:p>
      <w:pPr>
        <w:spacing w:after="0" w:line="236" w:lineRule="exact"/>
        <w:rPr>
          <w:rFonts w:ascii="Arial" w:cs="Arial" w:eastAsia="Arial" w:hAnsi="Arial"/>
          <w:sz w:val="17"/>
          <w:szCs w:val="17"/>
          <w:color w:val="auto"/>
        </w:rPr>
      </w:pPr>
    </w:p>
    <w:p>
      <w:pPr>
        <w:jc w:val="both"/>
        <w:ind w:right="100" w:firstLine="464"/>
        <w:spacing w:after="0" w:line="342" w:lineRule="auto"/>
        <w:tabs>
          <w:tab w:leader="none" w:pos="711" w:val="left"/>
        </w:tabs>
        <w:numPr>
          <w:ilvl w:val="0"/>
          <w:numId w:val="10"/>
        </w:numPr>
        <w:rPr>
          <w:rFonts w:ascii="Arial" w:cs="Arial" w:eastAsia="Arial" w:hAnsi="Arial"/>
          <w:sz w:val="16"/>
          <w:szCs w:val="16"/>
          <w:color w:val="auto"/>
        </w:rPr>
      </w:pPr>
      <w:r>
        <w:rPr>
          <w:rFonts w:ascii="Arial" w:cs="Arial" w:eastAsia="Arial" w:hAnsi="Arial"/>
          <w:sz w:val="16"/>
          <w:szCs w:val="16"/>
          <w:color w:val="auto"/>
        </w:rPr>
        <w:t>to evidence and provide for the acceptance of appointment by a successor trustee with respect to any of the debt securities and to add to or change any of the provisions of the indenture as shall be necessary to provide for or facilitate the administration of the trusts thereunder by more than one trustee; or</w:t>
      </w:r>
    </w:p>
    <w:p>
      <w:pPr>
        <w:spacing w:after="0" w:line="123" w:lineRule="exact"/>
        <w:rPr>
          <w:rFonts w:ascii="Arial" w:cs="Arial" w:eastAsia="Arial" w:hAnsi="Arial"/>
          <w:sz w:val="16"/>
          <w:szCs w:val="16"/>
          <w:color w:val="auto"/>
        </w:rPr>
      </w:pPr>
    </w:p>
    <w:p>
      <w:pPr>
        <w:ind w:left="720" w:hanging="256"/>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comply with requirements of the SEC in order to effect or maintain the qualification of the indenture under the Trust Indenture Act.</w:t>
      </w:r>
    </w:p>
    <w:p>
      <w:pPr>
        <w:spacing w:after="0" w:line="225"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In addition, we may modify and amend the indenture as to all other matters with the consent of the holders of at least a majority in principal amount of the outstanding debt securities of each series affected by the modifications or amendments, provided however that we may not make any modification or amendment without the consent of the holders of each affected debt security then outstanding if that amendment will:</w:t>
      </w:r>
    </w:p>
    <w:p>
      <w:pPr>
        <w:spacing w:after="0" w:line="166" w:lineRule="exact"/>
        <w:rPr>
          <w:sz w:val="20"/>
          <w:szCs w:val="20"/>
          <w:color w:val="auto"/>
        </w:rPr>
      </w:pPr>
    </w:p>
    <w:p>
      <w:pPr>
        <w:ind w:left="720" w:hanging="256"/>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reduce the amount of debt securities whose holders must consent to an amendment, supplement or waiver;</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reduce the rate of or extend the time for payment of interest (including default interest) on any debt security;</w:t>
      </w:r>
    </w:p>
    <w:p>
      <w:pPr>
        <w:spacing w:after="0" w:line="225" w:lineRule="exact"/>
        <w:rPr>
          <w:rFonts w:ascii="Arial" w:cs="Arial" w:eastAsia="Arial" w:hAnsi="Arial"/>
          <w:sz w:val="18"/>
          <w:szCs w:val="18"/>
          <w:color w:val="auto"/>
        </w:rPr>
      </w:pPr>
    </w:p>
    <w:p>
      <w:pPr>
        <w:ind w:right="80" w:firstLine="464"/>
        <w:spacing w:after="0" w:line="277" w:lineRule="auto"/>
        <w:tabs>
          <w:tab w:leader="none" w:pos="711"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reduce the principal amount of discount securities payable upon acceleration of maturity;</w:t>
      </w:r>
    </w:p>
    <w:p>
      <w:pPr>
        <w:spacing w:after="0" w:line="225" w:lineRule="exact"/>
        <w:rPr>
          <w:rFonts w:ascii="Arial" w:cs="Arial" w:eastAsia="Arial" w:hAnsi="Arial"/>
          <w:sz w:val="18"/>
          <w:szCs w:val="18"/>
          <w:color w:val="auto"/>
        </w:rPr>
      </w:pPr>
    </w:p>
    <w:p>
      <w:pPr>
        <w:ind w:firstLine="464"/>
        <w:spacing w:after="0" w:line="264" w:lineRule="auto"/>
        <w:tabs>
          <w:tab w:leader="none" w:pos="711" w:val="left"/>
        </w:tabs>
        <w:numPr>
          <w:ilvl w:val="0"/>
          <w:numId w:val="11"/>
        </w:numPr>
        <w:rPr>
          <w:rFonts w:ascii="Arial" w:cs="Arial" w:eastAsia="Arial" w:hAnsi="Arial"/>
          <w:sz w:val="18"/>
          <w:szCs w:val="18"/>
          <w:color w:val="auto"/>
        </w:rPr>
      </w:pPr>
      <w:r>
        <w:rPr>
          <w:rFonts w:ascii="Arial" w:cs="Arial" w:eastAsia="Arial" w:hAnsi="Arial"/>
          <w:sz w:val="18"/>
          <w:szCs w:val="18"/>
          <w:color w:val="auto"/>
        </w:rPr>
        <w:t>waive a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20" w:hanging="256"/>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make the principal of or premium or interest on any debt security payable in currency other than that stated in the debt security; or</w:t>
      </w:r>
    </w:p>
    <w:p>
      <w:pPr>
        <w:spacing w:after="0" w:line="225" w:lineRule="exact"/>
        <w:rPr>
          <w:rFonts w:ascii="Arial" w:cs="Arial" w:eastAsia="Arial" w:hAnsi="Arial"/>
          <w:sz w:val="18"/>
          <w:szCs w:val="18"/>
          <w:color w:val="auto"/>
        </w:rPr>
      </w:pPr>
    </w:p>
    <w:p>
      <w:pPr>
        <w:ind w:right="140" w:firstLine="464"/>
        <w:spacing w:after="0" w:line="342" w:lineRule="auto"/>
        <w:tabs>
          <w:tab w:leader="none" w:pos="711" w:val="left"/>
        </w:tabs>
        <w:numPr>
          <w:ilvl w:val="0"/>
          <w:numId w:val="12"/>
        </w:numPr>
        <w:rPr>
          <w:rFonts w:ascii="Arial" w:cs="Arial" w:eastAsia="Arial" w:hAnsi="Arial"/>
          <w:sz w:val="16"/>
          <w:szCs w:val="16"/>
          <w:color w:val="auto"/>
        </w:rPr>
      </w:pPr>
      <w:r>
        <w:rPr>
          <w:rFonts w:ascii="Arial" w:cs="Arial" w:eastAsia="Arial" w:hAnsi="Arial"/>
          <w:sz w:val="16"/>
          <w:szCs w:val="16"/>
          <w:color w:val="auto"/>
        </w:rPr>
        <w:t>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w:t>
      </w:r>
    </w:p>
    <w:p>
      <w:pPr>
        <w:spacing w:after="0" w:line="124"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Except for certain specified provisions, the holders of at least a majority in principal amount of the outstanding debt securities of any series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any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of Debt Securities and Certain Covenants in Certain Circumstances</w:t>
      </w:r>
    </w:p>
    <w:p>
      <w:pPr>
        <w:spacing w:after="0" w:line="121"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i w:val="1"/>
          <w:iCs w:val="1"/>
          <w:color w:val="auto"/>
        </w:rPr>
        <w:t>Legal Defeasance</w:t>
      </w:r>
      <w:r>
        <w:rPr>
          <w:rFonts w:ascii="Arial" w:cs="Arial" w:eastAsia="Arial" w:hAnsi="Arial"/>
          <w:sz w:val="18"/>
          <w:szCs w:val="18"/>
          <w:color w:val="auto"/>
        </w:rPr>
        <w:t>. The indenture provides that, unless otherwise provided by the terms of the applicable series of debt securities, we may be discharged</w:t>
      </w:r>
      <w:r>
        <w:rPr>
          <w:rFonts w:ascii="Arial" w:cs="Arial" w:eastAsia="Arial" w:hAnsi="Arial"/>
          <w:sz w:val="18"/>
          <w:szCs w:val="18"/>
          <w:i w:val="1"/>
          <w:iCs w:val="1"/>
          <w:color w:val="auto"/>
        </w:rPr>
        <w:t xml:space="preserve"> </w:t>
      </w:r>
      <w:r>
        <w:rPr>
          <w:rFonts w:ascii="Arial" w:cs="Arial" w:eastAsia="Arial" w:hAnsi="Arial"/>
          <w:sz w:val="18"/>
          <w:szCs w:val="18"/>
          <w:color w:val="auto"/>
        </w:rPr>
        <w:t>from any and all obligations in respect of the debt securities of any series (except for certain obligations, including to register the transfer or exchange of debt securities of such series, to replace stolen, lost or mutilated debt securities of such series, and to maintain paying agencies and certain provisions relating to the treatment of funds held by paying agents). We will be so discharged upon the deposit with the trustee, in trust, of money and/or U.S. Government Obligations or, in the case of debt securities denominated in a single currency other than U.S. Dollars, money and/or Foreign Government Obligations, that, through the payment of interest and principal in accordance with their terms, will provide money in an amount sufficient in the opinion of a nationally recognized firm of independent public accountants to pay and discharge each installment of principal and interest on and any mandatory sinking fund payments in respect of the debt securities of that series on the stated maturity of those payments in accordance with the terms of the indenture and those debt securities.</w:t>
      </w:r>
    </w:p>
    <w:p>
      <w:pPr>
        <w:spacing w:after="0" w:line="19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w:t>
      </w:r>
    </w:p>
    <w:p>
      <w:pPr>
        <w:spacing w:after="0" w:line="178"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i w:val="1"/>
          <w:iCs w:val="1"/>
          <w:color w:val="auto"/>
        </w:rPr>
        <w:t>Defeasance of Certain Covenants</w:t>
      </w:r>
      <w:r>
        <w:rPr>
          <w:rFonts w:ascii="Arial" w:cs="Arial" w:eastAsia="Arial" w:hAnsi="Arial"/>
          <w:sz w:val="18"/>
          <w:szCs w:val="18"/>
          <w:color w:val="auto"/>
        </w:rPr>
        <w:t>. The indenture provides that, unless otherwise provided by the terms of the applicable series of debt securities, upon</w:t>
      </w:r>
      <w:r>
        <w:rPr>
          <w:rFonts w:ascii="Arial" w:cs="Arial" w:eastAsia="Arial" w:hAnsi="Arial"/>
          <w:sz w:val="18"/>
          <w:szCs w:val="18"/>
          <w:i w:val="1"/>
          <w:iCs w:val="1"/>
          <w:color w:val="auto"/>
        </w:rPr>
        <w:t xml:space="preserve"> </w:t>
      </w:r>
      <w:r>
        <w:rPr>
          <w:rFonts w:ascii="Arial" w:cs="Arial" w:eastAsia="Arial" w:hAnsi="Arial"/>
          <w:sz w:val="18"/>
          <w:szCs w:val="18"/>
          <w:color w:val="auto"/>
        </w:rPr>
        <w:t>compliance with certain conditions:</w:t>
      </w:r>
    </w:p>
    <w:p>
      <w:pPr>
        <w:spacing w:after="0" w:line="170" w:lineRule="exact"/>
        <w:rPr>
          <w:sz w:val="20"/>
          <w:szCs w:val="20"/>
          <w:color w:val="auto"/>
        </w:rPr>
      </w:pPr>
    </w:p>
    <w:p>
      <w:pPr>
        <w:ind w:right="140" w:firstLine="464"/>
        <w:spacing w:after="0" w:line="277" w:lineRule="auto"/>
        <w:tabs>
          <w:tab w:leader="none" w:pos="711"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omit to comply with the covenant described under the heading “Consolidation, Merger and Sale of Assets” and certain other covenants set forth in the indenture, as well as any additional covenants which may be set forth in the applicable prospectus supplement; and</w:t>
      </w:r>
    </w:p>
    <w:p>
      <w:pPr>
        <w:spacing w:after="0" w:line="170" w:lineRule="exact"/>
        <w:rPr>
          <w:rFonts w:ascii="Arial" w:cs="Arial" w:eastAsia="Arial" w:hAnsi="Arial"/>
          <w:sz w:val="18"/>
          <w:szCs w:val="18"/>
          <w:color w:val="auto"/>
        </w:rPr>
      </w:pPr>
    </w:p>
    <w:p>
      <w:pPr>
        <w:ind w:right="400" w:firstLine="464"/>
        <w:spacing w:after="0" w:line="277" w:lineRule="auto"/>
        <w:tabs>
          <w:tab w:leader="none" w:pos="711"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omission to comply with those covenants will not constitute a default or an event of default with respect to the debt securities of that series (“covenant defeasance”).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conditions include:</w:t>
      </w:r>
    </w:p>
    <w:p>
      <w:pPr>
        <w:spacing w:after="0" w:line="225" w:lineRule="exact"/>
        <w:rPr>
          <w:sz w:val="20"/>
          <w:szCs w:val="20"/>
          <w:color w:val="auto"/>
        </w:rPr>
      </w:pPr>
    </w:p>
    <w:p>
      <w:pPr>
        <w:ind w:right="20" w:firstLine="464"/>
        <w:spacing w:after="0" w:line="276" w:lineRule="auto"/>
        <w:tabs>
          <w:tab w:leader="none" w:pos="711" w:val="left"/>
        </w:tabs>
        <w:numPr>
          <w:ilvl w:val="0"/>
          <w:numId w:val="14"/>
        </w:numPr>
        <w:rPr>
          <w:rFonts w:ascii="Arial" w:cs="Arial" w:eastAsia="Arial" w:hAnsi="Arial"/>
          <w:sz w:val="17"/>
          <w:szCs w:val="17"/>
          <w:color w:val="auto"/>
        </w:rPr>
      </w:pPr>
      <w:r>
        <w:rPr>
          <w:rFonts w:ascii="Arial" w:cs="Arial" w:eastAsia="Arial" w:hAnsi="Arial"/>
          <w:sz w:val="17"/>
          <w:szCs w:val="17"/>
          <w:color w:val="auto"/>
        </w:rPr>
        <w:t>depositing with the trustee money and/or U.S. Government Obligations or, in the case of debt securities denominated in a single currency other than U.S. Dollars, money and/or Foreign Government Obligations, that, through the payment of interest and principal in accordance with their terms, will provide money in an amount sufficient in the opinion of a nationally recognized firm of independent public accountants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and</w:t>
      </w:r>
    </w:p>
    <w:p>
      <w:pPr>
        <w:spacing w:after="0" w:line="172" w:lineRule="exact"/>
        <w:rPr>
          <w:rFonts w:ascii="Arial" w:cs="Arial" w:eastAsia="Arial" w:hAnsi="Arial"/>
          <w:sz w:val="17"/>
          <w:szCs w:val="17"/>
          <w:color w:val="auto"/>
        </w:rPr>
      </w:pPr>
    </w:p>
    <w:p>
      <w:pPr>
        <w:ind w:firstLine="464"/>
        <w:spacing w:after="0" w:line="340" w:lineRule="auto"/>
        <w:tabs>
          <w:tab w:leader="none" w:pos="711" w:val="left"/>
        </w:tabs>
        <w:numPr>
          <w:ilvl w:val="0"/>
          <w:numId w:val="14"/>
        </w:numPr>
        <w:rPr>
          <w:rFonts w:ascii="Arial" w:cs="Arial" w:eastAsia="Arial" w:hAnsi="Arial"/>
          <w:sz w:val="15"/>
          <w:szCs w:val="15"/>
          <w:color w:val="auto"/>
        </w:rPr>
      </w:pPr>
      <w:r>
        <w:rPr>
          <w:rFonts w:ascii="Arial" w:cs="Arial" w:eastAsia="Arial" w:hAnsi="Arial"/>
          <w:sz w:val="15"/>
          <w:szCs w:val="15"/>
          <w:color w:val="auto"/>
        </w:rPr>
        <w:t>delivering to the trustee an opinion of counsel stating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w:t>
      </w:r>
    </w:p>
    <w:p>
      <w:pPr>
        <w:spacing w:after="0" w:line="13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i w:val="1"/>
          <w:iCs w:val="1"/>
          <w:color w:val="auto"/>
        </w:rPr>
        <w:t>Covenant Defeasance and Events of Default</w:t>
      </w:r>
      <w:r>
        <w:rPr>
          <w:rFonts w:ascii="Arial" w:cs="Arial" w:eastAsia="Arial" w:hAnsi="Arial"/>
          <w:sz w:val="17"/>
          <w:szCs w:val="17"/>
          <w:color w:val="auto"/>
        </w:rPr>
        <w:t>. In the event we exercise our option to effect covenant defeasance with respect to any series of debt</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and the debt securities of that series are declared due and payable because of the occurrence of any Event of Default, the amount of money and/or U.S. Government Obligations or Foreign Government Obligations on deposit with the trustee should be sufficient to pay amounts due on the debt securities of that series at the time of their stated maturity but may not be sufficient to pay amounts due on the debt securities of that series at the time of the acceleration resulting from the Event of Default. However, we shall remain liable for those payments.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Foreign Government Obligations</w:t>
      </w:r>
      <w:r>
        <w:rPr>
          <w:rFonts w:ascii="Arial" w:cs="Arial" w:eastAsia="Arial" w:hAnsi="Arial"/>
          <w:sz w:val="16"/>
          <w:szCs w:val="16"/>
          <w:color w:val="auto"/>
        </w:rPr>
        <w:t>” means, with respect to debt securities of any series that are denominated in a currency other than U.S. Dollars:</w:t>
      </w:r>
    </w:p>
    <w:p>
      <w:pPr>
        <w:spacing w:after="0" w:line="248" w:lineRule="exact"/>
        <w:rPr>
          <w:sz w:val="20"/>
          <w:szCs w:val="20"/>
          <w:color w:val="auto"/>
        </w:rPr>
      </w:pPr>
    </w:p>
    <w:p>
      <w:pPr>
        <w:ind w:right="60" w:firstLine="464"/>
        <w:spacing w:after="0" w:line="277" w:lineRule="auto"/>
        <w:tabs>
          <w:tab w:leader="none" w:pos="711"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direct obligations of the government that issued or caused to be issued such currency for the payment of which obligations its full faith and credit is pledged which are not callable or redeemable at the option of the issuer thereof; or</w:t>
      </w:r>
    </w:p>
    <w:p>
      <w:pPr>
        <w:spacing w:after="0" w:line="170" w:lineRule="exact"/>
        <w:rPr>
          <w:rFonts w:ascii="Arial" w:cs="Arial" w:eastAsia="Arial" w:hAnsi="Arial"/>
          <w:sz w:val="18"/>
          <w:szCs w:val="18"/>
          <w:color w:val="auto"/>
        </w:rPr>
      </w:pPr>
    </w:p>
    <w:p>
      <w:pPr>
        <w:ind w:right="300" w:firstLine="464"/>
        <w:spacing w:after="0" w:line="342" w:lineRule="auto"/>
        <w:tabs>
          <w:tab w:leader="none" w:pos="711" w:val="left"/>
        </w:tabs>
        <w:numPr>
          <w:ilvl w:val="0"/>
          <w:numId w:val="15"/>
        </w:numPr>
        <w:rPr>
          <w:rFonts w:ascii="Arial" w:cs="Arial" w:eastAsia="Arial" w:hAnsi="Arial"/>
          <w:sz w:val="16"/>
          <w:szCs w:val="16"/>
          <w:color w:val="auto"/>
        </w:rPr>
      </w:pPr>
      <w:r>
        <w:rPr>
          <w:rFonts w:ascii="Arial" w:cs="Arial" w:eastAsia="Arial" w:hAnsi="Arial"/>
          <w:sz w:val="16"/>
          <w:szCs w:val="16"/>
          <w:color w:val="auto"/>
        </w:rPr>
        <w:t>obligations of a person controlled or supervised by or acting as an agency or instrumentality of that government the timely payment of which is unconditionally guaranteed as a full faith and credit obligation by that government which are not callable or redeemable at the option of the issuer thereof.</w:t>
      </w:r>
    </w:p>
    <w:p>
      <w:pPr>
        <w:spacing w:after="0" w:line="124"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U.S. Government Obligations</w:t>
      </w:r>
      <w:r>
        <w:rPr>
          <w:rFonts w:ascii="Arial" w:cs="Arial" w:eastAsia="Arial" w:hAnsi="Arial"/>
          <w:sz w:val="17"/>
          <w:szCs w:val="17"/>
          <w:color w:val="auto"/>
        </w:rPr>
        <w:t>” means securities that are: (1) direct obligations of the United States for the payment of which its full faith and credit is pledged, or (2) obligations of a person controlled or supervised by and acting as an agency or instrumentality of the United States the payment of which is unconditionally guaranteed as a full faith and credit obligation by the United States; that, in either case under clauses (1) or (2) are not callable or redeemable at the option of the issuer thereof, and shall also include a depository receipt issued by a bank or trust company as custodian with respect to any such U.S. Government Obligation or a specific payment of interest on or principal of any such U.S. Government Obligation held by such custodian for the account of the holder of a depository receipt; provided that (except as required by law) such custodian is not authorized to make any deduction from the amount payable to the holder of such depository receipt from any amount received by the custodian in respect of the U.S. Government Obligation or the specific payment of interest on or principal of the U.S. Government Obligation evidenced by such depository receipt.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 Prior to Maturity</w:t>
      </w:r>
    </w:p>
    <w:p>
      <w:pPr>
        <w:spacing w:after="0" w:line="121" w:lineRule="exact"/>
        <w:rPr>
          <w:sz w:val="20"/>
          <w:szCs w:val="20"/>
          <w:color w:val="auto"/>
        </w:rPr>
      </w:pPr>
    </w:p>
    <w:p>
      <w:pPr>
        <w:ind w:right="180" w:firstLine="456"/>
        <w:spacing w:after="0" w:line="312" w:lineRule="auto"/>
        <w:rPr>
          <w:sz w:val="20"/>
          <w:szCs w:val="20"/>
          <w:color w:val="auto"/>
        </w:rPr>
      </w:pPr>
      <w:r>
        <w:rPr>
          <w:rFonts w:ascii="Arial" w:cs="Arial" w:eastAsia="Arial" w:hAnsi="Arial"/>
          <w:sz w:val="16"/>
          <w:szCs w:val="16"/>
          <w:color w:val="auto"/>
        </w:rPr>
        <w:t>The Company has the right at any time to satisfy and discharge its obligations, other than certain specified obligations, under all debt securities under the indenture by depositing in trust with the trustee money and/or U.S. Government Obligations. The Company’s exercise of this right is subject to certain conditions including that either (1) all securities under the indenture (subject to certain exceptions) have been delivered to the trustee for</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cancellation or (2) all securities under the indenture not previously delivered to the trustee for cancellation have become due and payable or will become due and payable at their stated maturity within one year or have been called for redemption or are to be called for redemption within one year or have been paid and discharged under the Company’s right of legal defeasance described above.</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such deposit is sufficient, in the opinion of a nationally recognized firm of independent public accountants (unless the funds consist solely of money), to make all payments of (1) interest on the debt securities prior to their redemption or maturity and (2) principal of (and premium, if any) and interest on such debt securities when due upon redemption or at maturity, all the obligations of the Company under the indenture will be discharged and terminated except as otherwise provided in the indenture.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indenture and the debt securities will be governed by, and construed in accordance with, the internal laws of the State of New York.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FORMS OF SECURITIES</w:t>
      </w:r>
    </w:p>
    <w:p>
      <w:pPr>
        <w:spacing w:after="0" w:line="229"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Each security will be represented either by a certificate issued in definitive form to a particular investor or by one or more global securities representing the entire issuance of securities.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securities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We may issue the debt securities in the form of one or more fully registered global securities that will be deposited with a depositary or its nominee identified in the applicable prospectus supplement and registered in the name of that depositary or nominee. In those cases, one or more global securities will be issued in a denomination or aggregate denominations equal to the portion of the aggregate principal or face amount of the securities to be represented by global securities. Unless and until it is exchanged in whole for securities in definitive registered form, a global security may not be transferred except as a whole by and among the depositary for the global security, the nominees of the depositary or any successors of the depositary or those nominees.</w:t>
      </w:r>
    </w:p>
    <w:p>
      <w:pPr>
        <w:spacing w:after="0" w:line="158" w:lineRule="exact"/>
        <w:rPr>
          <w:sz w:val="20"/>
          <w:szCs w:val="20"/>
          <w:color w:val="auto"/>
        </w:rPr>
      </w:pPr>
    </w:p>
    <w:p>
      <w:pPr>
        <w:ind w:right="320" w:firstLine="456"/>
        <w:spacing w:after="0" w:line="342" w:lineRule="auto"/>
        <w:rPr>
          <w:sz w:val="20"/>
          <w:szCs w:val="20"/>
          <w:color w:val="auto"/>
        </w:rPr>
      </w:pPr>
      <w:r>
        <w:rPr>
          <w:rFonts w:ascii="Arial" w:cs="Arial" w:eastAsia="Arial" w:hAnsi="Arial"/>
          <w:sz w:val="16"/>
          <w:szCs w:val="16"/>
          <w:color w:val="auto"/>
        </w:rPr>
        <w:t>If not described below, any specific terms of the depositary arrangement with respect to any securities to be represented by a global security will be described in the prospectus supplement relating to those securities. We anticipate that the following provisions will apply to all depositary arrangements.</w:t>
      </w:r>
    </w:p>
    <w:p>
      <w:pPr>
        <w:spacing w:after="0" w:line="124"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Ownership of beneficial interests in a global security will be limited to persons, called participants, that have accounts with the depositary or persons that may hold interests through participants. Upon the issuance of a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states may require that some purchasers of securities take physical delivery of these securities in definitive form. These laws may impair your ability to own, transfer or pledge beneficial interests in global securities.</w:t>
      </w:r>
    </w:p>
    <w:p>
      <w:pPr>
        <w:spacing w:after="0" w:line="192"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So long as the depositary, or its nominee, is the registered owner of a global security, that depositary or its nominee, as the case may be, will be considered the sole owner or holder of the securities represented by the global security for all purposes under the indenture. Except as described below, owners of beneficial interests in a global security will not be entitled to have the securities represented by the global security registered in their names, will not receive or be entitled to receive physical delivery of the securities in definitive form and will not be considered the owners or holders of the securities under the indenture. Accordingly, each person owning a beneficial interest in a global security must rely on the procedures of the depositary for that global security and, if that person is not a participant, on the procedures of the participant through which the person owns its interest, to exercise any rights of a holder under the indenture. We understand that under existing industry practices, if we request any action of holders or if an owner of a beneficial interest in a global security desires to give or take any action that a holder is entitled to give or take under the indenture, the depositary for the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Principal, premium, if any, and interest payments on debt securities represented by a global security registered in the name of a depositary or its nominee will be made to the depositary or its nominee, as the case may be, as the registered owner of the global security. None of the Company, the trustee, or any other agent of the Company or the trustee will have any responsibility or liability for any aspect of the records relating to payments made on account of beneficial ownership interests in the global security or for maintaining, supervising or reviewing any records relating to those beneficial ownership interests.</w:t>
      </w:r>
    </w:p>
    <w:p>
      <w:pPr>
        <w:spacing w:after="0" w:line="154"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We expect that the depositary for any of the securities represented by a global security, upon receipt of any payment of principal, premium, interest or other distribution of underlying securities or other property to holders of that global security, will immediately credit participants’ accounts in amounts proportionate to their respective beneficial interests in that global security as shown on the records of the depositary. We also expect that payments by participants to owners of beneficial interests in a global security held through participants will be governed by standing customer instructions and customary practices, as is now the case with securities held for the accounts of customers registered in “street name,” and will be the responsibility of those participants.</w:t>
      </w:r>
    </w:p>
    <w:p>
      <w:pPr>
        <w:spacing w:after="0" w:line="15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If the depositary for any of the securities represented by a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global security that had been held by the depositary. In addition, we may, at any time and in our sole discretion and subject to the procedures of the depositary, determine not to have securities represented by global securities and, in that event, will issue securities in definitive form for the global securities of that series. Any securities issued in definitive form in exchange for a global security will be registered in the name or names that the depositary gives to the trustee. It is expected that the depositary’s instructions will be based on directions received by the depositary from participants with respect to ownership of beneficial interests in the global security that had been held by the depositary.</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sell debt securities:</w:t>
      </w:r>
    </w:p>
    <w:p>
      <w:pPr>
        <w:spacing w:after="0" w:line="225" w:lineRule="exact"/>
        <w:rPr>
          <w:sz w:val="20"/>
          <w:szCs w:val="20"/>
          <w:color w:val="auto"/>
        </w:rPr>
      </w:pPr>
    </w:p>
    <w:p>
      <w:pPr>
        <w:ind w:left="720" w:hanging="256"/>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through underwriters;</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through dealers;</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directly to purchasers; or</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through a combination of any of these methods of sale.</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This prospectus may be used in connection with any offering of our debt securities through any of these methods or other methods described in the applicable prospectus supplement.</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may directly solicit offers to purchase debt securities, or agents may be designated to solicit such offers. We will, in the prospectus supplement relating to such offering, name any agent that could be viewed as an underwriter under the Securities Act and describe any commissions that we must pay. Any such agent will be acting on a best efforts basis for the period of its appointment or, if indicated in the applicable prospectus supplement, on a firm commitment basis.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distribution of the debt securities may be effected from time to time in one or more transactions:</w:t>
      </w:r>
    </w:p>
    <w:p>
      <w:pPr>
        <w:spacing w:after="0" w:line="225" w:lineRule="exact"/>
        <w:rPr>
          <w:sz w:val="20"/>
          <w:szCs w:val="20"/>
          <w:color w:val="auto"/>
        </w:rPr>
      </w:pPr>
    </w:p>
    <w:p>
      <w:pPr>
        <w:ind w:left="720" w:hanging="256"/>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at a fixed price, or prices, which may be changed from time to time;</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 or</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prospectus supplement will describe the method of distribution of the debt securities and any applicable restrictions.</w:t>
      </w:r>
    </w:p>
    <w:p>
      <w:pPr>
        <w:spacing w:after="0" w:line="225"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The prospectus supplement with respect to the debt securities of a particular series will describe the terms of the offering of the debt securities, including the following:</w:t>
      </w:r>
    </w:p>
    <w:p>
      <w:pPr>
        <w:spacing w:after="0" w:line="170" w:lineRule="exact"/>
        <w:rPr>
          <w:sz w:val="20"/>
          <w:szCs w:val="20"/>
          <w:color w:val="auto"/>
        </w:rPr>
      </w:pPr>
    </w:p>
    <w:p>
      <w:pPr>
        <w:ind w:left="720" w:hanging="256"/>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name of the agent or any underwriters;</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public offering or purchase price and the proceeds we will receive from the sale of the debt securities;</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discounts and commissions to be allowed or re-allowed or paid to the agent or underwriters;</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other items constituting underwriting compensation;</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discounts and commissions to be allowed or paid to dealers; and</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exchanges on which the debt securities will be listed.</w:t>
      </w:r>
    </w:p>
    <w:p>
      <w:pPr>
        <w:spacing w:after="0" w:line="15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240" w:top="459" w:right="5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If any underwriters or agents are utilized in the sale of the debt securities in respect of which this prospectus is delivered, we will enter into an underwriting agreement or other agreement with them at the time of sale to them, and we will set forth in the prospectus supplement relating to such offering the names of the underwriters or agents and certain of the terms of the related agreement with them.</w:t>
      </w:r>
    </w:p>
    <w:p>
      <w:pPr>
        <w:spacing w:after="0" w:line="181" w:lineRule="exact"/>
        <w:rPr>
          <w:sz w:val="20"/>
          <w:szCs w:val="20"/>
          <w:color w:val="auto"/>
        </w:rPr>
      </w:pPr>
    </w:p>
    <w:p>
      <w:pPr>
        <w:ind w:right="200" w:firstLine="456"/>
        <w:spacing w:after="0" w:line="308" w:lineRule="auto"/>
        <w:rPr>
          <w:sz w:val="20"/>
          <w:szCs w:val="20"/>
          <w:color w:val="auto"/>
        </w:rPr>
      </w:pPr>
      <w:r>
        <w:rPr>
          <w:rFonts w:ascii="Arial" w:cs="Arial" w:eastAsia="Arial" w:hAnsi="Arial"/>
          <w:sz w:val="17"/>
          <w:szCs w:val="17"/>
          <w:color w:val="auto"/>
        </w:rPr>
        <w:t>If a dealer is utilized in the sale of the debt securities in respect of which this prospectus is delivered, we will sell such debt securities to the dealer, as principal. The dealer may then resell such securities to the public at varying prices to be determined by such dealer at the time of resale.</w:t>
      </w:r>
    </w:p>
    <w:p>
      <w:pPr>
        <w:spacing w:after="0" w:line="147"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Remarketing firms, agents, underwriters, dealers and other persons may be entitled under agreements which they may enter into with us to indemnification by us against certain civil liabilities, including liabilities under the Securities Act, and may be customers of, engage in transactions with or perform services for us in the ordinary course of business.</w:t>
      </w:r>
    </w:p>
    <w:p>
      <w:pPr>
        <w:spacing w:after="0" w:line="18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If so indicated in the applicable prospectus supplement, we will authorize underwriters or other persons acting as our agents to solicit offers by certain institutions to purchase debt securities from us pursuant to delayed delivery contracts providing for payment and delivery on the date stated in the prospectus supplement. Each contract will be for an amount not less than, and the aggregate amount of debt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165" w:lineRule="exact"/>
        <w:rPr>
          <w:sz w:val="20"/>
          <w:szCs w:val="20"/>
          <w:color w:val="auto"/>
        </w:rPr>
      </w:pPr>
    </w:p>
    <w:p>
      <w:pPr>
        <w:ind w:right="180" w:firstLine="464"/>
        <w:spacing w:after="0" w:line="277" w:lineRule="auto"/>
        <w:tabs>
          <w:tab w:leader="none" w:pos="711"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purchase by an institution of the debt securities covered under that contract shall not at the time of delivery be prohibited under the laws of the jurisdiction to which that institution is subject; and</w:t>
      </w:r>
    </w:p>
    <w:p>
      <w:pPr>
        <w:spacing w:after="0" w:line="170" w:lineRule="exact"/>
        <w:rPr>
          <w:rFonts w:ascii="Arial" w:cs="Arial" w:eastAsia="Arial" w:hAnsi="Arial"/>
          <w:sz w:val="18"/>
          <w:szCs w:val="18"/>
          <w:color w:val="auto"/>
        </w:rPr>
      </w:pPr>
    </w:p>
    <w:p>
      <w:pPr>
        <w:jc w:val="both"/>
        <w:ind w:right="160" w:firstLine="464"/>
        <w:spacing w:after="0" w:line="264" w:lineRule="auto"/>
        <w:tabs>
          <w:tab w:leader="none" w:pos="711"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the debt securities are also being sold to underwriters acting as principals for their own account, the underwriters shall have purchased such debt securities not sold for delayed delivery. The underwriters and other persons acting as our agents will not have any responsibility in respect of the validity or performance of delayed delivery contracts.</w:t>
      </w:r>
    </w:p>
    <w:p>
      <w:pPr>
        <w:spacing w:after="0" w:line="18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Certain agents, underwriters, dealers and their associates and affiliates may be customers of, have borrowing relationships with, engage in other transactions with, and/or perform services, including investment banking services, for us or one or more of our respective affiliates in the ordinary course of business.</w:t>
      </w:r>
    </w:p>
    <w:p>
      <w:pPr>
        <w:spacing w:after="0" w:line="18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order to facilitate the offering of the debt securities, any underwriters may engage in transactions that stabilize, maintain or otherwise affect the price of the debt securities or any other securities the prices of which may be used to determine payments on such debt securities. Specifically, any underwriters may overallot in connection with the offering, creating a short position for their own accounts. In addition, to cover overallotments or to stabilize the price of the debt securities or of any such other securities, the underwriters may bid for, and purchase, the debt securities or any such other securities in the open market. Finally, in any offering of the debt securities through a syndicate of underwriters, the underwriting syndicate may reclaim selling concessions allowed to an underwriter or a dealer for distributing the debt securities in the offering if the syndicate repurchases previously distributed debt securities in transactions to cover syndicate short positions, in stabilization transactions or otherwise. Any of these activities may stabilize or maintain the market price of the debt securities above independent market levels. Any such underwriters are not required to engage in these activities and may end any of these activities at any time.</w:t>
      </w:r>
    </w:p>
    <w:p>
      <w:pPr>
        <w:spacing w:after="0" w:line="19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Under Rule 15c6-1 of the Exchange Act, trades in the secondary market generally are required to settle in three business days, unless the parties to any such trade expressly agree otherwise. The applicable prospectus supplement may provide that the original issue date for your securities may be more than three scheduled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business days after the trade date for your securities. Accordingly, in such a case, if you wish to trade securities on any date prior to the third business day before the original issue date for your securities, you will be required, by virtue of the fact that your securities initially are expected to settle more than three scheduled business days after the trade date for your securities, to make alternative settlement arrangements to prevent a failed settlement.</w:t>
      </w:r>
    </w:p>
    <w:p>
      <w:pPr>
        <w:spacing w:after="0" w:line="147" w:lineRule="exact"/>
        <w:rPr>
          <w:sz w:val="20"/>
          <w:szCs w:val="20"/>
          <w:color w:val="auto"/>
        </w:rPr>
      </w:pPr>
    </w:p>
    <w:p>
      <w:pPr>
        <w:ind w:right="260" w:firstLine="456"/>
        <w:spacing w:after="0" w:line="342" w:lineRule="auto"/>
        <w:rPr>
          <w:sz w:val="20"/>
          <w:szCs w:val="20"/>
          <w:color w:val="auto"/>
        </w:rPr>
      </w:pPr>
      <w:r>
        <w:rPr>
          <w:rFonts w:ascii="Arial" w:cs="Arial" w:eastAsia="Arial" w:hAnsi="Arial"/>
          <w:sz w:val="16"/>
          <w:szCs w:val="16"/>
          <w:color w:val="auto"/>
        </w:rPr>
        <w:t>The debt securities may be new issues of securities and may have no established trading market. The debt securities may or may not be listed on a national securities exchange. We can make no assurance as to the liquidity of or the existence of trading markets for any of the debt securities.</w:t>
      </w:r>
    </w:p>
    <w:p>
      <w:pPr>
        <w:spacing w:after="0" w:line="5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240" w:top="459" w:right="4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Unless the applicable prospectus supplement indicates otherwise, the validity of the debt securities in respect of which this prospectus is being delivered will be passed upon by Wilmer Cutler Pickering Hale and Dorr LLP.</w:t>
      </w: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The consolidated financial statements of Analog Devices, Inc. appearing in Analog Devices, Inc.’s Annual Report (Form 10-K) for the year ended November 1, 2014 (including schedule appearing therein), and the effectiveness of Analog Devices, Inc.’s internal control over financial reporting as of November 1, 2014, have been audited by Ernst &amp; Young LLP, independent registered public accounting firm, as set forth in their reports thereon included therein, and incorporated herein by reference. Such financial statements are, and audited financial statements to be included in subsequently filed documents will be, incorporated herein in reliance upon the reports of Ernst &amp; Young LLP pertaining to such financial statements and the effectiveness of our internal control over financial reporting as of the respective dates (to the extent covered by consents filed with the Securities and Exchange Commission) given on the authority of such firm as experts in accounting and auditing.</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5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Other Expenses of Issuance and Distribution.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the registrant’s best estimate as to anticipated expenses and costs (other than underwriting discounts and commissions)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expected to be incurred in connection with a distribution of debt securities registered hereby:</w:t>
      </w:r>
    </w:p>
    <w:p>
      <w:pPr>
        <w:spacing w:after="0" w:line="25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2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2840" w:type="dxa"/>
            <w:vAlign w:val="bottom"/>
            <w:gridSpan w:val="3"/>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Accounting services</w:t>
            </w:r>
          </w:p>
        </w:tc>
        <w:tc>
          <w:tcPr>
            <w:tcW w:w="2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Trustee fees and expenses</w:t>
            </w:r>
          </w:p>
        </w:tc>
        <w:tc>
          <w:tcPr>
            <w:tcW w:w="2840" w:type="dxa"/>
            <w:vAlign w:val="bottom"/>
            <w:gridSpan w:val="3"/>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Legal fees of Registrant’s counsel</w:t>
            </w:r>
          </w:p>
        </w:tc>
        <w:tc>
          <w:tcPr>
            <w:tcW w:w="2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Rating agency fees</w:t>
            </w:r>
          </w:p>
        </w:tc>
        <w:tc>
          <w:tcPr>
            <w:tcW w:w="2840" w:type="dxa"/>
            <w:vAlign w:val="bottom"/>
            <w:gridSpan w:val="3"/>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Miscellaneous expenses</w:t>
            </w:r>
          </w:p>
        </w:tc>
        <w:tc>
          <w:tcPr>
            <w:tcW w:w="24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248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920" w:type="dxa"/>
            <w:vAlign w:val="bottom"/>
            <w:vMerge w:val="continue"/>
          </w:tcPr>
          <w:p>
            <w:pPr>
              <w:spacing w:after="0"/>
              <w:rPr>
                <w:sz w:val="19"/>
                <w:szCs w:val="19"/>
                <w:color w:val="auto"/>
              </w:rPr>
            </w:pPr>
          </w:p>
        </w:tc>
        <w:tc>
          <w:tcPr>
            <w:tcW w:w="2480" w:type="dxa"/>
            <w:vAlign w:val="bottom"/>
            <w:vMerge w:val="continue"/>
          </w:tcPr>
          <w:p>
            <w:pPr>
              <w:spacing w:after="0"/>
              <w:rPr>
                <w:sz w:val="19"/>
                <w:szCs w:val="19"/>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Deferred in reliance upon Rules 456(b) and 457(r) under the Securities Act.</w:t>
      </w:r>
    </w:p>
    <w:p>
      <w:pPr>
        <w:spacing w:after="0" w:line="23" w:lineRule="exact"/>
        <w:rPr>
          <w:rFonts w:ascii="Arial" w:cs="Arial" w:eastAsia="Arial" w:hAnsi="Arial"/>
          <w:sz w:val="18"/>
          <w:szCs w:val="18"/>
          <w:color w:val="auto"/>
        </w:rPr>
      </w:pPr>
    </w:p>
    <w:p>
      <w:pPr>
        <w:ind w:left="460" w:right="120" w:hanging="452"/>
        <w:spacing w:after="0" w:line="261"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These fees and expenses are based on the amount of securities offered and the number of issuances and, accordingly, are not estimated at this time and will be reflected in the applicable prospectus supplement.</w:t>
      </w:r>
    </w:p>
    <w:p>
      <w:pPr>
        <w:spacing w:after="0" w:line="32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Indemnification of Directors and Officers.</w:t>
      </w:r>
    </w:p>
    <w:p>
      <w:pPr>
        <w:spacing w:after="0" w:line="121"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Article 6A of the Company’s Restated Articles of Organization, as amended (the “Restated Articles”) provides that the Company shall indemnify each person who is, or was, a director or officer of the Company or who is or was a director or employee of the Company and is serving or has served as a director of another organization at the request of the Company or in any capacity with respect to an employee benefit plan of the Company, against all liabilities and expenses, including judgments, fines, penalties, amounts paid or to be paid in settlement, and reasonable attorneys’ fees, imposed upon or incurred by any such person in connection with, or arising out of, the defense or disposition of any action, suit or other proceedings, whether civil or criminal, to which such individual may be made a defendant or with which such individual may become involved or threatened, directly or indirectly, by reason of having been an officer or director of the Company or as a result of his having served with respect to any such employee benefit plan. Article 6A further provides that the Company shall provide no indemnification with respect to any matter as to which any director or officer shall be finally adjudicated in such action, suit or proceeding not to have acted in good faith in the reasonable belief that his action was in the best interests of the Company or, if the matter relates to an employee benefit plan, the participants or beneficiaries of such employee benefit plan. The right to indemnification conferred by Article 6A includes the right to be paid by the Company for liabilities and expenses incurred in connection with settlement or compromise of any such action pursuant to a consent decree or otherwise, unless a determination is made by the board of directors that such settlement or compromise is not in the best interests of the Company or, if the matter relates to an employee benefit plan, the participants or beneficiaries of such employee benefit plan.</w:t>
      </w:r>
    </w:p>
    <w:p>
      <w:pPr>
        <w:spacing w:after="0" w:line="17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Article 6A of the Restated Articles includes the right to payment by the Company of expenses, including reasonable attorney’s fees, incurred in defending a civil or criminal action, suit or proceeding in advance of its final disposition, subject to receipt of an undertaking by the individual person to repay such payment if it is ultimately determined that such person is not entitled to indemnification under the Restated Articles. However, no advance may be made if the board of directors reasonably and promptly determines, by a majority vote of a quorum consisting of disinterested directors (or, if such quorum is not obtainable, by a majority of the disinterested directors of the Company or if two disinterested directors are not then in office, by independent legal counsel in a written opinion), based on facts known to the board of directors or such independent legal counsel at such time, that such person did not act in good faith in the reasonable belief that his action was in the best interest of the Company or the participants or beneficiaries of such employee benefit plan, as the case may be.</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Under Article 6A of the Restated Articles, if an individual is entitled under any provision of Article 6 of the Restated Articles to indemnification by the Company for some or a portion of the liabilities or expenses imposed upon or incurred by such individual in the investigation, defense, appeal or settlement of any action, suit or proceeding but not, however, for the total amount thereof, the Company shall nevertheless indemnify such individual for the portion of such liabilities or expenses to which such individual is entitled. The Company’s obligation to provide indemnification under the Restated Articles shall be offset to the extent of any other source of indemnification or any otherwise applicable insurance coverage under a policy maintained by the Company or any other person.</w:t>
      </w:r>
    </w:p>
    <w:p>
      <w:pPr>
        <w:spacing w:after="0" w:line="193"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Under Article 6D of the Restated Articles, to the fullest extent permitted by the Massachusetts Business Corporation Act, as may be amended from time to time, no director shall be personally liable to the Company or its stockholders for monetary damages for breach of his fiduciary duty as a director, notwithstanding any provision of law imposing such liability.</w:t>
      </w:r>
    </w:p>
    <w:p>
      <w:pPr>
        <w:spacing w:after="0" w:line="181"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Company has also entered into indemnification agreements with its directors and executive officers, each of which creates a direct contractual obligation of the Company to indemnify the individual under certain circumstances. Each agreement generally provides that the Company will indemnify the director or officer to the fullest extent permitted under Massachusetts law for claims arising in such individual’s capacity as a director or officer of the Company or in connection with his or her service at the request of the Company for another entity. Each agreement, among other things, establishes certain remedies for claims and contains deadlines and procedures to be followed in connection with a request for indemnification and/or advancement of expenses, including in the event of a change in control of the Company.</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the Company has directors and officers liability insurance for the benefit of its directors and officers.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Item 16.</w:t>
            </w:r>
          </w:p>
        </w:tc>
        <w:tc>
          <w:tcPr>
            <w:tcW w:w="10420" w:type="dxa"/>
            <w:vAlign w:val="bottom"/>
            <w:gridSpan w:val="3"/>
          </w:tcPr>
          <w:p>
            <w:pPr>
              <w:ind w:left="240"/>
              <w:spacing w:after="0"/>
              <w:rPr>
                <w:sz w:val="20"/>
                <w:szCs w:val="20"/>
                <w:color w:val="auto"/>
              </w:rPr>
            </w:pPr>
            <w:r>
              <w:rPr>
                <w:rFonts w:ascii="Arial" w:cs="Arial" w:eastAsia="Arial" w:hAnsi="Arial"/>
                <w:sz w:val="18"/>
                <w:szCs w:val="18"/>
                <w:b w:val="1"/>
                <w:bCs w:val="1"/>
                <w:i w:val="1"/>
                <w:iCs w:val="1"/>
                <w:color w:val="auto"/>
              </w:rPr>
              <w:t>Exhibits</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9"/>
        </w:trPr>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4780" w:type="dxa"/>
            <w:vAlign w:val="bottom"/>
          </w:tcPr>
          <w:p>
            <w:pPr>
              <w:spacing w:after="0"/>
              <w:rPr>
                <w:sz w:val="24"/>
                <w:szCs w:val="24"/>
                <w:color w:val="auto"/>
              </w:rPr>
            </w:pPr>
          </w:p>
        </w:tc>
        <w:tc>
          <w:tcPr>
            <w:tcW w:w="5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85"/>
        </w:trPr>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4780" w:type="dxa"/>
            <w:vAlign w:val="bottom"/>
          </w:tcPr>
          <w:p>
            <w:pPr>
              <w:spacing w:after="0"/>
              <w:rPr>
                <w:sz w:val="16"/>
                <w:szCs w:val="16"/>
                <w:color w:val="auto"/>
              </w:rPr>
            </w:pPr>
          </w:p>
        </w:tc>
        <w:tc>
          <w:tcPr>
            <w:tcW w:w="56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04"/>
        </w:trPr>
        <w:tc>
          <w:tcPr>
            <w:tcW w:w="52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1.1*</w:t>
            </w:r>
          </w:p>
        </w:tc>
        <w:tc>
          <w:tcPr>
            <w:tcW w:w="380" w:type="dxa"/>
            <w:vAlign w:val="bottom"/>
          </w:tcPr>
          <w:p>
            <w:pPr>
              <w:spacing w:after="0"/>
              <w:rPr>
                <w:sz w:val="24"/>
                <w:szCs w:val="24"/>
                <w:color w:val="auto"/>
              </w:rPr>
            </w:pPr>
          </w:p>
        </w:tc>
        <w:tc>
          <w:tcPr>
            <w:tcW w:w="4780" w:type="dxa"/>
            <w:vAlign w:val="bottom"/>
          </w:tcPr>
          <w:p>
            <w:pPr>
              <w:ind w:left="400"/>
              <w:spacing w:after="0"/>
              <w:rPr>
                <w:sz w:val="20"/>
                <w:szCs w:val="20"/>
                <w:color w:val="auto"/>
              </w:rPr>
            </w:pPr>
            <w:r>
              <w:rPr>
                <w:rFonts w:ascii="Arial" w:cs="Arial" w:eastAsia="Arial" w:hAnsi="Arial"/>
                <w:sz w:val="18"/>
                <w:szCs w:val="18"/>
                <w:color w:val="auto"/>
              </w:rPr>
              <w:t>Form of Underwriting Agreement.</w:t>
            </w:r>
          </w:p>
        </w:tc>
        <w:tc>
          <w:tcPr>
            <w:tcW w:w="1360" w:type="dxa"/>
            <w:vAlign w:val="bottom"/>
            <w:tcBorders>
              <w:top w:val="single" w:sz="8" w:color="auto"/>
            </w:tcBorders>
          </w:tcPr>
          <w:p>
            <w:pPr>
              <w:spacing w:after="0"/>
              <w:rPr>
                <w:sz w:val="24"/>
                <w:szCs w:val="24"/>
                <w:color w:val="auto"/>
              </w:rPr>
            </w:pPr>
          </w:p>
        </w:tc>
        <w:tc>
          <w:tcPr>
            <w:tcW w:w="4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520" w:type="dxa"/>
            <w:vAlign w:val="bottom"/>
          </w:tcPr>
          <w:p>
            <w:pPr>
              <w:ind w:left="100"/>
              <w:spacing w:after="0"/>
              <w:rPr>
                <w:sz w:val="20"/>
                <w:szCs w:val="20"/>
                <w:color w:val="auto"/>
              </w:rPr>
            </w:pPr>
            <w:r>
              <w:rPr>
                <w:rFonts w:ascii="Arial" w:cs="Arial" w:eastAsia="Arial" w:hAnsi="Arial"/>
                <w:sz w:val="18"/>
                <w:szCs w:val="18"/>
                <w:color w:val="auto"/>
              </w:rPr>
              <w:t>3.1+</w:t>
            </w:r>
          </w:p>
        </w:tc>
        <w:tc>
          <w:tcPr>
            <w:tcW w:w="380" w:type="dxa"/>
            <w:vAlign w:val="bottom"/>
          </w:tcPr>
          <w:p>
            <w:pPr>
              <w:spacing w:after="0"/>
              <w:rPr>
                <w:sz w:val="24"/>
                <w:szCs w:val="24"/>
                <w:color w:val="auto"/>
              </w:rPr>
            </w:pPr>
          </w:p>
        </w:tc>
        <w:tc>
          <w:tcPr>
            <w:tcW w:w="10420" w:type="dxa"/>
            <w:vAlign w:val="bottom"/>
            <w:gridSpan w:val="3"/>
          </w:tcPr>
          <w:p>
            <w:pPr>
              <w:ind w:left="400"/>
              <w:spacing w:after="0"/>
              <w:rPr>
                <w:sz w:val="20"/>
                <w:szCs w:val="20"/>
                <w:color w:val="auto"/>
              </w:rPr>
            </w:pPr>
            <w:r>
              <w:rPr>
                <w:rFonts w:ascii="Arial" w:cs="Arial" w:eastAsia="Arial" w:hAnsi="Arial"/>
                <w:sz w:val="18"/>
                <w:szCs w:val="18"/>
                <w:color w:val="auto"/>
                <w:w w:val="92"/>
              </w:rPr>
              <w:t>Restated Articles of Organization of the Company, as amended, filed as Exhibit 3.1 to the Company’s Quarterly Report on Form 10-Q for</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20" w:type="dxa"/>
            <w:vAlign w:val="bottom"/>
            <w:gridSpan w:val="3"/>
          </w:tcPr>
          <w:p>
            <w:pPr>
              <w:ind w:left="400"/>
              <w:spacing w:after="0"/>
              <w:rPr>
                <w:sz w:val="20"/>
                <w:szCs w:val="20"/>
                <w:color w:val="auto"/>
              </w:rPr>
            </w:pPr>
            <w:r>
              <w:rPr>
                <w:rFonts w:ascii="Arial" w:cs="Arial" w:eastAsia="Arial" w:hAnsi="Arial"/>
                <w:sz w:val="18"/>
                <w:szCs w:val="18"/>
                <w:color w:val="auto"/>
              </w:rPr>
              <w:t>the fiscal quarter ended May 3, 2008 (File No. 001-07819), as filed with the SEC on May 20, 2008.</w:t>
            </w:r>
          </w:p>
        </w:tc>
        <w:tc>
          <w:tcPr>
            <w:tcW w:w="0" w:type="dxa"/>
            <w:vAlign w:val="bottom"/>
          </w:tcPr>
          <w:p>
            <w:pPr>
              <w:spacing w:after="0"/>
              <w:rPr>
                <w:sz w:val="1"/>
                <w:szCs w:val="1"/>
                <w:color w:val="auto"/>
              </w:rPr>
            </w:pPr>
          </w:p>
        </w:tc>
      </w:tr>
      <w:tr>
        <w:trPr>
          <w:trHeight w:val="310"/>
        </w:trPr>
        <w:tc>
          <w:tcPr>
            <w:tcW w:w="520" w:type="dxa"/>
            <w:vAlign w:val="bottom"/>
          </w:tcPr>
          <w:p>
            <w:pPr>
              <w:ind w:left="100"/>
              <w:spacing w:after="0"/>
              <w:rPr>
                <w:sz w:val="20"/>
                <w:szCs w:val="20"/>
                <w:color w:val="auto"/>
              </w:rPr>
            </w:pPr>
            <w:r>
              <w:rPr>
                <w:rFonts w:ascii="Arial" w:cs="Arial" w:eastAsia="Arial" w:hAnsi="Arial"/>
                <w:sz w:val="18"/>
                <w:szCs w:val="18"/>
                <w:color w:val="auto"/>
              </w:rPr>
              <w:t>3.2+</w:t>
            </w:r>
          </w:p>
        </w:tc>
        <w:tc>
          <w:tcPr>
            <w:tcW w:w="380" w:type="dxa"/>
            <w:vAlign w:val="bottom"/>
          </w:tcPr>
          <w:p>
            <w:pPr>
              <w:spacing w:after="0"/>
              <w:rPr>
                <w:sz w:val="24"/>
                <w:szCs w:val="24"/>
                <w:color w:val="auto"/>
              </w:rPr>
            </w:pPr>
          </w:p>
        </w:tc>
        <w:tc>
          <w:tcPr>
            <w:tcW w:w="10420" w:type="dxa"/>
            <w:vAlign w:val="bottom"/>
            <w:gridSpan w:val="3"/>
          </w:tcPr>
          <w:p>
            <w:pPr>
              <w:ind w:left="400"/>
              <w:spacing w:after="0"/>
              <w:rPr>
                <w:sz w:val="20"/>
                <w:szCs w:val="20"/>
                <w:color w:val="auto"/>
              </w:rPr>
            </w:pPr>
            <w:r>
              <w:rPr>
                <w:rFonts w:ascii="Arial" w:cs="Arial" w:eastAsia="Arial" w:hAnsi="Arial"/>
                <w:sz w:val="18"/>
                <w:szCs w:val="18"/>
                <w:color w:val="auto"/>
                <w:w w:val="91"/>
              </w:rPr>
              <w:t>Amendment to Restated Articles of Organization of the Company, filed as Exhibit 3.1 to the Company’s Current Report on Form 8-K (File</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20" w:type="dxa"/>
            <w:vAlign w:val="bottom"/>
            <w:gridSpan w:val="3"/>
          </w:tcPr>
          <w:p>
            <w:pPr>
              <w:ind w:left="400"/>
              <w:spacing w:after="0"/>
              <w:rPr>
                <w:sz w:val="20"/>
                <w:szCs w:val="20"/>
                <w:color w:val="auto"/>
              </w:rPr>
            </w:pPr>
            <w:r>
              <w:rPr>
                <w:rFonts w:ascii="Arial" w:cs="Arial" w:eastAsia="Arial" w:hAnsi="Arial"/>
                <w:sz w:val="18"/>
                <w:szCs w:val="18"/>
                <w:color w:val="auto"/>
              </w:rPr>
              <w:t>No. 001-07819), as filed with the SEC on December 8, 2008.</w:t>
            </w:r>
          </w:p>
        </w:tc>
        <w:tc>
          <w:tcPr>
            <w:tcW w:w="0" w:type="dxa"/>
            <w:vAlign w:val="bottom"/>
          </w:tcPr>
          <w:p>
            <w:pPr>
              <w:spacing w:after="0"/>
              <w:rPr>
                <w:sz w:val="1"/>
                <w:szCs w:val="1"/>
                <w:color w:val="auto"/>
              </w:rPr>
            </w:pPr>
          </w:p>
        </w:tc>
      </w:tr>
      <w:tr>
        <w:trPr>
          <w:trHeight w:val="310"/>
        </w:trPr>
        <w:tc>
          <w:tcPr>
            <w:tcW w:w="520" w:type="dxa"/>
            <w:vAlign w:val="bottom"/>
          </w:tcPr>
          <w:p>
            <w:pPr>
              <w:ind w:left="100"/>
              <w:spacing w:after="0"/>
              <w:rPr>
                <w:sz w:val="20"/>
                <w:szCs w:val="20"/>
                <w:color w:val="auto"/>
              </w:rPr>
            </w:pPr>
            <w:r>
              <w:rPr>
                <w:rFonts w:ascii="Arial" w:cs="Arial" w:eastAsia="Arial" w:hAnsi="Arial"/>
                <w:sz w:val="18"/>
                <w:szCs w:val="18"/>
                <w:color w:val="auto"/>
              </w:rPr>
              <w:t>3.3+</w:t>
            </w:r>
          </w:p>
        </w:tc>
        <w:tc>
          <w:tcPr>
            <w:tcW w:w="380" w:type="dxa"/>
            <w:vAlign w:val="bottom"/>
          </w:tcPr>
          <w:p>
            <w:pPr>
              <w:spacing w:after="0"/>
              <w:rPr>
                <w:sz w:val="24"/>
                <w:szCs w:val="24"/>
                <w:color w:val="auto"/>
              </w:rPr>
            </w:pPr>
          </w:p>
        </w:tc>
        <w:tc>
          <w:tcPr>
            <w:tcW w:w="10420" w:type="dxa"/>
            <w:vAlign w:val="bottom"/>
            <w:gridSpan w:val="3"/>
          </w:tcPr>
          <w:p>
            <w:pPr>
              <w:ind w:left="400"/>
              <w:spacing w:after="0"/>
              <w:rPr>
                <w:sz w:val="20"/>
                <w:szCs w:val="20"/>
                <w:color w:val="auto"/>
              </w:rPr>
            </w:pPr>
            <w:r>
              <w:rPr>
                <w:rFonts w:ascii="Arial" w:cs="Arial" w:eastAsia="Arial" w:hAnsi="Arial"/>
                <w:sz w:val="18"/>
                <w:szCs w:val="18"/>
                <w:color w:val="auto"/>
                <w:w w:val="91"/>
              </w:rPr>
              <w:t>Amended and Restated By-laws of the Company, filed as Exhibit 3.1 to the Company’s Current Report on Form 8-K (File No. 001-07819),</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20" w:type="dxa"/>
            <w:vAlign w:val="bottom"/>
            <w:gridSpan w:val="3"/>
          </w:tcPr>
          <w:p>
            <w:pPr>
              <w:ind w:left="400"/>
              <w:spacing w:after="0"/>
              <w:rPr>
                <w:sz w:val="20"/>
                <w:szCs w:val="20"/>
                <w:color w:val="auto"/>
              </w:rPr>
            </w:pPr>
            <w:r>
              <w:rPr>
                <w:rFonts w:ascii="Arial" w:cs="Arial" w:eastAsia="Arial" w:hAnsi="Arial"/>
                <w:sz w:val="18"/>
                <w:szCs w:val="18"/>
                <w:color w:val="auto"/>
              </w:rPr>
              <w:t>as filed with the SEC on January 28, 2010.</w:t>
            </w:r>
          </w:p>
        </w:tc>
        <w:tc>
          <w:tcPr>
            <w:tcW w:w="0" w:type="dxa"/>
            <w:vAlign w:val="bottom"/>
          </w:tcPr>
          <w:p>
            <w:pPr>
              <w:spacing w:after="0"/>
              <w:rPr>
                <w:sz w:val="1"/>
                <w:szCs w:val="1"/>
                <w:color w:val="auto"/>
              </w:rPr>
            </w:pPr>
          </w:p>
        </w:tc>
      </w:tr>
      <w:tr>
        <w:trPr>
          <w:trHeight w:val="310"/>
        </w:trPr>
        <w:tc>
          <w:tcPr>
            <w:tcW w:w="520" w:type="dxa"/>
            <w:vAlign w:val="bottom"/>
          </w:tcPr>
          <w:p>
            <w:pPr>
              <w:ind w:left="100"/>
              <w:spacing w:after="0"/>
              <w:rPr>
                <w:sz w:val="20"/>
                <w:szCs w:val="20"/>
                <w:color w:val="auto"/>
              </w:rPr>
            </w:pPr>
            <w:r>
              <w:rPr>
                <w:rFonts w:ascii="Arial" w:cs="Arial" w:eastAsia="Arial" w:hAnsi="Arial"/>
                <w:sz w:val="18"/>
                <w:szCs w:val="18"/>
                <w:color w:val="auto"/>
              </w:rPr>
              <w:t>4.1+</w:t>
            </w:r>
          </w:p>
        </w:tc>
        <w:tc>
          <w:tcPr>
            <w:tcW w:w="380" w:type="dxa"/>
            <w:vAlign w:val="bottom"/>
          </w:tcPr>
          <w:p>
            <w:pPr>
              <w:spacing w:after="0"/>
              <w:rPr>
                <w:sz w:val="24"/>
                <w:szCs w:val="24"/>
                <w:color w:val="auto"/>
              </w:rPr>
            </w:pPr>
          </w:p>
        </w:tc>
        <w:tc>
          <w:tcPr>
            <w:tcW w:w="10420" w:type="dxa"/>
            <w:vAlign w:val="bottom"/>
            <w:gridSpan w:val="3"/>
          </w:tcPr>
          <w:p>
            <w:pPr>
              <w:ind w:left="400"/>
              <w:spacing w:after="0"/>
              <w:rPr>
                <w:sz w:val="20"/>
                <w:szCs w:val="20"/>
                <w:color w:val="auto"/>
              </w:rPr>
            </w:pPr>
            <w:r>
              <w:rPr>
                <w:rFonts w:ascii="Arial" w:cs="Arial" w:eastAsia="Arial" w:hAnsi="Arial"/>
                <w:sz w:val="18"/>
                <w:szCs w:val="18"/>
                <w:color w:val="auto"/>
                <w:w w:val="90"/>
              </w:rPr>
              <w:t>Indenture dated June 3, 2013, by and between the Company and The Bank of New York Mellon Trust Company, N.A. (as Trustee), filed as</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20" w:type="dxa"/>
            <w:vAlign w:val="bottom"/>
            <w:gridSpan w:val="3"/>
          </w:tcPr>
          <w:p>
            <w:pPr>
              <w:ind w:left="400"/>
              <w:spacing w:after="0"/>
              <w:rPr>
                <w:sz w:val="20"/>
                <w:szCs w:val="20"/>
                <w:color w:val="auto"/>
              </w:rPr>
            </w:pPr>
            <w:r>
              <w:rPr>
                <w:rFonts w:ascii="Arial" w:cs="Arial" w:eastAsia="Arial" w:hAnsi="Arial"/>
                <w:sz w:val="18"/>
                <w:szCs w:val="18"/>
                <w:color w:val="auto"/>
              </w:rPr>
              <w:t>Exhibit 4.1 to the Company’s Current Report on Form 8-K (File No. 001-07819), as filed with the SEC on June 3, 2013.</w:t>
            </w:r>
          </w:p>
        </w:tc>
        <w:tc>
          <w:tcPr>
            <w:tcW w:w="0" w:type="dxa"/>
            <w:vAlign w:val="bottom"/>
          </w:tcPr>
          <w:p>
            <w:pPr>
              <w:spacing w:after="0"/>
              <w:rPr>
                <w:sz w:val="1"/>
                <w:szCs w:val="1"/>
                <w:color w:val="auto"/>
              </w:rPr>
            </w:pPr>
          </w:p>
        </w:tc>
      </w:tr>
      <w:tr>
        <w:trPr>
          <w:trHeight w:val="324"/>
        </w:trPr>
        <w:tc>
          <w:tcPr>
            <w:tcW w:w="520" w:type="dxa"/>
            <w:vAlign w:val="bottom"/>
          </w:tcPr>
          <w:p>
            <w:pPr>
              <w:ind w:left="100"/>
              <w:spacing w:after="0"/>
              <w:rPr>
                <w:sz w:val="20"/>
                <w:szCs w:val="20"/>
                <w:color w:val="auto"/>
              </w:rPr>
            </w:pPr>
            <w:r>
              <w:rPr>
                <w:rFonts w:ascii="Arial" w:cs="Arial" w:eastAsia="Arial" w:hAnsi="Arial"/>
                <w:sz w:val="18"/>
                <w:szCs w:val="18"/>
                <w:color w:val="auto"/>
              </w:rPr>
              <w:t>5.1</w:t>
            </w:r>
          </w:p>
        </w:tc>
        <w:tc>
          <w:tcPr>
            <w:tcW w:w="380" w:type="dxa"/>
            <w:vAlign w:val="bottom"/>
          </w:tcPr>
          <w:p>
            <w:pPr>
              <w:spacing w:after="0"/>
              <w:rPr>
                <w:sz w:val="24"/>
                <w:szCs w:val="24"/>
                <w:color w:val="auto"/>
              </w:rPr>
            </w:pPr>
          </w:p>
        </w:tc>
        <w:tc>
          <w:tcPr>
            <w:tcW w:w="10420" w:type="dxa"/>
            <w:vAlign w:val="bottom"/>
            <w:gridSpan w:val="3"/>
          </w:tcPr>
          <w:p>
            <w:pPr>
              <w:ind w:left="400"/>
              <w:spacing w:after="0"/>
              <w:rPr>
                <w:sz w:val="20"/>
                <w:szCs w:val="20"/>
                <w:color w:val="auto"/>
              </w:rPr>
            </w:pPr>
            <w:r>
              <w:rPr>
                <w:rFonts w:ascii="Arial" w:cs="Arial" w:eastAsia="Arial" w:hAnsi="Arial"/>
                <w:sz w:val="18"/>
                <w:szCs w:val="18"/>
                <w:color w:val="auto"/>
              </w:rPr>
              <w:t>Opinion of Wilmer Cutler Pickering Hale and Dorr LLP.</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12.1</w:t>
            </w:r>
          </w:p>
        </w:tc>
        <w:tc>
          <w:tcPr>
            <w:tcW w:w="380" w:type="dxa"/>
            <w:vAlign w:val="bottom"/>
          </w:tcPr>
          <w:p>
            <w:pPr>
              <w:spacing w:after="0"/>
              <w:rPr>
                <w:sz w:val="24"/>
                <w:szCs w:val="24"/>
                <w:color w:val="auto"/>
              </w:rPr>
            </w:pPr>
          </w:p>
        </w:tc>
        <w:tc>
          <w:tcPr>
            <w:tcW w:w="10420" w:type="dxa"/>
            <w:vAlign w:val="bottom"/>
            <w:gridSpan w:val="3"/>
          </w:tcPr>
          <w:p>
            <w:pPr>
              <w:ind w:left="400"/>
              <w:spacing w:after="0"/>
              <w:rPr>
                <w:sz w:val="20"/>
                <w:szCs w:val="20"/>
                <w:color w:val="auto"/>
              </w:rPr>
            </w:pPr>
            <w:r>
              <w:rPr>
                <w:rFonts w:ascii="Arial" w:cs="Arial" w:eastAsia="Arial" w:hAnsi="Arial"/>
                <w:sz w:val="18"/>
                <w:szCs w:val="18"/>
                <w:color w:val="auto"/>
              </w:rPr>
              <w:t>Computation of Consolidated Ratios of Earnings to Fixed Charges.</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23.1</w:t>
            </w:r>
          </w:p>
        </w:tc>
        <w:tc>
          <w:tcPr>
            <w:tcW w:w="380" w:type="dxa"/>
            <w:vAlign w:val="bottom"/>
          </w:tcPr>
          <w:p>
            <w:pPr>
              <w:spacing w:after="0"/>
              <w:rPr>
                <w:sz w:val="24"/>
                <w:szCs w:val="24"/>
                <w:color w:val="auto"/>
              </w:rPr>
            </w:pPr>
          </w:p>
        </w:tc>
        <w:tc>
          <w:tcPr>
            <w:tcW w:w="10420" w:type="dxa"/>
            <w:vAlign w:val="bottom"/>
            <w:gridSpan w:val="3"/>
          </w:tcPr>
          <w:p>
            <w:pPr>
              <w:ind w:left="400"/>
              <w:spacing w:after="0"/>
              <w:rPr>
                <w:sz w:val="20"/>
                <w:szCs w:val="20"/>
                <w:color w:val="auto"/>
              </w:rPr>
            </w:pPr>
            <w:r>
              <w:rPr>
                <w:rFonts w:ascii="Arial" w:cs="Arial" w:eastAsia="Arial" w:hAnsi="Arial"/>
                <w:sz w:val="18"/>
                <w:szCs w:val="18"/>
                <w:color w:val="auto"/>
              </w:rPr>
              <w:t>Consent of Ernst &amp; Young LLP, Independent Registered Public Accounting Firm.</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23.2</w:t>
            </w:r>
          </w:p>
        </w:tc>
        <w:tc>
          <w:tcPr>
            <w:tcW w:w="380" w:type="dxa"/>
            <w:vAlign w:val="bottom"/>
          </w:tcPr>
          <w:p>
            <w:pPr>
              <w:spacing w:after="0"/>
              <w:rPr>
                <w:sz w:val="24"/>
                <w:szCs w:val="24"/>
                <w:color w:val="auto"/>
              </w:rPr>
            </w:pPr>
          </w:p>
        </w:tc>
        <w:tc>
          <w:tcPr>
            <w:tcW w:w="10420" w:type="dxa"/>
            <w:vAlign w:val="bottom"/>
            <w:gridSpan w:val="3"/>
          </w:tcPr>
          <w:p>
            <w:pPr>
              <w:ind w:left="400"/>
              <w:spacing w:after="0"/>
              <w:rPr>
                <w:sz w:val="20"/>
                <w:szCs w:val="20"/>
                <w:color w:val="auto"/>
              </w:rPr>
            </w:pPr>
            <w:r>
              <w:rPr>
                <w:rFonts w:ascii="Arial" w:cs="Arial" w:eastAsia="Arial" w:hAnsi="Arial"/>
                <w:sz w:val="18"/>
                <w:szCs w:val="18"/>
                <w:color w:val="auto"/>
              </w:rPr>
              <w:t>Consent of Wilmer Cutler Pickering Hale and Dorr LLP (included in Exhibit 5.1).</w:t>
            </w:r>
          </w:p>
        </w:tc>
        <w:tc>
          <w:tcPr>
            <w:tcW w:w="0" w:type="dxa"/>
            <w:vAlign w:val="bottom"/>
          </w:tcPr>
          <w:p>
            <w:pPr>
              <w:spacing w:after="0"/>
              <w:rPr>
                <w:sz w:val="1"/>
                <w:szCs w:val="1"/>
                <w:color w:val="auto"/>
              </w:rPr>
            </w:pPr>
          </w:p>
        </w:tc>
      </w:tr>
      <w:tr>
        <w:trPr>
          <w:trHeight w:val="365"/>
        </w:trPr>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20" w:type="dxa"/>
            <w:vAlign w:val="bottom"/>
            <w:gridSpan w:val="3"/>
          </w:tcPr>
          <w:p>
            <w:pPr>
              <w:ind w:left="4680"/>
              <w:spacing w:after="0"/>
              <w:rPr>
                <w:sz w:val="20"/>
                <w:szCs w:val="20"/>
                <w:color w:val="auto"/>
              </w:rPr>
            </w:pPr>
            <w:r>
              <w:rPr>
                <w:rFonts w:ascii="Arial" w:cs="Arial" w:eastAsia="Arial" w:hAnsi="Arial"/>
                <w:sz w:val="18"/>
                <w:szCs w:val="18"/>
                <w:color w:val="auto"/>
              </w:rPr>
              <w:t>II-2</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8260" w:type="dxa"/>
            <w:vAlign w:val="bottom"/>
            <w:gridSpan w:val="3"/>
            <w:vMerge w:val="restart"/>
          </w:tcPr>
          <w:p>
            <w:pPr>
              <w:ind w:left="522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85"/>
        </w:trPr>
        <w:tc>
          <w:tcPr>
            <w:tcW w:w="520" w:type="dxa"/>
            <w:vAlign w:val="bottom"/>
          </w:tcPr>
          <w:p>
            <w:pPr>
              <w:spacing w:after="0"/>
              <w:rPr>
                <w:sz w:val="20"/>
                <w:szCs w:val="20"/>
                <w:color w:val="auto"/>
              </w:rPr>
            </w:pPr>
            <w:r>
              <w:rPr>
                <w:rFonts w:ascii="Arial" w:cs="Arial" w:eastAsia="Arial" w:hAnsi="Arial"/>
                <w:sz w:val="14"/>
                <w:szCs w:val="14"/>
                <w:b w:val="1"/>
                <w:bCs w:val="1"/>
                <w:color w:val="auto"/>
                <w:w w:val="94"/>
              </w:rPr>
              <w:t>Number</w:t>
            </w:r>
          </w:p>
        </w:tc>
        <w:tc>
          <w:tcPr>
            <w:tcW w:w="826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04"/>
        </w:trPr>
        <w:tc>
          <w:tcPr>
            <w:tcW w:w="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24.1</w:t>
            </w:r>
          </w:p>
        </w:tc>
        <w:tc>
          <w:tcPr>
            <w:tcW w:w="5220" w:type="dxa"/>
            <w:vAlign w:val="bottom"/>
          </w:tcPr>
          <w:p>
            <w:pPr>
              <w:ind w:left="880"/>
              <w:spacing w:after="0"/>
              <w:rPr>
                <w:sz w:val="20"/>
                <w:szCs w:val="20"/>
                <w:color w:val="auto"/>
              </w:rPr>
            </w:pPr>
            <w:r>
              <w:rPr>
                <w:rFonts w:ascii="Arial" w:cs="Arial" w:eastAsia="Arial" w:hAnsi="Arial"/>
                <w:sz w:val="18"/>
                <w:szCs w:val="18"/>
                <w:color w:val="auto"/>
              </w:rPr>
              <w:t>Powers of Attorney (included on signature pages).</w:t>
            </w:r>
          </w:p>
        </w:tc>
        <w:tc>
          <w:tcPr>
            <w:tcW w:w="1340" w:type="dxa"/>
            <w:vAlign w:val="bottom"/>
            <w:tcBorders>
              <w:top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25.1</w:t>
            </w:r>
          </w:p>
        </w:tc>
        <w:tc>
          <w:tcPr>
            <w:tcW w:w="8260" w:type="dxa"/>
            <w:vAlign w:val="bottom"/>
            <w:gridSpan w:val="3"/>
          </w:tcPr>
          <w:p>
            <w:pPr>
              <w:ind w:left="880"/>
              <w:spacing w:after="0"/>
              <w:rPr>
                <w:sz w:val="20"/>
                <w:szCs w:val="20"/>
                <w:color w:val="auto"/>
              </w:rPr>
            </w:pPr>
            <w:r>
              <w:rPr>
                <w:rFonts w:ascii="Arial" w:cs="Arial" w:eastAsia="Arial" w:hAnsi="Arial"/>
                <w:sz w:val="18"/>
                <w:szCs w:val="18"/>
                <w:color w:val="auto"/>
                <w:w w:val="92"/>
              </w:rPr>
              <w:t>Statement of Eligibility on Form T-1 of The Bank of New York Mellon Trust Company, N.A., Trustee.</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20" w:hanging="212"/>
        <w:spacing w:after="0"/>
        <w:tabs>
          <w:tab w:leader="none" w:pos="220" w:val="left"/>
        </w:tabs>
        <w:numPr>
          <w:ilvl w:val="0"/>
          <w:numId w:val="21"/>
        </w:numPr>
        <w:rPr>
          <w:rFonts w:ascii="Arial" w:cs="Arial" w:eastAsia="Arial" w:hAnsi="Arial"/>
          <w:sz w:val="15"/>
          <w:szCs w:val="15"/>
          <w:color w:val="auto"/>
        </w:rPr>
      </w:pPr>
      <w:r>
        <w:rPr>
          <w:rFonts w:ascii="Arial" w:cs="Arial" w:eastAsia="Arial" w:hAnsi="Arial"/>
          <w:sz w:val="18"/>
          <w:szCs w:val="18"/>
          <w:color w:val="auto"/>
        </w:rPr>
        <w:t>Previously filed with the SEC and incorporated herein by reference.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To be filed by an amendment or as an exhibit to a report filed under the Exchange Act and incorporated herein by reference.</w:t>
      </w:r>
    </w:p>
    <w:p>
      <w:pPr>
        <w:spacing w:after="0" w:line="35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5"/>
          <w:szCs w:val="15"/>
          <w:b w:val="1"/>
          <w:bCs w:val="1"/>
          <w:i w:val="1"/>
          <w:iCs w:val="1"/>
          <w:color w:val="auto"/>
        </w:rPr>
        <w:t>Undertakings</w:t>
      </w:r>
      <w:r>
        <w:rPr>
          <w:rFonts w:ascii="Arial" w:cs="Arial" w:eastAsia="Arial" w:hAnsi="Arial"/>
          <w:sz w:val="15"/>
          <w:szCs w:val="15"/>
          <w:color w:val="auto"/>
        </w:rPr>
        <w: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Registrant hereby undertakes:</w:t>
      </w:r>
    </w:p>
    <w:p>
      <w:pPr>
        <w:spacing w:after="0" w:line="131" w:lineRule="exact"/>
        <w:rPr>
          <w:sz w:val="20"/>
          <w:szCs w:val="20"/>
          <w:color w:val="auto"/>
        </w:rPr>
      </w:pPr>
    </w:p>
    <w:p>
      <w:pPr>
        <w:ind w:left="460"/>
        <w:spacing w:after="0"/>
        <w:tabs>
          <w:tab w:leader="none" w:pos="1000" w:val="left"/>
        </w:tabs>
        <w:rPr>
          <w:sz w:val="20"/>
          <w:szCs w:val="20"/>
          <w:color w:val="auto"/>
        </w:rPr>
      </w:pPr>
      <w:r>
        <w:rPr>
          <w:rFonts w:ascii="Arial" w:cs="Arial" w:eastAsia="Arial" w:hAnsi="Arial"/>
          <w:sz w:val="18"/>
          <w:szCs w:val="18"/>
          <w:color w:val="auto"/>
        </w:rPr>
        <w:t>(a)(1)</w:t>
      </w:r>
      <w:r>
        <w:rPr>
          <w:sz w:val="20"/>
          <w:szCs w:val="20"/>
          <w:color w:val="auto"/>
        </w:rPr>
        <w:tab/>
      </w:r>
      <w:r>
        <w:rPr>
          <w:rFonts w:ascii="Arial" w:cs="Arial" w:eastAsia="Arial" w:hAnsi="Arial"/>
          <w:sz w:val="16"/>
          <w:szCs w:val="16"/>
          <w:color w:val="auto"/>
        </w:rPr>
        <w:t>To file, during any period in which offers or sales are being made, a post-effective amendment to this registration statement:</w:t>
      </w:r>
    </w:p>
    <w:p>
      <w:pPr>
        <w:spacing w:after="0" w:line="131" w:lineRule="exact"/>
        <w:rPr>
          <w:sz w:val="20"/>
          <w:szCs w:val="20"/>
          <w:color w:val="auto"/>
        </w:rPr>
      </w:pPr>
    </w:p>
    <w:p>
      <w:pPr>
        <w:ind w:left="1480" w:hanging="567"/>
        <w:spacing w:after="0"/>
        <w:tabs>
          <w:tab w:leader="none" w:pos="1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 as amended (the “Securities Act”);</w:t>
      </w:r>
    </w:p>
    <w:p>
      <w:pPr>
        <w:spacing w:after="0" w:line="130" w:lineRule="exact"/>
        <w:rPr>
          <w:rFonts w:ascii="Arial" w:cs="Arial" w:eastAsia="Arial" w:hAnsi="Arial"/>
          <w:sz w:val="18"/>
          <w:szCs w:val="18"/>
          <w:color w:val="auto"/>
        </w:rPr>
      </w:pPr>
    </w:p>
    <w:p>
      <w:pPr>
        <w:ind w:left="1480" w:right="40" w:hanging="567"/>
        <w:spacing w:after="0" w:line="272" w:lineRule="auto"/>
        <w:tabs>
          <w:tab w:leader="none" w:pos="14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83" w:lineRule="exact"/>
        <w:rPr>
          <w:rFonts w:ascii="Arial" w:cs="Arial" w:eastAsia="Arial" w:hAnsi="Arial"/>
          <w:sz w:val="17"/>
          <w:szCs w:val="17"/>
          <w:color w:val="auto"/>
        </w:rPr>
      </w:pPr>
    </w:p>
    <w:p>
      <w:pPr>
        <w:ind w:left="1480" w:right="200" w:hanging="567"/>
        <w:spacing w:after="0" w:line="277" w:lineRule="auto"/>
        <w:tabs>
          <w:tab w:leader="none" w:pos="1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paragraphs (a)(1)(i), (a)(1)(ii) and (a)(1)(iii) do not apply if the information required to be included in a post-effective amendment by</w:t>
      </w:r>
      <w:r>
        <w:rPr>
          <w:rFonts w:ascii="Arial" w:cs="Arial" w:eastAsia="Arial" w:hAnsi="Arial"/>
          <w:sz w:val="18"/>
          <w:szCs w:val="18"/>
          <w:i w:val="1"/>
          <w:iCs w:val="1"/>
          <w:color w:val="auto"/>
        </w:rPr>
        <w:t xml:space="preserve"> </w:t>
      </w:r>
      <w:r>
        <w:rPr>
          <w:rFonts w:ascii="Arial" w:cs="Arial" w:eastAsia="Arial" w:hAnsi="Arial"/>
          <w:sz w:val="18"/>
          <w:szCs w:val="18"/>
          <w:color w:val="auto"/>
        </w:rPr>
        <w:t>those paragraphs is contained in reports filed with or furnished to the Commission by a Registrant pursuant to Section 13 or Section 15(d) of the Securities Exchange Act of 1934, as amended (the “Exchange Act”), that are incorporated by reference in this registration statement, or is contained in a form of prospectus filed pursuant to Rule 424(b) that is part of this registration statement.</w:t>
      </w:r>
    </w:p>
    <w:p>
      <w:pPr>
        <w:spacing w:after="0" w:line="92" w:lineRule="exact"/>
        <w:rPr>
          <w:sz w:val="20"/>
          <w:szCs w:val="20"/>
          <w:color w:val="auto"/>
        </w:rPr>
      </w:pPr>
    </w:p>
    <w:p>
      <w:pPr>
        <w:ind w:left="900" w:hanging="446"/>
        <w:spacing w:after="0" w:line="264"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That, for the purposes of determining any liability under the Securities Act, each such post-effective amendment shall be deemed to be a new registration statement relating to the securities offered therein, and the offering of such securities at the time shall be deemed to be the initial </w:t>
      </w:r>
      <w:r>
        <w:rPr>
          <w:rFonts w:ascii="Arial" w:cs="Arial" w:eastAsia="Arial" w:hAnsi="Arial"/>
          <w:sz w:val="18"/>
          <w:szCs w:val="18"/>
          <w:i w:val="1"/>
          <w:iCs w:val="1"/>
          <w:color w:val="auto"/>
        </w:rPr>
        <w:t>bona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fide </w:t>
      </w:r>
      <w:r>
        <w:rPr>
          <w:rFonts w:ascii="Arial" w:cs="Arial" w:eastAsia="Arial" w:hAnsi="Arial"/>
          <w:sz w:val="18"/>
          <w:szCs w:val="18"/>
          <w:color w:val="auto"/>
        </w:rPr>
        <w:t>offering thereof.</w:t>
      </w:r>
    </w:p>
    <w:p>
      <w:pPr>
        <w:spacing w:after="0" w:line="86" w:lineRule="exact"/>
        <w:rPr>
          <w:rFonts w:ascii="Arial" w:cs="Arial" w:eastAsia="Arial" w:hAnsi="Arial"/>
          <w:sz w:val="18"/>
          <w:szCs w:val="18"/>
          <w:color w:val="auto"/>
        </w:rPr>
      </w:pPr>
    </w:p>
    <w:p>
      <w:pPr>
        <w:ind w:left="900" w:right="820" w:hanging="446"/>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130" w:lineRule="exact"/>
        <w:rPr>
          <w:rFonts w:ascii="Arial" w:cs="Arial" w:eastAsia="Arial" w:hAnsi="Arial"/>
          <w:sz w:val="18"/>
          <w:szCs w:val="18"/>
          <w:color w:val="auto"/>
        </w:rPr>
      </w:pPr>
    </w:p>
    <w:p>
      <w:pPr>
        <w:ind w:left="1480" w:right="40" w:hanging="567"/>
        <w:spacing w:after="0" w:line="277" w:lineRule="auto"/>
        <w:tabs>
          <w:tab w:leader="none" w:pos="14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each prospectus filed by a Registrant pursuant to Rule 424(b)(3) shall be deemed to be part of the registration statement as of the date the filed prospectus was deemed part of and included in the registration statement; and</w:t>
      </w:r>
    </w:p>
    <w:p>
      <w:pPr>
        <w:spacing w:after="0" w:line="75" w:lineRule="exact"/>
        <w:rPr>
          <w:rFonts w:ascii="Arial" w:cs="Arial" w:eastAsia="Arial" w:hAnsi="Arial"/>
          <w:sz w:val="18"/>
          <w:szCs w:val="18"/>
          <w:color w:val="auto"/>
        </w:rPr>
      </w:pPr>
    </w:p>
    <w:p>
      <w:pPr>
        <w:ind w:left="1480" w:right="320" w:hanging="567"/>
        <w:spacing w:after="0" w:line="286" w:lineRule="auto"/>
        <w:tabs>
          <w:tab w:leader="none" w:pos="1480" w:val="left"/>
        </w:tabs>
        <w:numPr>
          <w:ilvl w:val="1"/>
          <w:numId w:val="23"/>
        </w:numPr>
        <w:rPr>
          <w:rFonts w:ascii="Arial" w:cs="Arial" w:eastAsia="Arial" w:hAnsi="Arial"/>
          <w:sz w:val="17"/>
          <w:szCs w:val="17"/>
          <w:color w:val="auto"/>
        </w:rPr>
      </w:pPr>
      <w:r>
        <w:rPr>
          <w:rFonts w:ascii="Arial" w:cs="Arial" w:eastAsia="Arial" w:hAnsi="Arial"/>
          <w:sz w:val="17"/>
          <w:szCs w:val="17"/>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right="80"/>
        <w:spacing w:after="0" w:line="270" w:lineRule="auto"/>
        <w:rPr>
          <w:sz w:val="20"/>
          <w:szCs w:val="20"/>
          <w:color w:val="auto"/>
        </w:rPr>
      </w:pPr>
      <w:r>
        <w:rPr>
          <w:rFonts w:ascii="Arial" w:cs="Arial" w:eastAsia="Arial" w:hAnsi="Arial"/>
          <w:sz w:val="17"/>
          <w:szCs w:val="17"/>
          <w:color w:val="auto"/>
        </w:rPr>
        <w:t xml:space="preserve">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Arial" w:cs="Arial" w:eastAsia="Arial" w:hAnsi="Arial"/>
          <w:sz w:val="17"/>
          <w:szCs w:val="17"/>
          <w:i w:val="1"/>
          <w:iCs w:val="1"/>
          <w:color w:val="auto"/>
        </w:rPr>
        <w:t xml:space="preserve">bona fide </w:t>
      </w:r>
      <w:r>
        <w:rPr>
          <w:rFonts w:ascii="Arial" w:cs="Arial" w:eastAsia="Arial" w:hAnsi="Arial"/>
          <w:sz w:val="17"/>
          <w:szCs w:val="17"/>
          <w:color w:val="auto"/>
        </w:rPr>
        <w:t>offering thereof;</w:t>
      </w:r>
      <w:r>
        <w:rPr>
          <w:rFonts w:ascii="Arial" w:cs="Arial" w:eastAsia="Arial" w:hAnsi="Arial"/>
          <w:sz w:val="17"/>
          <w:szCs w:val="17"/>
          <w:i w:val="1"/>
          <w:iCs w:val="1"/>
          <w:color w:val="auto"/>
        </w:rPr>
        <w:t xml:space="preserve"> provided, however</w:t>
      </w:r>
      <w:r>
        <w:rPr>
          <w:rFonts w:ascii="Arial" w:cs="Arial" w:eastAsia="Arial" w:hAnsi="Arial"/>
          <w:sz w:val="17"/>
          <w:szCs w:val="17"/>
          <w:color w:val="auto"/>
        </w:rPr>
        <w:t>, that no statement made in a registration statement or prospectus that is part of the</w:t>
      </w:r>
      <w:r>
        <w:rPr>
          <w:rFonts w:ascii="Arial" w:cs="Arial" w:eastAsia="Arial" w:hAnsi="Arial"/>
          <w:sz w:val="17"/>
          <w:szCs w:val="17"/>
          <w:i w:val="1"/>
          <w:iCs w:val="1"/>
          <w:color w:val="auto"/>
        </w:rPr>
        <w:t xml:space="preserve"> </w:t>
      </w:r>
      <w:r>
        <w:rPr>
          <w:rFonts w:ascii="Arial" w:cs="Arial" w:eastAsia="Arial" w:hAnsi="Arial"/>
          <w:sz w:val="17"/>
          <w:szCs w:val="17"/>
          <w:color w:val="auto"/>
        </w:rPr>
        <w:t>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87" w:lineRule="exact"/>
        <w:rPr>
          <w:sz w:val="20"/>
          <w:szCs w:val="20"/>
          <w:color w:val="auto"/>
        </w:rPr>
      </w:pPr>
    </w:p>
    <w:p>
      <w:pPr>
        <w:ind w:left="900" w:right="40" w:hanging="446"/>
        <w:spacing w:after="0" w:line="25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That, for the purpose of determining liability of a Registrant under the Securities Act to any purchaser in the initial distribution of the securities, the undersigned Registrant undertakes that in a primary offering of securities of such undersigned Registrant pursuant to this registration statement, regardless of the underwriting method used to sell the securities to the purchaser, if the securities are offered or sold to such purchaser by means of any of the following communications, such undersigned Registrant will be a seller to the purchaser and will be considered to offer or sell such securities to such purchaser:</w:t>
      </w:r>
    </w:p>
    <w:p>
      <w:pPr>
        <w:spacing w:after="0" w:line="93" w:lineRule="exact"/>
        <w:rPr>
          <w:rFonts w:ascii="Arial" w:cs="Arial" w:eastAsia="Arial" w:hAnsi="Arial"/>
          <w:sz w:val="18"/>
          <w:szCs w:val="18"/>
          <w:color w:val="auto"/>
        </w:rPr>
      </w:pPr>
    </w:p>
    <w:p>
      <w:pPr>
        <w:ind w:left="1480" w:hanging="567"/>
        <w:spacing w:after="0"/>
        <w:tabs>
          <w:tab w:leader="none" w:pos="1480" w:val="left"/>
        </w:tabs>
        <w:numPr>
          <w:ilvl w:val="1"/>
          <w:numId w:val="24"/>
        </w:numPr>
        <w:rPr>
          <w:rFonts w:ascii="Arial" w:cs="Arial" w:eastAsia="Arial" w:hAnsi="Arial"/>
          <w:sz w:val="16"/>
          <w:szCs w:val="16"/>
          <w:color w:val="auto"/>
        </w:rPr>
      </w:pPr>
      <w:r>
        <w:rPr>
          <w:rFonts w:ascii="Arial" w:cs="Arial" w:eastAsia="Arial" w:hAnsi="Arial"/>
          <w:sz w:val="16"/>
          <w:szCs w:val="16"/>
          <w:color w:val="auto"/>
        </w:rPr>
        <w:t>any preliminary prospectus or prospectus of such undersigned Registrant relating to the offering required to be filed pursuant to Rule 424;</w:t>
      </w:r>
    </w:p>
    <w:p>
      <w:pPr>
        <w:spacing w:after="0" w:line="153" w:lineRule="exact"/>
        <w:rPr>
          <w:rFonts w:ascii="Arial" w:cs="Arial" w:eastAsia="Arial" w:hAnsi="Arial"/>
          <w:sz w:val="16"/>
          <w:szCs w:val="16"/>
          <w:color w:val="auto"/>
        </w:rPr>
      </w:pPr>
    </w:p>
    <w:p>
      <w:pPr>
        <w:ind w:left="1480" w:right="60" w:hanging="567"/>
        <w:spacing w:after="0" w:line="277" w:lineRule="auto"/>
        <w:tabs>
          <w:tab w:leader="none" w:pos="14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such undersigned Registrant or used or referred to by such undersigned Registrant;</w:t>
      </w:r>
    </w:p>
    <w:p>
      <w:pPr>
        <w:spacing w:after="0" w:line="75" w:lineRule="exact"/>
        <w:rPr>
          <w:rFonts w:ascii="Arial" w:cs="Arial" w:eastAsia="Arial" w:hAnsi="Arial"/>
          <w:sz w:val="18"/>
          <w:szCs w:val="18"/>
          <w:color w:val="auto"/>
        </w:rPr>
      </w:pPr>
    </w:p>
    <w:p>
      <w:pPr>
        <w:ind w:left="1480" w:hanging="567"/>
        <w:spacing w:after="0" w:line="277" w:lineRule="auto"/>
        <w:tabs>
          <w:tab w:leader="none" w:pos="14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such undersigned Registrant or its securities provided by or on behalf of such undersigned Registrant; and</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such undersigned Registrant to the purchaser.</w:t>
      </w:r>
    </w:p>
    <w:p>
      <w:pPr>
        <w:spacing w:after="0" w:line="131" w:lineRule="exact"/>
        <w:rPr>
          <w:sz w:val="20"/>
          <w:szCs w:val="20"/>
          <w:color w:val="auto"/>
        </w:rPr>
      </w:pPr>
    </w:p>
    <w:p>
      <w:pPr>
        <w:ind w:left="900" w:right="20" w:hanging="446"/>
        <w:spacing w:after="0" w:line="25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The undersigned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93" w:lineRule="exact"/>
        <w:rPr>
          <w:rFonts w:ascii="Arial" w:cs="Arial" w:eastAsia="Arial" w:hAnsi="Arial"/>
          <w:sz w:val="18"/>
          <w:szCs w:val="18"/>
          <w:color w:val="auto"/>
        </w:rPr>
      </w:pPr>
    </w:p>
    <w:p>
      <w:pPr>
        <w:jc w:val="both"/>
        <w:ind w:left="900" w:right="580" w:hanging="446"/>
        <w:spacing w:after="0" w:line="264"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undersigned Registrant hereby undertake to file an application for the purpose of determining the eligibility of the trustee to act under subsection (a) of Section 310 of the Trust Indenture Act in accordance with the rules and regulations prescribed by the Commission under Section 305(b)(2) of the Trust Indenture Act.</w:t>
      </w:r>
    </w:p>
    <w:p>
      <w:pPr>
        <w:spacing w:after="0" w:line="86" w:lineRule="exact"/>
        <w:rPr>
          <w:rFonts w:ascii="Arial" w:cs="Arial" w:eastAsia="Arial" w:hAnsi="Arial"/>
          <w:sz w:val="18"/>
          <w:szCs w:val="18"/>
          <w:color w:val="auto"/>
        </w:rPr>
      </w:pPr>
    </w:p>
    <w:p>
      <w:pPr>
        <w:ind w:left="900" w:hanging="446"/>
        <w:spacing w:after="0" w:line="271" w:lineRule="auto"/>
        <w:tabs>
          <w:tab w:leader="none" w:pos="9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any Registrant pursuant to the indemnification provisions described herein, or otherwise, each Registrant has been advised that in the opinion of the Commission such indemnification is against public policy as expressed in the Securities Act and is, therefore, unenforceable. In the event that a claim for indemnification against such liabilities (other than the payment by a Registrant of expenses incurred or paid by a director, officer or controlling person of such Registrant in the successful defense of any action, suit or proceeding) is asserted by such director, officer or controlling person in connection with the securities being registered, such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Town of Norwood, Commonwealth of Massachusetts, on September 21, 2015.</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ANALOG DEVICES,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VINCENT T.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Vincent T. Roche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the undersigned officers and directors of Analog Devices, Inc., hereby severally constitute and appoint Vincent T. Roche, David A. Zinsner and Margaret K. Seif, and each of them singly, our true and lawful attorneys with full power to any of them, and to each of them singly, to sign for us and in our names in the capacities indicated below the registration statement on Form S-3 filed herewith and any and all amendments (including post-effective amendments) to said registration statement and any subsequent registration statement filed pursuant to Rule 462(b) under the Securities Act of 1933, as amended, and to file the same with all exhibits thereto, and the other documents in connection therewith, with the Securities and Exchange Commission, and generally to do all such things in our name and behalf in our capacities as officers and directors to enable Analog Devices, Inc. to comply with the provisions of the Securities Act of 1933, as amended, and all requirements of the Securities and Exchange Commission, hereby ratifying and confirming our signatures as they may be signed by our said attorneys, or any of them, to said Registration Statement and any and all amendments thereto.</w:t>
      </w:r>
    </w:p>
    <w:p>
      <w:pPr>
        <w:spacing w:after="0" w:line="166"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540" w:type="dxa"/>
            <w:vAlign w:val="bottom"/>
          </w:tcPr>
          <w:p>
            <w:pPr>
              <w:spacing w:after="0"/>
              <w:rPr>
                <w:sz w:val="16"/>
                <w:szCs w:val="16"/>
                <w:color w:val="auto"/>
              </w:rPr>
            </w:pPr>
          </w:p>
        </w:tc>
        <w:tc>
          <w:tcPr>
            <w:tcW w:w="620" w:type="dxa"/>
            <w:vAlign w:val="bottom"/>
          </w:tcPr>
          <w:p>
            <w:pPr>
              <w:ind w:left="20"/>
              <w:spacing w:after="0"/>
              <w:rPr>
                <w:sz w:val="20"/>
                <w:szCs w:val="20"/>
                <w:color w:val="auto"/>
              </w:rPr>
            </w:pPr>
            <w:r>
              <w:rPr>
                <w:rFonts w:ascii="Arial" w:cs="Arial" w:eastAsia="Arial" w:hAnsi="Arial"/>
                <w:sz w:val="14"/>
                <w:szCs w:val="14"/>
                <w:b w:val="1"/>
                <w:bCs w:val="1"/>
                <w:color w:val="auto"/>
                <w:w w:val="89"/>
              </w:rPr>
              <w:t>Signature</w:t>
            </w:r>
          </w:p>
        </w:tc>
        <w:tc>
          <w:tcPr>
            <w:tcW w:w="1540" w:type="dxa"/>
            <w:vAlign w:val="bottom"/>
          </w:tcPr>
          <w:p>
            <w:pPr>
              <w:spacing w:after="0"/>
              <w:rPr>
                <w:sz w:val="16"/>
                <w:szCs w:val="16"/>
                <w:color w:val="auto"/>
              </w:rPr>
            </w:pPr>
          </w:p>
        </w:tc>
        <w:tc>
          <w:tcPr>
            <w:tcW w:w="5260" w:type="dxa"/>
            <w:vAlign w:val="bottom"/>
            <w:gridSpan w:val="3"/>
          </w:tcPr>
          <w:p>
            <w:pPr>
              <w:jc w:val="center"/>
              <w:ind w:left="172"/>
              <w:spacing w:after="0"/>
              <w:rPr>
                <w:sz w:val="20"/>
                <w:szCs w:val="20"/>
                <w:color w:val="auto"/>
              </w:rPr>
            </w:pPr>
            <w:r>
              <w:rPr>
                <w:rFonts w:ascii="Arial" w:cs="Arial" w:eastAsia="Arial" w:hAnsi="Arial"/>
                <w:sz w:val="14"/>
                <w:szCs w:val="14"/>
                <w:b w:val="1"/>
                <w:bCs w:val="1"/>
                <w:color w:val="auto"/>
                <w:w w:val="97"/>
              </w:rPr>
              <w:t>Title</w:t>
            </w:r>
          </w:p>
        </w:tc>
        <w:tc>
          <w:tcPr>
            <w:tcW w:w="1820" w:type="dxa"/>
            <w:vAlign w:val="bottom"/>
            <w:gridSpan w:val="3"/>
          </w:tcPr>
          <w:p>
            <w:pPr>
              <w:ind w:left="1260"/>
              <w:spacing w:after="0"/>
              <w:rPr>
                <w:sz w:val="20"/>
                <w:szCs w:val="20"/>
                <w:color w:val="auto"/>
              </w:rPr>
            </w:pPr>
            <w:r>
              <w:rPr>
                <w:rFonts w:ascii="Arial" w:cs="Arial" w:eastAsia="Arial" w:hAnsi="Arial"/>
                <w:sz w:val="14"/>
                <w:szCs w:val="14"/>
                <w:b w:val="1"/>
                <w:bCs w:val="1"/>
                <w:color w:val="auto"/>
              </w:rPr>
              <w:t>Date</w:t>
            </w:r>
          </w:p>
        </w:tc>
      </w:tr>
      <w:tr>
        <w:trPr>
          <w:trHeight w:val="20"/>
        </w:trPr>
        <w:tc>
          <w:tcPr>
            <w:tcW w:w="15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412"/>
        </w:trPr>
        <w:tc>
          <w:tcPr>
            <w:tcW w:w="1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RAY STATA</w:t>
            </w:r>
          </w:p>
        </w:tc>
        <w:tc>
          <w:tcPr>
            <w:tcW w:w="6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5260" w:type="dxa"/>
            <w:vAlign w:val="bottom"/>
            <w:gridSpan w:val="3"/>
          </w:tcPr>
          <w:p>
            <w:pPr>
              <w:jc w:val="center"/>
              <w:ind w:left="152"/>
              <w:spacing w:after="0"/>
              <w:rPr>
                <w:sz w:val="20"/>
                <w:szCs w:val="20"/>
                <w:color w:val="auto"/>
              </w:rPr>
            </w:pPr>
            <w:r>
              <w:rPr>
                <w:rFonts w:ascii="Arial" w:cs="Arial" w:eastAsia="Arial" w:hAnsi="Arial"/>
                <w:sz w:val="18"/>
                <w:szCs w:val="18"/>
                <w:color w:val="auto"/>
                <w:w w:val="91"/>
              </w:rPr>
              <w:t>Chairman of the Board</w:t>
            </w:r>
          </w:p>
        </w:tc>
        <w:tc>
          <w:tcPr>
            <w:tcW w:w="1820" w:type="dxa"/>
            <w:vAlign w:val="bottom"/>
            <w:gridSpan w:val="3"/>
          </w:tcPr>
          <w:p>
            <w:pPr>
              <w:ind w:left="360"/>
              <w:spacing w:after="0"/>
              <w:rPr>
                <w:sz w:val="20"/>
                <w:szCs w:val="20"/>
                <w:color w:val="auto"/>
              </w:rPr>
            </w:pPr>
            <w:r>
              <w:rPr>
                <w:rFonts w:ascii="Arial" w:cs="Arial" w:eastAsia="Arial" w:hAnsi="Arial"/>
                <w:sz w:val="18"/>
                <w:szCs w:val="18"/>
                <w:color w:val="auto"/>
                <w:w w:val="88"/>
              </w:rPr>
              <w:t>September 21, 2015</w:t>
            </w:r>
          </w:p>
        </w:tc>
      </w:tr>
      <w:tr>
        <w:trPr>
          <w:trHeight w:val="224"/>
        </w:trPr>
        <w:tc>
          <w:tcPr>
            <w:tcW w:w="2160" w:type="dxa"/>
            <w:vAlign w:val="bottom"/>
            <w:gridSpan w:val="2"/>
          </w:tcPr>
          <w:p>
            <w:pPr>
              <w:spacing w:after="0"/>
              <w:rPr>
                <w:sz w:val="20"/>
                <w:szCs w:val="20"/>
                <w:color w:val="auto"/>
              </w:rPr>
            </w:pPr>
            <w:r>
              <w:rPr>
                <w:rFonts w:ascii="Arial" w:cs="Arial" w:eastAsia="Arial" w:hAnsi="Arial"/>
                <w:sz w:val="18"/>
                <w:szCs w:val="18"/>
                <w:color w:val="auto"/>
              </w:rPr>
              <w:t>Ray Stata</w:t>
            </w:r>
          </w:p>
        </w:tc>
        <w:tc>
          <w:tcPr>
            <w:tcW w:w="154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431"/>
        </w:trPr>
        <w:tc>
          <w:tcPr>
            <w:tcW w:w="2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VINCENT T. ROCHE</w:t>
            </w:r>
          </w:p>
        </w:tc>
        <w:tc>
          <w:tcPr>
            <w:tcW w:w="1540" w:type="dxa"/>
            <w:vAlign w:val="bottom"/>
            <w:tcBorders>
              <w:bottom w:val="single" w:sz="8" w:color="auto"/>
            </w:tcBorders>
          </w:tcPr>
          <w:p>
            <w:pPr>
              <w:spacing w:after="0"/>
              <w:rPr>
                <w:sz w:val="24"/>
                <w:szCs w:val="24"/>
                <w:color w:val="auto"/>
              </w:rPr>
            </w:pPr>
          </w:p>
        </w:tc>
        <w:tc>
          <w:tcPr>
            <w:tcW w:w="5260" w:type="dxa"/>
            <w:vAlign w:val="bottom"/>
            <w:gridSpan w:val="3"/>
          </w:tcPr>
          <w:p>
            <w:pPr>
              <w:jc w:val="center"/>
              <w:ind w:left="172"/>
              <w:spacing w:after="0"/>
              <w:rPr>
                <w:sz w:val="20"/>
                <w:szCs w:val="20"/>
                <w:color w:val="auto"/>
              </w:rPr>
            </w:pPr>
            <w:r>
              <w:rPr>
                <w:rFonts w:ascii="Arial" w:cs="Arial" w:eastAsia="Arial" w:hAnsi="Arial"/>
                <w:sz w:val="18"/>
                <w:szCs w:val="18"/>
                <w:color w:val="auto"/>
                <w:w w:val="92"/>
              </w:rPr>
              <w:t>President, Chief Executive Officer and Director</w:t>
            </w:r>
          </w:p>
        </w:tc>
        <w:tc>
          <w:tcPr>
            <w:tcW w:w="1820" w:type="dxa"/>
            <w:vAlign w:val="bottom"/>
            <w:gridSpan w:val="3"/>
          </w:tcPr>
          <w:p>
            <w:pPr>
              <w:ind w:left="360"/>
              <w:spacing w:after="0"/>
              <w:rPr>
                <w:sz w:val="20"/>
                <w:szCs w:val="20"/>
                <w:color w:val="auto"/>
              </w:rPr>
            </w:pPr>
            <w:r>
              <w:rPr>
                <w:rFonts w:ascii="Arial" w:cs="Arial" w:eastAsia="Arial" w:hAnsi="Arial"/>
                <w:sz w:val="18"/>
                <w:szCs w:val="18"/>
                <w:color w:val="auto"/>
                <w:w w:val="88"/>
              </w:rPr>
              <w:t>September 21, 2015</w:t>
            </w:r>
          </w:p>
        </w:tc>
      </w:tr>
      <w:tr>
        <w:trPr>
          <w:trHeight w:val="224"/>
        </w:trPr>
        <w:tc>
          <w:tcPr>
            <w:tcW w:w="2160" w:type="dxa"/>
            <w:vAlign w:val="bottom"/>
            <w:gridSpan w:val="2"/>
          </w:tcPr>
          <w:p>
            <w:pPr>
              <w:spacing w:after="0"/>
              <w:rPr>
                <w:sz w:val="20"/>
                <w:szCs w:val="20"/>
                <w:color w:val="auto"/>
              </w:rPr>
            </w:pPr>
            <w:r>
              <w:rPr>
                <w:rFonts w:ascii="Arial" w:cs="Arial" w:eastAsia="Arial" w:hAnsi="Arial"/>
                <w:sz w:val="18"/>
                <w:szCs w:val="18"/>
                <w:color w:val="auto"/>
              </w:rPr>
              <w:t>Vincent T. Roche</w:t>
            </w:r>
          </w:p>
        </w:tc>
        <w:tc>
          <w:tcPr>
            <w:tcW w:w="1540" w:type="dxa"/>
            <w:vAlign w:val="bottom"/>
          </w:tcPr>
          <w:p>
            <w:pPr>
              <w:spacing w:after="0"/>
              <w:rPr>
                <w:sz w:val="19"/>
                <w:szCs w:val="19"/>
                <w:color w:val="auto"/>
              </w:rPr>
            </w:pPr>
          </w:p>
        </w:tc>
        <w:tc>
          <w:tcPr>
            <w:tcW w:w="5260" w:type="dxa"/>
            <w:vAlign w:val="bottom"/>
            <w:gridSpan w:val="3"/>
          </w:tcPr>
          <w:p>
            <w:pPr>
              <w:jc w:val="center"/>
              <w:ind w:left="152"/>
              <w:spacing w:after="0"/>
              <w:rPr>
                <w:sz w:val="20"/>
                <w:szCs w:val="20"/>
                <w:color w:val="auto"/>
              </w:rPr>
            </w:pPr>
            <w:r>
              <w:rPr>
                <w:rFonts w:ascii="Arial" w:cs="Arial" w:eastAsia="Arial" w:hAnsi="Arial"/>
                <w:sz w:val="18"/>
                <w:szCs w:val="18"/>
                <w:color w:val="auto"/>
                <w:w w:val="94"/>
              </w:rPr>
              <w:t>(Principal Executive Officer)</w:t>
            </w: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431"/>
        </w:trPr>
        <w:tc>
          <w:tcPr>
            <w:tcW w:w="2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A. ZINSNER</w:t>
            </w:r>
          </w:p>
        </w:tc>
        <w:tc>
          <w:tcPr>
            <w:tcW w:w="1540" w:type="dxa"/>
            <w:vAlign w:val="bottom"/>
            <w:tcBorders>
              <w:bottom w:val="single" w:sz="8" w:color="auto"/>
            </w:tcBorders>
          </w:tcPr>
          <w:p>
            <w:pPr>
              <w:spacing w:after="0"/>
              <w:rPr>
                <w:sz w:val="24"/>
                <w:szCs w:val="24"/>
                <w:color w:val="auto"/>
              </w:rPr>
            </w:pPr>
          </w:p>
        </w:tc>
        <w:tc>
          <w:tcPr>
            <w:tcW w:w="5260" w:type="dxa"/>
            <w:vAlign w:val="bottom"/>
            <w:gridSpan w:val="3"/>
          </w:tcPr>
          <w:p>
            <w:pPr>
              <w:jc w:val="center"/>
              <w:ind w:left="172"/>
              <w:spacing w:after="0"/>
              <w:rPr>
                <w:sz w:val="20"/>
                <w:szCs w:val="20"/>
                <w:color w:val="auto"/>
              </w:rPr>
            </w:pPr>
            <w:r>
              <w:rPr>
                <w:rFonts w:ascii="Arial" w:cs="Arial" w:eastAsia="Arial" w:hAnsi="Arial"/>
                <w:sz w:val="18"/>
                <w:szCs w:val="18"/>
                <w:color w:val="auto"/>
                <w:w w:val="91"/>
              </w:rPr>
              <w:t>Senior Vice President, Finance and Chief Financial Officer</w:t>
            </w:r>
          </w:p>
        </w:tc>
        <w:tc>
          <w:tcPr>
            <w:tcW w:w="1820" w:type="dxa"/>
            <w:vAlign w:val="bottom"/>
            <w:gridSpan w:val="3"/>
          </w:tcPr>
          <w:p>
            <w:pPr>
              <w:ind w:left="360"/>
              <w:spacing w:after="0"/>
              <w:rPr>
                <w:sz w:val="20"/>
                <w:szCs w:val="20"/>
                <w:color w:val="auto"/>
              </w:rPr>
            </w:pPr>
            <w:r>
              <w:rPr>
                <w:rFonts w:ascii="Arial" w:cs="Arial" w:eastAsia="Arial" w:hAnsi="Arial"/>
                <w:sz w:val="18"/>
                <w:szCs w:val="18"/>
                <w:color w:val="auto"/>
                <w:w w:val="88"/>
              </w:rPr>
              <w:t>September 21, 2015</w:t>
            </w:r>
          </w:p>
        </w:tc>
      </w:tr>
      <w:tr>
        <w:trPr>
          <w:trHeight w:val="224"/>
        </w:trPr>
        <w:tc>
          <w:tcPr>
            <w:tcW w:w="2160" w:type="dxa"/>
            <w:vAlign w:val="bottom"/>
            <w:gridSpan w:val="2"/>
          </w:tcPr>
          <w:p>
            <w:pPr>
              <w:spacing w:after="0"/>
              <w:rPr>
                <w:sz w:val="20"/>
                <w:szCs w:val="20"/>
                <w:color w:val="auto"/>
              </w:rPr>
            </w:pPr>
            <w:r>
              <w:rPr>
                <w:rFonts w:ascii="Arial" w:cs="Arial" w:eastAsia="Arial" w:hAnsi="Arial"/>
                <w:sz w:val="18"/>
                <w:szCs w:val="18"/>
                <w:color w:val="auto"/>
              </w:rPr>
              <w:t>David A. Zinsner</w:t>
            </w:r>
          </w:p>
        </w:tc>
        <w:tc>
          <w:tcPr>
            <w:tcW w:w="1540" w:type="dxa"/>
            <w:vAlign w:val="bottom"/>
          </w:tcPr>
          <w:p>
            <w:pPr>
              <w:spacing w:after="0"/>
              <w:rPr>
                <w:sz w:val="19"/>
                <w:szCs w:val="19"/>
                <w:color w:val="auto"/>
              </w:rPr>
            </w:pPr>
          </w:p>
        </w:tc>
        <w:tc>
          <w:tcPr>
            <w:tcW w:w="5260" w:type="dxa"/>
            <w:vAlign w:val="bottom"/>
            <w:gridSpan w:val="3"/>
          </w:tcPr>
          <w:p>
            <w:pPr>
              <w:jc w:val="center"/>
              <w:ind w:left="172"/>
              <w:spacing w:after="0"/>
              <w:rPr>
                <w:sz w:val="20"/>
                <w:szCs w:val="20"/>
                <w:color w:val="auto"/>
              </w:rPr>
            </w:pPr>
            <w:r>
              <w:rPr>
                <w:rFonts w:ascii="Arial" w:cs="Arial" w:eastAsia="Arial" w:hAnsi="Arial"/>
                <w:sz w:val="18"/>
                <w:szCs w:val="18"/>
                <w:color w:val="auto"/>
                <w:w w:val="94"/>
              </w:rPr>
              <w:t>(Principal Financial Officer)</w:t>
            </w: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431"/>
        </w:trPr>
        <w:tc>
          <w:tcPr>
            <w:tcW w:w="2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EILEEN WYNNE</w:t>
            </w:r>
          </w:p>
        </w:tc>
        <w:tc>
          <w:tcPr>
            <w:tcW w:w="1540" w:type="dxa"/>
            <w:vAlign w:val="bottom"/>
            <w:tcBorders>
              <w:bottom w:val="single" w:sz="8" w:color="auto"/>
            </w:tcBorders>
          </w:tcPr>
          <w:p>
            <w:pPr>
              <w:spacing w:after="0"/>
              <w:rPr>
                <w:sz w:val="24"/>
                <w:szCs w:val="24"/>
                <w:color w:val="auto"/>
              </w:rPr>
            </w:pPr>
          </w:p>
        </w:tc>
        <w:tc>
          <w:tcPr>
            <w:tcW w:w="5260" w:type="dxa"/>
            <w:vAlign w:val="bottom"/>
            <w:gridSpan w:val="3"/>
          </w:tcPr>
          <w:p>
            <w:pPr>
              <w:jc w:val="center"/>
              <w:ind w:left="172"/>
              <w:spacing w:after="0"/>
              <w:rPr>
                <w:sz w:val="20"/>
                <w:szCs w:val="20"/>
                <w:color w:val="auto"/>
              </w:rPr>
            </w:pPr>
            <w:r>
              <w:rPr>
                <w:rFonts w:ascii="Arial" w:cs="Arial" w:eastAsia="Arial" w:hAnsi="Arial"/>
                <w:sz w:val="18"/>
                <w:szCs w:val="18"/>
                <w:color w:val="auto"/>
                <w:w w:val="92"/>
              </w:rPr>
              <w:t>Vice President and Chief Accounting Officer</w:t>
            </w:r>
          </w:p>
        </w:tc>
        <w:tc>
          <w:tcPr>
            <w:tcW w:w="1820" w:type="dxa"/>
            <w:vAlign w:val="bottom"/>
            <w:gridSpan w:val="3"/>
          </w:tcPr>
          <w:p>
            <w:pPr>
              <w:ind w:left="360"/>
              <w:spacing w:after="0"/>
              <w:rPr>
                <w:sz w:val="20"/>
                <w:szCs w:val="20"/>
                <w:color w:val="auto"/>
              </w:rPr>
            </w:pPr>
            <w:r>
              <w:rPr>
                <w:rFonts w:ascii="Arial" w:cs="Arial" w:eastAsia="Arial" w:hAnsi="Arial"/>
                <w:sz w:val="18"/>
                <w:szCs w:val="18"/>
                <w:color w:val="auto"/>
                <w:w w:val="88"/>
              </w:rPr>
              <w:t>September 21, 2015</w:t>
            </w:r>
          </w:p>
        </w:tc>
      </w:tr>
      <w:tr>
        <w:trPr>
          <w:trHeight w:val="224"/>
        </w:trPr>
        <w:tc>
          <w:tcPr>
            <w:tcW w:w="2160" w:type="dxa"/>
            <w:vAlign w:val="bottom"/>
            <w:gridSpan w:val="2"/>
          </w:tcPr>
          <w:p>
            <w:pPr>
              <w:spacing w:after="0"/>
              <w:rPr>
                <w:sz w:val="20"/>
                <w:szCs w:val="20"/>
                <w:color w:val="auto"/>
              </w:rPr>
            </w:pPr>
            <w:r>
              <w:rPr>
                <w:rFonts w:ascii="Arial" w:cs="Arial" w:eastAsia="Arial" w:hAnsi="Arial"/>
                <w:sz w:val="18"/>
                <w:szCs w:val="18"/>
                <w:color w:val="auto"/>
              </w:rPr>
              <w:t>Eileen Wynne</w:t>
            </w:r>
          </w:p>
        </w:tc>
        <w:tc>
          <w:tcPr>
            <w:tcW w:w="1540" w:type="dxa"/>
            <w:vAlign w:val="bottom"/>
          </w:tcPr>
          <w:p>
            <w:pPr>
              <w:spacing w:after="0"/>
              <w:rPr>
                <w:sz w:val="19"/>
                <w:szCs w:val="19"/>
                <w:color w:val="auto"/>
              </w:rPr>
            </w:pPr>
          </w:p>
        </w:tc>
        <w:tc>
          <w:tcPr>
            <w:tcW w:w="5260" w:type="dxa"/>
            <w:vAlign w:val="bottom"/>
            <w:gridSpan w:val="3"/>
          </w:tcPr>
          <w:p>
            <w:pPr>
              <w:jc w:val="center"/>
              <w:ind w:left="152"/>
              <w:spacing w:after="0"/>
              <w:rPr>
                <w:sz w:val="20"/>
                <w:szCs w:val="20"/>
                <w:color w:val="auto"/>
              </w:rPr>
            </w:pPr>
            <w:r>
              <w:rPr>
                <w:rFonts w:ascii="Arial" w:cs="Arial" w:eastAsia="Arial" w:hAnsi="Arial"/>
                <w:sz w:val="18"/>
                <w:szCs w:val="18"/>
                <w:color w:val="auto"/>
                <w:w w:val="95"/>
              </w:rPr>
              <w:t>(Principal Accounting Officer)</w:t>
            </w: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431"/>
        </w:trPr>
        <w:tc>
          <w:tcPr>
            <w:tcW w:w="2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JOSE E. ALMEIDA</w:t>
            </w:r>
          </w:p>
        </w:tc>
        <w:tc>
          <w:tcPr>
            <w:tcW w:w="1540" w:type="dxa"/>
            <w:vAlign w:val="bottom"/>
            <w:tcBorders>
              <w:bottom w:val="single" w:sz="8" w:color="auto"/>
            </w:tcBorders>
          </w:tcPr>
          <w:p>
            <w:pPr>
              <w:spacing w:after="0"/>
              <w:rPr>
                <w:sz w:val="24"/>
                <w:szCs w:val="24"/>
                <w:color w:val="auto"/>
              </w:rPr>
            </w:pPr>
          </w:p>
        </w:tc>
        <w:tc>
          <w:tcPr>
            <w:tcW w:w="5260" w:type="dxa"/>
            <w:vAlign w:val="bottom"/>
            <w:gridSpan w:val="3"/>
          </w:tcPr>
          <w:p>
            <w:pPr>
              <w:jc w:val="center"/>
              <w:ind w:left="172"/>
              <w:spacing w:after="0"/>
              <w:rPr>
                <w:sz w:val="20"/>
                <w:szCs w:val="20"/>
                <w:color w:val="auto"/>
              </w:rPr>
            </w:pPr>
            <w:r>
              <w:rPr>
                <w:rFonts w:ascii="Arial" w:cs="Arial" w:eastAsia="Arial" w:hAnsi="Arial"/>
                <w:sz w:val="18"/>
                <w:szCs w:val="18"/>
                <w:color w:val="auto"/>
                <w:w w:val="95"/>
              </w:rPr>
              <w:t>Director</w:t>
            </w:r>
          </w:p>
        </w:tc>
        <w:tc>
          <w:tcPr>
            <w:tcW w:w="1820" w:type="dxa"/>
            <w:vAlign w:val="bottom"/>
            <w:gridSpan w:val="3"/>
          </w:tcPr>
          <w:p>
            <w:pPr>
              <w:ind w:left="360"/>
              <w:spacing w:after="0"/>
              <w:rPr>
                <w:sz w:val="20"/>
                <w:szCs w:val="20"/>
                <w:color w:val="auto"/>
              </w:rPr>
            </w:pPr>
            <w:r>
              <w:rPr>
                <w:rFonts w:ascii="Arial" w:cs="Arial" w:eastAsia="Arial" w:hAnsi="Arial"/>
                <w:sz w:val="18"/>
                <w:szCs w:val="18"/>
                <w:color w:val="auto"/>
                <w:w w:val="88"/>
              </w:rPr>
              <w:t>September 21, 2015</w:t>
            </w:r>
          </w:p>
        </w:tc>
      </w:tr>
      <w:tr>
        <w:trPr>
          <w:trHeight w:val="224"/>
        </w:trPr>
        <w:tc>
          <w:tcPr>
            <w:tcW w:w="2160" w:type="dxa"/>
            <w:vAlign w:val="bottom"/>
            <w:gridSpan w:val="2"/>
          </w:tcPr>
          <w:p>
            <w:pPr>
              <w:spacing w:after="0"/>
              <w:rPr>
                <w:sz w:val="20"/>
                <w:szCs w:val="20"/>
                <w:color w:val="auto"/>
              </w:rPr>
            </w:pPr>
            <w:r>
              <w:rPr>
                <w:rFonts w:ascii="Arial" w:cs="Arial" w:eastAsia="Arial" w:hAnsi="Arial"/>
                <w:sz w:val="18"/>
                <w:szCs w:val="18"/>
                <w:color w:val="auto"/>
              </w:rPr>
              <w:t>Jose E. Almeida</w:t>
            </w:r>
          </w:p>
        </w:tc>
        <w:tc>
          <w:tcPr>
            <w:tcW w:w="154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431"/>
        </w:trPr>
        <w:tc>
          <w:tcPr>
            <w:tcW w:w="2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RICHARD M. BEYER</w:t>
            </w:r>
          </w:p>
        </w:tc>
        <w:tc>
          <w:tcPr>
            <w:tcW w:w="1540" w:type="dxa"/>
            <w:vAlign w:val="bottom"/>
            <w:tcBorders>
              <w:bottom w:val="single" w:sz="8" w:color="auto"/>
            </w:tcBorders>
          </w:tcPr>
          <w:p>
            <w:pPr>
              <w:spacing w:after="0"/>
              <w:rPr>
                <w:sz w:val="24"/>
                <w:szCs w:val="24"/>
                <w:color w:val="auto"/>
              </w:rPr>
            </w:pPr>
          </w:p>
        </w:tc>
        <w:tc>
          <w:tcPr>
            <w:tcW w:w="5260" w:type="dxa"/>
            <w:vAlign w:val="bottom"/>
            <w:gridSpan w:val="3"/>
          </w:tcPr>
          <w:p>
            <w:pPr>
              <w:jc w:val="center"/>
              <w:ind w:left="172"/>
              <w:spacing w:after="0"/>
              <w:rPr>
                <w:sz w:val="20"/>
                <w:szCs w:val="20"/>
                <w:color w:val="auto"/>
              </w:rPr>
            </w:pPr>
            <w:r>
              <w:rPr>
                <w:rFonts w:ascii="Arial" w:cs="Arial" w:eastAsia="Arial" w:hAnsi="Arial"/>
                <w:sz w:val="18"/>
                <w:szCs w:val="18"/>
                <w:color w:val="auto"/>
                <w:w w:val="95"/>
              </w:rPr>
              <w:t>Director</w:t>
            </w:r>
          </w:p>
        </w:tc>
        <w:tc>
          <w:tcPr>
            <w:tcW w:w="1820" w:type="dxa"/>
            <w:vAlign w:val="bottom"/>
            <w:gridSpan w:val="3"/>
          </w:tcPr>
          <w:p>
            <w:pPr>
              <w:ind w:left="360"/>
              <w:spacing w:after="0"/>
              <w:rPr>
                <w:sz w:val="20"/>
                <w:szCs w:val="20"/>
                <w:color w:val="auto"/>
              </w:rPr>
            </w:pPr>
            <w:r>
              <w:rPr>
                <w:rFonts w:ascii="Arial" w:cs="Arial" w:eastAsia="Arial" w:hAnsi="Arial"/>
                <w:sz w:val="18"/>
                <w:szCs w:val="18"/>
                <w:color w:val="auto"/>
                <w:w w:val="88"/>
              </w:rPr>
              <w:t>September 21, 2015</w:t>
            </w:r>
          </w:p>
        </w:tc>
      </w:tr>
      <w:tr>
        <w:trPr>
          <w:trHeight w:val="224"/>
        </w:trPr>
        <w:tc>
          <w:tcPr>
            <w:tcW w:w="2160" w:type="dxa"/>
            <w:vAlign w:val="bottom"/>
            <w:gridSpan w:val="2"/>
          </w:tcPr>
          <w:p>
            <w:pPr>
              <w:spacing w:after="0"/>
              <w:rPr>
                <w:sz w:val="20"/>
                <w:szCs w:val="20"/>
                <w:color w:val="auto"/>
              </w:rPr>
            </w:pPr>
            <w:r>
              <w:rPr>
                <w:rFonts w:ascii="Arial" w:cs="Arial" w:eastAsia="Arial" w:hAnsi="Arial"/>
                <w:sz w:val="18"/>
                <w:szCs w:val="18"/>
                <w:color w:val="auto"/>
              </w:rPr>
              <w:t>Richard M. Beyer</w:t>
            </w:r>
          </w:p>
        </w:tc>
        <w:tc>
          <w:tcPr>
            <w:tcW w:w="154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431"/>
        </w:trPr>
        <w:tc>
          <w:tcPr>
            <w:tcW w:w="2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JAMES A. CHAMPY</w:t>
            </w:r>
          </w:p>
        </w:tc>
        <w:tc>
          <w:tcPr>
            <w:tcW w:w="1540" w:type="dxa"/>
            <w:vAlign w:val="bottom"/>
            <w:tcBorders>
              <w:bottom w:val="single" w:sz="8" w:color="auto"/>
            </w:tcBorders>
          </w:tcPr>
          <w:p>
            <w:pPr>
              <w:spacing w:after="0"/>
              <w:rPr>
                <w:sz w:val="24"/>
                <w:szCs w:val="24"/>
                <w:color w:val="auto"/>
              </w:rPr>
            </w:pPr>
          </w:p>
        </w:tc>
        <w:tc>
          <w:tcPr>
            <w:tcW w:w="5260" w:type="dxa"/>
            <w:vAlign w:val="bottom"/>
            <w:gridSpan w:val="3"/>
          </w:tcPr>
          <w:p>
            <w:pPr>
              <w:jc w:val="center"/>
              <w:ind w:left="172"/>
              <w:spacing w:after="0"/>
              <w:rPr>
                <w:sz w:val="20"/>
                <w:szCs w:val="20"/>
                <w:color w:val="auto"/>
              </w:rPr>
            </w:pPr>
            <w:r>
              <w:rPr>
                <w:rFonts w:ascii="Arial" w:cs="Arial" w:eastAsia="Arial" w:hAnsi="Arial"/>
                <w:sz w:val="18"/>
                <w:szCs w:val="18"/>
                <w:color w:val="auto"/>
                <w:w w:val="95"/>
              </w:rPr>
              <w:t>Director</w:t>
            </w:r>
          </w:p>
        </w:tc>
        <w:tc>
          <w:tcPr>
            <w:tcW w:w="1820" w:type="dxa"/>
            <w:vAlign w:val="bottom"/>
            <w:gridSpan w:val="3"/>
          </w:tcPr>
          <w:p>
            <w:pPr>
              <w:ind w:left="360"/>
              <w:spacing w:after="0"/>
              <w:rPr>
                <w:sz w:val="20"/>
                <w:szCs w:val="20"/>
                <w:color w:val="auto"/>
              </w:rPr>
            </w:pPr>
            <w:r>
              <w:rPr>
                <w:rFonts w:ascii="Arial" w:cs="Arial" w:eastAsia="Arial" w:hAnsi="Arial"/>
                <w:sz w:val="18"/>
                <w:szCs w:val="18"/>
                <w:color w:val="auto"/>
                <w:w w:val="88"/>
              </w:rPr>
              <w:t>September 21, 2015</w:t>
            </w:r>
          </w:p>
        </w:tc>
      </w:tr>
      <w:tr>
        <w:trPr>
          <w:trHeight w:val="224"/>
        </w:trPr>
        <w:tc>
          <w:tcPr>
            <w:tcW w:w="2160" w:type="dxa"/>
            <w:vAlign w:val="bottom"/>
            <w:gridSpan w:val="2"/>
          </w:tcPr>
          <w:p>
            <w:pPr>
              <w:spacing w:after="0"/>
              <w:rPr>
                <w:sz w:val="20"/>
                <w:szCs w:val="20"/>
                <w:color w:val="auto"/>
              </w:rPr>
            </w:pPr>
            <w:r>
              <w:rPr>
                <w:rFonts w:ascii="Arial" w:cs="Arial" w:eastAsia="Arial" w:hAnsi="Arial"/>
                <w:sz w:val="18"/>
                <w:szCs w:val="18"/>
                <w:color w:val="auto"/>
              </w:rPr>
              <w:t>James A. Champy</w:t>
            </w:r>
          </w:p>
        </w:tc>
        <w:tc>
          <w:tcPr>
            <w:tcW w:w="154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r>
    </w:tbl>
    <w:p>
      <w:pPr>
        <w:sectPr>
          <w:pgSz w:w="11900" w:h="16838" w:orient="portrait"/>
          <w:cols w:equalWidth="0" w:num="1">
            <w:col w:w="11320"/>
          </w:cols>
          <w:pgMar w:left="240" w:top="459"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560"/>
        <w:spacing w:after="0"/>
        <w:rPr>
          <w:sz w:val="20"/>
          <w:szCs w:val="20"/>
          <w:color w:val="auto"/>
        </w:rPr>
      </w:pPr>
      <w:r>
        <w:rPr>
          <w:rFonts w:ascii="Arial" w:cs="Arial" w:eastAsia="Arial" w:hAnsi="Arial"/>
          <w:sz w:val="14"/>
          <w:szCs w:val="14"/>
          <w:b w:val="1"/>
          <w:bCs w:val="1"/>
          <w:u w:val="single" w:color="auto"/>
          <w:color w:val="auto"/>
        </w:rPr>
        <w:t>Signature</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/s/ BRUCE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4124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Bruce R. Evans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EDWARD H. FRANK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4124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Edward H. Frank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JOHN C. HODGSON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4124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John C. Hodgson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YVES-ANDRE ISTEL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4124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Yves-Andre Istel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NEIL NOVICH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4124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Neil Novich</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/s/ KENTON J. SICCHITANO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234124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Kenton J. Sicchitano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LISA T. SU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4124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Lisa T. Su</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160" w:type="dxa"/>
            <w:vAlign w:val="bottom"/>
          </w:tcPr>
          <w:p>
            <w:pPr>
              <w:spacing w:after="0"/>
              <w:rPr>
                <w:sz w:val="16"/>
                <w:szCs w:val="16"/>
                <w:color w:val="auto"/>
              </w:rPr>
            </w:pPr>
          </w:p>
        </w:tc>
        <w:tc>
          <w:tcPr>
            <w:tcW w:w="280" w:type="dxa"/>
            <w:vAlign w:val="bottom"/>
          </w:tcPr>
          <w:p>
            <w:pPr>
              <w:jc w:val="center"/>
              <w:spacing w:after="0"/>
              <w:rPr>
                <w:sz w:val="20"/>
                <w:szCs w:val="20"/>
                <w:color w:val="auto"/>
              </w:rPr>
            </w:pPr>
            <w:r>
              <w:rPr>
                <w:rFonts w:ascii="Arial" w:cs="Arial" w:eastAsia="Arial" w:hAnsi="Arial"/>
                <w:sz w:val="14"/>
                <w:szCs w:val="14"/>
                <w:b w:val="1"/>
                <w:bCs w:val="1"/>
                <w:color w:val="auto"/>
                <w:w w:val="97"/>
              </w:rPr>
              <w:t>Title</w:t>
            </w:r>
          </w:p>
        </w:tc>
        <w:tc>
          <w:tcPr>
            <w:tcW w:w="1440" w:type="dxa"/>
            <w:vAlign w:val="bottom"/>
          </w:tcPr>
          <w:p>
            <w:pPr>
              <w:spacing w:after="0"/>
              <w:rPr>
                <w:sz w:val="16"/>
                <w:szCs w:val="16"/>
                <w:color w:val="auto"/>
              </w:rPr>
            </w:pPr>
          </w:p>
        </w:tc>
        <w:tc>
          <w:tcPr>
            <w:tcW w:w="2740" w:type="dxa"/>
            <w:vAlign w:val="bottom"/>
            <w:gridSpan w:val="3"/>
          </w:tcPr>
          <w:p>
            <w:pPr>
              <w:ind w:left="2180"/>
              <w:spacing w:after="0"/>
              <w:rPr>
                <w:sz w:val="20"/>
                <w:szCs w:val="20"/>
                <w:color w:val="auto"/>
              </w:rPr>
            </w:pPr>
            <w:r>
              <w:rPr>
                <w:rFonts w:ascii="Arial" w:cs="Arial" w:eastAsia="Arial" w:hAnsi="Arial"/>
                <w:sz w:val="14"/>
                <w:szCs w:val="14"/>
                <w:b w:val="1"/>
                <w:bCs w:val="1"/>
                <w:color w:val="auto"/>
              </w:rPr>
              <w:t>Date</w:t>
            </w:r>
          </w:p>
        </w:tc>
      </w:tr>
      <w:tr>
        <w:trPr>
          <w:trHeight w:val="20"/>
        </w:trPr>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439"/>
        </w:trPr>
        <w:tc>
          <w:tcPr>
            <w:tcW w:w="1880" w:type="dxa"/>
            <w:vAlign w:val="bottom"/>
            <w:gridSpan w:val="3"/>
          </w:tcPr>
          <w:p>
            <w:pPr>
              <w:jc w:val="center"/>
              <w:ind w:right="1280"/>
              <w:spacing w:after="0"/>
              <w:rPr>
                <w:sz w:val="20"/>
                <w:szCs w:val="20"/>
                <w:color w:val="auto"/>
              </w:rPr>
            </w:pPr>
            <w:r>
              <w:rPr>
                <w:rFonts w:ascii="Arial" w:cs="Arial" w:eastAsia="Arial" w:hAnsi="Arial"/>
                <w:sz w:val="18"/>
                <w:szCs w:val="18"/>
                <w:color w:val="auto"/>
                <w:w w:val="95"/>
              </w:rPr>
              <w:t>Director</w:t>
            </w:r>
          </w:p>
        </w:tc>
        <w:tc>
          <w:tcPr>
            <w:tcW w:w="2740" w:type="dxa"/>
            <w:vAlign w:val="bottom"/>
            <w:gridSpan w:val="3"/>
          </w:tcPr>
          <w:p>
            <w:pPr>
              <w:ind w:left="1280"/>
              <w:spacing w:after="0"/>
              <w:rPr>
                <w:sz w:val="20"/>
                <w:szCs w:val="20"/>
                <w:color w:val="auto"/>
              </w:rPr>
            </w:pPr>
            <w:r>
              <w:rPr>
                <w:rFonts w:ascii="Arial" w:cs="Arial" w:eastAsia="Arial" w:hAnsi="Arial"/>
                <w:sz w:val="18"/>
                <w:szCs w:val="18"/>
                <w:color w:val="auto"/>
                <w:w w:val="88"/>
              </w:rPr>
              <w:t>September 21, 2015</w:t>
            </w:r>
          </w:p>
        </w:tc>
      </w:tr>
      <w:tr>
        <w:trPr>
          <w:trHeight w:val="675"/>
        </w:trPr>
        <w:tc>
          <w:tcPr>
            <w:tcW w:w="1880" w:type="dxa"/>
            <w:vAlign w:val="bottom"/>
            <w:gridSpan w:val="3"/>
          </w:tcPr>
          <w:p>
            <w:pPr>
              <w:jc w:val="center"/>
              <w:ind w:right="1280"/>
              <w:spacing w:after="0"/>
              <w:rPr>
                <w:sz w:val="20"/>
                <w:szCs w:val="20"/>
                <w:color w:val="auto"/>
              </w:rPr>
            </w:pPr>
            <w:r>
              <w:rPr>
                <w:rFonts w:ascii="Arial" w:cs="Arial" w:eastAsia="Arial" w:hAnsi="Arial"/>
                <w:sz w:val="18"/>
                <w:szCs w:val="18"/>
                <w:color w:val="auto"/>
                <w:w w:val="95"/>
              </w:rPr>
              <w:t>Director</w:t>
            </w:r>
          </w:p>
        </w:tc>
        <w:tc>
          <w:tcPr>
            <w:tcW w:w="2740" w:type="dxa"/>
            <w:vAlign w:val="bottom"/>
            <w:gridSpan w:val="3"/>
          </w:tcPr>
          <w:p>
            <w:pPr>
              <w:ind w:left="1280"/>
              <w:spacing w:after="0"/>
              <w:rPr>
                <w:sz w:val="20"/>
                <w:szCs w:val="20"/>
                <w:color w:val="auto"/>
              </w:rPr>
            </w:pPr>
            <w:r>
              <w:rPr>
                <w:rFonts w:ascii="Arial" w:cs="Arial" w:eastAsia="Arial" w:hAnsi="Arial"/>
                <w:sz w:val="18"/>
                <w:szCs w:val="18"/>
                <w:color w:val="auto"/>
                <w:w w:val="88"/>
              </w:rPr>
              <w:t>September 21, 2015</w:t>
            </w:r>
          </w:p>
        </w:tc>
      </w:tr>
      <w:tr>
        <w:trPr>
          <w:trHeight w:val="675"/>
        </w:trPr>
        <w:tc>
          <w:tcPr>
            <w:tcW w:w="1880" w:type="dxa"/>
            <w:vAlign w:val="bottom"/>
            <w:gridSpan w:val="3"/>
          </w:tcPr>
          <w:p>
            <w:pPr>
              <w:jc w:val="center"/>
              <w:ind w:right="1280"/>
              <w:spacing w:after="0"/>
              <w:rPr>
                <w:sz w:val="20"/>
                <w:szCs w:val="20"/>
                <w:color w:val="auto"/>
              </w:rPr>
            </w:pPr>
            <w:r>
              <w:rPr>
                <w:rFonts w:ascii="Arial" w:cs="Arial" w:eastAsia="Arial" w:hAnsi="Arial"/>
                <w:sz w:val="18"/>
                <w:szCs w:val="18"/>
                <w:color w:val="auto"/>
                <w:w w:val="95"/>
              </w:rPr>
              <w:t>Director</w:t>
            </w:r>
          </w:p>
        </w:tc>
        <w:tc>
          <w:tcPr>
            <w:tcW w:w="2740" w:type="dxa"/>
            <w:vAlign w:val="bottom"/>
            <w:gridSpan w:val="3"/>
          </w:tcPr>
          <w:p>
            <w:pPr>
              <w:ind w:left="1280"/>
              <w:spacing w:after="0"/>
              <w:rPr>
                <w:sz w:val="20"/>
                <w:szCs w:val="20"/>
                <w:color w:val="auto"/>
              </w:rPr>
            </w:pPr>
            <w:r>
              <w:rPr>
                <w:rFonts w:ascii="Arial" w:cs="Arial" w:eastAsia="Arial" w:hAnsi="Arial"/>
                <w:sz w:val="18"/>
                <w:szCs w:val="18"/>
                <w:color w:val="auto"/>
                <w:w w:val="88"/>
              </w:rPr>
              <w:t>September 21, 2015</w:t>
            </w:r>
          </w:p>
        </w:tc>
      </w:tr>
      <w:tr>
        <w:trPr>
          <w:trHeight w:val="675"/>
        </w:trPr>
        <w:tc>
          <w:tcPr>
            <w:tcW w:w="1880" w:type="dxa"/>
            <w:vAlign w:val="bottom"/>
            <w:gridSpan w:val="3"/>
          </w:tcPr>
          <w:p>
            <w:pPr>
              <w:jc w:val="center"/>
              <w:ind w:right="1280"/>
              <w:spacing w:after="0"/>
              <w:rPr>
                <w:sz w:val="20"/>
                <w:szCs w:val="20"/>
                <w:color w:val="auto"/>
              </w:rPr>
            </w:pPr>
            <w:r>
              <w:rPr>
                <w:rFonts w:ascii="Arial" w:cs="Arial" w:eastAsia="Arial" w:hAnsi="Arial"/>
                <w:sz w:val="18"/>
                <w:szCs w:val="18"/>
                <w:color w:val="auto"/>
                <w:w w:val="95"/>
              </w:rPr>
              <w:t>Director</w:t>
            </w:r>
          </w:p>
        </w:tc>
        <w:tc>
          <w:tcPr>
            <w:tcW w:w="2740" w:type="dxa"/>
            <w:vAlign w:val="bottom"/>
            <w:gridSpan w:val="3"/>
          </w:tcPr>
          <w:p>
            <w:pPr>
              <w:ind w:left="1280"/>
              <w:spacing w:after="0"/>
              <w:rPr>
                <w:sz w:val="20"/>
                <w:szCs w:val="20"/>
                <w:color w:val="auto"/>
              </w:rPr>
            </w:pPr>
            <w:r>
              <w:rPr>
                <w:rFonts w:ascii="Arial" w:cs="Arial" w:eastAsia="Arial" w:hAnsi="Arial"/>
                <w:sz w:val="18"/>
                <w:szCs w:val="18"/>
                <w:color w:val="auto"/>
                <w:w w:val="88"/>
              </w:rPr>
              <w:t>September 21, 2015</w:t>
            </w:r>
          </w:p>
        </w:tc>
      </w:tr>
      <w:tr>
        <w:trPr>
          <w:trHeight w:val="675"/>
        </w:trPr>
        <w:tc>
          <w:tcPr>
            <w:tcW w:w="1880" w:type="dxa"/>
            <w:vAlign w:val="bottom"/>
            <w:gridSpan w:val="3"/>
          </w:tcPr>
          <w:p>
            <w:pPr>
              <w:jc w:val="center"/>
              <w:ind w:right="1280"/>
              <w:spacing w:after="0"/>
              <w:rPr>
                <w:sz w:val="20"/>
                <w:szCs w:val="20"/>
                <w:color w:val="auto"/>
              </w:rPr>
            </w:pPr>
            <w:r>
              <w:rPr>
                <w:rFonts w:ascii="Arial" w:cs="Arial" w:eastAsia="Arial" w:hAnsi="Arial"/>
                <w:sz w:val="18"/>
                <w:szCs w:val="18"/>
                <w:color w:val="auto"/>
                <w:w w:val="95"/>
              </w:rPr>
              <w:t>Director</w:t>
            </w:r>
          </w:p>
        </w:tc>
        <w:tc>
          <w:tcPr>
            <w:tcW w:w="2740" w:type="dxa"/>
            <w:vAlign w:val="bottom"/>
            <w:gridSpan w:val="3"/>
          </w:tcPr>
          <w:p>
            <w:pPr>
              <w:ind w:left="1280"/>
              <w:spacing w:after="0"/>
              <w:rPr>
                <w:sz w:val="20"/>
                <w:szCs w:val="20"/>
                <w:color w:val="auto"/>
              </w:rPr>
            </w:pPr>
            <w:r>
              <w:rPr>
                <w:rFonts w:ascii="Arial" w:cs="Arial" w:eastAsia="Arial" w:hAnsi="Arial"/>
                <w:sz w:val="18"/>
                <w:szCs w:val="18"/>
                <w:color w:val="auto"/>
                <w:w w:val="88"/>
              </w:rPr>
              <w:t>September 21, 2015</w:t>
            </w:r>
          </w:p>
        </w:tc>
      </w:tr>
      <w:tr>
        <w:trPr>
          <w:trHeight w:val="675"/>
        </w:trPr>
        <w:tc>
          <w:tcPr>
            <w:tcW w:w="1880" w:type="dxa"/>
            <w:vAlign w:val="bottom"/>
            <w:gridSpan w:val="3"/>
          </w:tcPr>
          <w:p>
            <w:pPr>
              <w:jc w:val="center"/>
              <w:ind w:right="1280"/>
              <w:spacing w:after="0"/>
              <w:rPr>
                <w:sz w:val="20"/>
                <w:szCs w:val="20"/>
                <w:color w:val="auto"/>
              </w:rPr>
            </w:pPr>
            <w:r>
              <w:rPr>
                <w:rFonts w:ascii="Arial" w:cs="Arial" w:eastAsia="Arial" w:hAnsi="Arial"/>
                <w:sz w:val="18"/>
                <w:szCs w:val="18"/>
                <w:color w:val="auto"/>
                <w:w w:val="95"/>
              </w:rPr>
              <w:t>Director</w:t>
            </w:r>
          </w:p>
        </w:tc>
        <w:tc>
          <w:tcPr>
            <w:tcW w:w="2740" w:type="dxa"/>
            <w:vAlign w:val="bottom"/>
            <w:gridSpan w:val="3"/>
          </w:tcPr>
          <w:p>
            <w:pPr>
              <w:ind w:left="1280"/>
              <w:spacing w:after="0"/>
              <w:rPr>
                <w:sz w:val="20"/>
                <w:szCs w:val="20"/>
                <w:color w:val="auto"/>
              </w:rPr>
            </w:pPr>
            <w:r>
              <w:rPr>
                <w:rFonts w:ascii="Arial" w:cs="Arial" w:eastAsia="Arial" w:hAnsi="Arial"/>
                <w:sz w:val="18"/>
                <w:szCs w:val="18"/>
                <w:color w:val="auto"/>
                <w:w w:val="88"/>
              </w:rPr>
              <w:t>September 21, 2015</w:t>
            </w:r>
          </w:p>
        </w:tc>
      </w:tr>
      <w:tr>
        <w:trPr>
          <w:trHeight w:val="675"/>
        </w:trPr>
        <w:tc>
          <w:tcPr>
            <w:tcW w:w="1880" w:type="dxa"/>
            <w:vAlign w:val="bottom"/>
            <w:gridSpan w:val="3"/>
          </w:tcPr>
          <w:p>
            <w:pPr>
              <w:jc w:val="center"/>
              <w:ind w:right="1280"/>
              <w:spacing w:after="0"/>
              <w:rPr>
                <w:sz w:val="20"/>
                <w:szCs w:val="20"/>
                <w:color w:val="auto"/>
              </w:rPr>
            </w:pPr>
            <w:r>
              <w:rPr>
                <w:rFonts w:ascii="Arial" w:cs="Arial" w:eastAsia="Arial" w:hAnsi="Arial"/>
                <w:sz w:val="18"/>
                <w:szCs w:val="18"/>
                <w:color w:val="auto"/>
                <w:w w:val="95"/>
              </w:rPr>
              <w:t>Director</w:t>
            </w:r>
          </w:p>
        </w:tc>
        <w:tc>
          <w:tcPr>
            <w:tcW w:w="2740" w:type="dxa"/>
            <w:vAlign w:val="bottom"/>
            <w:gridSpan w:val="3"/>
          </w:tcPr>
          <w:p>
            <w:pPr>
              <w:ind w:left="1280"/>
              <w:spacing w:after="0"/>
              <w:rPr>
                <w:sz w:val="20"/>
                <w:szCs w:val="20"/>
                <w:color w:val="auto"/>
              </w:rPr>
            </w:pPr>
            <w:r>
              <w:rPr>
                <w:rFonts w:ascii="Arial" w:cs="Arial" w:eastAsia="Arial" w:hAnsi="Arial"/>
                <w:sz w:val="18"/>
                <w:szCs w:val="18"/>
                <w:color w:val="auto"/>
                <w:w w:val="88"/>
              </w:rPr>
              <w:t>September 21, 2015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-3507105</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ectPr>
          <w:pgSz w:w="11900" w:h="16838" w:orient="portrait"/>
          <w:cols w:equalWidth="0" w:num="2">
            <w:col w:w="5440" w:space="720"/>
            <w:col w:w="4620"/>
          </w:cols>
          <w:pgMar w:left="240" w:top="459" w:right="8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10380" w:type="dxa"/>
            <w:vAlign w:val="bottom"/>
            <w:gridSpan w:val="3"/>
          </w:tcPr>
          <w:p>
            <w:pPr>
              <w:ind w:left="4000"/>
              <w:spacing w:after="0"/>
              <w:rPr>
                <w:sz w:val="20"/>
                <w:szCs w:val="20"/>
                <w:color w:val="auto"/>
              </w:rPr>
            </w:pPr>
            <w:r>
              <w:rPr>
                <w:rFonts w:ascii="Arial" w:cs="Arial" w:eastAsia="Arial" w:hAnsi="Arial"/>
                <w:sz w:val="18"/>
                <w:szCs w:val="18"/>
                <w:b w:val="1"/>
                <w:bCs w:val="1"/>
                <w:color w:val="auto"/>
              </w:rPr>
              <w:t>EXHIBIT INDEX</w:t>
            </w:r>
          </w:p>
        </w:tc>
      </w:tr>
      <w:tr>
        <w:trPr>
          <w:trHeight w:val="405"/>
        </w:trPr>
        <w:tc>
          <w:tcPr>
            <w:tcW w:w="1020" w:type="dxa"/>
            <w:vAlign w:val="bottom"/>
          </w:tcPr>
          <w:p>
            <w:pPr>
              <w:jc w:val="right"/>
              <w:spacing w:after="0"/>
              <w:rPr>
                <w:sz w:val="20"/>
                <w:szCs w:val="20"/>
                <w:color w:val="auto"/>
              </w:rPr>
            </w:pPr>
            <w:r>
              <w:rPr>
                <w:rFonts w:ascii="Arial" w:cs="Arial" w:eastAsia="Arial" w:hAnsi="Arial"/>
                <w:sz w:val="14"/>
                <w:szCs w:val="14"/>
                <w:b w:val="1"/>
                <w:bCs w:val="1"/>
                <w:color w:val="auto"/>
                <w:w w:val="96"/>
              </w:rPr>
              <w:t>Exhibit Number</w:t>
            </w:r>
          </w:p>
        </w:tc>
        <w:tc>
          <w:tcPr>
            <w:tcW w:w="516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14"/>
                <w:szCs w:val="14"/>
                <w:b w:val="1"/>
                <w:bCs w:val="1"/>
                <w:color w:val="auto"/>
              </w:rPr>
              <w:t>Description of Exhibit</w:t>
            </w:r>
          </w:p>
        </w:tc>
      </w:tr>
      <w:tr>
        <w:trPr>
          <w:trHeight w:val="304"/>
        </w:trPr>
        <w:tc>
          <w:tcPr>
            <w:tcW w:w="1020" w:type="dxa"/>
            <w:vAlign w:val="bottom"/>
            <w:tcBorders>
              <w:top w:val="single" w:sz="8" w:color="auto"/>
            </w:tcBorders>
          </w:tcPr>
          <w:p>
            <w:pPr>
              <w:jc w:val="right"/>
              <w:ind w:right="511"/>
              <w:spacing w:after="0"/>
              <w:rPr>
                <w:sz w:val="20"/>
                <w:szCs w:val="20"/>
                <w:color w:val="auto"/>
              </w:rPr>
            </w:pPr>
            <w:r>
              <w:rPr>
                <w:rFonts w:ascii="Arial" w:cs="Arial" w:eastAsia="Arial" w:hAnsi="Arial"/>
                <w:sz w:val="18"/>
                <w:szCs w:val="18"/>
                <w:color w:val="auto"/>
              </w:rPr>
              <w:t>1.1*</w:t>
            </w:r>
          </w:p>
        </w:tc>
        <w:tc>
          <w:tcPr>
            <w:tcW w:w="5160" w:type="dxa"/>
            <w:vAlign w:val="bottom"/>
          </w:tcPr>
          <w:p>
            <w:pPr>
              <w:ind w:left="1280"/>
              <w:spacing w:after="0"/>
              <w:rPr>
                <w:sz w:val="20"/>
                <w:szCs w:val="20"/>
                <w:color w:val="auto"/>
              </w:rPr>
            </w:pPr>
            <w:r>
              <w:rPr>
                <w:rFonts w:ascii="Arial" w:cs="Arial" w:eastAsia="Arial" w:hAnsi="Arial"/>
                <w:sz w:val="18"/>
                <w:szCs w:val="18"/>
                <w:color w:val="auto"/>
              </w:rPr>
              <w:t>Form of Underwriting Agreement.</w:t>
            </w:r>
          </w:p>
        </w:tc>
        <w:tc>
          <w:tcPr>
            <w:tcW w:w="1360" w:type="dxa"/>
            <w:vAlign w:val="bottom"/>
            <w:tcBorders>
              <w:top w:val="single" w:sz="8" w:color="auto"/>
            </w:tcBorders>
          </w:tcPr>
          <w:p>
            <w:pPr>
              <w:spacing w:after="0"/>
              <w:rPr>
                <w:sz w:val="24"/>
                <w:szCs w:val="24"/>
                <w:color w:val="auto"/>
              </w:rPr>
            </w:pPr>
          </w:p>
        </w:tc>
        <w:tc>
          <w:tcPr>
            <w:tcW w:w="3860" w:type="dxa"/>
            <w:vAlign w:val="bottom"/>
          </w:tcPr>
          <w:p>
            <w:pPr>
              <w:spacing w:after="0"/>
              <w:rPr>
                <w:sz w:val="24"/>
                <w:szCs w:val="24"/>
                <w:color w:val="auto"/>
              </w:rPr>
            </w:pPr>
          </w:p>
        </w:tc>
      </w:tr>
      <w:tr>
        <w:trPr>
          <w:trHeight w:val="310"/>
        </w:trPr>
        <w:tc>
          <w:tcPr>
            <w:tcW w:w="1020" w:type="dxa"/>
            <w:vAlign w:val="bottom"/>
          </w:tcPr>
          <w:p>
            <w:pPr>
              <w:jc w:val="right"/>
              <w:ind w:right="511"/>
              <w:spacing w:after="0"/>
              <w:rPr>
                <w:sz w:val="20"/>
                <w:szCs w:val="20"/>
                <w:color w:val="auto"/>
              </w:rPr>
            </w:pPr>
            <w:r>
              <w:rPr>
                <w:rFonts w:ascii="Arial" w:cs="Arial" w:eastAsia="Arial" w:hAnsi="Arial"/>
                <w:sz w:val="18"/>
                <w:szCs w:val="18"/>
                <w:color w:val="auto"/>
              </w:rPr>
              <w:t>3.1+</w:t>
            </w:r>
          </w:p>
        </w:tc>
        <w:tc>
          <w:tcPr>
            <w:tcW w:w="10380" w:type="dxa"/>
            <w:vAlign w:val="bottom"/>
            <w:gridSpan w:val="3"/>
          </w:tcPr>
          <w:p>
            <w:pPr>
              <w:ind w:left="1280"/>
              <w:spacing w:after="0"/>
              <w:rPr>
                <w:sz w:val="20"/>
                <w:szCs w:val="20"/>
                <w:color w:val="auto"/>
              </w:rPr>
            </w:pPr>
            <w:r>
              <w:rPr>
                <w:rFonts w:ascii="Arial" w:cs="Arial" w:eastAsia="Arial" w:hAnsi="Arial"/>
                <w:sz w:val="18"/>
                <w:szCs w:val="18"/>
                <w:color w:val="auto"/>
                <w:w w:val="93"/>
              </w:rPr>
              <w:t>Restated Articles of Organization of the Company, as amended, filed as Exhibit 3.1 to the Company’s Quarterly Report on</w:t>
            </w:r>
          </w:p>
        </w:tc>
      </w:tr>
      <w:tr>
        <w:trPr>
          <w:trHeight w:val="230"/>
        </w:trPr>
        <w:tc>
          <w:tcPr>
            <w:tcW w:w="1020" w:type="dxa"/>
            <w:vAlign w:val="bottom"/>
          </w:tcPr>
          <w:p>
            <w:pPr>
              <w:spacing w:after="0"/>
              <w:rPr>
                <w:sz w:val="20"/>
                <w:szCs w:val="20"/>
                <w:color w:val="auto"/>
              </w:rPr>
            </w:pPr>
          </w:p>
        </w:tc>
        <w:tc>
          <w:tcPr>
            <w:tcW w:w="10380" w:type="dxa"/>
            <w:vAlign w:val="bottom"/>
            <w:gridSpan w:val="3"/>
          </w:tcPr>
          <w:p>
            <w:pPr>
              <w:ind w:left="1280"/>
              <w:spacing w:after="0"/>
              <w:rPr>
                <w:sz w:val="20"/>
                <w:szCs w:val="20"/>
                <w:color w:val="auto"/>
              </w:rPr>
            </w:pPr>
            <w:r>
              <w:rPr>
                <w:rFonts w:ascii="Arial" w:cs="Arial" w:eastAsia="Arial" w:hAnsi="Arial"/>
                <w:sz w:val="18"/>
                <w:szCs w:val="18"/>
                <w:color w:val="auto"/>
              </w:rPr>
              <w:t>Form 10-Q for the fiscal quarter ended May 3, 2008 (File No. 001-07819), as filed with the SEC on May 20, 2008.</w:t>
            </w:r>
          </w:p>
        </w:tc>
      </w:tr>
      <w:tr>
        <w:trPr>
          <w:trHeight w:val="310"/>
        </w:trPr>
        <w:tc>
          <w:tcPr>
            <w:tcW w:w="1020" w:type="dxa"/>
            <w:vAlign w:val="bottom"/>
          </w:tcPr>
          <w:p>
            <w:pPr>
              <w:jc w:val="right"/>
              <w:ind w:right="511"/>
              <w:spacing w:after="0"/>
              <w:rPr>
                <w:sz w:val="20"/>
                <w:szCs w:val="20"/>
                <w:color w:val="auto"/>
              </w:rPr>
            </w:pPr>
            <w:r>
              <w:rPr>
                <w:rFonts w:ascii="Arial" w:cs="Arial" w:eastAsia="Arial" w:hAnsi="Arial"/>
                <w:sz w:val="18"/>
                <w:szCs w:val="18"/>
                <w:color w:val="auto"/>
              </w:rPr>
              <w:t>3.2+</w:t>
            </w:r>
          </w:p>
        </w:tc>
        <w:tc>
          <w:tcPr>
            <w:tcW w:w="10380" w:type="dxa"/>
            <w:vAlign w:val="bottom"/>
            <w:gridSpan w:val="3"/>
          </w:tcPr>
          <w:p>
            <w:pPr>
              <w:ind w:left="1280"/>
              <w:spacing w:after="0"/>
              <w:rPr>
                <w:sz w:val="20"/>
                <w:szCs w:val="20"/>
                <w:color w:val="auto"/>
              </w:rPr>
            </w:pPr>
            <w:r>
              <w:rPr>
                <w:rFonts w:ascii="Arial" w:cs="Arial" w:eastAsia="Arial" w:hAnsi="Arial"/>
                <w:sz w:val="18"/>
                <w:szCs w:val="18"/>
                <w:color w:val="auto"/>
                <w:w w:val="93"/>
              </w:rPr>
              <w:t>Amendment to Restated Articles of Organization of the Company, filed as Exhibit 3.1 to the Company’s Current Report on</w:t>
            </w:r>
          </w:p>
        </w:tc>
      </w:tr>
      <w:tr>
        <w:trPr>
          <w:trHeight w:val="230"/>
        </w:trPr>
        <w:tc>
          <w:tcPr>
            <w:tcW w:w="1020" w:type="dxa"/>
            <w:vAlign w:val="bottom"/>
          </w:tcPr>
          <w:p>
            <w:pPr>
              <w:spacing w:after="0"/>
              <w:rPr>
                <w:sz w:val="20"/>
                <w:szCs w:val="20"/>
                <w:color w:val="auto"/>
              </w:rPr>
            </w:pPr>
          </w:p>
        </w:tc>
        <w:tc>
          <w:tcPr>
            <w:tcW w:w="10380" w:type="dxa"/>
            <w:vAlign w:val="bottom"/>
            <w:gridSpan w:val="3"/>
          </w:tcPr>
          <w:p>
            <w:pPr>
              <w:ind w:left="1280"/>
              <w:spacing w:after="0"/>
              <w:rPr>
                <w:sz w:val="20"/>
                <w:szCs w:val="20"/>
                <w:color w:val="auto"/>
              </w:rPr>
            </w:pPr>
            <w:r>
              <w:rPr>
                <w:rFonts w:ascii="Arial" w:cs="Arial" w:eastAsia="Arial" w:hAnsi="Arial"/>
                <w:sz w:val="18"/>
                <w:szCs w:val="18"/>
                <w:color w:val="auto"/>
              </w:rPr>
              <w:t>Form 8-K (File No. 001-07819), as filed with the SEC on December 8, 2008.</w:t>
            </w:r>
          </w:p>
        </w:tc>
      </w:tr>
      <w:tr>
        <w:trPr>
          <w:trHeight w:val="310"/>
        </w:trPr>
        <w:tc>
          <w:tcPr>
            <w:tcW w:w="1020" w:type="dxa"/>
            <w:vAlign w:val="bottom"/>
          </w:tcPr>
          <w:p>
            <w:pPr>
              <w:jc w:val="right"/>
              <w:ind w:right="511"/>
              <w:spacing w:after="0"/>
              <w:rPr>
                <w:sz w:val="20"/>
                <w:szCs w:val="20"/>
                <w:color w:val="auto"/>
              </w:rPr>
            </w:pPr>
            <w:r>
              <w:rPr>
                <w:rFonts w:ascii="Arial" w:cs="Arial" w:eastAsia="Arial" w:hAnsi="Arial"/>
                <w:sz w:val="18"/>
                <w:szCs w:val="18"/>
                <w:color w:val="auto"/>
              </w:rPr>
              <w:t>3.3+</w:t>
            </w:r>
          </w:p>
        </w:tc>
        <w:tc>
          <w:tcPr>
            <w:tcW w:w="10380" w:type="dxa"/>
            <w:vAlign w:val="bottom"/>
            <w:gridSpan w:val="3"/>
          </w:tcPr>
          <w:p>
            <w:pPr>
              <w:ind w:left="1280"/>
              <w:spacing w:after="0"/>
              <w:rPr>
                <w:sz w:val="20"/>
                <w:szCs w:val="20"/>
                <w:color w:val="auto"/>
              </w:rPr>
            </w:pPr>
            <w:r>
              <w:rPr>
                <w:rFonts w:ascii="Arial" w:cs="Arial" w:eastAsia="Arial" w:hAnsi="Arial"/>
                <w:sz w:val="18"/>
                <w:szCs w:val="18"/>
                <w:color w:val="auto"/>
                <w:w w:val="91"/>
              </w:rPr>
              <w:t>Amended and Restated By-laws of the Company, filed as Exhibit 3.1 to the Company’s Current Report on Form 8-K (File No.</w:t>
            </w:r>
          </w:p>
        </w:tc>
      </w:tr>
      <w:tr>
        <w:trPr>
          <w:trHeight w:val="230"/>
        </w:trPr>
        <w:tc>
          <w:tcPr>
            <w:tcW w:w="1020" w:type="dxa"/>
            <w:vAlign w:val="bottom"/>
          </w:tcPr>
          <w:p>
            <w:pPr>
              <w:spacing w:after="0"/>
              <w:rPr>
                <w:sz w:val="20"/>
                <w:szCs w:val="20"/>
                <w:color w:val="auto"/>
              </w:rPr>
            </w:pPr>
          </w:p>
        </w:tc>
        <w:tc>
          <w:tcPr>
            <w:tcW w:w="10380" w:type="dxa"/>
            <w:vAlign w:val="bottom"/>
            <w:gridSpan w:val="3"/>
          </w:tcPr>
          <w:p>
            <w:pPr>
              <w:ind w:left="1280"/>
              <w:spacing w:after="0"/>
              <w:rPr>
                <w:sz w:val="20"/>
                <w:szCs w:val="20"/>
                <w:color w:val="auto"/>
              </w:rPr>
            </w:pPr>
            <w:r>
              <w:rPr>
                <w:rFonts w:ascii="Arial" w:cs="Arial" w:eastAsia="Arial" w:hAnsi="Arial"/>
                <w:sz w:val="18"/>
                <w:szCs w:val="18"/>
                <w:color w:val="auto"/>
              </w:rPr>
              <w:t>001-07819), as filed with the SEC on January 28, 2010.</w:t>
            </w:r>
          </w:p>
        </w:tc>
      </w:tr>
      <w:tr>
        <w:trPr>
          <w:trHeight w:val="310"/>
        </w:trPr>
        <w:tc>
          <w:tcPr>
            <w:tcW w:w="1020" w:type="dxa"/>
            <w:vAlign w:val="bottom"/>
          </w:tcPr>
          <w:p>
            <w:pPr>
              <w:jc w:val="right"/>
              <w:ind w:right="511"/>
              <w:spacing w:after="0"/>
              <w:rPr>
                <w:sz w:val="20"/>
                <w:szCs w:val="20"/>
                <w:color w:val="auto"/>
              </w:rPr>
            </w:pPr>
            <w:r>
              <w:rPr>
                <w:rFonts w:ascii="Arial" w:cs="Arial" w:eastAsia="Arial" w:hAnsi="Arial"/>
                <w:sz w:val="18"/>
                <w:szCs w:val="18"/>
                <w:color w:val="auto"/>
              </w:rPr>
              <w:t>4.1+</w:t>
            </w:r>
          </w:p>
        </w:tc>
        <w:tc>
          <w:tcPr>
            <w:tcW w:w="10380" w:type="dxa"/>
            <w:vAlign w:val="bottom"/>
            <w:gridSpan w:val="3"/>
          </w:tcPr>
          <w:p>
            <w:pPr>
              <w:ind w:left="1280"/>
              <w:spacing w:after="0"/>
              <w:rPr>
                <w:sz w:val="20"/>
                <w:szCs w:val="20"/>
                <w:color w:val="auto"/>
              </w:rPr>
            </w:pPr>
            <w:r>
              <w:rPr>
                <w:rFonts w:ascii="Arial" w:cs="Arial" w:eastAsia="Arial" w:hAnsi="Arial"/>
                <w:sz w:val="18"/>
                <w:szCs w:val="18"/>
                <w:color w:val="auto"/>
                <w:w w:val="94"/>
              </w:rPr>
              <w:t>Indenture dated June 3, 2013, by and between the Company and The Bank of New York Mellon Trust Company, N.A. (as</w:t>
            </w:r>
          </w:p>
        </w:tc>
      </w:tr>
      <w:tr>
        <w:trPr>
          <w:trHeight w:val="216"/>
        </w:trPr>
        <w:tc>
          <w:tcPr>
            <w:tcW w:w="1020" w:type="dxa"/>
            <w:vAlign w:val="bottom"/>
          </w:tcPr>
          <w:p>
            <w:pPr>
              <w:spacing w:after="0"/>
              <w:rPr>
                <w:sz w:val="18"/>
                <w:szCs w:val="18"/>
                <w:color w:val="auto"/>
              </w:rPr>
            </w:pPr>
          </w:p>
        </w:tc>
        <w:tc>
          <w:tcPr>
            <w:tcW w:w="10380" w:type="dxa"/>
            <w:vAlign w:val="bottom"/>
            <w:gridSpan w:val="3"/>
          </w:tcPr>
          <w:p>
            <w:pPr>
              <w:ind w:left="1280"/>
              <w:spacing w:after="0"/>
              <w:rPr>
                <w:sz w:val="20"/>
                <w:szCs w:val="20"/>
                <w:color w:val="auto"/>
              </w:rPr>
            </w:pPr>
            <w:r>
              <w:rPr>
                <w:rFonts w:ascii="Arial" w:cs="Arial" w:eastAsia="Arial" w:hAnsi="Arial"/>
                <w:sz w:val="18"/>
                <w:szCs w:val="18"/>
                <w:color w:val="auto"/>
                <w:w w:val="93"/>
              </w:rPr>
              <w:t>Trustee), filed as Exhibit 4.1 to the Company’s Current Report on Form 8-K (File No. 001-07819), as filed with the SEC on</w:t>
            </w:r>
          </w:p>
        </w:tc>
      </w:tr>
      <w:tr>
        <w:trPr>
          <w:trHeight w:val="230"/>
        </w:trPr>
        <w:tc>
          <w:tcPr>
            <w:tcW w:w="1020" w:type="dxa"/>
            <w:vAlign w:val="bottom"/>
          </w:tcPr>
          <w:p>
            <w:pPr>
              <w:spacing w:after="0"/>
              <w:rPr>
                <w:sz w:val="20"/>
                <w:szCs w:val="20"/>
                <w:color w:val="auto"/>
              </w:rPr>
            </w:pPr>
          </w:p>
        </w:tc>
        <w:tc>
          <w:tcPr>
            <w:tcW w:w="10380" w:type="dxa"/>
            <w:vAlign w:val="bottom"/>
            <w:gridSpan w:val="3"/>
          </w:tcPr>
          <w:p>
            <w:pPr>
              <w:ind w:left="1280"/>
              <w:spacing w:after="0"/>
              <w:rPr>
                <w:sz w:val="20"/>
                <w:szCs w:val="20"/>
                <w:color w:val="auto"/>
              </w:rPr>
            </w:pPr>
            <w:r>
              <w:rPr>
                <w:rFonts w:ascii="Arial" w:cs="Arial" w:eastAsia="Arial" w:hAnsi="Arial"/>
                <w:sz w:val="18"/>
                <w:szCs w:val="18"/>
                <w:color w:val="auto"/>
              </w:rPr>
              <w:t>June 3, 2013.</w:t>
            </w:r>
          </w:p>
        </w:tc>
      </w:tr>
      <w:tr>
        <w:trPr>
          <w:trHeight w:val="324"/>
        </w:trPr>
        <w:tc>
          <w:tcPr>
            <w:tcW w:w="1020" w:type="dxa"/>
            <w:vAlign w:val="bottom"/>
          </w:tcPr>
          <w:p>
            <w:pPr>
              <w:jc w:val="right"/>
              <w:ind w:right="611"/>
              <w:spacing w:after="0"/>
              <w:rPr>
                <w:sz w:val="20"/>
                <w:szCs w:val="20"/>
                <w:color w:val="auto"/>
              </w:rPr>
            </w:pPr>
            <w:r>
              <w:rPr>
                <w:rFonts w:ascii="Arial" w:cs="Arial" w:eastAsia="Arial" w:hAnsi="Arial"/>
                <w:sz w:val="18"/>
                <w:szCs w:val="18"/>
                <w:color w:val="auto"/>
              </w:rPr>
              <w:t>5.1</w:t>
            </w:r>
          </w:p>
        </w:tc>
        <w:tc>
          <w:tcPr>
            <w:tcW w:w="10380" w:type="dxa"/>
            <w:vAlign w:val="bottom"/>
            <w:gridSpan w:val="3"/>
          </w:tcPr>
          <w:p>
            <w:pPr>
              <w:ind w:left="1280"/>
              <w:spacing w:after="0"/>
              <w:rPr>
                <w:sz w:val="20"/>
                <w:szCs w:val="20"/>
                <w:color w:val="auto"/>
              </w:rPr>
            </w:pPr>
            <w:r>
              <w:rPr>
                <w:rFonts w:ascii="Arial" w:cs="Arial" w:eastAsia="Arial" w:hAnsi="Arial"/>
                <w:sz w:val="18"/>
                <w:szCs w:val="18"/>
                <w:color w:val="auto"/>
              </w:rPr>
              <w:t>Opinion of Wilmer Cutler Pickering Hale and Dorr LLP.</w:t>
            </w:r>
          </w:p>
        </w:tc>
      </w:tr>
      <w:tr>
        <w:trPr>
          <w:trHeight w:val="324"/>
        </w:trPr>
        <w:tc>
          <w:tcPr>
            <w:tcW w:w="1020" w:type="dxa"/>
            <w:vAlign w:val="bottom"/>
          </w:tcPr>
          <w:p>
            <w:pPr>
              <w:jc w:val="right"/>
              <w:ind w:right="611"/>
              <w:spacing w:after="0"/>
              <w:rPr>
                <w:sz w:val="20"/>
                <w:szCs w:val="20"/>
                <w:color w:val="auto"/>
              </w:rPr>
            </w:pPr>
            <w:r>
              <w:rPr>
                <w:rFonts w:ascii="Arial" w:cs="Arial" w:eastAsia="Arial" w:hAnsi="Arial"/>
                <w:sz w:val="18"/>
                <w:szCs w:val="18"/>
                <w:color w:val="auto"/>
                <w:w w:val="85"/>
              </w:rPr>
              <w:t>12.1</w:t>
            </w:r>
          </w:p>
        </w:tc>
        <w:tc>
          <w:tcPr>
            <w:tcW w:w="10380" w:type="dxa"/>
            <w:vAlign w:val="bottom"/>
            <w:gridSpan w:val="3"/>
          </w:tcPr>
          <w:p>
            <w:pPr>
              <w:ind w:left="1280"/>
              <w:spacing w:after="0"/>
              <w:rPr>
                <w:sz w:val="20"/>
                <w:szCs w:val="20"/>
                <w:color w:val="auto"/>
              </w:rPr>
            </w:pPr>
            <w:r>
              <w:rPr>
                <w:rFonts w:ascii="Arial" w:cs="Arial" w:eastAsia="Arial" w:hAnsi="Arial"/>
                <w:sz w:val="18"/>
                <w:szCs w:val="18"/>
                <w:color w:val="auto"/>
              </w:rPr>
              <w:t>Computation of Consolidated Ratios of Earnings to Fixed Charges.</w:t>
            </w:r>
          </w:p>
        </w:tc>
      </w:tr>
      <w:tr>
        <w:trPr>
          <w:trHeight w:val="324"/>
        </w:trPr>
        <w:tc>
          <w:tcPr>
            <w:tcW w:w="1020" w:type="dxa"/>
            <w:vAlign w:val="bottom"/>
          </w:tcPr>
          <w:p>
            <w:pPr>
              <w:jc w:val="right"/>
              <w:ind w:right="611"/>
              <w:spacing w:after="0"/>
              <w:rPr>
                <w:sz w:val="20"/>
                <w:szCs w:val="20"/>
                <w:color w:val="auto"/>
              </w:rPr>
            </w:pPr>
            <w:r>
              <w:rPr>
                <w:rFonts w:ascii="Arial" w:cs="Arial" w:eastAsia="Arial" w:hAnsi="Arial"/>
                <w:sz w:val="18"/>
                <w:szCs w:val="18"/>
                <w:color w:val="auto"/>
                <w:w w:val="85"/>
              </w:rPr>
              <w:t>23.1</w:t>
            </w:r>
          </w:p>
        </w:tc>
        <w:tc>
          <w:tcPr>
            <w:tcW w:w="10380" w:type="dxa"/>
            <w:vAlign w:val="bottom"/>
            <w:gridSpan w:val="3"/>
          </w:tcPr>
          <w:p>
            <w:pPr>
              <w:ind w:left="1280"/>
              <w:spacing w:after="0"/>
              <w:rPr>
                <w:sz w:val="20"/>
                <w:szCs w:val="20"/>
                <w:color w:val="auto"/>
              </w:rPr>
            </w:pPr>
            <w:r>
              <w:rPr>
                <w:rFonts w:ascii="Arial" w:cs="Arial" w:eastAsia="Arial" w:hAnsi="Arial"/>
                <w:sz w:val="18"/>
                <w:szCs w:val="18"/>
                <w:color w:val="auto"/>
              </w:rPr>
              <w:t>Consent of Ernst &amp; Young LLP, Independent Registered Public Accounting Firm.</w:t>
            </w:r>
          </w:p>
        </w:tc>
      </w:tr>
      <w:tr>
        <w:trPr>
          <w:trHeight w:val="324"/>
        </w:trPr>
        <w:tc>
          <w:tcPr>
            <w:tcW w:w="1020" w:type="dxa"/>
            <w:vAlign w:val="bottom"/>
          </w:tcPr>
          <w:p>
            <w:pPr>
              <w:jc w:val="right"/>
              <w:ind w:right="611"/>
              <w:spacing w:after="0"/>
              <w:rPr>
                <w:sz w:val="20"/>
                <w:szCs w:val="20"/>
                <w:color w:val="auto"/>
              </w:rPr>
            </w:pPr>
            <w:r>
              <w:rPr>
                <w:rFonts w:ascii="Arial" w:cs="Arial" w:eastAsia="Arial" w:hAnsi="Arial"/>
                <w:sz w:val="18"/>
                <w:szCs w:val="18"/>
                <w:color w:val="auto"/>
                <w:w w:val="85"/>
              </w:rPr>
              <w:t>23.2</w:t>
            </w:r>
          </w:p>
        </w:tc>
        <w:tc>
          <w:tcPr>
            <w:tcW w:w="10380" w:type="dxa"/>
            <w:vAlign w:val="bottom"/>
            <w:gridSpan w:val="3"/>
          </w:tcPr>
          <w:p>
            <w:pPr>
              <w:ind w:left="1280"/>
              <w:spacing w:after="0"/>
              <w:rPr>
                <w:sz w:val="20"/>
                <w:szCs w:val="20"/>
                <w:color w:val="auto"/>
              </w:rPr>
            </w:pPr>
            <w:r>
              <w:rPr>
                <w:rFonts w:ascii="Arial" w:cs="Arial" w:eastAsia="Arial" w:hAnsi="Arial"/>
                <w:sz w:val="18"/>
                <w:szCs w:val="18"/>
                <w:color w:val="auto"/>
              </w:rPr>
              <w:t>Consent of Wilmer Cutler Pickering Hale and Dorr LLP (included in Exhibit 5.1).</w:t>
            </w:r>
          </w:p>
        </w:tc>
      </w:tr>
      <w:tr>
        <w:trPr>
          <w:trHeight w:val="324"/>
        </w:trPr>
        <w:tc>
          <w:tcPr>
            <w:tcW w:w="1020" w:type="dxa"/>
            <w:vAlign w:val="bottom"/>
          </w:tcPr>
          <w:p>
            <w:pPr>
              <w:jc w:val="right"/>
              <w:ind w:right="611"/>
              <w:spacing w:after="0"/>
              <w:rPr>
                <w:sz w:val="20"/>
                <w:szCs w:val="20"/>
                <w:color w:val="auto"/>
              </w:rPr>
            </w:pPr>
            <w:r>
              <w:rPr>
                <w:rFonts w:ascii="Arial" w:cs="Arial" w:eastAsia="Arial" w:hAnsi="Arial"/>
                <w:sz w:val="18"/>
                <w:szCs w:val="18"/>
                <w:color w:val="auto"/>
                <w:w w:val="85"/>
              </w:rPr>
              <w:t>24.1</w:t>
            </w:r>
          </w:p>
        </w:tc>
        <w:tc>
          <w:tcPr>
            <w:tcW w:w="10380" w:type="dxa"/>
            <w:vAlign w:val="bottom"/>
            <w:gridSpan w:val="3"/>
          </w:tcPr>
          <w:p>
            <w:pPr>
              <w:ind w:left="1280"/>
              <w:spacing w:after="0"/>
              <w:rPr>
                <w:sz w:val="20"/>
                <w:szCs w:val="20"/>
                <w:color w:val="auto"/>
              </w:rPr>
            </w:pPr>
            <w:r>
              <w:rPr>
                <w:rFonts w:ascii="Arial" w:cs="Arial" w:eastAsia="Arial" w:hAnsi="Arial"/>
                <w:sz w:val="18"/>
                <w:szCs w:val="18"/>
                <w:color w:val="auto"/>
              </w:rPr>
              <w:t>Powers of Attorney (included on signature pages).</w:t>
            </w:r>
          </w:p>
        </w:tc>
      </w:tr>
      <w:tr>
        <w:trPr>
          <w:trHeight w:val="324"/>
        </w:trPr>
        <w:tc>
          <w:tcPr>
            <w:tcW w:w="1020" w:type="dxa"/>
            <w:vAlign w:val="bottom"/>
          </w:tcPr>
          <w:p>
            <w:pPr>
              <w:jc w:val="right"/>
              <w:ind w:right="611"/>
              <w:spacing w:after="0"/>
              <w:rPr>
                <w:sz w:val="20"/>
                <w:szCs w:val="20"/>
                <w:color w:val="auto"/>
              </w:rPr>
            </w:pPr>
            <w:r>
              <w:rPr>
                <w:rFonts w:ascii="Arial" w:cs="Arial" w:eastAsia="Arial" w:hAnsi="Arial"/>
                <w:sz w:val="18"/>
                <w:szCs w:val="18"/>
                <w:color w:val="auto"/>
                <w:w w:val="85"/>
              </w:rPr>
              <w:t>25.1</w:t>
            </w:r>
          </w:p>
        </w:tc>
        <w:tc>
          <w:tcPr>
            <w:tcW w:w="10380" w:type="dxa"/>
            <w:vAlign w:val="bottom"/>
            <w:gridSpan w:val="3"/>
          </w:tcPr>
          <w:p>
            <w:pPr>
              <w:ind w:left="1280"/>
              <w:spacing w:after="0"/>
              <w:rPr>
                <w:sz w:val="20"/>
                <w:szCs w:val="20"/>
                <w:color w:val="auto"/>
              </w:rPr>
            </w:pPr>
            <w:r>
              <w:rPr>
                <w:rFonts w:ascii="Arial" w:cs="Arial" w:eastAsia="Arial" w:hAnsi="Arial"/>
                <w:sz w:val="18"/>
                <w:szCs w:val="18"/>
                <w:color w:val="auto"/>
              </w:rPr>
              <w:t>Statement of Eligibility on Form T-1 of The Bank of New York Mellon Trust Company, N.A., Trustee.</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Previously filed with the SEC and incorporated herein by reference.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To be filed by an amendment or as an exhibit to a report filed under the Exchange Act and incorporated herein by reference.</w:t>
      </w:r>
    </w:p>
    <w:p>
      <w:pPr>
        <w:sectPr>
          <w:pgSz w:w="11900" w:h="16838" w:orient="portrait"/>
          <w:cols w:equalWidth="0" w:num="1">
            <w:col w:w="11400"/>
          </w:cols>
          <w:pgMar w:left="240" w:top="459" w:right="25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6145530</wp:posOffset>
            </wp:positionH>
            <wp:positionV relativeFrom="paragraph">
              <wp:posOffset>172085</wp:posOffset>
            </wp:positionV>
            <wp:extent cx="1106170" cy="2057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10617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+1 617 526 6000 (t)</w:t>
      </w:r>
    </w:p>
    <w:p>
      <w:pPr>
        <w:ind w:left="10260"/>
        <w:spacing w:after="0"/>
        <w:rPr>
          <w:sz w:val="20"/>
          <w:szCs w:val="20"/>
          <w:color w:val="auto"/>
        </w:rPr>
      </w:pPr>
      <w:r>
        <w:rPr>
          <w:rFonts w:ascii="Arial" w:cs="Arial" w:eastAsia="Arial" w:hAnsi="Arial"/>
          <w:sz w:val="13"/>
          <w:szCs w:val="13"/>
          <w:color w:val="auto"/>
        </w:rPr>
        <w:t>+1 617 526 5000 (f)</w:t>
      </w:r>
    </w:p>
    <w:p>
      <w:pPr>
        <w:ind w:left="10480"/>
        <w:spacing w:after="0"/>
        <w:rPr>
          <w:sz w:val="20"/>
          <w:szCs w:val="20"/>
          <w:color w:val="auto"/>
        </w:rPr>
      </w:pPr>
      <w:r>
        <w:rPr>
          <w:rFonts w:ascii="Arial" w:cs="Arial" w:eastAsia="Arial" w:hAnsi="Arial"/>
          <w:sz w:val="13"/>
          <w:szCs w:val="13"/>
          <w:color w:val="auto"/>
        </w:rPr>
        <w:t>wilmerhale.com</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September 21,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Technology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Norwood, Massachusetts 02062-9106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Registration Statement on Form S-3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This opinion is furnished to you in connection with a Registration Statement on Form S-3 to be filed with the Securities and Exchange Commission (the “Commission”) under the Securities Act of 1933, as amended (the “Securities Act”), on or about September 21, 2015 (the “Registration Statement”) for the registration of an unlimited amount of debt securities (“Debt Securities”) of Analog Devices, Inc., a Massachusetts corporation (the “Company”).</w:t>
      </w:r>
    </w:p>
    <w:p>
      <w:pPr>
        <w:spacing w:after="0" w:line="14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are acting as counsel for the Company in connection with the Registration Statement relating to the offering from time to time, pursuant to Rule 415 under the Securities Act, of the Debt Securities. The Debt Securities will be offered pursuant to the Indenture dated as of June 3, 2012 (the “Indenture”) between the Company and The Bank of New York Mellon Trust Company, N.A., as trustee (the “Trustee”), which is filed as an exhibit to the Registration Statement.</w:t>
      </w:r>
    </w:p>
    <w:p>
      <w:pPr>
        <w:spacing w:after="0" w:line="147"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We have examined and relied upon signed copies of the Registration Statement as filed with the Commission and the Indenture included as an exhibit to the Registration Statement. We have also examined and relied upon originals or copies, certified or otherwise identified to our satisfaction, of such corporate records of the Company, such other agreements and instruments, certificates of public officials, officers of the Company and other persons, and such other documents, instruments and certificates as we have deemed necessary for purposes of rendering the opinions hereinafter set forth.</w:t>
      </w:r>
    </w:p>
    <w:p>
      <w:pPr>
        <w:spacing w:after="0" w:line="154"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In our examination of the foregoing documents, we have assumed the genuineness of all signatures, the authenticity of all documents submitted to us as originals, the conformity to original documents of all documents submitted to us as copies, the authenticity of the originals of such latter documents, the legal competence of all signatories to such documents and the completeness and accuracy of the corporate records of the Company provided to us by the Company.</w:t>
      </w:r>
    </w:p>
    <w:p>
      <w:pPr>
        <w:spacing w:after="0" w:line="14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rendering the opinion set forth below, we have assumed that (i) the issuance, sale, amount and terms of the Debt Securities, to be offered from time to time, will be duly authorized and established by all requisite action, corporate or other, by the Company; (ii) the Trustee has the power, corporate or other, to enter into and perform its obligations under the Indenture, (iii) the Indenture is a valid and binding obligation of the Trustee; and (iv) the Trustee shall have been qualified under the Trust Indenture Act of 1939, as amended. We have also assumed that there will not have occurred, prior to the date of issuance of any Debt Securities, any change in law affecting the validity or enforceability of such Debt Securities and that at the time of the issuance and sale of any Debt Securities, the Board of Directors of the Company (or any committee thereof acting pursuant to authority properly delegated to such committee by the Board of Directors) has not taken any action to rescind or otherwise reduce their prior authorization of the issuance of the Debt Securities.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Wilmer Cutler Pickering Hale and Dorr </w:t>
      </w:r>
      <w:r>
        <w:rPr>
          <w:rFonts w:ascii="Arial" w:cs="Arial" w:eastAsia="Arial" w:hAnsi="Arial"/>
          <w:sz w:val="15"/>
          <w:szCs w:val="15"/>
          <w:color w:val="auto"/>
        </w:rPr>
        <w:t>LLP</w:t>
      </w:r>
      <w:r>
        <w:rPr>
          <w:rFonts w:ascii="Arial" w:cs="Arial" w:eastAsia="Arial" w:hAnsi="Arial"/>
          <w:sz w:val="18"/>
          <w:szCs w:val="18"/>
          <w:color w:val="auto"/>
        </w:rPr>
        <w:t>, 60 State Street, Boston, Massachusetts 02109</w:t>
      </w:r>
    </w:p>
    <w:p>
      <w:pPr>
        <w:spacing w:after="0" w:line="17" w:lineRule="exact"/>
        <w:rPr>
          <w:sz w:val="20"/>
          <w:szCs w:val="20"/>
          <w:color w:val="auto"/>
        </w:rPr>
      </w:pPr>
    </w:p>
    <w:p>
      <w:pPr>
        <w:jc w:val="center"/>
        <w:spacing w:after="0"/>
        <w:tabs>
          <w:tab w:leader="none" w:pos="120" w:val="left"/>
          <w:tab w:leader="none" w:pos="140" w:val="left"/>
          <w:tab w:leader="none" w:pos="120" w:val="left"/>
          <w:tab w:leader="none" w:pos="140" w:val="left"/>
          <w:tab w:leader="none" w:pos="160" w:val="left"/>
          <w:tab w:leader="none" w:pos="120" w:val="left"/>
          <w:tab w:leader="none" w:pos="120" w:val="left"/>
          <w:tab w:leader="none" w:pos="120" w:val="left"/>
          <w:tab w:leader="none" w:pos="120" w:val="left"/>
          <w:tab w:leader="none" w:pos="120" w:val="left"/>
          <w:tab w:leader="none" w:pos="120" w:val="left"/>
        </w:tabs>
        <w:rPr>
          <w:sz w:val="20"/>
          <w:szCs w:val="20"/>
          <w:color w:val="auto"/>
        </w:rPr>
      </w:pPr>
      <w:r>
        <w:rPr>
          <w:rFonts w:ascii="Arial" w:cs="Arial" w:eastAsia="Arial" w:hAnsi="Arial"/>
          <w:sz w:val="14"/>
          <w:szCs w:val="14"/>
          <w:color w:val="auto"/>
        </w:rPr>
        <w:t>Beijing</w:t>
        <w:tab/>
        <w:t>Berlin</w:t>
        <w:tab/>
        <w:t>Boston</w:t>
        <w:tab/>
        <w:t>Brussels</w:t>
        <w:tab/>
        <w:t>Denver</w:t>
        <w:tab/>
        <w:t>Frankfurt</w:t>
        <w:tab/>
        <w:t>London</w:t>
        <w:tab/>
        <w:t>Los Angeles</w:t>
        <w:tab/>
        <w:t>New York</w:t>
        <w:tab/>
        <w:t>Oxford</w:t>
        <w:tab/>
        <w:t>Palo Alto</w:t>
      </w:r>
      <w:r>
        <w:rPr>
          <w:sz w:val="20"/>
          <w:szCs w:val="20"/>
          <w:color w:val="auto"/>
        </w:rPr>
        <w:tab/>
      </w:r>
      <w:r>
        <w:rPr>
          <w:rFonts w:ascii="Arial" w:cs="Arial" w:eastAsia="Arial" w:hAnsi="Arial"/>
          <w:sz w:val="12"/>
          <w:szCs w:val="12"/>
          <w:color w:val="auto"/>
        </w:rPr>
        <w:t>Washington</w:t>
      </w:r>
    </w:p>
    <w:p>
      <w:pPr>
        <w:sectPr>
          <w:pgSz w:w="11900" w:h="16838" w:orient="portrait"/>
          <w:cols w:equalWidth="0" w:num="1">
            <w:col w:w="11420"/>
          </w:cols>
          <w:pgMar w:left="240" w:top="121"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6297930</wp:posOffset>
            </wp:positionH>
            <wp:positionV relativeFrom="page">
              <wp:posOffset>183515</wp:posOffset>
            </wp:positionV>
            <wp:extent cx="1106170" cy="2057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1106170" cy="205740"/>
                    </a:xfrm>
                    <a:prstGeom prst="rect">
                      <a:avLst/>
                    </a:prstGeom>
                    <a:noFill/>
                  </pic:spPr>
                </pic:pic>
              </a:graphicData>
            </a:graphic>
          </wp:anchor>
        </w:drawing>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21,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We express no opinion herein as to the laws of any state or jurisdiction other than the state laws of the State of New York and the state laws of the Commonwealth of Massachusetts.</w:t>
      </w:r>
    </w:p>
    <w:p>
      <w:pPr>
        <w:spacing w:after="0" w:line="17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opinion below is qualified to the extent that it may be subject to or affected by (i) applicable bankruptcy, insolvency, reorganization, moratorium, usury, fraudulent conveyance or similar laws relating to or affecting the rights or remedies of creditors generally, (ii) duties and standards imposed on creditors and parties to contracts, including, without limitation, requirements of materiality, good faith, reasonableness and fair dealing, and (iii) general equitable principles. Furthermore, we express no opinion as to the availability of any equitable or specific remedy upon any breach of the Indenture or the Debt Securities, or to the successful assertion of any equitable defenses, inasmuch as the availability of such remedies or the success of any equitable defenses may be subject to the discretion of a court. We also express no opinion herein with respect to compliance by the Company with the securities or “blue sky” laws of any state or other jurisdiction of the United States or of any foreign jurisdiction. In addition, we express no opinion and make no statement herein with respect to the antifraud laws of any jurisdiction.</w:t>
      </w:r>
    </w:p>
    <w:p>
      <w:pPr>
        <w:spacing w:after="0" w:line="179"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On the basis of, and subject to, the foregoing, we are of the opinion that when (i) the terms of the Debt Securities and of their issuance and sale have been duly established in conformity with the Indenture; (ii) the terms of the Debt Securities have been duly authorized and established by all requisite action, corporate or other, by the Company; and (iii) such Debt Securities have been duly executed by the Company and duly authenticated by the Trustee in accordance with the terms of the Indenture, and delivered to the purchasers thereof against payment of the consideration therefor duly approved by the Company, the Debt Securities will constitute valid and binding obligations of the Company, enforceable against the Company, in accordance with their terms.</w:t>
      </w:r>
    </w:p>
    <w:p>
      <w:pPr>
        <w:spacing w:after="0" w:line="15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Please note that we are opining only as to the matters expressly set forth herein, and no opinion should be inferred as to any other matters. This opinion is based upon currently existing statutes, rules, regulations and judicial decisions and is rendered as of the date hereof, and we disclaim any obligation to advise you of any change in any of the foregoing sources of law or subsequent developments in law or changes in facts or circumstances that might affect any matters or opinions set forth herein.</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We hereby consent to the filing of this opinion with the Commission as an exhibit to the Registration Statement in accordance with the requirements of</w:t>
      </w:r>
    </w:p>
    <w:p>
      <w:pPr>
        <w:spacing w:after="0" w:line="3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Item 601(b)(5) of Regulation S-K under the Securities Act and to the use of our name therein and in the related prospectus under the caption “Legal Matters.” In giving such consent, we do not hereby admit that we are in the category of persons whose consent is required under Section 7 of the Securities Act or the rules and regulations of the Commission.</w:t>
      </w:r>
    </w:p>
    <w:p>
      <w:pPr>
        <w:sectPr>
          <w:pgSz w:w="11900" w:h="16838" w:orient="portrait"/>
          <w:cols w:equalWidth="0" w:num="1">
            <w:col w:w="11400"/>
          </w:cols>
          <w:pgMar w:left="240" w:top="814" w:right="25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6297930</wp:posOffset>
            </wp:positionH>
            <wp:positionV relativeFrom="page">
              <wp:posOffset>183515</wp:posOffset>
            </wp:positionV>
            <wp:extent cx="1106170" cy="2057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1106170" cy="205740"/>
                    </a:xfrm>
                    <a:prstGeom prst="rect">
                      <a:avLst/>
                    </a:prstGeom>
                    <a:noFill/>
                  </pic:spPr>
                </pic:pic>
              </a:graphicData>
            </a:graphic>
          </wp:anchor>
        </w:drawing>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21,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WILMER CUTLER PICKERING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HALE AND DORR LLP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MARK G. BORDEN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Mark G. Borden, a Partner</w:t>
      </w:r>
    </w:p>
    <w:p>
      <w:pPr>
        <w:sectPr>
          <w:pgSz w:w="11900" w:h="16838" w:orient="portrait"/>
          <w:cols w:equalWidth="0" w:num="1">
            <w:col w:w="10219"/>
          </w:cols>
          <w:pgMar w:left="240" w:top="814" w:right="1440"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4"/>
        </w:trPr>
        <w:tc>
          <w:tcPr>
            <w:tcW w:w="16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4"/>
          </w:tcPr>
          <w:p>
            <w:pPr>
              <w:jc w:val="right"/>
              <w:spacing w:after="0"/>
              <w:rPr>
                <w:sz w:val="20"/>
                <w:szCs w:val="20"/>
                <w:color w:val="auto"/>
              </w:rPr>
            </w:pPr>
            <w:r>
              <w:rPr>
                <w:rFonts w:ascii="Arial" w:cs="Arial" w:eastAsia="Arial" w:hAnsi="Arial"/>
                <w:sz w:val="18"/>
                <w:szCs w:val="18"/>
                <w:b w:val="1"/>
                <w:bCs w:val="1"/>
                <w:color w:val="auto"/>
                <w:w w:val="99"/>
              </w:rPr>
              <w:t>Exhibit 12.1</w:t>
            </w:r>
          </w:p>
        </w:tc>
        <w:tc>
          <w:tcPr>
            <w:tcW w:w="0" w:type="dxa"/>
            <w:vAlign w:val="bottom"/>
          </w:tcPr>
          <w:p>
            <w:pPr>
              <w:spacing w:after="0"/>
              <w:rPr>
                <w:sz w:val="1"/>
                <w:szCs w:val="1"/>
                <w:color w:val="auto"/>
              </w:rPr>
            </w:pPr>
          </w:p>
        </w:tc>
      </w:tr>
      <w:tr>
        <w:trPr>
          <w:trHeight w:val="432"/>
        </w:trPr>
        <w:tc>
          <w:tcPr>
            <w:tcW w:w="16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860" w:type="dxa"/>
            <w:vAlign w:val="bottom"/>
            <w:gridSpan w:val="5"/>
          </w:tcPr>
          <w:p>
            <w:pPr>
              <w:ind w:left="1280"/>
              <w:spacing w:after="0"/>
              <w:rPr>
                <w:sz w:val="20"/>
                <w:szCs w:val="20"/>
                <w:color w:val="auto"/>
              </w:rPr>
            </w:pPr>
            <w:r>
              <w:rPr>
                <w:rFonts w:ascii="Arial" w:cs="Arial" w:eastAsia="Arial" w:hAnsi="Arial"/>
                <w:sz w:val="18"/>
                <w:szCs w:val="18"/>
                <w:b w:val="1"/>
                <w:bCs w:val="1"/>
                <w:color w:val="auto"/>
                <w:w w:val="89"/>
              </w:rPr>
              <w:t>Analog Devices, Inc.</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6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700" w:type="dxa"/>
            <w:vAlign w:val="bottom"/>
            <w:gridSpan w:val="8"/>
          </w:tcPr>
          <w:p>
            <w:pPr>
              <w:jc w:val="right"/>
              <w:ind w:right="193"/>
              <w:spacing w:after="0"/>
              <w:rPr>
                <w:sz w:val="20"/>
                <w:szCs w:val="20"/>
                <w:color w:val="auto"/>
              </w:rPr>
            </w:pPr>
            <w:r>
              <w:rPr>
                <w:rFonts w:ascii="Arial" w:cs="Arial" w:eastAsia="Arial" w:hAnsi="Arial"/>
                <w:sz w:val="18"/>
                <w:szCs w:val="18"/>
                <w:b w:val="1"/>
                <w:bCs w:val="1"/>
                <w:color w:val="auto"/>
              </w:rPr>
              <w:t>Ratio of Earnings to Fixed Charges</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6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Nine</w:t>
            </w:r>
          </w:p>
        </w:tc>
        <w:tc>
          <w:tcPr>
            <w:tcW w:w="0" w:type="dxa"/>
            <w:vAlign w:val="bottom"/>
          </w:tcPr>
          <w:p>
            <w:pPr>
              <w:spacing w:after="0"/>
              <w:rPr>
                <w:sz w:val="1"/>
                <w:szCs w:val="1"/>
                <w:color w:val="auto"/>
              </w:rPr>
            </w:pPr>
          </w:p>
        </w:tc>
      </w:tr>
      <w:tr>
        <w:trPr>
          <w:trHeight w:val="149"/>
        </w:trPr>
        <w:tc>
          <w:tcPr>
            <w:tcW w:w="16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0" w:type="dxa"/>
            <w:vAlign w:val="bottom"/>
            <w:gridSpan w:val="4"/>
            <w:vMerge w:val="restart"/>
          </w:tcPr>
          <w:p>
            <w:pPr>
              <w:jc w:val="right"/>
              <w:ind w:right="60"/>
              <w:spacing w:after="0"/>
              <w:rPr>
                <w:sz w:val="20"/>
                <w:szCs w:val="20"/>
                <w:color w:val="auto"/>
              </w:rPr>
            </w:pPr>
            <w:r>
              <w:rPr>
                <w:rFonts w:ascii="Arial" w:cs="Arial" w:eastAsia="Arial" w:hAnsi="Arial"/>
                <w:sz w:val="14"/>
                <w:szCs w:val="14"/>
                <w:b w:val="1"/>
                <w:bCs w:val="1"/>
                <w:color w:val="auto"/>
                <w:w w:val="92"/>
              </w:rPr>
              <w:t>Fiscal Year Ended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Months</w:t>
            </w:r>
          </w:p>
        </w:tc>
        <w:tc>
          <w:tcPr>
            <w:tcW w:w="0" w:type="dxa"/>
            <w:vAlign w:val="bottom"/>
          </w:tcPr>
          <w:p>
            <w:pPr>
              <w:spacing w:after="0"/>
              <w:rPr>
                <w:sz w:val="1"/>
                <w:szCs w:val="1"/>
                <w:color w:val="auto"/>
              </w:rPr>
            </w:pPr>
          </w:p>
        </w:tc>
      </w:tr>
      <w:tr>
        <w:trPr>
          <w:trHeight w:val="171"/>
        </w:trPr>
        <w:tc>
          <w:tcPr>
            <w:tcW w:w="16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33"/>
        </w:trPr>
        <w:tc>
          <w:tcPr>
            <w:tcW w:w="1640" w:type="dxa"/>
            <w:vAlign w:val="bottom"/>
            <w:vMerge w:val="restart"/>
          </w:tcPr>
          <w:p>
            <w:pPr>
              <w:spacing w:after="0"/>
              <w:rPr>
                <w:sz w:val="20"/>
                <w:szCs w:val="20"/>
                <w:color w:val="auto"/>
              </w:rPr>
            </w:pPr>
            <w:r>
              <w:rPr>
                <w:rFonts w:ascii="Arial" w:cs="Arial" w:eastAsia="Arial" w:hAnsi="Arial"/>
                <w:sz w:val="14"/>
                <w:szCs w:val="14"/>
                <w:color w:val="auto"/>
                <w:w w:val="91"/>
              </w:rPr>
              <w:t>(In thousands, except ratios)</w:t>
            </w:r>
          </w:p>
        </w:tc>
        <w:tc>
          <w:tcPr>
            <w:tcW w:w="2020" w:type="dxa"/>
            <w:vAlign w:val="bottom"/>
            <w:vMerge w:val="restart"/>
          </w:tcPr>
          <w:p>
            <w:pPr>
              <w:spacing w:after="0"/>
              <w:rPr>
                <w:sz w:val="11"/>
                <w:szCs w:val="11"/>
                <w:color w:val="auto"/>
              </w:rPr>
            </w:pPr>
          </w:p>
        </w:tc>
        <w:tc>
          <w:tcPr>
            <w:tcW w:w="18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3"/>
          </w:tcPr>
          <w:p>
            <w:pPr>
              <w:ind w:left="20"/>
              <w:spacing w:after="0" w:line="133" w:lineRule="exact"/>
              <w:rPr>
                <w:sz w:val="20"/>
                <w:szCs w:val="20"/>
                <w:color w:val="auto"/>
              </w:rPr>
            </w:pPr>
            <w:r>
              <w:rPr>
                <w:rFonts w:ascii="Arial" w:cs="Arial" w:eastAsia="Arial" w:hAnsi="Arial"/>
                <w:sz w:val="14"/>
                <w:szCs w:val="14"/>
                <w:b w:val="1"/>
                <w:bCs w:val="1"/>
                <w:color w:val="auto"/>
              </w:rPr>
              <w:t>Oct. 30,</w:t>
            </w: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93"/>
              <w:spacing w:after="0" w:line="133" w:lineRule="exact"/>
              <w:rPr>
                <w:sz w:val="20"/>
                <w:szCs w:val="20"/>
                <w:color w:val="auto"/>
              </w:rPr>
            </w:pPr>
            <w:r>
              <w:rPr>
                <w:rFonts w:ascii="Arial" w:cs="Arial" w:eastAsia="Arial" w:hAnsi="Arial"/>
                <w:sz w:val="14"/>
                <w:szCs w:val="14"/>
                <w:b w:val="1"/>
                <w:bCs w:val="1"/>
                <w:color w:val="auto"/>
              </w:rPr>
              <w:t>Oct. 29,</w:t>
            </w:r>
          </w:p>
        </w:tc>
        <w:tc>
          <w:tcPr>
            <w:tcW w:w="3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2"/>
          </w:tcPr>
          <w:p>
            <w:pPr>
              <w:jc w:val="right"/>
              <w:ind w:right="360"/>
              <w:spacing w:after="0" w:line="133" w:lineRule="exact"/>
              <w:rPr>
                <w:sz w:val="20"/>
                <w:szCs w:val="20"/>
                <w:color w:val="auto"/>
              </w:rPr>
            </w:pPr>
            <w:r>
              <w:rPr>
                <w:rFonts w:ascii="Arial" w:cs="Arial" w:eastAsia="Arial" w:hAnsi="Arial"/>
                <w:sz w:val="14"/>
                <w:szCs w:val="14"/>
                <w:b w:val="1"/>
                <w:bCs w:val="1"/>
                <w:color w:val="auto"/>
                <w:w w:val="95"/>
              </w:rPr>
              <w:t>Nov. 3,</w:t>
            </w: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gridSpan w:val="2"/>
          </w:tcPr>
          <w:p>
            <w:pPr>
              <w:jc w:val="right"/>
              <w:ind w:right="280"/>
              <w:spacing w:after="0" w:line="133" w:lineRule="exact"/>
              <w:rPr>
                <w:sz w:val="20"/>
                <w:szCs w:val="20"/>
                <w:color w:val="auto"/>
              </w:rPr>
            </w:pPr>
            <w:r>
              <w:rPr>
                <w:rFonts w:ascii="Arial" w:cs="Arial" w:eastAsia="Arial" w:hAnsi="Arial"/>
                <w:sz w:val="14"/>
                <w:szCs w:val="14"/>
                <w:b w:val="1"/>
                <w:bCs w:val="1"/>
                <w:color w:val="auto"/>
                <w:w w:val="95"/>
              </w:rPr>
              <w:t>Nov. 2,</w:t>
            </w: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33"/>
              <w:spacing w:after="0" w:line="133" w:lineRule="exact"/>
              <w:rPr>
                <w:sz w:val="20"/>
                <w:szCs w:val="20"/>
                <w:color w:val="auto"/>
              </w:rPr>
            </w:pPr>
            <w:r>
              <w:rPr>
                <w:rFonts w:ascii="Arial" w:cs="Arial" w:eastAsia="Arial" w:hAnsi="Arial"/>
                <w:sz w:val="14"/>
                <w:szCs w:val="14"/>
                <w:b w:val="1"/>
                <w:bCs w:val="1"/>
                <w:color w:val="auto"/>
                <w:w w:val="95"/>
              </w:rPr>
              <w:t>Nov. 1,</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center"/>
              <w:ind w:right="16"/>
              <w:spacing w:after="0" w:line="133" w:lineRule="exact"/>
              <w:rPr>
                <w:sz w:val="20"/>
                <w:szCs w:val="20"/>
                <w:color w:val="auto"/>
              </w:rPr>
            </w:pPr>
            <w:r>
              <w:rPr>
                <w:rFonts w:ascii="Arial" w:cs="Arial" w:eastAsia="Arial" w:hAnsi="Arial"/>
                <w:sz w:val="14"/>
                <w:szCs w:val="14"/>
                <w:b w:val="1"/>
                <w:bCs w:val="1"/>
                <w:color w:val="auto"/>
                <w:w w:val="94"/>
              </w:rPr>
              <w:t>Aug. 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1640" w:type="dxa"/>
            <w:vAlign w:val="bottom"/>
            <w:tcBorders>
              <w:bottom w:val="single" w:sz="8" w:color="auto"/>
            </w:tcBorders>
            <w:vMerge w:val="continue"/>
          </w:tcPr>
          <w:p>
            <w:pPr>
              <w:spacing w:after="0"/>
              <w:rPr>
                <w:sz w:val="15"/>
                <w:szCs w:val="15"/>
                <w:color w:val="auto"/>
              </w:rPr>
            </w:pPr>
          </w:p>
        </w:tc>
        <w:tc>
          <w:tcPr>
            <w:tcW w:w="2020" w:type="dxa"/>
            <w:vAlign w:val="bottom"/>
            <w:vMerge w:val="continue"/>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113"/>
              <w:spacing w:after="0" w:line="158" w:lineRule="exact"/>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ind w:right="193"/>
              <w:spacing w:after="0" w:line="158" w:lineRule="exact"/>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ind w:right="113"/>
              <w:spacing w:after="0" w:line="158" w:lineRule="exact"/>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13"/>
              <w:spacing w:after="0" w:line="158"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13"/>
              <w:spacing w:after="0" w:line="158" w:lineRule="exact"/>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center"/>
              <w:ind w:right="16"/>
              <w:spacing w:after="0" w:line="158" w:lineRule="exact"/>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6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Determination of earnings:</w:t>
            </w:r>
          </w:p>
        </w:tc>
        <w:tc>
          <w:tcPr>
            <w:tcW w:w="18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640" w:type="dxa"/>
            <w:vAlign w:val="bottom"/>
            <w:gridSpan w:val="4"/>
          </w:tcPr>
          <w:p>
            <w:pPr>
              <w:ind w:left="360"/>
              <w:spacing w:after="0" w:line="201" w:lineRule="exact"/>
              <w:rPr>
                <w:sz w:val="20"/>
                <w:szCs w:val="20"/>
                <w:color w:val="auto"/>
              </w:rPr>
            </w:pPr>
            <w:r>
              <w:rPr>
                <w:rFonts w:ascii="Arial" w:cs="Arial" w:eastAsia="Arial" w:hAnsi="Arial"/>
                <w:sz w:val="18"/>
                <w:szCs w:val="18"/>
                <w:color w:val="auto"/>
              </w:rPr>
              <w:t>Income from continuing operations before provision for taxes on</w:t>
            </w: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60" w:type="dxa"/>
            <w:vAlign w:val="bottom"/>
            <w:gridSpan w:val="2"/>
          </w:tcPr>
          <w:p>
            <w:pPr>
              <w:ind w:left="540"/>
              <w:spacing w:after="0"/>
              <w:rPr>
                <w:sz w:val="20"/>
                <w:szCs w:val="20"/>
                <w:color w:val="auto"/>
              </w:rPr>
            </w:pPr>
            <w:r>
              <w:rPr>
                <w:rFonts w:ascii="Arial" w:cs="Arial" w:eastAsia="Arial" w:hAnsi="Arial"/>
                <w:sz w:val="18"/>
                <w:szCs w:val="18"/>
                <w:color w:val="auto"/>
              </w:rPr>
              <w:t>income</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901,665</w:t>
            </w:r>
          </w:p>
        </w:tc>
        <w:tc>
          <w:tcPr>
            <w:tcW w:w="260" w:type="dxa"/>
            <w:vAlign w:val="bottom"/>
          </w:tcPr>
          <w:p>
            <w:pPr>
              <w:spacing w:after="0"/>
              <w:rPr>
                <w:sz w:val="20"/>
                <w:szCs w:val="20"/>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1,061,447</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813,533</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815,323</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729,345</w:t>
            </w:r>
          </w:p>
        </w:tc>
        <w:tc>
          <w:tcPr>
            <w:tcW w:w="80" w:type="dxa"/>
            <w:vAlign w:val="bottom"/>
          </w:tcPr>
          <w:p>
            <w:pPr>
              <w:spacing w:after="0"/>
              <w:rPr>
                <w:sz w:val="20"/>
                <w:szCs w:val="20"/>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705,437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Amortization of Capitalized interest</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440</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tcPr>
          <w:p>
            <w:pPr>
              <w:ind w:left="360"/>
              <w:spacing w:after="0"/>
              <w:rPr>
                <w:sz w:val="20"/>
                <w:szCs w:val="20"/>
                <w:color w:val="auto"/>
              </w:rPr>
            </w:pPr>
            <w:r>
              <w:rPr>
                <w:rFonts w:ascii="Arial" w:cs="Arial" w:eastAsia="Arial" w:hAnsi="Arial"/>
                <w:sz w:val="18"/>
                <w:szCs w:val="18"/>
                <w:color w:val="auto"/>
              </w:rPr>
              <w:t>Fixed charges</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11,388</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19,892</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32,529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32,223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35,973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21,229</w:t>
            </w: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 earnings as defined</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913,493</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1,081,393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846,116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847,600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765,372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726,711</w:t>
            </w:r>
          </w:p>
        </w:tc>
        <w:tc>
          <w:tcPr>
            <w:tcW w:w="0" w:type="dxa"/>
            <w:vAlign w:val="bottom"/>
          </w:tcPr>
          <w:p>
            <w:pPr>
              <w:spacing w:after="0"/>
              <w:rPr>
                <w:sz w:val="1"/>
                <w:szCs w:val="1"/>
                <w:color w:val="auto"/>
              </w:rPr>
            </w:pPr>
          </w:p>
        </w:tc>
      </w:tr>
      <w:tr>
        <w:trPr>
          <w:trHeight w:val="20"/>
        </w:trPr>
        <w:tc>
          <w:tcPr>
            <w:tcW w:w="3660" w:type="dxa"/>
            <w:vAlign w:val="bottom"/>
            <w:gridSpan w:val="2"/>
            <w:vMerge w:val="restart"/>
          </w:tcPr>
          <w:p>
            <w:pPr>
              <w:spacing w:after="0"/>
              <w:rPr>
                <w:sz w:val="20"/>
                <w:szCs w:val="20"/>
                <w:color w:val="auto"/>
              </w:rPr>
            </w:pPr>
            <w:r>
              <w:rPr>
                <w:rFonts w:ascii="Arial" w:cs="Arial" w:eastAsia="Arial" w:hAnsi="Arial"/>
                <w:sz w:val="18"/>
                <w:szCs w:val="18"/>
                <w:color w:val="auto"/>
              </w:rPr>
              <w:t>Fixed Charges:</w:t>
            </w:r>
          </w:p>
        </w:tc>
        <w:tc>
          <w:tcPr>
            <w:tcW w:w="1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660" w:type="dxa"/>
            <w:vAlign w:val="bottom"/>
            <w:gridSpan w:val="2"/>
            <w:vMerge w:val="continue"/>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Interest and amortization expense</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10,226</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18,892</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31,525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31,585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35,055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20,593</w:t>
            </w:r>
          </w:p>
        </w:tc>
        <w:tc>
          <w:tcPr>
            <w:tcW w:w="0" w:type="dxa"/>
            <w:vAlign w:val="bottom"/>
          </w:tcPr>
          <w:p>
            <w:pPr>
              <w:spacing w:after="0"/>
              <w:rPr>
                <w:sz w:val="1"/>
                <w:szCs w:val="1"/>
                <w:color w:val="auto"/>
              </w:rPr>
            </w:pPr>
          </w:p>
        </w:tc>
      </w:tr>
      <w:tr>
        <w:trPr>
          <w:trHeight w:val="216"/>
        </w:trPr>
        <w:tc>
          <w:tcPr>
            <w:tcW w:w="3660" w:type="dxa"/>
            <w:vAlign w:val="bottom"/>
            <w:gridSpan w:val="2"/>
          </w:tcPr>
          <w:p>
            <w:pPr>
              <w:ind w:left="360"/>
              <w:spacing w:after="0"/>
              <w:rPr>
                <w:sz w:val="20"/>
                <w:szCs w:val="20"/>
                <w:color w:val="auto"/>
              </w:rPr>
            </w:pPr>
            <w:r>
              <w:rPr>
                <w:rFonts w:ascii="Arial" w:cs="Arial" w:eastAsia="Arial" w:hAnsi="Arial"/>
                <w:sz w:val="18"/>
                <w:szCs w:val="18"/>
                <w:color w:val="auto"/>
              </w:rPr>
              <w:t>Interest portion of rent expense</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1,162</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1,000</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1,004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638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918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Fixed charges</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19,892</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32,529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32,223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35,973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21,229</w:t>
            </w:r>
          </w:p>
        </w:tc>
        <w:tc>
          <w:tcPr>
            <w:tcW w:w="0" w:type="dxa"/>
            <w:vAlign w:val="bottom"/>
          </w:tcPr>
          <w:p>
            <w:pPr>
              <w:spacing w:after="0"/>
              <w:rPr>
                <w:sz w:val="1"/>
                <w:szCs w:val="1"/>
                <w:color w:val="auto"/>
              </w:rPr>
            </w:pPr>
          </w:p>
        </w:tc>
      </w:tr>
      <w:tr>
        <w:trPr>
          <w:trHeight w:val="216"/>
        </w:trPr>
        <w:tc>
          <w:tcPr>
            <w:tcW w:w="3660" w:type="dxa"/>
            <w:vAlign w:val="bottom"/>
            <w:gridSpan w:val="2"/>
          </w:tcPr>
          <w:p>
            <w:pPr>
              <w:ind w:left="360"/>
              <w:spacing w:after="0"/>
              <w:rPr>
                <w:sz w:val="20"/>
                <w:szCs w:val="20"/>
                <w:color w:val="auto"/>
              </w:rPr>
            </w:pPr>
            <w:r>
              <w:rPr>
                <w:rFonts w:ascii="Arial" w:cs="Arial" w:eastAsia="Arial" w:hAnsi="Arial"/>
                <w:sz w:val="18"/>
                <w:szCs w:val="18"/>
                <w:color w:val="auto"/>
              </w:rPr>
              <w:t>Capitalized interest</w:t>
            </w:r>
          </w:p>
        </w:tc>
        <w:tc>
          <w:tcPr>
            <w:tcW w:w="18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 fixed charges</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11,388</w:t>
            </w:r>
          </w:p>
        </w:tc>
        <w:tc>
          <w:tcPr>
            <w:tcW w:w="2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19,892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32,529</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32,223</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35,973</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21,229</w:t>
            </w:r>
          </w:p>
        </w:tc>
        <w:tc>
          <w:tcPr>
            <w:tcW w:w="0" w:type="dxa"/>
            <w:vAlign w:val="bottom"/>
          </w:tcPr>
          <w:p>
            <w:pPr>
              <w:spacing w:after="0"/>
              <w:rPr>
                <w:sz w:val="1"/>
                <w:szCs w:val="1"/>
                <w:color w:val="auto"/>
              </w:rPr>
            </w:pPr>
          </w:p>
        </w:tc>
      </w:tr>
      <w:tr>
        <w:trPr>
          <w:trHeight w:val="20"/>
        </w:trPr>
        <w:tc>
          <w:tcPr>
            <w:tcW w:w="3660" w:type="dxa"/>
            <w:vAlign w:val="bottom"/>
            <w:gridSpan w:val="2"/>
            <w:vMerge w:val="restart"/>
          </w:tcPr>
          <w:p>
            <w:pPr>
              <w:spacing w:after="0"/>
              <w:rPr>
                <w:sz w:val="20"/>
                <w:szCs w:val="20"/>
                <w:color w:val="auto"/>
              </w:rPr>
            </w:pPr>
            <w:r>
              <w:rPr>
                <w:rFonts w:ascii="Arial" w:cs="Arial" w:eastAsia="Arial" w:hAnsi="Arial"/>
                <w:sz w:val="18"/>
                <w:szCs w:val="18"/>
                <w:color w:val="auto"/>
              </w:rPr>
              <w:t>Ratio of earnings to fixed charges</w:t>
            </w:r>
          </w:p>
        </w:tc>
        <w:tc>
          <w:tcPr>
            <w:tcW w:w="1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660" w:type="dxa"/>
            <w:vAlign w:val="bottom"/>
            <w:gridSpan w:val="2"/>
            <w:vMerge w:val="continue"/>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80.2</w:t>
            </w:r>
          </w:p>
        </w:tc>
        <w:tc>
          <w:tcPr>
            <w:tcW w:w="20" w:type="dxa"/>
            <w:vAlign w:val="bottom"/>
            <w:tcBorders>
              <w:bottom w:val="single" w:sz="8" w:color="auto"/>
            </w:tcBorders>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54.4</w:t>
            </w:r>
          </w:p>
        </w:tc>
        <w:tc>
          <w:tcPr>
            <w:tcW w:w="3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26.0</w:t>
            </w:r>
          </w:p>
        </w:tc>
        <w:tc>
          <w:tcPr>
            <w:tcW w:w="2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26.3</w:t>
            </w:r>
          </w:p>
        </w:tc>
        <w:tc>
          <w:tcPr>
            <w:tcW w:w="1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21.3</w:t>
            </w:r>
          </w:p>
        </w:tc>
        <w:tc>
          <w:tcPr>
            <w:tcW w:w="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34.2</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1"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PUBLIC REGISTERED ACCOUNTING FIRM</w:t>
      </w:r>
    </w:p>
    <w:p>
      <w:pPr>
        <w:spacing w:after="0" w:line="229"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We consent to the reference to our firm under the caption “Experts” in this Registration Statement (Form S-3) and related Prospectus of Analog Devices, Inc. for the registration of debt securities and to the incorporation by reference therein of our reports dated December 10, 2014, with respect to the consolidated financial statements and schedule of Analog Devices, Inc., and the effectiveness of internal control over financial reporting of Analog Devices, Inc., included in its Annual Report (Form 10-K) for the year ended November 1, 2014, filed with the Securities and Exchange Commission.</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18, 2015</w:t>
      </w:r>
    </w:p>
    <w:p>
      <w:pPr>
        <w:sectPr>
          <w:pgSz w:w="11900" w:h="16838" w:orient="portrait"/>
          <w:cols w:equalWidth="0" w:num="1">
            <w:col w:w="11420"/>
          </w:cols>
          <w:pgMar w:left="240" w:top="121"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223520</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jc w:val="center"/>
        <w:ind w:left="260" w:right="2740"/>
        <w:spacing w:after="0" w:line="243" w:lineRule="auto"/>
        <w:rPr>
          <w:sz w:val="20"/>
          <w:szCs w:val="20"/>
          <w:color w:val="auto"/>
        </w:rPr>
      </w:pPr>
      <w:r>
        <w:rPr>
          <w:rFonts w:ascii="Arial" w:cs="Arial" w:eastAsia="Arial" w:hAnsi="Arial"/>
          <w:sz w:val="22"/>
          <w:szCs w:val="22"/>
          <w:b w:val="1"/>
          <w:bCs w:val="1"/>
          <w:color w:val="auto"/>
        </w:rPr>
        <w:t>STATEMENT OF ELIGIBILITY UNDER THE TRUST INDENTURE ACT OF 1939 OF A CORPORATION DESIGNATED TO ACT AS TRUSTEE</w:t>
      </w:r>
    </w:p>
    <w:p>
      <w:pPr>
        <w:spacing w:after="0" w:line="204" w:lineRule="exact"/>
        <w:rPr>
          <w:sz w:val="20"/>
          <w:szCs w:val="20"/>
          <w:color w:val="auto"/>
        </w:rPr>
      </w:pPr>
    </w:p>
    <w:p>
      <w:pPr>
        <w:ind w:left="460" w:right="560" w:hanging="452"/>
        <w:spacing w:after="0" w:line="256" w:lineRule="auto"/>
        <w:tabs>
          <w:tab w:leader="none" w:pos="460" w:val="left"/>
        </w:tabs>
        <w:numPr>
          <w:ilvl w:val="0"/>
          <w:numId w:val="26"/>
        </w:numPr>
        <w:rPr>
          <w:rFonts w:ascii="MS PGothic" w:cs="MS PGothic" w:eastAsia="MS PGothic" w:hAnsi="MS PGothic"/>
          <w:sz w:val="22"/>
          <w:szCs w:val="22"/>
          <w:color w:val="auto"/>
        </w:rPr>
      </w:pPr>
      <w:r>
        <w:rPr>
          <w:rFonts w:ascii="Arial" w:cs="Arial" w:eastAsia="Arial" w:hAnsi="Arial"/>
          <w:sz w:val="22"/>
          <w:szCs w:val="22"/>
          <w:b w:val="1"/>
          <w:bCs w:val="1"/>
          <w:color w:val="auto"/>
        </w:rPr>
        <w:t>CHECK IF AN APPLICATION TO DETERMINE ELIGIBILITY OF A TRUSTEE PURSUANT TO SECTION 305(b)(2)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206375</wp:posOffset>
            </wp:positionV>
            <wp:extent cx="151765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jc w:val="center"/>
        <w:ind w:right="20"/>
        <w:spacing w:after="0"/>
        <w:rPr>
          <w:sz w:val="20"/>
          <w:szCs w:val="20"/>
          <w:color w:val="auto"/>
        </w:rPr>
      </w:pPr>
      <w:r>
        <w:rPr>
          <w:rFonts w:ascii="Arial" w:cs="Arial" w:eastAsia="Arial" w:hAnsi="Arial"/>
          <w:sz w:val="43"/>
          <w:szCs w:val="43"/>
          <w:b w:val="1"/>
          <w:bCs w:val="1"/>
          <w:color w:val="auto"/>
        </w:rPr>
        <w:t>THE BANK OF NEW YORK MELLON</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TRUST COMPANY, N.A.</w:t>
      </w:r>
    </w:p>
    <w:tbl>
      <w:tblPr>
        <w:tblLayout w:type="fixed"/>
        <w:tblInd w:w="1700" w:type="dxa"/>
        <w:tblCellMar>
          <w:top w:w="0" w:type="dxa"/>
          <w:left w:w="0" w:type="dxa"/>
          <w:bottom w:w="0" w:type="dxa"/>
          <w:right w:w="0" w:type="dxa"/>
        </w:tblCellMar>
      </w:tblPr>
      <w:tr>
        <w:trPr>
          <w:trHeight w:val="234"/>
        </w:trPr>
        <w:tc>
          <w:tcPr>
            <w:tcW w:w="6140" w:type="dxa"/>
            <w:vAlign w:val="bottom"/>
            <w:gridSpan w:val="3"/>
          </w:tcPr>
          <w:p>
            <w:pPr>
              <w:jc w:val="center"/>
              <w:ind w:left="1790"/>
              <w:spacing w:after="0"/>
              <w:rPr>
                <w:sz w:val="20"/>
                <w:szCs w:val="20"/>
                <w:color w:val="auto"/>
              </w:rPr>
            </w:pPr>
            <w:r>
              <w:rPr>
                <w:rFonts w:ascii="Arial" w:cs="Arial" w:eastAsia="Arial" w:hAnsi="Arial"/>
                <w:sz w:val="18"/>
                <w:szCs w:val="18"/>
                <w:b w:val="1"/>
                <w:bCs w:val="1"/>
                <w:color w:val="auto"/>
                <w:w w:val="89"/>
              </w:rPr>
              <w:t>(Exact name of trustee as specified in its charter)</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5"/>
        </w:trPr>
        <w:tc>
          <w:tcPr>
            <w:tcW w:w="282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940" w:type="dxa"/>
            <w:vAlign w:val="bottom"/>
          </w:tcPr>
          <w:p>
            <w:pPr>
              <w:spacing w:after="0"/>
              <w:rPr>
                <w:sz w:val="24"/>
                <w:szCs w:val="24"/>
                <w:color w:val="auto"/>
              </w:rPr>
            </w:pPr>
          </w:p>
        </w:tc>
        <w:tc>
          <w:tcPr>
            <w:tcW w:w="1360" w:type="dxa"/>
            <w:vAlign w:val="bottom"/>
            <w:vMerge w:val="restart"/>
          </w:tcPr>
          <w:p>
            <w:pPr>
              <w:jc w:val="center"/>
              <w:ind w:left="181"/>
              <w:spacing w:after="0"/>
              <w:rPr>
                <w:sz w:val="20"/>
                <w:szCs w:val="20"/>
                <w:color w:val="auto"/>
              </w:rPr>
            </w:pPr>
            <w:r>
              <w:rPr>
                <w:rFonts w:ascii="Arial" w:cs="Arial" w:eastAsia="Arial" w:hAnsi="Arial"/>
                <w:sz w:val="18"/>
                <w:szCs w:val="18"/>
                <w:b w:val="1"/>
                <w:bCs w:val="1"/>
                <w:color w:val="auto"/>
                <w:w w:val="89"/>
              </w:rPr>
              <w:t>95-3571558</w:t>
            </w:r>
          </w:p>
        </w:tc>
        <w:tc>
          <w:tcPr>
            <w:tcW w:w="0" w:type="dxa"/>
            <w:vAlign w:val="bottom"/>
          </w:tcPr>
          <w:p>
            <w:pPr>
              <w:spacing w:after="0"/>
              <w:rPr>
                <w:sz w:val="1"/>
                <w:szCs w:val="1"/>
                <w:color w:val="auto"/>
              </w:rPr>
            </w:pPr>
          </w:p>
        </w:tc>
      </w:tr>
      <w:tr>
        <w:trPr>
          <w:trHeight w:val="457"/>
        </w:trPr>
        <w:tc>
          <w:tcPr>
            <w:tcW w:w="28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6140" w:type="dxa"/>
            <w:vAlign w:val="bottom"/>
            <w:gridSpan w:val="3"/>
          </w:tcPr>
          <w:p>
            <w:pPr>
              <w:jc w:val="center"/>
              <w:ind w:right="3760"/>
              <w:spacing w:after="0" w:line="149" w:lineRule="exact"/>
              <w:rPr>
                <w:sz w:val="20"/>
                <w:szCs w:val="20"/>
                <w:color w:val="auto"/>
              </w:rPr>
            </w:pPr>
            <w:r>
              <w:rPr>
                <w:rFonts w:ascii="Arial" w:cs="Arial" w:eastAsia="Arial" w:hAnsi="Arial"/>
                <w:sz w:val="14"/>
                <w:szCs w:val="14"/>
                <w:b w:val="1"/>
                <w:bCs w:val="1"/>
                <w:color w:val="auto"/>
                <w:w w:val="93"/>
              </w:rPr>
              <w:t>(Jurisdiction of incorporation</w:t>
            </w:r>
          </w:p>
        </w:tc>
        <w:tc>
          <w:tcPr>
            <w:tcW w:w="1360" w:type="dxa"/>
            <w:vAlign w:val="bottom"/>
          </w:tcPr>
          <w:p>
            <w:pPr>
              <w:jc w:val="center"/>
              <w:ind w:left="181"/>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6140" w:type="dxa"/>
            <w:vAlign w:val="bottom"/>
            <w:gridSpan w:val="3"/>
          </w:tcPr>
          <w:p>
            <w:pPr>
              <w:jc w:val="center"/>
              <w:ind w:right="3760"/>
              <w:spacing w:after="0"/>
              <w:rPr>
                <w:sz w:val="20"/>
                <w:szCs w:val="20"/>
                <w:color w:val="auto"/>
              </w:rPr>
            </w:pPr>
            <w:r>
              <w:rPr>
                <w:rFonts w:ascii="Arial" w:cs="Arial" w:eastAsia="Arial" w:hAnsi="Arial"/>
                <w:sz w:val="14"/>
                <w:szCs w:val="14"/>
                <w:b w:val="1"/>
                <w:bCs w:val="1"/>
                <w:color w:val="auto"/>
                <w:w w:val="94"/>
              </w:rPr>
              <w:t>if not a U.S. national bank)</w:t>
            </w:r>
          </w:p>
        </w:tc>
        <w:tc>
          <w:tcPr>
            <w:tcW w:w="1360" w:type="dxa"/>
            <w:vAlign w:val="bottom"/>
          </w:tcPr>
          <w:p>
            <w:pPr>
              <w:jc w:val="center"/>
              <w:ind w:left="181"/>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412"/>
        </w:trPr>
        <w:tc>
          <w:tcPr>
            <w:tcW w:w="6140" w:type="dxa"/>
            <w:vAlign w:val="bottom"/>
            <w:gridSpan w:val="3"/>
          </w:tcPr>
          <w:p>
            <w:pPr>
              <w:jc w:val="center"/>
              <w:ind w:right="3740"/>
              <w:spacing w:after="0"/>
              <w:rPr>
                <w:sz w:val="20"/>
                <w:szCs w:val="20"/>
                <w:color w:val="auto"/>
              </w:rPr>
            </w:pPr>
            <w:r>
              <w:rPr>
                <w:rFonts w:ascii="Arial" w:cs="Arial" w:eastAsia="Arial" w:hAnsi="Arial"/>
                <w:sz w:val="18"/>
                <w:szCs w:val="18"/>
                <w:b w:val="1"/>
                <w:bCs w:val="1"/>
                <w:color w:val="auto"/>
                <w:w w:val="89"/>
              </w:rPr>
              <w:t>400 South Hope Street</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140" w:type="dxa"/>
            <w:vAlign w:val="bottom"/>
            <w:gridSpan w:val="3"/>
          </w:tcPr>
          <w:p>
            <w:pPr>
              <w:jc w:val="center"/>
              <w:ind w:right="3760"/>
              <w:spacing w:after="0"/>
              <w:rPr>
                <w:sz w:val="20"/>
                <w:szCs w:val="20"/>
                <w:color w:val="auto"/>
              </w:rPr>
            </w:pPr>
            <w:r>
              <w:rPr>
                <w:rFonts w:ascii="Arial" w:cs="Arial" w:eastAsia="Arial" w:hAnsi="Arial"/>
                <w:sz w:val="18"/>
                <w:szCs w:val="18"/>
                <w:b w:val="1"/>
                <w:bCs w:val="1"/>
                <w:color w:val="auto"/>
                <w:w w:val="88"/>
              </w:rPr>
              <w:t>Suite 400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140" w:type="dxa"/>
            <w:vAlign w:val="bottom"/>
            <w:gridSpan w:val="3"/>
          </w:tcPr>
          <w:p>
            <w:pPr>
              <w:jc w:val="center"/>
              <w:ind w:right="3760"/>
              <w:spacing w:after="0"/>
              <w:rPr>
                <w:sz w:val="20"/>
                <w:szCs w:val="20"/>
                <w:color w:val="auto"/>
              </w:rPr>
            </w:pPr>
            <w:r>
              <w:rPr>
                <w:rFonts w:ascii="Arial" w:cs="Arial" w:eastAsia="Arial" w:hAnsi="Arial"/>
                <w:sz w:val="18"/>
                <w:szCs w:val="18"/>
                <w:b w:val="1"/>
                <w:bCs w:val="1"/>
                <w:color w:val="auto"/>
                <w:w w:val="90"/>
              </w:rPr>
              <w:t>Los Angeles, California</w:t>
            </w:r>
          </w:p>
        </w:tc>
        <w:tc>
          <w:tcPr>
            <w:tcW w:w="1360" w:type="dxa"/>
            <w:vAlign w:val="bottom"/>
          </w:tcPr>
          <w:p>
            <w:pPr>
              <w:jc w:val="center"/>
              <w:ind w:left="181"/>
              <w:spacing w:after="0"/>
              <w:rPr>
                <w:sz w:val="20"/>
                <w:szCs w:val="20"/>
                <w:color w:val="auto"/>
              </w:rPr>
            </w:pPr>
            <w:r>
              <w:rPr>
                <w:rFonts w:ascii="Arial" w:cs="Arial" w:eastAsia="Arial" w:hAnsi="Arial"/>
                <w:sz w:val="18"/>
                <w:szCs w:val="18"/>
                <w:b w:val="1"/>
                <w:bCs w:val="1"/>
                <w:color w:val="auto"/>
                <w:w w:val="91"/>
              </w:rPr>
              <w:t>90071</w:t>
            </w:r>
          </w:p>
        </w:tc>
        <w:tc>
          <w:tcPr>
            <w:tcW w:w="0" w:type="dxa"/>
            <w:vAlign w:val="bottom"/>
          </w:tcPr>
          <w:p>
            <w:pPr>
              <w:spacing w:after="0"/>
              <w:rPr>
                <w:sz w:val="1"/>
                <w:szCs w:val="1"/>
                <w:color w:val="auto"/>
              </w:rPr>
            </w:pPr>
          </w:p>
        </w:tc>
      </w:tr>
      <w:tr>
        <w:trPr>
          <w:trHeight w:val="186"/>
        </w:trPr>
        <w:tc>
          <w:tcPr>
            <w:tcW w:w="6140" w:type="dxa"/>
            <w:vAlign w:val="bottom"/>
            <w:gridSpan w:val="3"/>
          </w:tcPr>
          <w:p>
            <w:pPr>
              <w:jc w:val="center"/>
              <w:ind w:right="376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360" w:type="dxa"/>
            <w:vAlign w:val="bottom"/>
          </w:tcPr>
          <w:p>
            <w:pPr>
              <w:jc w:val="center"/>
              <w:ind w:left="181"/>
              <w:spacing w:after="0"/>
              <w:rPr>
                <w:sz w:val="20"/>
                <w:szCs w:val="20"/>
                <w:color w:val="auto"/>
              </w:rPr>
            </w:pPr>
            <w:r>
              <w:rPr>
                <w:rFonts w:ascii="Arial" w:cs="Arial" w:eastAsia="Arial" w:hAnsi="Arial"/>
                <w:sz w:val="14"/>
                <w:szCs w:val="14"/>
                <w:b w:val="1"/>
                <w:bCs w:val="1"/>
                <w:color w:val="auto"/>
                <w:w w:val="92"/>
              </w:rPr>
              <w:t>(Zip code)</w:t>
            </w:r>
          </w:p>
        </w:tc>
        <w:tc>
          <w:tcPr>
            <w:tcW w:w="0" w:type="dxa"/>
            <w:vAlign w:val="bottom"/>
          </w:tcPr>
          <w:p>
            <w:pPr>
              <w:spacing w:after="0"/>
              <w:rPr>
                <w:sz w:val="1"/>
                <w:szCs w:val="1"/>
                <w:color w:val="auto"/>
              </w:rPr>
            </w:pPr>
          </w:p>
        </w:tc>
      </w:tr>
      <w:tr>
        <w:trPr>
          <w:trHeight w:val="350"/>
        </w:trPr>
        <w:tc>
          <w:tcPr>
            <w:tcW w:w="282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23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687"/>
        </w:trPr>
        <w:tc>
          <w:tcPr>
            <w:tcW w:w="7500" w:type="dxa"/>
            <w:vAlign w:val="bottom"/>
            <w:gridSpan w:val="4"/>
          </w:tcPr>
          <w:p>
            <w:pPr>
              <w:jc w:val="center"/>
              <w:ind w:left="450"/>
              <w:spacing w:after="0"/>
              <w:rPr>
                <w:sz w:val="20"/>
                <w:szCs w:val="20"/>
                <w:color w:val="auto"/>
              </w:rPr>
            </w:pPr>
            <w:r>
              <w:rPr>
                <w:rFonts w:ascii="Arial" w:cs="Arial" w:eastAsia="Arial" w:hAnsi="Arial"/>
                <w:sz w:val="43"/>
                <w:szCs w:val="43"/>
                <w:b w:val="1"/>
                <w:bCs w:val="1"/>
                <w:color w:val="auto"/>
              </w:rPr>
              <w:t>ANALOG DEVICES, INC.</w:t>
            </w:r>
          </w:p>
        </w:tc>
        <w:tc>
          <w:tcPr>
            <w:tcW w:w="0" w:type="dxa"/>
            <w:vAlign w:val="bottom"/>
          </w:tcPr>
          <w:p>
            <w:pPr>
              <w:spacing w:after="0"/>
              <w:rPr>
                <w:sz w:val="1"/>
                <w:szCs w:val="1"/>
                <w:color w:val="auto"/>
              </w:rPr>
            </w:pPr>
          </w:p>
        </w:tc>
      </w:tr>
      <w:tr>
        <w:trPr>
          <w:trHeight w:val="186"/>
        </w:trPr>
        <w:tc>
          <w:tcPr>
            <w:tcW w:w="6140" w:type="dxa"/>
            <w:vAlign w:val="bottom"/>
            <w:gridSpan w:val="3"/>
          </w:tcPr>
          <w:p>
            <w:pPr>
              <w:jc w:val="center"/>
              <w:ind w:left="1790"/>
              <w:spacing w:after="0"/>
              <w:rPr>
                <w:sz w:val="20"/>
                <w:szCs w:val="20"/>
                <w:color w:val="auto"/>
              </w:rPr>
            </w:pPr>
            <w:r>
              <w:rPr>
                <w:rFonts w:ascii="Arial" w:cs="Arial" w:eastAsia="Arial" w:hAnsi="Arial"/>
                <w:sz w:val="14"/>
                <w:szCs w:val="14"/>
                <w:b w:val="1"/>
                <w:bCs w:val="1"/>
                <w:color w:val="auto"/>
                <w:w w:val="92"/>
              </w:rPr>
              <w:t>(Exact name of obligor as specified in its charter)</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6"/>
        </w:trPr>
        <w:tc>
          <w:tcPr>
            <w:tcW w:w="282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9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0"/>
        </w:trPr>
        <w:tc>
          <w:tcPr>
            <w:tcW w:w="6140" w:type="dxa"/>
            <w:vAlign w:val="bottom"/>
            <w:gridSpan w:val="3"/>
          </w:tcPr>
          <w:p>
            <w:pPr>
              <w:jc w:val="center"/>
              <w:ind w:right="3760"/>
              <w:spacing w:after="0"/>
              <w:rPr>
                <w:sz w:val="20"/>
                <w:szCs w:val="20"/>
                <w:color w:val="auto"/>
              </w:rPr>
            </w:pPr>
            <w:r>
              <w:rPr>
                <w:rFonts w:ascii="Arial" w:cs="Arial" w:eastAsia="Arial" w:hAnsi="Arial"/>
                <w:sz w:val="18"/>
                <w:szCs w:val="18"/>
                <w:b w:val="1"/>
                <w:bCs w:val="1"/>
                <w:color w:val="auto"/>
                <w:w w:val="85"/>
              </w:rPr>
              <w:t>Massachusetts</w:t>
            </w:r>
          </w:p>
        </w:tc>
        <w:tc>
          <w:tcPr>
            <w:tcW w:w="1360" w:type="dxa"/>
            <w:vAlign w:val="bottom"/>
          </w:tcPr>
          <w:p>
            <w:pPr>
              <w:jc w:val="center"/>
              <w:ind w:left="181"/>
              <w:spacing w:after="0"/>
              <w:rPr>
                <w:sz w:val="20"/>
                <w:szCs w:val="20"/>
                <w:color w:val="auto"/>
              </w:rPr>
            </w:pPr>
            <w:r>
              <w:rPr>
                <w:rFonts w:ascii="Arial" w:cs="Arial" w:eastAsia="Arial" w:hAnsi="Arial"/>
                <w:sz w:val="18"/>
                <w:szCs w:val="18"/>
                <w:b w:val="1"/>
                <w:bCs w:val="1"/>
                <w:color w:val="auto"/>
                <w:w w:val="89"/>
              </w:rPr>
              <w:t>04-2348234</w:t>
            </w:r>
          </w:p>
        </w:tc>
        <w:tc>
          <w:tcPr>
            <w:tcW w:w="0" w:type="dxa"/>
            <w:vAlign w:val="bottom"/>
          </w:tcPr>
          <w:p>
            <w:pPr>
              <w:spacing w:after="0"/>
              <w:rPr>
                <w:sz w:val="1"/>
                <w:szCs w:val="1"/>
                <w:color w:val="auto"/>
              </w:rPr>
            </w:pPr>
          </w:p>
        </w:tc>
      </w:tr>
      <w:tr>
        <w:trPr>
          <w:trHeight w:val="149"/>
        </w:trPr>
        <w:tc>
          <w:tcPr>
            <w:tcW w:w="6140" w:type="dxa"/>
            <w:vAlign w:val="bottom"/>
            <w:gridSpan w:val="3"/>
          </w:tcPr>
          <w:p>
            <w:pPr>
              <w:jc w:val="center"/>
              <w:ind w:right="374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360" w:type="dxa"/>
            <w:vAlign w:val="bottom"/>
          </w:tcPr>
          <w:p>
            <w:pPr>
              <w:jc w:val="center"/>
              <w:ind w:left="181"/>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6140" w:type="dxa"/>
            <w:vAlign w:val="bottom"/>
            <w:gridSpan w:val="3"/>
          </w:tcPr>
          <w:p>
            <w:pPr>
              <w:jc w:val="center"/>
              <w:ind w:right="3740"/>
              <w:spacing w:after="0"/>
              <w:rPr>
                <w:sz w:val="20"/>
                <w:szCs w:val="20"/>
                <w:color w:val="auto"/>
              </w:rPr>
            </w:pPr>
            <w:r>
              <w:rPr>
                <w:rFonts w:ascii="Arial" w:cs="Arial" w:eastAsia="Arial" w:hAnsi="Arial"/>
                <w:sz w:val="14"/>
                <w:szCs w:val="14"/>
                <w:b w:val="1"/>
                <w:bCs w:val="1"/>
                <w:color w:val="auto"/>
                <w:w w:val="94"/>
              </w:rPr>
              <w:t>incorporation or organization)</w:t>
            </w:r>
          </w:p>
        </w:tc>
        <w:tc>
          <w:tcPr>
            <w:tcW w:w="1360" w:type="dxa"/>
            <w:vAlign w:val="bottom"/>
          </w:tcPr>
          <w:p>
            <w:pPr>
              <w:jc w:val="center"/>
              <w:ind w:left="181"/>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412"/>
        </w:trPr>
        <w:tc>
          <w:tcPr>
            <w:tcW w:w="6140" w:type="dxa"/>
            <w:vAlign w:val="bottom"/>
            <w:gridSpan w:val="3"/>
          </w:tcPr>
          <w:p>
            <w:pPr>
              <w:jc w:val="center"/>
              <w:ind w:right="3760"/>
              <w:spacing w:after="0"/>
              <w:rPr>
                <w:sz w:val="20"/>
                <w:szCs w:val="20"/>
                <w:color w:val="auto"/>
              </w:rPr>
            </w:pPr>
            <w:r>
              <w:rPr>
                <w:rFonts w:ascii="Arial" w:cs="Arial" w:eastAsia="Arial" w:hAnsi="Arial"/>
                <w:sz w:val="18"/>
                <w:szCs w:val="18"/>
                <w:b w:val="1"/>
                <w:bCs w:val="1"/>
                <w:color w:val="auto"/>
                <w:w w:val="88"/>
              </w:rPr>
              <w:t>One Technology Way</w:t>
            </w:r>
          </w:p>
        </w:tc>
        <w:tc>
          <w:tcPr>
            <w:tcW w:w="1360" w:type="dxa"/>
            <w:vAlign w:val="bottom"/>
          </w:tcPr>
          <w:p>
            <w:pPr>
              <w:jc w:val="center"/>
              <w:ind w:left="181"/>
              <w:spacing w:after="0"/>
              <w:rPr>
                <w:sz w:val="20"/>
                <w:szCs w:val="20"/>
                <w:color w:val="auto"/>
              </w:rPr>
            </w:pPr>
            <w:r>
              <w:rPr>
                <w:rFonts w:ascii="Arial" w:cs="Arial" w:eastAsia="Arial" w:hAnsi="Arial"/>
                <w:sz w:val="18"/>
                <w:szCs w:val="18"/>
                <w:b w:val="1"/>
                <w:bCs w:val="1"/>
                <w:color w:val="auto"/>
                <w:w w:val="89"/>
              </w:rPr>
              <w:t>02062-9106</w:t>
            </w:r>
          </w:p>
        </w:tc>
        <w:tc>
          <w:tcPr>
            <w:tcW w:w="0" w:type="dxa"/>
            <w:vAlign w:val="bottom"/>
          </w:tcPr>
          <w:p>
            <w:pPr>
              <w:spacing w:after="0"/>
              <w:rPr>
                <w:sz w:val="1"/>
                <w:szCs w:val="1"/>
                <w:color w:val="auto"/>
              </w:rPr>
            </w:pPr>
          </w:p>
        </w:tc>
      </w:tr>
      <w:tr>
        <w:trPr>
          <w:trHeight w:val="225"/>
        </w:trPr>
        <w:tc>
          <w:tcPr>
            <w:tcW w:w="6140" w:type="dxa"/>
            <w:vAlign w:val="bottom"/>
            <w:gridSpan w:val="3"/>
          </w:tcPr>
          <w:p>
            <w:pPr>
              <w:jc w:val="center"/>
              <w:ind w:right="3760"/>
              <w:spacing w:after="0"/>
              <w:rPr>
                <w:sz w:val="20"/>
                <w:szCs w:val="20"/>
                <w:color w:val="auto"/>
              </w:rPr>
            </w:pPr>
            <w:r>
              <w:rPr>
                <w:rFonts w:ascii="Arial" w:cs="Arial" w:eastAsia="Arial" w:hAnsi="Arial"/>
                <w:sz w:val="18"/>
                <w:szCs w:val="18"/>
                <w:b w:val="1"/>
                <w:bCs w:val="1"/>
                <w:color w:val="auto"/>
                <w:w w:val="87"/>
              </w:rPr>
              <w:t>Norwood, Massachusetts</w:t>
            </w: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6140" w:type="dxa"/>
            <w:vAlign w:val="bottom"/>
            <w:gridSpan w:val="3"/>
          </w:tcPr>
          <w:p>
            <w:pPr>
              <w:jc w:val="center"/>
              <w:ind w:right="376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360" w:type="dxa"/>
            <w:vAlign w:val="bottom"/>
          </w:tcPr>
          <w:p>
            <w:pPr>
              <w:jc w:val="center"/>
              <w:ind w:left="181"/>
              <w:spacing w:after="0"/>
              <w:rPr>
                <w:sz w:val="20"/>
                <w:szCs w:val="20"/>
                <w:color w:val="auto"/>
              </w:rPr>
            </w:pPr>
            <w:r>
              <w:rPr>
                <w:rFonts w:ascii="Arial" w:cs="Arial" w:eastAsia="Arial" w:hAnsi="Arial"/>
                <w:sz w:val="14"/>
                <w:szCs w:val="14"/>
                <w:b w:val="1"/>
                <w:bCs w:val="1"/>
                <w:color w:val="auto"/>
                <w:w w:val="92"/>
              </w:rPr>
              <w:t>(Zip code)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213360</wp:posOffset>
            </wp:positionV>
            <wp:extent cx="151765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 Securities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(Title of the indenture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184785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8" w:name="page39"/>
    <w:bookmarkEnd w:id="38"/>
    <w:p>
      <w:pPr>
        <w:ind w:left="452" w:hanging="452"/>
        <w:spacing w:after="0"/>
        <w:tabs>
          <w:tab w:leader="none" w:pos="452"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General information. Furnish the following information as to the trustee:</w:t>
      </w:r>
    </w:p>
    <w:p>
      <w:pPr>
        <w:spacing w:after="0" w:line="130" w:lineRule="exact"/>
        <w:rPr>
          <w:rFonts w:ascii="Arial" w:cs="Arial" w:eastAsia="Arial" w:hAnsi="Arial"/>
          <w:sz w:val="18"/>
          <w:szCs w:val="18"/>
          <w:b w:val="1"/>
          <w:bCs w:val="1"/>
          <w:color w:val="auto"/>
        </w:rPr>
      </w:pPr>
    </w:p>
    <w:p>
      <w:pPr>
        <w:ind w:left="892" w:hanging="446"/>
        <w:spacing w:after="0"/>
        <w:tabs>
          <w:tab w:leader="none" w:pos="892" w:val="left"/>
        </w:tabs>
        <w:numPr>
          <w:ilvl w:val="1"/>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Name and address of each examining or supervising authority to which it is subject.</w:t>
      </w:r>
    </w:p>
    <w:p>
      <w:pPr>
        <w:spacing w:after="0" w:line="252" w:lineRule="exact"/>
        <w:rPr>
          <w:sz w:val="20"/>
          <w:szCs w:val="20"/>
          <w:color w:val="auto"/>
        </w:rPr>
      </w:pPr>
    </w:p>
    <w:tbl>
      <w:tblPr>
        <w:tblLayout w:type="fixed"/>
        <w:tblInd w:w="452" w:type="dxa"/>
        <w:tblCellMar>
          <w:top w:w="0" w:type="dxa"/>
          <w:left w:w="0" w:type="dxa"/>
          <w:bottom w:w="0" w:type="dxa"/>
          <w:right w:w="0" w:type="dxa"/>
        </w:tblCellMar>
      </w:tblPr>
      <w:tr>
        <w:trPr>
          <w:trHeight w:val="167"/>
        </w:trPr>
        <w:tc>
          <w:tcPr>
            <w:tcW w:w="46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Arial" w:cs="Arial" w:eastAsia="Arial" w:hAnsi="Arial"/>
                <w:sz w:val="14"/>
                <w:szCs w:val="14"/>
                <w:color w:val="auto"/>
                <w:w w:val="90"/>
              </w:rPr>
              <w:t>Name</w:t>
            </w:r>
          </w:p>
        </w:tc>
        <w:tc>
          <w:tcPr>
            <w:tcW w:w="4380" w:type="dxa"/>
            <w:vAlign w:val="bottom"/>
          </w:tcPr>
          <w:p>
            <w:pPr>
              <w:spacing w:after="0"/>
              <w:rPr>
                <w:sz w:val="14"/>
                <w:szCs w:val="14"/>
                <w:color w:val="auto"/>
              </w:rPr>
            </w:pPr>
          </w:p>
        </w:tc>
        <w:tc>
          <w:tcPr>
            <w:tcW w:w="2040" w:type="dxa"/>
            <w:vAlign w:val="bottom"/>
            <w:gridSpan w:val="3"/>
          </w:tcPr>
          <w:p>
            <w:pPr>
              <w:ind w:left="780"/>
              <w:spacing w:after="0"/>
              <w:rPr>
                <w:sz w:val="20"/>
                <w:szCs w:val="20"/>
                <w:color w:val="auto"/>
              </w:rPr>
            </w:pPr>
            <w:r>
              <w:rPr>
                <w:rFonts w:ascii="Arial" w:cs="Arial" w:eastAsia="Arial" w:hAnsi="Arial"/>
                <w:sz w:val="14"/>
                <w:szCs w:val="14"/>
                <w:color w:val="auto"/>
              </w:rPr>
              <w:t>Address</w:t>
            </w:r>
          </w:p>
        </w:tc>
      </w:tr>
      <w:tr>
        <w:trPr>
          <w:trHeight w:val="20"/>
        </w:trPr>
        <w:tc>
          <w:tcPr>
            <w:tcW w:w="4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5"/>
        </w:trPr>
        <w:tc>
          <w:tcPr>
            <w:tcW w:w="460" w:type="dxa"/>
            <w:vAlign w:val="bottom"/>
          </w:tcPr>
          <w:p>
            <w:pPr>
              <w:spacing w:after="0"/>
              <w:rPr>
                <w:sz w:val="16"/>
                <w:szCs w:val="16"/>
                <w:color w:val="auto"/>
              </w:rPr>
            </w:pPr>
          </w:p>
        </w:tc>
        <w:tc>
          <w:tcPr>
            <w:tcW w:w="4740" w:type="dxa"/>
            <w:vAlign w:val="bottom"/>
            <w:gridSpan w:val="2"/>
          </w:tcPr>
          <w:p>
            <w:pPr>
              <w:spacing w:after="0" w:line="195" w:lineRule="exact"/>
              <w:rPr>
                <w:sz w:val="20"/>
                <w:szCs w:val="20"/>
                <w:color w:val="auto"/>
              </w:rPr>
            </w:pPr>
            <w:r>
              <w:rPr>
                <w:rFonts w:ascii="Arial" w:cs="Arial" w:eastAsia="Arial" w:hAnsi="Arial"/>
                <w:sz w:val="18"/>
                <w:szCs w:val="18"/>
                <w:color w:val="auto"/>
              </w:rPr>
              <w:t>Comptroller of the Currency</w:t>
            </w:r>
          </w:p>
        </w:tc>
        <w:tc>
          <w:tcPr>
            <w:tcW w:w="2040" w:type="dxa"/>
            <w:vAlign w:val="bottom"/>
            <w:gridSpan w:val="3"/>
          </w:tcPr>
          <w:p>
            <w:pPr>
              <w:ind w:left="200"/>
              <w:spacing w:after="0" w:line="195" w:lineRule="exact"/>
              <w:rPr>
                <w:sz w:val="20"/>
                <w:szCs w:val="20"/>
                <w:color w:val="auto"/>
              </w:rPr>
            </w:pPr>
            <w:r>
              <w:rPr>
                <w:rFonts w:ascii="Arial" w:cs="Arial" w:eastAsia="Arial" w:hAnsi="Arial"/>
                <w:sz w:val="18"/>
                <w:szCs w:val="18"/>
                <w:color w:val="auto"/>
                <w:w w:val="97"/>
              </w:rPr>
              <w:t>Washington, DC 20219</w:t>
            </w:r>
          </w:p>
        </w:tc>
      </w:tr>
      <w:tr>
        <w:trPr>
          <w:trHeight w:val="230"/>
        </w:trPr>
        <w:tc>
          <w:tcPr>
            <w:tcW w:w="460" w:type="dxa"/>
            <w:vAlign w:val="bottom"/>
          </w:tcPr>
          <w:p>
            <w:pPr>
              <w:spacing w:after="0"/>
              <w:rPr>
                <w:sz w:val="20"/>
                <w:szCs w:val="20"/>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United States Department of the Treasury</w:t>
            </w:r>
          </w:p>
        </w:tc>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24"/>
        </w:trPr>
        <w:tc>
          <w:tcPr>
            <w:tcW w:w="460" w:type="dxa"/>
            <w:vAlign w:val="bottom"/>
          </w:tcPr>
          <w:p>
            <w:pPr>
              <w:spacing w:after="0"/>
              <w:rPr>
                <w:sz w:val="24"/>
                <w:szCs w:val="24"/>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Federal Reserve Bank</w:t>
            </w:r>
          </w:p>
        </w:tc>
        <w:tc>
          <w:tcPr>
            <w:tcW w:w="2040" w:type="dxa"/>
            <w:vAlign w:val="bottom"/>
            <w:gridSpan w:val="3"/>
          </w:tcPr>
          <w:p>
            <w:pPr>
              <w:ind w:left="200"/>
              <w:spacing w:after="0"/>
              <w:rPr>
                <w:sz w:val="20"/>
                <w:szCs w:val="20"/>
                <w:color w:val="auto"/>
              </w:rPr>
            </w:pPr>
            <w:r>
              <w:rPr>
                <w:rFonts w:ascii="Arial" w:cs="Arial" w:eastAsia="Arial" w:hAnsi="Arial"/>
                <w:sz w:val="18"/>
                <w:szCs w:val="18"/>
                <w:color w:val="auto"/>
                <w:w w:val="88"/>
              </w:rPr>
              <w:t>San Francisco, CA 94105</w:t>
            </w:r>
          </w:p>
        </w:tc>
      </w:tr>
      <w:tr>
        <w:trPr>
          <w:trHeight w:val="324"/>
        </w:trPr>
        <w:tc>
          <w:tcPr>
            <w:tcW w:w="460" w:type="dxa"/>
            <w:vAlign w:val="bottom"/>
          </w:tcPr>
          <w:p>
            <w:pPr>
              <w:spacing w:after="0"/>
              <w:rPr>
                <w:sz w:val="24"/>
                <w:szCs w:val="24"/>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Federal Deposit Insurance Corporation</w:t>
            </w:r>
          </w:p>
        </w:tc>
        <w:tc>
          <w:tcPr>
            <w:tcW w:w="2040" w:type="dxa"/>
            <w:vAlign w:val="bottom"/>
            <w:gridSpan w:val="3"/>
          </w:tcPr>
          <w:p>
            <w:pPr>
              <w:ind w:left="200"/>
              <w:spacing w:after="0"/>
              <w:rPr>
                <w:sz w:val="20"/>
                <w:szCs w:val="20"/>
                <w:color w:val="auto"/>
              </w:rPr>
            </w:pPr>
            <w:r>
              <w:rPr>
                <w:rFonts w:ascii="Arial" w:cs="Arial" w:eastAsia="Arial" w:hAnsi="Arial"/>
                <w:sz w:val="18"/>
                <w:szCs w:val="18"/>
                <w:color w:val="auto"/>
                <w:w w:val="97"/>
              </w:rPr>
              <w:t>Washington, DC 20429</w:t>
            </w:r>
          </w:p>
        </w:tc>
      </w:tr>
      <w:tr>
        <w:trPr>
          <w:trHeight w:val="459"/>
        </w:trPr>
        <w:tc>
          <w:tcPr>
            <w:tcW w:w="5200" w:type="dxa"/>
            <w:vAlign w:val="bottom"/>
            <w:gridSpan w:val="3"/>
          </w:tcPr>
          <w:p>
            <w:pPr>
              <w:spacing w:after="0"/>
              <w:rPr>
                <w:sz w:val="20"/>
                <w:szCs w:val="20"/>
                <w:color w:val="auto"/>
              </w:rPr>
            </w:pPr>
            <w:r>
              <w:rPr>
                <w:rFonts w:ascii="Arial" w:cs="Arial" w:eastAsia="Arial" w:hAnsi="Arial"/>
                <w:sz w:val="18"/>
                <w:szCs w:val="18"/>
                <w:b w:val="1"/>
                <w:bCs w:val="1"/>
                <w:color w:val="auto"/>
                <w:w w:val="94"/>
              </w:rPr>
              <w:t>(b)   Whether it is authorized to exercise corporate trust powers.</w:t>
            </w: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24"/>
        </w:trPr>
        <w:tc>
          <w:tcPr>
            <w:tcW w:w="5200" w:type="dxa"/>
            <w:vAlign w:val="bottom"/>
            <w:gridSpan w:val="3"/>
          </w:tcPr>
          <w:p>
            <w:pPr>
              <w:spacing w:after="0"/>
              <w:rPr>
                <w:sz w:val="20"/>
                <w:szCs w:val="20"/>
                <w:color w:val="auto"/>
              </w:rPr>
            </w:pPr>
            <w:r>
              <w:rPr>
                <w:rFonts w:ascii="Arial" w:cs="Arial" w:eastAsia="Arial" w:hAnsi="Arial"/>
                <w:sz w:val="18"/>
                <w:szCs w:val="18"/>
                <w:color w:val="auto"/>
              </w:rPr>
              <w:t>Yes.</w:t>
            </w: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pacing w:after="0" w:line="103" w:lineRule="exact"/>
        <w:rPr>
          <w:sz w:val="20"/>
          <w:szCs w:val="20"/>
          <w:color w:val="auto"/>
        </w:rPr>
      </w:pPr>
    </w:p>
    <w:p>
      <w:pPr>
        <w:ind w:left="452" w:hanging="452"/>
        <w:spacing w:after="0"/>
        <w:tabs>
          <w:tab w:leader="none" w:pos="452"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Affiliations with Obligor.</w:t>
      </w:r>
    </w:p>
    <w:p>
      <w:pPr>
        <w:spacing w:after="0" w:line="117" w:lineRule="exact"/>
        <w:rPr>
          <w:rFonts w:ascii="Arial" w:cs="Arial" w:eastAsia="Arial" w:hAnsi="Arial"/>
          <w:sz w:val="18"/>
          <w:szCs w:val="18"/>
          <w:b w:val="1"/>
          <w:bCs w:val="1"/>
          <w:color w:val="auto"/>
        </w:rPr>
      </w:pPr>
    </w:p>
    <w:p>
      <w:pPr>
        <w:ind w:left="452" w:right="5480"/>
        <w:spacing w:after="0" w:line="383"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If the obligor is an affiliate of the trustee, describe each such affiliation. </w:t>
      </w:r>
      <w:r>
        <w:rPr>
          <w:rFonts w:ascii="Arial" w:cs="Arial" w:eastAsia="Arial" w:hAnsi="Arial"/>
          <w:sz w:val="18"/>
          <w:szCs w:val="18"/>
          <w:color w:val="auto"/>
        </w:rPr>
        <w:t>None.</w:t>
      </w:r>
    </w:p>
    <w:p>
      <w:pPr>
        <w:spacing w:after="0" w:line="1" w:lineRule="exact"/>
        <w:rPr>
          <w:sz w:val="20"/>
          <w:szCs w:val="20"/>
          <w:color w:val="auto"/>
        </w:rPr>
      </w:pPr>
    </w:p>
    <w:p>
      <w:pPr>
        <w:ind w:left="452" w:hanging="452"/>
        <w:spacing w:after="0"/>
        <w:tabs>
          <w:tab w:leader="none" w:pos="452"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List of Exhibits.</w:t>
      </w:r>
    </w:p>
    <w:p>
      <w:pPr>
        <w:spacing w:after="0" w:line="117" w:lineRule="exact"/>
        <w:rPr>
          <w:rFonts w:ascii="Arial" w:cs="Arial" w:eastAsia="Arial" w:hAnsi="Arial"/>
          <w:sz w:val="18"/>
          <w:szCs w:val="18"/>
          <w:b w:val="1"/>
          <w:bCs w:val="1"/>
          <w:color w:val="auto"/>
        </w:rPr>
      </w:pPr>
    </w:p>
    <w:p>
      <w:pPr>
        <w:ind w:left="452" w:right="22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Exhibits identified in parentheses below, on file with the Commission, are incorporated herein by reference as an exhibit hereto, pursuant to Rule 7a-29 under the Trust Indenture Act of 1939 (the “Act”) and 17 C.F.R. 229.10(d).</w:t>
      </w:r>
    </w:p>
    <w:p>
      <w:pPr>
        <w:spacing w:after="0" w:line="71" w:lineRule="exact"/>
        <w:rPr>
          <w:rFonts w:ascii="Arial" w:cs="Arial" w:eastAsia="Arial" w:hAnsi="Arial"/>
          <w:sz w:val="18"/>
          <w:szCs w:val="18"/>
          <w:b w:val="1"/>
          <w:bCs w:val="1"/>
          <w:color w:val="auto"/>
        </w:rPr>
      </w:pPr>
    </w:p>
    <w:p>
      <w:pPr>
        <w:ind w:left="892" w:right="240" w:hanging="446"/>
        <w:spacing w:after="0" w:line="264" w:lineRule="auto"/>
        <w:tabs>
          <w:tab w:leader="none" w:pos="892" w:val="left"/>
        </w:tabs>
        <w:numPr>
          <w:ilvl w:val="1"/>
          <w:numId w:val="29"/>
        </w:numPr>
        <w:rPr>
          <w:rFonts w:ascii="Arial" w:cs="Arial" w:eastAsia="Arial" w:hAnsi="Arial"/>
          <w:sz w:val="18"/>
          <w:szCs w:val="18"/>
          <w:color w:val="auto"/>
        </w:rPr>
      </w:pPr>
      <w:r>
        <w:rPr>
          <w:rFonts w:ascii="Arial" w:cs="Arial" w:eastAsia="Arial" w:hAnsi="Arial"/>
          <w:sz w:val="18"/>
          <w:szCs w:val="18"/>
          <w:color w:val="auto"/>
        </w:rPr>
        <w:t>A copy of the articles of association of The Bank of New York Mellon Trust Company, N.A., formerly known as The Bank of New York Trust Company, N.A. (Exhibit 1 to Form T-1 filed with Registration Statement No. 333-121948 and Exhibit 1 to Form T-1 filed with Registration Statement No. 333-152875).</w:t>
      </w:r>
    </w:p>
    <w:p>
      <w:pPr>
        <w:spacing w:after="0" w:line="86" w:lineRule="exact"/>
        <w:rPr>
          <w:rFonts w:ascii="Arial" w:cs="Arial" w:eastAsia="Arial" w:hAnsi="Arial"/>
          <w:sz w:val="18"/>
          <w:szCs w:val="18"/>
          <w:color w:val="auto"/>
        </w:rPr>
      </w:pPr>
    </w:p>
    <w:p>
      <w:pPr>
        <w:ind w:left="892" w:hanging="446"/>
        <w:spacing w:after="0"/>
        <w:tabs>
          <w:tab w:leader="none" w:pos="892" w:val="left"/>
        </w:tabs>
        <w:numPr>
          <w:ilvl w:val="1"/>
          <w:numId w:val="29"/>
        </w:numPr>
        <w:rPr>
          <w:rFonts w:ascii="Arial" w:cs="Arial" w:eastAsia="Arial" w:hAnsi="Arial"/>
          <w:sz w:val="16"/>
          <w:szCs w:val="16"/>
          <w:color w:val="auto"/>
        </w:rPr>
      </w:pPr>
      <w:r>
        <w:rPr>
          <w:rFonts w:ascii="Arial" w:cs="Arial" w:eastAsia="Arial" w:hAnsi="Arial"/>
          <w:sz w:val="16"/>
          <w:szCs w:val="16"/>
          <w:color w:val="auto"/>
        </w:rPr>
        <w:t>A copy of certificate of authority of the trustee to commence business. (Exhibit 2 to Form T-1 filed with Registration Statement No. 333-121948).</w:t>
      </w:r>
    </w:p>
    <w:p>
      <w:pPr>
        <w:spacing w:after="0" w:line="153" w:lineRule="exact"/>
        <w:rPr>
          <w:rFonts w:ascii="Arial" w:cs="Arial" w:eastAsia="Arial" w:hAnsi="Arial"/>
          <w:sz w:val="16"/>
          <w:szCs w:val="16"/>
          <w:color w:val="auto"/>
        </w:rPr>
      </w:pPr>
    </w:p>
    <w:p>
      <w:pPr>
        <w:ind w:left="892" w:right="260" w:hanging="446"/>
        <w:spacing w:after="0" w:line="277" w:lineRule="auto"/>
        <w:tabs>
          <w:tab w:leader="none" w:pos="892" w:val="left"/>
        </w:tabs>
        <w:numPr>
          <w:ilvl w:val="1"/>
          <w:numId w:val="29"/>
        </w:numPr>
        <w:rPr>
          <w:rFonts w:ascii="Arial" w:cs="Arial" w:eastAsia="Arial" w:hAnsi="Arial"/>
          <w:sz w:val="18"/>
          <w:szCs w:val="18"/>
          <w:color w:val="auto"/>
        </w:rPr>
      </w:pPr>
      <w:r>
        <w:rPr>
          <w:rFonts w:ascii="Arial" w:cs="Arial" w:eastAsia="Arial" w:hAnsi="Arial"/>
          <w:sz w:val="18"/>
          <w:szCs w:val="18"/>
          <w:color w:val="auto"/>
        </w:rPr>
        <w:t>A copy of the authorization of the trustee to exercise corporate trust powers (Exhibit 3 to Form T-1 filed with Registration Statement No. 333-152875).</w:t>
      </w:r>
    </w:p>
    <w:p>
      <w:pPr>
        <w:spacing w:after="0" w:line="102" w:lineRule="exact"/>
        <w:rPr>
          <w:rFonts w:ascii="Arial" w:cs="Arial" w:eastAsia="Arial" w:hAnsi="Arial"/>
          <w:sz w:val="18"/>
          <w:szCs w:val="18"/>
          <w:color w:val="auto"/>
        </w:rPr>
      </w:pPr>
    </w:p>
    <w:p>
      <w:pPr>
        <w:ind w:left="5652" w:hanging="96"/>
        <w:spacing w:after="0"/>
        <w:tabs>
          <w:tab w:leader="none" w:pos="5652" w:val="left"/>
        </w:tabs>
        <w:numPr>
          <w:ilvl w:val="2"/>
          <w:numId w:val="29"/>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1392"/>
          </w:cols>
          <w:pgMar w:left="248" w:top="270" w:right="259" w:bottom="1440" w:gutter="0" w:footer="0" w:header="0"/>
        </w:sectPr>
      </w:pPr>
    </w:p>
    <w:bookmarkStart w:id="39" w:name="page40"/>
    <w:bookmarkEnd w:id="39"/>
    <w:p>
      <w:pPr>
        <w:ind w:left="446" w:hanging="446"/>
        <w:spacing w:after="0"/>
        <w:tabs>
          <w:tab w:leader="none" w:pos="446" w:val="left"/>
        </w:tabs>
        <w:numPr>
          <w:ilvl w:val="0"/>
          <w:numId w:val="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copy of the existing by-laws of the trustee (Exhibit 4 to Form T-1 filed with Registration Statement No. 333-162713).</w:t>
      </w:r>
    </w:p>
    <w:p>
      <w:pPr>
        <w:spacing w:after="0" w:line="131" w:lineRule="exact"/>
        <w:rPr>
          <w:sz w:val="20"/>
          <w:szCs w:val="20"/>
          <w:color w:val="auto"/>
        </w:rPr>
      </w:pPr>
    </w:p>
    <w:p>
      <w:pPr>
        <w:ind w:left="446" w:hanging="446"/>
        <w:spacing w:after="0"/>
        <w:tabs>
          <w:tab w:leader="none" w:pos="446"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consent of the trustee required by Section 321(b) of the Act (Exhibit 6 to Form T-1 filed with Registration Statement No. 333-152875).</w:t>
      </w:r>
    </w:p>
    <w:p>
      <w:pPr>
        <w:spacing w:after="0" w:line="142" w:lineRule="exact"/>
        <w:rPr>
          <w:rFonts w:ascii="Arial" w:cs="Arial" w:eastAsia="Arial" w:hAnsi="Arial"/>
          <w:sz w:val="17"/>
          <w:szCs w:val="17"/>
          <w:color w:val="auto"/>
        </w:rPr>
      </w:pPr>
    </w:p>
    <w:p>
      <w:pPr>
        <w:ind w:left="446" w:hanging="446"/>
        <w:spacing w:after="0"/>
        <w:tabs>
          <w:tab w:leader="none" w:pos="446" w:val="left"/>
        </w:tabs>
        <w:numPr>
          <w:ilvl w:val="0"/>
          <w:numId w:val="31"/>
        </w:numPr>
        <w:rPr>
          <w:rFonts w:ascii="Arial" w:cs="Arial" w:eastAsia="Arial" w:hAnsi="Arial"/>
          <w:sz w:val="16"/>
          <w:szCs w:val="16"/>
          <w:color w:val="auto"/>
        </w:rPr>
      </w:pPr>
      <w:r>
        <w:rPr>
          <w:rFonts w:ascii="Arial" w:cs="Arial" w:eastAsia="Arial" w:hAnsi="Arial"/>
          <w:sz w:val="16"/>
          <w:szCs w:val="16"/>
          <w:color w:val="auto"/>
        </w:rPr>
        <w:t>A copy of the latest report of condition of the Trustee published pursuant to law or to the requirements of its supervising or examining authority.</w:t>
      </w:r>
    </w:p>
    <w:p>
      <w:pPr>
        <w:spacing w:after="0" w:line="180" w:lineRule="exact"/>
        <w:rPr>
          <w:rFonts w:ascii="Arial" w:cs="Arial" w:eastAsia="Arial" w:hAnsi="Arial"/>
          <w:sz w:val="16"/>
          <w:szCs w:val="16"/>
          <w:color w:val="auto"/>
        </w:rPr>
      </w:pPr>
    </w:p>
    <w:p>
      <w:pPr>
        <w:ind w:left="5206" w:hanging="96"/>
        <w:spacing w:after="0"/>
        <w:tabs>
          <w:tab w:leader="none" w:pos="5206" w:val="left"/>
        </w:tabs>
        <w:numPr>
          <w:ilvl w:val="1"/>
          <w:numId w:val="31"/>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0826"/>
          </w:cols>
          <w:pgMar w:left="694" w:top="274" w:right="379" w:bottom="1440" w:gutter="0" w:footer="0" w:header="0"/>
        </w:sectPr>
      </w:pPr>
    </w:p>
    <w:bookmarkStart w:id="40" w:name="page41"/>
    <w:bookmarkEnd w:id="40"/>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Pursuant to the requirements of the Act, the trustee, The Bank of New York Mellon Trust Company, N.A., a banking association organized and existing under the laws of the United States of America, has duly caused this statement of eligibility to be signed on its behalf by the undersigned, thereunto duly authorized, all in the City of Houston, and State of Texas, on the 18th day of September, 2015.</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THE BANK OF NEW YORK MELLON TRUST COMPANY,</w:t>
      </w:r>
    </w:p>
    <w:p>
      <w:pPr>
        <w:spacing w:after="0" w:line="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w:t>
      </w:r>
    </w:p>
    <w:p>
      <w:pPr>
        <w:spacing w:after="0" w:line="211"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8"/>
          <w:szCs w:val="18"/>
          <w:color w:val="auto"/>
        </w:rPr>
        <w:t>By:</w:t>
        <w:tab/>
        <w:t>/s/ Lawrence M. Kusch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14605</wp:posOffset>
            </wp:positionV>
            <wp:extent cx="260731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Lawrence M. Kusch</w:t>
      </w:r>
    </w:p>
    <w:p>
      <w:pPr>
        <w:spacing w:after="0" w:line="23" w:lineRule="exact"/>
        <w:rPr>
          <w:sz w:val="20"/>
          <w:szCs w:val="20"/>
          <w:color w:val="auto"/>
        </w:rPr>
      </w:pPr>
    </w:p>
    <w:p>
      <w:pPr>
        <w:ind w:left="6860"/>
        <w:spacing w:after="0"/>
        <w:tabs>
          <w:tab w:leader="none" w:pos="7440" w:val="left"/>
        </w:tabs>
        <w:rPr>
          <w:sz w:val="20"/>
          <w:szCs w:val="20"/>
          <w:color w:val="auto"/>
        </w:rPr>
      </w:pPr>
      <w:r>
        <w:rPr>
          <w:rFonts w:ascii="Arial" w:cs="Arial" w:eastAsia="Arial" w:hAnsi="Arial"/>
          <w:sz w:val="18"/>
          <w:szCs w:val="18"/>
          <w:color w:val="auto"/>
        </w:rPr>
        <w:t>Title:</w:t>
        <w:tab/>
        <w:t>Vice President</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400"/>
          </w:cols>
          <w:pgMar w:left="240" w:top="274" w:right="25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7</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Report of Condition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BANK OF NEW YORK MELLON TRUST COMPANY, N.A.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400 South Hope Street, Suite 400, Los Angeles, CA 90071</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the close of business June 30, 2015, published in accordance with Federal regulatory authority instructions.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6000" w:type="dxa"/>
            <w:vAlign w:val="bottom"/>
            <w:gridSpan w:val="3"/>
          </w:tcPr>
          <w:p>
            <w:pPr>
              <w:jc w:val="right"/>
              <w:ind w:right="100"/>
              <w:spacing w:after="0"/>
              <w:rPr>
                <w:sz w:val="20"/>
                <w:szCs w:val="20"/>
                <w:color w:val="auto"/>
              </w:rPr>
            </w:pPr>
            <w:r>
              <w:rPr>
                <w:rFonts w:ascii="Arial" w:cs="Arial" w:eastAsia="Arial" w:hAnsi="Arial"/>
                <w:sz w:val="14"/>
                <w:szCs w:val="14"/>
                <w:color w:val="auto"/>
              </w:rPr>
              <w:t>Dollar amounts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w w:val="98"/>
              </w:rPr>
              <w:t>in thousands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w w:val="87"/>
              </w:rPr>
              <w:t>ASSETS</w:t>
            </w:r>
          </w:p>
        </w:tc>
        <w:tc>
          <w:tcPr>
            <w:tcW w:w="4760" w:type="dxa"/>
            <w:vAlign w:val="bottom"/>
            <w:tcBorders>
              <w:top w:val="single" w:sz="8" w:color="CCEEFF"/>
              <w:bottom w:val="single" w:sz="8" w:color="CCEEFF"/>
            </w:tcBorders>
            <w:shd w:val="clear" w:color="auto" w:fill="CCEEFF"/>
          </w:tcPr>
          <w:p>
            <w:pPr>
              <w:spacing w:after="0"/>
              <w:rPr>
                <w:sz w:val="15"/>
                <w:szCs w:val="15"/>
                <w:color w:val="auto"/>
              </w:rPr>
            </w:pPr>
          </w:p>
        </w:tc>
        <w:tc>
          <w:tcPr>
            <w:tcW w:w="5020" w:type="dxa"/>
            <w:vAlign w:val="bottom"/>
            <w:tcBorders>
              <w:top w:val="single" w:sz="8" w:color="CCEEFF"/>
              <w:bottom w:val="single" w:sz="8" w:color="CCEEFF"/>
            </w:tcBorders>
            <w:shd w:val="clear" w:color="auto" w:fill="CCEEFF"/>
          </w:tcPr>
          <w:p>
            <w:pPr>
              <w:spacing w:after="0"/>
              <w:rPr>
                <w:sz w:val="15"/>
                <w:szCs w:val="15"/>
                <w:color w:val="auto"/>
              </w:rPr>
            </w:pPr>
          </w:p>
        </w:tc>
        <w:tc>
          <w:tcPr>
            <w:tcW w:w="88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Cash and balances due from depository institutions:</w:t>
            </w:r>
          </w:p>
        </w:tc>
        <w:tc>
          <w:tcPr>
            <w:tcW w:w="5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Noninterest-bearing balances and currency and coin</w:t>
            </w:r>
          </w:p>
        </w:tc>
        <w:tc>
          <w:tcPr>
            <w:tcW w:w="6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760" w:type="dxa"/>
            <w:vAlign w:val="bottom"/>
          </w:tcPr>
          <w:p>
            <w:pPr>
              <w:ind w:left="420"/>
              <w:spacing w:after="0"/>
              <w:rPr>
                <w:sz w:val="20"/>
                <w:szCs w:val="20"/>
                <w:color w:val="auto"/>
              </w:rPr>
            </w:pPr>
            <w:r>
              <w:rPr>
                <w:rFonts w:ascii="Arial" w:cs="Arial" w:eastAsia="Arial" w:hAnsi="Arial"/>
                <w:sz w:val="18"/>
                <w:szCs w:val="18"/>
                <w:color w:val="auto"/>
              </w:rPr>
              <w:t>Interest-bearing balances</w:t>
            </w:r>
          </w:p>
        </w:tc>
        <w:tc>
          <w:tcPr>
            <w:tcW w:w="5900" w:type="dxa"/>
            <w:vAlign w:val="bottom"/>
            <w:gridSpan w:val="2"/>
          </w:tcPr>
          <w:p>
            <w:pPr>
              <w:jc w:val="right"/>
              <w:spacing w:after="0"/>
              <w:rPr>
                <w:sz w:val="20"/>
                <w:szCs w:val="20"/>
                <w:color w:val="auto"/>
              </w:rPr>
            </w:pPr>
            <w:r>
              <w:rPr>
                <w:rFonts w:ascii="Arial" w:cs="Arial" w:eastAsia="Arial" w:hAnsi="Arial"/>
                <w:sz w:val="18"/>
                <w:szCs w:val="18"/>
                <w:color w:val="auto"/>
              </w:rPr>
              <w:t>215,394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Securities:</w:t>
            </w:r>
          </w:p>
        </w:tc>
        <w:tc>
          <w:tcPr>
            <w:tcW w:w="50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760" w:type="dxa"/>
            <w:vAlign w:val="bottom"/>
          </w:tcPr>
          <w:p>
            <w:pPr>
              <w:ind w:left="420"/>
              <w:spacing w:after="0"/>
              <w:rPr>
                <w:sz w:val="20"/>
                <w:szCs w:val="20"/>
                <w:color w:val="auto"/>
              </w:rPr>
            </w:pPr>
            <w:r>
              <w:rPr>
                <w:rFonts w:ascii="Arial" w:cs="Arial" w:eastAsia="Arial" w:hAnsi="Arial"/>
                <w:sz w:val="18"/>
                <w:szCs w:val="18"/>
                <w:color w:val="auto"/>
              </w:rPr>
              <w:t>Held-to-maturity securities</w:t>
            </w:r>
          </w:p>
        </w:tc>
        <w:tc>
          <w:tcPr>
            <w:tcW w:w="6000" w:type="dxa"/>
            <w:vAlign w:val="bottom"/>
            <w:gridSpan w:val="3"/>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Available-for-sale securities</w:t>
            </w:r>
          </w:p>
        </w:tc>
        <w:tc>
          <w:tcPr>
            <w:tcW w:w="5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661,987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w w:val="93"/>
              </w:rPr>
              <w:t>Federal funds sold and securities purchased under agreements to resell:</w:t>
            </w:r>
          </w:p>
        </w:tc>
        <w:tc>
          <w:tcPr>
            <w:tcW w:w="5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Federal funds sold</w:t>
            </w:r>
          </w:p>
        </w:tc>
        <w:tc>
          <w:tcPr>
            <w:tcW w:w="6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760" w:type="dxa"/>
            <w:vAlign w:val="bottom"/>
          </w:tcPr>
          <w:p>
            <w:pPr>
              <w:ind w:left="420"/>
              <w:spacing w:after="0"/>
              <w:rPr>
                <w:sz w:val="20"/>
                <w:szCs w:val="20"/>
                <w:color w:val="auto"/>
              </w:rPr>
            </w:pPr>
            <w:r>
              <w:rPr>
                <w:rFonts w:ascii="Arial" w:cs="Arial" w:eastAsia="Arial" w:hAnsi="Arial"/>
                <w:sz w:val="18"/>
                <w:szCs w:val="18"/>
                <w:color w:val="auto"/>
              </w:rPr>
              <w:t>Securities purchased under agreements to resell</w:t>
            </w:r>
          </w:p>
        </w:tc>
        <w:tc>
          <w:tcPr>
            <w:tcW w:w="6000" w:type="dxa"/>
            <w:vAlign w:val="bottom"/>
            <w:gridSpan w:val="3"/>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Loans and lease financing receivables:</w:t>
            </w:r>
          </w:p>
        </w:tc>
        <w:tc>
          <w:tcPr>
            <w:tcW w:w="50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760" w:type="dxa"/>
            <w:vAlign w:val="bottom"/>
          </w:tcPr>
          <w:p>
            <w:pPr>
              <w:ind w:left="420"/>
              <w:spacing w:after="0"/>
              <w:rPr>
                <w:sz w:val="20"/>
                <w:szCs w:val="20"/>
                <w:color w:val="auto"/>
              </w:rPr>
            </w:pPr>
            <w:r>
              <w:rPr>
                <w:rFonts w:ascii="Arial" w:cs="Arial" w:eastAsia="Arial" w:hAnsi="Arial"/>
                <w:sz w:val="18"/>
                <w:szCs w:val="18"/>
                <w:color w:val="auto"/>
              </w:rPr>
              <w:t>Loans and leases held for sale</w:t>
            </w:r>
          </w:p>
        </w:tc>
        <w:tc>
          <w:tcPr>
            <w:tcW w:w="6000" w:type="dxa"/>
            <w:vAlign w:val="bottom"/>
            <w:gridSpan w:val="3"/>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Loans and leases, net of unearned income</w:t>
            </w:r>
          </w:p>
        </w:tc>
        <w:tc>
          <w:tcPr>
            <w:tcW w:w="6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760" w:type="dxa"/>
            <w:vAlign w:val="bottom"/>
          </w:tcPr>
          <w:p>
            <w:pPr>
              <w:ind w:left="420"/>
              <w:spacing w:after="0"/>
              <w:rPr>
                <w:sz w:val="20"/>
                <w:szCs w:val="20"/>
                <w:color w:val="auto"/>
              </w:rPr>
            </w:pPr>
            <w:r>
              <w:rPr>
                <w:rFonts w:ascii="Arial" w:cs="Arial" w:eastAsia="Arial" w:hAnsi="Arial"/>
                <w:sz w:val="18"/>
                <w:szCs w:val="18"/>
                <w:color w:val="auto"/>
              </w:rPr>
              <w:t>LESS: Allowance for loan and lease losses</w:t>
            </w:r>
          </w:p>
        </w:tc>
        <w:tc>
          <w:tcPr>
            <w:tcW w:w="6000" w:type="dxa"/>
            <w:vAlign w:val="bottom"/>
            <w:gridSpan w:val="3"/>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7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3"/>
              </w:rPr>
              <w:t>Loans and leases, net of unearned income and allowance</w:t>
            </w:r>
          </w:p>
        </w:tc>
        <w:tc>
          <w:tcPr>
            <w:tcW w:w="6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Trading assets</w:t>
            </w:r>
          </w:p>
        </w:tc>
        <w:tc>
          <w:tcPr>
            <w:tcW w:w="6000" w:type="dxa"/>
            <w:vAlign w:val="bottom"/>
            <w:gridSpan w:val="3"/>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Premises and fixed assets (including capitalized leases)</w:t>
            </w:r>
          </w:p>
        </w:tc>
        <w:tc>
          <w:tcPr>
            <w:tcW w:w="6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Other real estate owned</w:t>
            </w:r>
          </w:p>
        </w:tc>
        <w:tc>
          <w:tcPr>
            <w:tcW w:w="6000" w:type="dxa"/>
            <w:vAlign w:val="bottom"/>
            <w:gridSpan w:val="3"/>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Investments in unconsolidated subsidiaries and associated companies</w:t>
            </w:r>
          </w:p>
        </w:tc>
        <w:tc>
          <w:tcPr>
            <w:tcW w:w="6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Direct and indirect investments in real estate ventures</w:t>
            </w:r>
          </w:p>
        </w:tc>
        <w:tc>
          <w:tcPr>
            <w:tcW w:w="6000" w:type="dxa"/>
            <w:vAlign w:val="bottom"/>
            <w:gridSpan w:val="3"/>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50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ind w:left="340"/>
              <w:spacing w:after="0"/>
              <w:rPr>
                <w:sz w:val="20"/>
                <w:szCs w:val="20"/>
                <w:color w:val="auto"/>
              </w:rPr>
            </w:pPr>
            <w:r>
              <w:rPr>
                <w:rFonts w:ascii="Arial" w:cs="Arial" w:eastAsia="Arial" w:hAnsi="Arial"/>
                <w:sz w:val="18"/>
                <w:szCs w:val="18"/>
                <w:color w:val="auto"/>
              </w:rPr>
              <w:t>Goodwill</w:t>
            </w:r>
          </w:p>
        </w:tc>
        <w:tc>
          <w:tcPr>
            <w:tcW w:w="5900" w:type="dxa"/>
            <w:vAlign w:val="bottom"/>
            <w:gridSpan w:val="2"/>
          </w:tcPr>
          <w:p>
            <w:pPr>
              <w:jc w:val="right"/>
              <w:spacing w:after="0"/>
              <w:rPr>
                <w:sz w:val="20"/>
                <w:szCs w:val="20"/>
                <w:color w:val="auto"/>
              </w:rPr>
            </w:pPr>
            <w:r>
              <w:rPr>
                <w:rFonts w:ascii="Arial" w:cs="Arial" w:eastAsia="Arial" w:hAnsi="Arial"/>
                <w:sz w:val="18"/>
                <w:szCs w:val="18"/>
                <w:color w:val="auto"/>
              </w:rPr>
              <w:t>856,313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intangible assets</w:t>
            </w:r>
          </w:p>
        </w:tc>
        <w:tc>
          <w:tcPr>
            <w:tcW w:w="6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90,615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502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126,234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5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$ 1,988,477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5020" w:type="dxa"/>
            <w:vAlign w:val="bottom"/>
            <w:vMerge w:val="restart"/>
          </w:tcPr>
          <w:p>
            <w:pPr>
              <w:jc w:val="right"/>
              <w:ind w:right="4591"/>
              <w:spacing w:after="0"/>
              <w:rPr>
                <w:sz w:val="20"/>
                <w:szCs w:val="20"/>
                <w:color w:val="auto"/>
              </w:rPr>
            </w:pPr>
            <w:r>
              <w:rPr>
                <w:rFonts w:ascii="Arial" w:cs="Arial" w:eastAsia="Arial" w:hAnsi="Arial"/>
                <w:sz w:val="18"/>
                <w:szCs w:val="18"/>
                <w:color w:val="auto"/>
              </w:rPr>
              <w:t>1</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502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42" w:name="page43"/>
    <w:bookmarkEnd w:id="4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3000" w:type="dxa"/>
            <w:vAlign w:val="bottom"/>
            <w:gridSpan w:val="3"/>
          </w:tcPr>
          <w:p>
            <w:pPr>
              <w:jc w:val="right"/>
              <w:ind w:right="100"/>
              <w:spacing w:after="0"/>
              <w:rPr>
                <w:sz w:val="20"/>
                <w:szCs w:val="20"/>
                <w:color w:val="auto"/>
              </w:rPr>
            </w:pPr>
            <w:r>
              <w:rPr>
                <w:rFonts w:ascii="Arial" w:cs="Arial" w:eastAsia="Arial" w:hAnsi="Arial"/>
                <w:sz w:val="14"/>
                <w:szCs w:val="14"/>
                <w:color w:val="auto"/>
              </w:rPr>
              <w:t>Dollar amounts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w w:val="98"/>
              </w:rPr>
              <w:t>in thousands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rPr>
              <w:t>LIABILITIES</w:t>
            </w:r>
          </w:p>
        </w:tc>
        <w:tc>
          <w:tcPr>
            <w:tcW w:w="738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020" w:type="dxa"/>
            <w:vAlign w:val="bottom"/>
            <w:tcBorders>
              <w:top w:val="single" w:sz="8" w:color="CCEEFF"/>
              <w:bottom w:val="single" w:sz="8" w:color="CCEEFF"/>
            </w:tcBorders>
            <w:shd w:val="clear" w:color="auto" w:fill="CCEEFF"/>
          </w:tcPr>
          <w:p>
            <w:pPr>
              <w:spacing w:after="0"/>
              <w:rPr>
                <w:sz w:val="15"/>
                <w:szCs w:val="15"/>
                <w:color w:val="auto"/>
              </w:rPr>
            </w:pPr>
          </w:p>
        </w:tc>
        <w:tc>
          <w:tcPr>
            <w:tcW w:w="88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3"/>
          </w:tcPr>
          <w:p>
            <w:pPr>
              <w:spacing w:after="0"/>
              <w:rPr>
                <w:sz w:val="20"/>
                <w:szCs w:val="20"/>
                <w:color w:val="auto"/>
              </w:rPr>
            </w:pPr>
            <w:r>
              <w:rPr>
                <w:rFonts w:ascii="Arial" w:cs="Arial" w:eastAsia="Arial" w:hAnsi="Arial"/>
                <w:sz w:val="18"/>
                <w:szCs w:val="18"/>
                <w:color w:val="auto"/>
              </w:rPr>
              <w:t>Deposits:</w:t>
            </w:r>
          </w:p>
        </w:tc>
        <w:tc>
          <w:tcPr>
            <w:tcW w:w="2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In domestic offices</w:t>
            </w:r>
          </w:p>
        </w:tc>
        <w:tc>
          <w:tcPr>
            <w:tcW w:w="3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380" w:type="dxa"/>
            <w:vAlign w:val="bottom"/>
            <w:gridSpan w:val="2"/>
          </w:tcPr>
          <w:p>
            <w:pPr>
              <w:ind w:left="40"/>
              <w:spacing w:after="0"/>
              <w:rPr>
                <w:sz w:val="20"/>
                <w:szCs w:val="20"/>
                <w:color w:val="auto"/>
              </w:rPr>
            </w:pPr>
            <w:r>
              <w:rPr>
                <w:rFonts w:ascii="Arial" w:cs="Arial" w:eastAsia="Arial" w:hAnsi="Arial"/>
                <w:sz w:val="18"/>
                <w:szCs w:val="18"/>
                <w:color w:val="auto"/>
              </w:rPr>
              <w:t>Noninterest-bearing</w:t>
            </w:r>
          </w:p>
        </w:tc>
        <w:tc>
          <w:tcPr>
            <w:tcW w:w="3000" w:type="dxa"/>
            <w:vAlign w:val="bottom"/>
            <w:gridSpan w:val="3"/>
          </w:tcPr>
          <w:p>
            <w:pPr>
              <w:jc w:val="right"/>
              <w:ind w:right="10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Interest-bearing</w:t>
            </w:r>
          </w:p>
        </w:tc>
        <w:tc>
          <w:tcPr>
            <w:tcW w:w="3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3"/>
          </w:tcPr>
          <w:p>
            <w:pPr>
              <w:ind w:left="700"/>
              <w:spacing w:after="0"/>
              <w:rPr>
                <w:sz w:val="20"/>
                <w:szCs w:val="20"/>
                <w:color w:val="auto"/>
              </w:rPr>
            </w:pPr>
            <w:r>
              <w:rPr>
                <w:rFonts w:ascii="Arial" w:cs="Arial" w:eastAsia="Arial" w:hAnsi="Arial"/>
                <w:sz w:val="18"/>
                <w:szCs w:val="18"/>
                <w:color w:val="auto"/>
              </w:rPr>
              <w:t>Not applicable</w:t>
            </w:r>
          </w:p>
        </w:tc>
        <w:tc>
          <w:tcPr>
            <w:tcW w:w="2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Federal funds purchased and securities sold under agreements to repurchase:</w:t>
            </w:r>
          </w:p>
        </w:tc>
        <w:tc>
          <w:tcPr>
            <w:tcW w:w="20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380" w:type="dxa"/>
            <w:vAlign w:val="bottom"/>
            <w:gridSpan w:val="2"/>
          </w:tcPr>
          <w:p>
            <w:pPr>
              <w:ind w:left="40"/>
              <w:spacing w:after="0"/>
              <w:rPr>
                <w:sz w:val="20"/>
                <w:szCs w:val="20"/>
                <w:color w:val="auto"/>
              </w:rPr>
            </w:pPr>
            <w:r>
              <w:rPr>
                <w:rFonts w:ascii="Arial" w:cs="Arial" w:eastAsia="Arial" w:hAnsi="Arial"/>
                <w:sz w:val="18"/>
                <w:szCs w:val="18"/>
                <w:color w:val="auto"/>
              </w:rPr>
              <w:t>Federal funds purchased</w:t>
            </w:r>
          </w:p>
        </w:tc>
        <w:tc>
          <w:tcPr>
            <w:tcW w:w="3000" w:type="dxa"/>
            <w:vAlign w:val="bottom"/>
            <w:gridSpan w:val="3"/>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Securities sold under agreements to repurchase</w:t>
            </w:r>
          </w:p>
        </w:tc>
        <w:tc>
          <w:tcPr>
            <w:tcW w:w="3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3"/>
          </w:tcPr>
          <w:p>
            <w:pPr>
              <w:spacing w:after="0"/>
              <w:rPr>
                <w:sz w:val="20"/>
                <w:szCs w:val="20"/>
                <w:color w:val="auto"/>
              </w:rPr>
            </w:pPr>
            <w:r>
              <w:rPr>
                <w:rFonts w:ascii="Arial" w:cs="Arial" w:eastAsia="Arial" w:hAnsi="Arial"/>
                <w:sz w:val="18"/>
                <w:szCs w:val="18"/>
                <w:color w:val="auto"/>
              </w:rPr>
              <w:t>Trading liabilities</w:t>
            </w:r>
          </w:p>
        </w:tc>
        <w:tc>
          <w:tcPr>
            <w:tcW w:w="3000" w:type="dxa"/>
            <w:vAlign w:val="bottom"/>
            <w:gridSpan w:val="3"/>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borrowed money:</w:t>
            </w:r>
          </w:p>
        </w:tc>
        <w:tc>
          <w:tcPr>
            <w:tcW w:w="20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380" w:type="dxa"/>
            <w:vAlign w:val="bottom"/>
            <w:gridSpan w:val="2"/>
          </w:tcPr>
          <w:p>
            <w:pPr>
              <w:ind w:left="40"/>
              <w:spacing w:after="0"/>
              <w:rPr>
                <w:sz w:val="20"/>
                <w:szCs w:val="20"/>
                <w:color w:val="auto"/>
              </w:rPr>
            </w:pPr>
            <w:r>
              <w:rPr>
                <w:rFonts w:ascii="Arial" w:cs="Arial" w:eastAsia="Arial" w:hAnsi="Arial"/>
                <w:sz w:val="18"/>
                <w:szCs w:val="18"/>
                <w:color w:val="auto"/>
              </w:rPr>
              <w:t>(includes mortgage indebtedness and obligations under capitalized leases)</w:t>
            </w:r>
          </w:p>
        </w:tc>
        <w:tc>
          <w:tcPr>
            <w:tcW w:w="3000" w:type="dxa"/>
            <w:vAlign w:val="bottom"/>
            <w:gridSpan w:val="3"/>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Not applicable</w:t>
            </w:r>
          </w:p>
        </w:tc>
        <w:tc>
          <w:tcPr>
            <w:tcW w:w="20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3"/>
          </w:tcPr>
          <w:p>
            <w:pPr>
              <w:spacing w:after="0"/>
              <w:rPr>
                <w:sz w:val="20"/>
                <w:szCs w:val="20"/>
                <w:color w:val="auto"/>
              </w:rPr>
            </w:pPr>
            <w:r>
              <w:rPr>
                <w:rFonts w:ascii="Arial" w:cs="Arial" w:eastAsia="Arial" w:hAnsi="Arial"/>
                <w:sz w:val="18"/>
                <w:szCs w:val="18"/>
                <w:color w:val="auto"/>
              </w:rPr>
              <w:t>Not applicable</w:t>
            </w:r>
          </w:p>
        </w:tc>
        <w:tc>
          <w:tcPr>
            <w:tcW w:w="2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Subordinated notes and debentures</w:t>
            </w:r>
          </w:p>
        </w:tc>
        <w:tc>
          <w:tcPr>
            <w:tcW w:w="3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3"/>
          </w:tcPr>
          <w:p>
            <w:pPr>
              <w:spacing w:after="0"/>
              <w:rPr>
                <w:sz w:val="20"/>
                <w:szCs w:val="20"/>
                <w:color w:val="auto"/>
              </w:rPr>
            </w:pPr>
            <w:r>
              <w:rPr>
                <w:rFonts w:ascii="Arial" w:cs="Arial" w:eastAsia="Arial" w:hAnsi="Arial"/>
                <w:sz w:val="18"/>
                <w:szCs w:val="18"/>
                <w:color w:val="auto"/>
              </w:rPr>
              <w:t>Other liabilities</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279,598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3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280,118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3"/>
          </w:tcPr>
          <w:p>
            <w:pPr>
              <w:spacing w:after="0"/>
              <w:rPr>
                <w:sz w:val="20"/>
                <w:szCs w:val="20"/>
                <w:color w:val="auto"/>
              </w:rPr>
            </w:pPr>
            <w:r>
              <w:rPr>
                <w:rFonts w:ascii="Arial" w:cs="Arial" w:eastAsia="Arial" w:hAnsi="Arial"/>
                <w:sz w:val="18"/>
                <w:szCs w:val="18"/>
                <w:color w:val="auto"/>
              </w:rPr>
              <w:t>Not applicable</w:t>
            </w:r>
          </w:p>
        </w:tc>
        <w:tc>
          <w:tcPr>
            <w:tcW w:w="2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40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EQUITY CAPITAL</w:t>
            </w:r>
          </w:p>
        </w:tc>
        <w:tc>
          <w:tcPr>
            <w:tcW w:w="20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2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696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gridSpan w:val="3"/>
          </w:tcPr>
          <w:p>
            <w:pPr>
              <w:spacing w:after="0"/>
              <w:rPr>
                <w:sz w:val="20"/>
                <w:szCs w:val="20"/>
                <w:color w:val="auto"/>
              </w:rPr>
            </w:pPr>
            <w:r>
              <w:rPr>
                <w:rFonts w:ascii="Arial" w:cs="Arial" w:eastAsia="Arial" w:hAnsi="Arial"/>
                <w:sz w:val="18"/>
                <w:szCs w:val="18"/>
                <w:color w:val="auto"/>
              </w:rPr>
              <w:t>Perpetual preferred stock and related surplus</w:t>
            </w:r>
          </w:p>
        </w:tc>
        <w:tc>
          <w:tcPr>
            <w:tcW w:w="3000" w:type="dxa"/>
            <w:vAlign w:val="bottom"/>
            <w:gridSpan w:val="3"/>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Common stock</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3"/>
          </w:tcPr>
          <w:p>
            <w:pPr>
              <w:spacing w:after="0"/>
              <w:rPr>
                <w:sz w:val="20"/>
                <w:szCs w:val="20"/>
                <w:color w:val="auto"/>
              </w:rPr>
            </w:pPr>
            <w:r>
              <w:rPr>
                <w:rFonts w:ascii="Arial" w:cs="Arial" w:eastAsia="Arial" w:hAnsi="Arial"/>
                <w:sz w:val="18"/>
                <w:szCs w:val="18"/>
                <w:color w:val="auto"/>
              </w:rPr>
              <w:t>Surplus (exclude all surplus related to preferred stock)</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1,122,352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Not available</w:t>
            </w:r>
          </w:p>
        </w:tc>
        <w:tc>
          <w:tcPr>
            <w:tcW w:w="20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3"/>
          </w:tcPr>
          <w:p>
            <w:pPr>
              <w:ind w:left="340"/>
              <w:spacing w:after="0"/>
              <w:rPr>
                <w:sz w:val="20"/>
                <w:szCs w:val="20"/>
                <w:color w:val="auto"/>
              </w:rPr>
            </w:pPr>
            <w:r>
              <w:rPr>
                <w:rFonts w:ascii="Arial" w:cs="Arial" w:eastAsia="Arial" w:hAnsi="Arial"/>
                <w:sz w:val="18"/>
                <w:szCs w:val="18"/>
                <w:color w:val="auto"/>
              </w:rPr>
              <w:t>Retained earnings</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584,561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income</w:t>
            </w:r>
          </w:p>
        </w:tc>
        <w:tc>
          <w:tcPr>
            <w:tcW w:w="3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3"/>
          </w:tcPr>
          <w:p>
            <w:pPr>
              <w:spacing w:after="0"/>
              <w:rPr>
                <w:sz w:val="20"/>
                <w:szCs w:val="20"/>
                <w:color w:val="auto"/>
              </w:rPr>
            </w:pPr>
            <w:r>
              <w:rPr>
                <w:rFonts w:ascii="Arial" w:cs="Arial" w:eastAsia="Arial" w:hAnsi="Arial"/>
                <w:sz w:val="18"/>
                <w:szCs w:val="18"/>
                <w:color w:val="auto"/>
              </w:rPr>
              <w:t>Other equity capital components</w:t>
            </w:r>
          </w:p>
        </w:tc>
        <w:tc>
          <w:tcPr>
            <w:tcW w:w="3000" w:type="dxa"/>
            <w:vAlign w:val="bottom"/>
            <w:gridSpan w:val="3"/>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Not available</w:t>
            </w:r>
          </w:p>
        </w:tc>
        <w:tc>
          <w:tcPr>
            <w:tcW w:w="20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3"/>
          </w:tcPr>
          <w:p>
            <w:pPr>
              <w:ind w:left="340"/>
              <w:spacing w:after="0"/>
              <w:rPr>
                <w:sz w:val="20"/>
                <w:szCs w:val="20"/>
                <w:color w:val="auto"/>
              </w:rPr>
            </w:pPr>
            <w:r>
              <w:rPr>
                <w:rFonts w:ascii="Arial" w:cs="Arial" w:eastAsia="Arial" w:hAnsi="Arial"/>
                <w:sz w:val="18"/>
                <w:szCs w:val="18"/>
                <w:color w:val="auto"/>
              </w:rPr>
              <w:t>Total bank equity capital</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1,708,359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Noncontrolling (minority) interests in consolidated subsidiaries</w:t>
            </w:r>
          </w:p>
        </w:tc>
        <w:tc>
          <w:tcPr>
            <w:tcW w:w="3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3"/>
          </w:tcPr>
          <w:p>
            <w:pPr>
              <w:spacing w:after="0"/>
              <w:rPr>
                <w:sz w:val="20"/>
                <w:szCs w:val="20"/>
                <w:color w:val="auto"/>
              </w:rPr>
            </w:pPr>
            <w:r>
              <w:rPr>
                <w:rFonts w:ascii="Arial" w:cs="Arial" w:eastAsia="Arial" w:hAnsi="Arial"/>
                <w:sz w:val="18"/>
                <w:szCs w:val="18"/>
                <w:color w:val="auto"/>
              </w:rPr>
              <w:t>Total equity capital</w:t>
            </w:r>
          </w:p>
        </w:tc>
        <w:tc>
          <w:tcPr>
            <w:tcW w:w="202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1,708,359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liabilities and equity capital</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1,988,477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I, Matthew J. McNulty, CFO of the above-named bank do hereby declare that the Reports of Condition and Income (including the supporting schedules) for this report date have been prepared in conformance with the instructions issued by the appropriate Federal regulatory authority and are true to the best of my knowledge and belief.</w:t>
      </w:r>
    </w:p>
    <w:p>
      <w:pPr>
        <w:spacing w:after="0" w:line="181" w:lineRule="exact"/>
        <w:rPr>
          <w:sz w:val="20"/>
          <w:szCs w:val="20"/>
          <w:color w:val="auto"/>
        </w:rPr>
      </w:pPr>
    </w:p>
    <w:p>
      <w:pPr>
        <w:ind w:left="460"/>
        <w:spacing w:after="0"/>
        <w:tabs>
          <w:tab w:leader="none" w:pos="2340" w:val="left"/>
          <w:tab w:leader="none" w:pos="3160" w:val="left"/>
        </w:tabs>
        <w:rPr>
          <w:sz w:val="20"/>
          <w:szCs w:val="20"/>
          <w:color w:val="auto"/>
        </w:rPr>
      </w:pPr>
      <w:r>
        <w:rPr>
          <w:rFonts w:ascii="Arial" w:cs="Arial" w:eastAsia="Arial" w:hAnsi="Arial"/>
          <w:sz w:val="18"/>
          <w:szCs w:val="18"/>
          <w:color w:val="auto"/>
        </w:rPr>
        <w:t>Matthew J. McNulty</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CFO</w:t>
      </w:r>
    </w:p>
    <w:p>
      <w:pPr>
        <w:spacing w:after="0" w:line="225"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We, the undersigned directors (trustees), attest to the correctness of the Report of Condition (including the supporting schedules) for this report date and declare that it has been examined by us and to the best of our knowledge and belief has been prepared in conformance with the instructions issued by the appropriate Federal regulatory authority and is true and correct.</w:t>
      </w:r>
    </w:p>
    <w:p>
      <w:pPr>
        <w:sectPr>
          <w:pgSz w:w="11900" w:h="16838" w:orient="portrait"/>
          <w:cols w:equalWidth="0" w:num="1">
            <w:col w:w="11420"/>
          </w:cols>
          <w:pgMar w:left="240" w:top="257" w:right="239" w:bottom="1440" w:gutter="0" w:footer="0" w:header="0"/>
        </w:sectPr>
      </w:pPr>
    </w:p>
    <w:p>
      <w:pPr>
        <w:spacing w:after="0" w:line="181" w:lineRule="exact"/>
        <w:rPr>
          <w:sz w:val="20"/>
          <w:szCs w:val="20"/>
          <w:color w:val="auto"/>
        </w:rPr>
      </w:pPr>
    </w:p>
    <w:p>
      <w:pPr>
        <w:ind w:left="460"/>
        <w:spacing w:after="0" w:line="312" w:lineRule="auto"/>
        <w:rPr>
          <w:sz w:val="20"/>
          <w:szCs w:val="20"/>
          <w:color w:val="auto"/>
        </w:rPr>
      </w:pPr>
      <w:r>
        <w:rPr>
          <w:rFonts w:ascii="Arial" w:cs="Arial" w:eastAsia="Arial" w:hAnsi="Arial"/>
          <w:sz w:val="16"/>
          <w:szCs w:val="16"/>
          <w:color w:val="auto"/>
        </w:rPr>
        <w:t>Antonio I. Portuondo, President William D. Lindelof, Director Alphonse J. Briand, Director</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spacing w:after="0"/>
        <w:rPr>
          <w:sz w:val="20"/>
          <w:szCs w:val="20"/>
          <w:color w:val="auto"/>
        </w:rPr>
      </w:pPr>
      <w:r>
        <w:rPr>
          <w:rFonts w:ascii="Arial" w:cs="Arial" w:eastAsia="Arial" w:hAnsi="Arial"/>
          <w:sz w:val="16"/>
          <w:szCs w:val="16"/>
          <w:color w:val="auto"/>
        </w:rPr>
        <w:t>Directors (Trustees)</w:t>
      </w:r>
    </w:p>
    <w:p>
      <w:pPr>
        <w:spacing w:after="0" w:line="396" w:lineRule="exact"/>
        <w:rPr>
          <w:sz w:val="20"/>
          <w:szCs w:val="20"/>
          <w:color w:val="auto"/>
        </w:rPr>
      </w:pPr>
    </w:p>
    <w:p>
      <w:pPr>
        <w:sectPr>
          <w:pgSz w:w="11900" w:h="16838" w:orient="portrait"/>
          <w:cols w:equalWidth="0" w:num="3">
            <w:col w:w="2760" w:space="440"/>
            <w:col w:w="120" w:space="720"/>
            <w:col w:w="7380"/>
          </w:cols>
          <w:pgMar w:left="240" w:top="257" w:right="239" w:bottom="1440" w:gutter="0" w:footer="0" w:header="0"/>
          <w:type w:val="continuous"/>
        </w:sectPr>
      </w:pPr>
    </w:p>
    <w:p>
      <w:pPr>
        <w:jc w:val="center"/>
        <w:spacing w:after="0"/>
        <w:rPr>
          <w:sz w:val="20"/>
          <w:szCs w:val="20"/>
          <w:color w:val="auto"/>
        </w:rPr>
      </w:pPr>
      <w:r>
        <w:rPr>
          <w:rFonts w:ascii="Arial" w:cs="Arial" w:eastAsia="Arial" w:hAnsi="Arial"/>
          <w:sz w:val="17"/>
          <w:szCs w:val="17"/>
          <w:color w:val="auto"/>
        </w:rPr>
        <w:t>2</w:t>
      </w:r>
    </w:p>
    <w:sectPr>
      <w:pgSz w:w="11900" w:h="16838" w:orient="portrait"/>
      <w:cols w:equalWidth="0" w:num="1">
        <w:col w:w="11420"/>
      </w:cols>
      <w:pgMar w:left="240" w:top="25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1)"/>
      <w:numFmt w:val="decimal"/>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decimal"/>
      <w:start w:val="1"/>
    </w:lvl>
  </w:abstractNum>
  <w:abstractNum w:abstractNumId="3">
    <w:nsid w:val="519B500D"/>
    <w:multiLevelType w:val="hybridMultilevel"/>
    <w:lvl w:ilvl="0">
      <w:lvlJc w:val="left"/>
      <w:lvlText w:val="(%1)"/>
      <w:numFmt w:val="decimal"/>
      <w:start w:val="1"/>
    </w:lvl>
  </w:abstractNum>
  <w:abstractNum w:abstractNumId="4">
    <w:nsid w:val="431BD7B7"/>
    <w:multiLevelType w:val="hybridMultilevel"/>
    <w:lvl w:ilvl="0">
      <w:lvlJc w:val="left"/>
      <w:lvlText w:val="(%1)"/>
      <w:numFmt w:val="decimal"/>
      <w:start w:val="9"/>
    </w:lvl>
  </w:abstractNum>
  <w:abstractNum w:abstractNumId="5">
    <w:nsid w:val="3F2DBA31"/>
    <w:multiLevelType w:val="hybridMultilevel"/>
    <w:lvl w:ilvl="0">
      <w:lvlJc w:val="left"/>
      <w:lvlText w:val="(%1)"/>
      <w:numFmt w:val="decimal"/>
      <w:start w:val="1"/>
    </w:lvl>
  </w:abstractNum>
  <w:abstractNum w:abstractNumId="6">
    <w:nsid w:val="7C83E458"/>
    <w:multiLevelType w:val="hybridMultilevel"/>
    <w:lvl w:ilvl="0">
      <w:lvlJc w:val="left"/>
      <w:lvlText w:val="(%1)"/>
      <w:numFmt w:val="decimal"/>
      <w:start w:val="1"/>
    </w:lvl>
  </w:abstractNum>
  <w:abstractNum w:abstractNumId="7">
    <w:nsid w:val="257130A3"/>
    <w:multiLevelType w:val="hybridMultilevel"/>
    <w:lvl w:ilvl="0">
      <w:lvlJc w:val="left"/>
      <w:lvlText w:val="(%1)"/>
      <w:numFmt w:val="decimal"/>
      <w:start w:val="4"/>
    </w:lvl>
  </w:abstractNum>
  <w:abstractNum w:abstractNumId="8">
    <w:nsid w:val="62BBD95A"/>
    <w:multiLevelType w:val="hybridMultilevel"/>
    <w:lvl w:ilvl="0">
      <w:lvlJc w:val="left"/>
      <w:lvlText w:val="(%1)"/>
      <w:numFmt w:val="decimal"/>
      <w:start w:val="1"/>
    </w:lvl>
  </w:abstractNum>
  <w:abstractNum w:abstractNumId="9">
    <w:nsid w:val="436C6125"/>
    <w:multiLevelType w:val="hybridMultilevel"/>
    <w:lvl w:ilvl="0">
      <w:lvlJc w:val="left"/>
      <w:lvlText w:val="(%1)"/>
      <w:numFmt w:val="decimal"/>
      <w:start w:val="1"/>
    </w:lvl>
  </w:abstractNum>
  <w:abstractNum w:abstractNumId="10">
    <w:nsid w:val="628C895D"/>
    <w:multiLevelType w:val="hybridMultilevel"/>
    <w:lvl w:ilvl="0">
      <w:lvlJc w:val="left"/>
      <w:lvlText w:val="(%1)"/>
      <w:numFmt w:val="decimal"/>
      <w:start w:val="1"/>
    </w:lvl>
  </w:abstractNum>
  <w:abstractNum w:abstractNumId="11">
    <w:nsid w:val="333AB105"/>
    <w:multiLevelType w:val="hybridMultilevel"/>
    <w:lvl w:ilvl="0">
      <w:lvlJc w:val="left"/>
      <w:lvlText w:val="(%1)"/>
      <w:numFmt w:val="decimal"/>
      <w:start w:val="6"/>
    </w:lvl>
  </w:abstractNum>
  <w:abstractNum w:abstractNumId="12">
    <w:nsid w:val="721DA317"/>
    <w:multiLevelType w:val="hybridMultilevel"/>
    <w:lvl w:ilvl="0">
      <w:lvlJc w:val="left"/>
      <w:lvlText w:val="(%1)"/>
      <w:numFmt w:val="decimal"/>
      <w:start w:val="1"/>
    </w:lvl>
  </w:abstractNum>
  <w:abstractNum w:abstractNumId="13">
    <w:nsid w:val="2443A858"/>
    <w:multiLevelType w:val="hybridMultilevel"/>
    <w:lvl w:ilvl="0">
      <w:lvlJc w:val="left"/>
      <w:lvlText w:val="(%1)"/>
      <w:numFmt w:val="decimal"/>
      <w:start w:val="1"/>
    </w:lvl>
  </w:abstractNum>
  <w:abstractNum w:abstractNumId="14">
    <w:nsid w:val="2D1D5AE9"/>
    <w:multiLevelType w:val="hybridMultilevel"/>
    <w:lvl w:ilvl="0">
      <w:lvlJc w:val="left"/>
      <w:lvlText w:val="(%1)"/>
      <w:numFmt w:val="decimal"/>
      <w:start w:val="1"/>
    </w:lvl>
  </w:abstractNum>
  <w:abstractNum w:abstractNumId="15">
    <w:nsid w:val="6763845E"/>
    <w:multiLevelType w:val="hybridMultilevel"/>
    <w:lvl w:ilvl="0">
      <w:lvlJc w:val="left"/>
      <w:lvlText w:val="(%1)"/>
      <w:numFmt w:val="decimal"/>
      <w:start w:val="1"/>
    </w:lvl>
  </w:abstractNum>
  <w:abstractNum w:abstractNumId="16">
    <w:nsid w:val="75A2A8D4"/>
    <w:multiLevelType w:val="hybridMultilevel"/>
    <w:lvl w:ilvl="0">
      <w:lvlJc w:val="left"/>
      <w:lvlText w:val="(%1)"/>
      <w:numFmt w:val="decimal"/>
      <w:start w:val="1"/>
    </w:lvl>
  </w:abstractNum>
  <w:abstractNum w:abstractNumId="17">
    <w:nsid w:val="8EDBDAB"/>
    <w:multiLevelType w:val="hybridMultilevel"/>
    <w:lvl w:ilvl="0">
      <w:lvlJc w:val="left"/>
      <w:lvlText w:val="(%1)"/>
      <w:numFmt w:val="decimal"/>
      <w:start w:val="1"/>
    </w:lvl>
  </w:abstractNum>
  <w:abstractNum w:abstractNumId="18">
    <w:nsid w:val="79838CB2"/>
    <w:multiLevelType w:val="hybridMultilevel"/>
    <w:lvl w:ilvl="0">
      <w:lvlJc w:val="left"/>
      <w:lvlText w:val="(%1)"/>
      <w:numFmt w:val="decimal"/>
      <w:start w:val="1"/>
    </w:lvl>
  </w:abstractNum>
  <w:abstractNum w:abstractNumId="19">
    <w:nsid w:val="4353D0CD"/>
    <w:multiLevelType w:val="hybridMultilevel"/>
    <w:lvl w:ilvl="0">
      <w:lvlJc w:val="left"/>
      <w:lvlText w:val="(%1)"/>
      <w:numFmt w:val="decimal"/>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1)"/>
      <w:numFmt w:val="lowerRoman"/>
      <w:start w:val="1"/>
    </w:lvl>
  </w:abstractNum>
  <w:abstractNum w:abstractNumId="22">
    <w:nsid w:val="54E49EB4"/>
    <w:multiLevelType w:val="hybridMultilevel"/>
    <w:lvl w:ilvl="0">
      <w:lvlJc w:val="left"/>
      <w:lvlText w:val="(%1)"/>
      <w:numFmt w:val="decimal"/>
      <w:start w:val="2"/>
    </w:lvl>
    <w:lvl w:ilvl="1">
      <w:lvlJc w:val="left"/>
      <w:lvlText w:val="(%2)"/>
      <w:numFmt w:val="lowerRoman"/>
      <w:start w:val="1"/>
    </w:lvl>
  </w:abstractNum>
  <w:abstractNum w:abstractNumId="23">
    <w:nsid w:val="71F32454"/>
    <w:multiLevelType w:val="hybridMultilevel"/>
    <w:lvl w:ilvl="0">
      <w:lvlJc w:val="left"/>
      <w:lvlText w:val="(%1)"/>
      <w:numFmt w:val="decimal"/>
      <w:start w:val="5"/>
    </w:lvl>
    <w:lvl w:ilvl="1">
      <w:lvlJc w:val="left"/>
      <w:lvlText w:val="(%2)"/>
      <w:numFmt w:val="lowerRoman"/>
      <w:start w:val="1"/>
    </w:lvl>
  </w:abstractNum>
  <w:abstractNum w:abstractNumId="24">
    <w:nsid w:val="2CA88611"/>
    <w:multiLevelType w:val="hybridMultilevel"/>
    <w:lvl w:ilvl="0">
      <w:lvlJc w:val="left"/>
      <w:lvlText w:val="(%1)"/>
      <w:numFmt w:val="lowerLetter"/>
      <w:start w:val="2"/>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1."/>
      <w:numFmt w:val="decimal"/>
      <w:start w:val="1"/>
    </w:lvl>
    <w:lvl w:ilvl="1">
      <w:lvlJc w:val="left"/>
      <w:lvlText w:val="(%2)"/>
      <w:numFmt w:val="lowerLetter"/>
      <w:start w:val="1"/>
    </w:lvl>
  </w:abstractNum>
  <w:abstractNum w:abstractNumId="27">
    <w:nsid w:val="3A95F874"/>
    <w:multiLevelType w:val="hybridMultilevel"/>
    <w:lvl w:ilvl="0">
      <w:lvlJc w:val="left"/>
      <w:lvlText w:val="%1."/>
      <w:numFmt w:val="decimal"/>
      <w:start w:val="2"/>
    </w:lvl>
  </w:abstractNum>
  <w:abstractNum w:abstractNumId="28">
    <w:nsid w:val="8138641"/>
    <w:multiLevelType w:val="hybridMultilevel"/>
    <w:lvl w:ilvl="0">
      <w:lvlJc w:val="left"/>
      <w:lvlText w:val="%1."/>
      <w:numFmt w:val="decimal"/>
      <w:start w:val="16"/>
    </w:lvl>
    <w:lvl w:ilvl="1">
      <w:lvlJc w:val="left"/>
      <w:lvlText w:val="%2."/>
      <w:numFmt w:val="decimal"/>
      <w:start w:val="1"/>
    </w:lvl>
    <w:lvl w:ilvl="2">
      <w:lvlJc w:val="left"/>
      <w:lvlText w:val="-"/>
      <w:numFmt w:val="bullet"/>
      <w:start w:val="1"/>
    </w:lvl>
  </w:abstractNum>
  <w:abstractNum w:abstractNumId="29">
    <w:nsid w:val="1E7FF521"/>
    <w:multiLevelType w:val="hybridMultilevel"/>
    <w:lvl w:ilvl="0">
      <w:lvlJc w:val="left"/>
      <w:lvlText w:val="%1."/>
      <w:numFmt w:val="decimal"/>
      <w:start w:val="4"/>
    </w:lvl>
  </w:abstractNum>
  <w:abstractNum w:abstractNumId="30">
    <w:nsid w:val="7C3DBD3D"/>
    <w:multiLevelType w:val="hybridMultilevel"/>
    <w:lvl w:ilvl="0">
      <w:lvlJc w:val="left"/>
      <w:lvlText w:val="%1."/>
      <w:numFmt w:val="decimal"/>
      <w:start w:val="6"/>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2019-12-05T02:42:06Z</dcterms:created>
  <dcterms:modified xsi:type="dcterms:W3CDTF">2019-12-05T02:42:06Z</dcterms:modified>
</cp:coreProperties>
</file>