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4"/>
        </w:trPr>
        <w:tc>
          <w:tcPr>
            <w:tcW w:w="4600" w:type="dxa"/>
            <w:vAlign w:val="bottom"/>
          </w:tcPr>
          <w:p>
            <w:pPr>
              <w:spacing w:after="0"/>
              <w:rPr>
                <w:sz w:val="20"/>
                <w:szCs w:val="20"/>
                <w:color w:val="auto"/>
              </w:rPr>
            </w:pPr>
            <w:r>
              <w:rPr>
                <w:rFonts w:ascii="Courier New" w:cs="Courier New" w:eastAsia="Courier New" w:hAnsi="Courier New"/>
                <w:sz w:val="18"/>
                <w:szCs w:val="18"/>
                <w:color w:val="auto"/>
              </w:rPr>
              <w:t>Prospectus Supplement</w:t>
            </w:r>
          </w:p>
        </w:tc>
        <w:tc>
          <w:tcPr>
            <w:tcW w:w="2840" w:type="dxa"/>
            <w:vAlign w:val="bottom"/>
          </w:tcPr>
          <w:p>
            <w:pPr>
              <w:jc w:val="right"/>
              <w:spacing w:after="0"/>
              <w:rPr>
                <w:sz w:val="20"/>
                <w:szCs w:val="20"/>
                <w:color w:val="auto"/>
              </w:rPr>
            </w:pPr>
            <w:r>
              <w:rPr>
                <w:rFonts w:ascii="Courier New" w:cs="Courier New" w:eastAsia="Courier New" w:hAnsi="Courier New"/>
                <w:sz w:val="18"/>
                <w:szCs w:val="18"/>
                <w:color w:val="auto"/>
              </w:rPr>
              <w:t>Filed pursuant to Rule</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w w:val="96"/>
              </w:rPr>
              <w:t>424(b)(3)</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(To Prospectus Dated December 13, 2000)</w:t>
            </w:r>
          </w:p>
        </w:tc>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Registration No.</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333-48928</w:t>
            </w:r>
          </w:p>
        </w:tc>
      </w:tr>
    </w:tbl>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ANALOG DEVICES, INC.</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ind w:left="2440"/>
        <w:spacing w:after="0"/>
        <w:rPr>
          <w:sz w:val="20"/>
          <w:szCs w:val="20"/>
          <w:color w:val="auto"/>
        </w:rPr>
      </w:pPr>
      <w:r>
        <w:rPr>
          <w:rFonts w:ascii="Courier New" w:cs="Courier New" w:eastAsia="Courier New" w:hAnsi="Courier New"/>
          <w:sz w:val="18"/>
          <w:szCs w:val="18"/>
          <w:color w:val="auto"/>
        </w:rPr>
        <w:t>1,200,000,000 PRINCIPAL AMOUNT OF</w:t>
      </w:r>
    </w:p>
    <w:p>
      <w:pPr>
        <w:ind w:left="2320"/>
        <w:spacing w:after="0" w:line="237" w:lineRule="auto"/>
        <w:rPr>
          <w:sz w:val="20"/>
          <w:szCs w:val="20"/>
          <w:color w:val="auto"/>
        </w:rPr>
      </w:pPr>
      <w:r>
        <w:rPr>
          <w:rFonts w:ascii="Courier New" w:cs="Courier New" w:eastAsia="Courier New" w:hAnsi="Courier New"/>
          <w:sz w:val="18"/>
          <w:szCs w:val="18"/>
          <w:color w:val="auto"/>
        </w:rPr>
        <w:t>4.75% CONVERTIBLE SUBORDINATED NOTES</w:t>
      </w:r>
    </w:p>
    <w:p>
      <w:pPr>
        <w:ind w:left="3800"/>
        <w:spacing w:after="0" w:line="238" w:lineRule="auto"/>
        <w:rPr>
          <w:sz w:val="20"/>
          <w:szCs w:val="20"/>
          <w:color w:val="auto"/>
        </w:rPr>
      </w:pPr>
      <w:r>
        <w:rPr>
          <w:rFonts w:ascii="Courier New" w:cs="Courier New" w:eastAsia="Courier New" w:hAnsi="Courier New"/>
          <w:sz w:val="18"/>
          <w:szCs w:val="18"/>
          <w:color w:val="auto"/>
        </w:rPr>
        <w:t>DUE 2005</w:t>
      </w:r>
    </w:p>
    <w:p>
      <w:pPr>
        <w:ind w:left="2860"/>
        <w:spacing w:after="0"/>
        <w:rPr>
          <w:sz w:val="20"/>
          <w:szCs w:val="20"/>
          <w:color w:val="auto"/>
        </w:rPr>
      </w:pPr>
      <w:r>
        <w:rPr>
          <w:rFonts w:ascii="Courier New" w:cs="Courier New" w:eastAsia="Courier New" w:hAnsi="Courier New"/>
          <w:sz w:val="18"/>
          <w:szCs w:val="18"/>
          <w:color w:val="auto"/>
        </w:rPr>
        <w:t>-------------------------</w:t>
      </w:r>
    </w:p>
    <w:p>
      <w:pPr>
        <w:ind w:left="2540"/>
        <w:spacing w:after="0" w:line="237" w:lineRule="auto"/>
        <w:rPr>
          <w:sz w:val="20"/>
          <w:szCs w:val="20"/>
          <w:color w:val="auto"/>
        </w:rPr>
      </w:pPr>
      <w:r>
        <w:rPr>
          <w:rFonts w:ascii="Courier New" w:cs="Courier New" w:eastAsia="Courier New" w:hAnsi="Courier New"/>
          <w:sz w:val="18"/>
          <w:szCs w:val="18"/>
          <w:color w:val="auto"/>
        </w:rPr>
        <w:t>9,246,720 Shares of Common Stock</w:t>
      </w:r>
    </w:p>
    <w:p>
      <w:pPr>
        <w:ind w:left="2640"/>
        <w:spacing w:after="0"/>
        <w:rPr>
          <w:sz w:val="20"/>
          <w:szCs w:val="20"/>
          <w:color w:val="auto"/>
        </w:rPr>
      </w:pPr>
      <w:r>
        <w:rPr>
          <w:rFonts w:ascii="Courier New" w:cs="Courier New" w:eastAsia="Courier New" w:hAnsi="Courier New"/>
          <w:sz w:val="18"/>
          <w:szCs w:val="18"/>
          <w:color w:val="auto"/>
        </w:rPr>
        <w:t>$0.16 2/3 par value per share</w:t>
      </w:r>
    </w:p>
    <w:p>
      <w:pPr>
        <w:spacing w:after="0" w:line="206" w:lineRule="exact"/>
        <w:rPr>
          <w:sz w:val="24"/>
          <w:szCs w:val="24"/>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information in this prospectus supplement concerning the selling securityholders supplements the statements set forth under the caption "Selling Securityholders" in the prospectus. Capitalized items used and not defined in this prospectus supplement shall have the meanings given to them in the prospectus. The information set forth under the caption "Selling Securityholders" in the prospectus is supplemented as follows:</w:t>
      </w: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SELLING SECURITYHOLDERS</w:t>
      </w:r>
    </w:p>
    <w:p>
      <w:pPr>
        <w:spacing w:after="0" w:line="207" w:lineRule="exact"/>
        <w:rPr>
          <w:sz w:val="24"/>
          <w:szCs w:val="24"/>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originally sold the notes on October 2, 2000 to Goldman, Sachs &amp; Co., SG Cowen Securities Corporation and Salomon Smith Barney Inc. The initial purchasers of the notes have advised us that the notes were resold in transactions exempt from the registration requirements of the Securities Act to "qualified institutional buyers", as defined in Rule 144A of the Securities Act. These subsequent purchasers, or their transferees, pledgees, donees or successors, may from time to time offer and sell any or all of the notes and/or shares of the common stock issuable upon conversion of the notes pursuant to this prospectus.</w:t>
      </w:r>
    </w:p>
    <w:p>
      <w:pPr>
        <w:spacing w:after="0" w:line="214" w:lineRule="exact"/>
        <w:rPr>
          <w:sz w:val="24"/>
          <w:szCs w:val="24"/>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notes and the shares of common stock issuable upon conversion of the notes have been registered in accordance with the registration rights agreement. Pursuant to the registration rights agreement, we are required to file a registration statement with regard to the notes and the shares of our common stock issuable upon conversion of the notes and to keep the registration statement effective until the earlier of:</w:t>
      </w:r>
    </w:p>
    <w:p>
      <w:pPr>
        <w:spacing w:after="0" w:line="210" w:lineRule="exact"/>
        <w:rPr>
          <w:sz w:val="24"/>
          <w:szCs w:val="24"/>
          <w:color w:val="auto"/>
        </w:rPr>
      </w:pPr>
    </w:p>
    <w:p>
      <w:pPr>
        <w:ind w:left="640" w:right="2099" w:hanging="421"/>
        <w:spacing w:after="0" w:line="235"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all the securities registered under the registration rights agreement;</w:t>
      </w:r>
    </w:p>
    <w:p>
      <w:pPr>
        <w:spacing w:after="0" w:line="208" w:lineRule="exact"/>
        <w:rPr>
          <w:rFonts w:ascii="Courier New" w:cs="Courier New" w:eastAsia="Courier New" w:hAnsi="Courier New"/>
          <w:sz w:val="18"/>
          <w:szCs w:val="18"/>
          <w:color w:val="auto"/>
        </w:rPr>
      </w:pPr>
    </w:p>
    <w:p>
      <w:pPr>
        <w:ind w:left="640" w:right="2199" w:hanging="421"/>
        <w:spacing w:after="0" w:line="236"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expiration of the holding period applicable to these securities under Rule 144(k) under the Securities Act with respect to persons who are not our affiliates; and</w:t>
      </w:r>
    </w:p>
    <w:p>
      <w:pPr>
        <w:spacing w:after="0" w:line="208" w:lineRule="exact"/>
        <w:rPr>
          <w:rFonts w:ascii="Courier New" w:cs="Courier New" w:eastAsia="Courier New" w:hAnsi="Courier New"/>
          <w:sz w:val="18"/>
          <w:szCs w:val="18"/>
          <w:color w:val="auto"/>
        </w:rPr>
      </w:pPr>
    </w:p>
    <w:p>
      <w:pPr>
        <w:ind w:left="640" w:right="3039" w:hanging="421"/>
        <w:spacing w:after="0" w:line="235"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two years from the date the registration statement is declared effective.</w:t>
      </w:r>
    </w:p>
    <w:p>
      <w:pPr>
        <w:spacing w:after="0" w:line="208" w:lineRule="exact"/>
        <w:rPr>
          <w:sz w:val="24"/>
          <w:szCs w:val="24"/>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The selling securityholders may choose to sell notes and/or the shares of common stock issuable upon conversion of the notes from time to time. See "Plan of Distribution".</w:t>
      </w:r>
    </w:p>
    <w:p>
      <w:pPr>
        <w:spacing w:after="0" w:line="203"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The following table sets forth:</w:t>
      </w:r>
    </w:p>
    <w:p>
      <w:pPr>
        <w:spacing w:after="0" w:line="207" w:lineRule="exact"/>
        <w:rPr>
          <w:sz w:val="24"/>
          <w:szCs w:val="24"/>
          <w:color w:val="auto"/>
        </w:rPr>
      </w:pPr>
    </w:p>
    <w:p>
      <w:pPr>
        <w:ind w:left="640" w:right="2099" w:hanging="421"/>
        <w:spacing w:after="0" w:line="237"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each selling securityholder who has provided us with notice as of the date of this prospectus supplement pursuant to the registration rights agreement of their intent to sell or otherwise dispose of notes and/or shares of common stock issuable upon conversion of the notes pursuant to the registration statement,</w:t>
      </w:r>
    </w:p>
    <w:p>
      <w:pPr>
        <w:spacing w:after="0" w:line="208" w:lineRule="exact"/>
        <w:rPr>
          <w:rFonts w:ascii="Courier New" w:cs="Courier New" w:eastAsia="Courier New" w:hAnsi="Courier New"/>
          <w:sz w:val="18"/>
          <w:szCs w:val="18"/>
          <w:color w:val="auto"/>
        </w:rPr>
      </w:pPr>
    </w:p>
    <w:p>
      <w:pPr>
        <w:jc w:val="both"/>
        <w:ind w:left="640" w:right="2419" w:hanging="421"/>
        <w:spacing w:after="0" w:line="236"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notes and the number of shares of our common stock issuable upon conversion of the notes which they may sell from time to time pursuant to the registration statement, and</w:t>
      </w:r>
    </w:p>
    <w:p>
      <w:pPr>
        <w:spacing w:after="0" w:line="208" w:lineRule="exact"/>
        <w:rPr>
          <w:rFonts w:ascii="Courier New" w:cs="Courier New" w:eastAsia="Courier New" w:hAnsi="Courier New"/>
          <w:sz w:val="18"/>
          <w:szCs w:val="18"/>
          <w:color w:val="auto"/>
        </w:rPr>
      </w:pPr>
    </w:p>
    <w:p>
      <w:pPr>
        <w:ind w:left="640" w:right="2099" w:hanging="421"/>
        <w:spacing w:after="0" w:line="236"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outstanding notes and our common stock beneficially owned by the selling securityholder prior to the offering, assuming no conversion of the notes.</w:t>
      </w:r>
    </w:p>
    <w:p>
      <w:pPr>
        <w:sectPr>
          <w:pgSz w:w="11900" w:h="16838" w:orient="portrait"/>
          <w:cols w:equalWidth="0" w:num="1">
            <w:col w:w="10219"/>
          </w:cols>
          <w:pgMar w:left="240" w:top="649" w:right="1440" w:bottom="1440" w:gutter="0" w:footer="0" w:header="0"/>
        </w:sectPr>
      </w:pPr>
    </w:p>
    <w:bookmarkStart w:id="1" w:name="page2"/>
    <w:bookmarkEnd w:id="1"/>
    <w:p>
      <w:pPr>
        <w:ind w:right="1879" w:firstLine="316"/>
        <w:spacing w:after="0" w:line="237" w:lineRule="auto"/>
        <w:rPr>
          <w:sz w:val="20"/>
          <w:szCs w:val="20"/>
          <w:color w:val="auto"/>
        </w:rPr>
      </w:pPr>
      <w:r>
        <w:rPr>
          <w:rFonts w:ascii="Courier New" w:cs="Courier New" w:eastAsia="Courier New" w:hAnsi="Courier New"/>
          <w:sz w:val="18"/>
          <w:szCs w:val="18"/>
          <w:color w:val="auto"/>
        </w:rPr>
        <w:t>To our knowledge, no selling securityholder nor any of its affiliates has held any position or office with, been employed by or otherwise has had any material relationship with us or our affiliates during the three years prior to the date of this prospectus.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 selling securityholder may offer all or some portion of the notes and shares of the common stock issuable upon conversion of the notes. Accordingly, no estimate can be given as to the amount or percentage of notes or our common stock that will be held by the selling securityholders upon termination of sales pursuant to this prospectus. In addition, the selling securityholders identified below may have sold, transferred or disposed of all or a portion of their notes since the date on which they provided the information regarding their holdings in transactions exempt from the registration requirements of the Securities Act.</w:t>
      </w:r>
    </w:p>
    <w:p>
      <w:pPr>
        <w:spacing w:after="0" w:line="214"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information contained under the column heading "Shares That May be Sold" assumes conversion of the full amount of the notes held by the holder at the initial rate of 7.7056 shares of common stock per each $1,000 principal amount of notes.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8"/>
                <w:szCs w:val="18"/>
                <w:color w:val="auto"/>
              </w:rPr>
              <w:t>Shares Of</w:t>
            </w:r>
          </w:p>
        </w:tc>
        <w:tc>
          <w:tcPr>
            <w:tcW w:w="74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5"/>
              </w:rPr>
              <w:t>Shares</w:t>
            </w:r>
          </w:p>
        </w:tc>
      </w:tr>
      <w:tr>
        <w:trPr>
          <w:trHeight w:val="203"/>
        </w:trPr>
        <w:tc>
          <w:tcPr>
            <w:tcW w:w="1160" w:type="dxa"/>
            <w:vAlign w:val="bottom"/>
          </w:tcPr>
          <w:p>
            <w:pPr>
              <w:spacing w:after="0"/>
              <w:rPr>
                <w:sz w:val="17"/>
                <w:szCs w:val="17"/>
                <w:color w:val="auto"/>
              </w:rPr>
            </w:pPr>
          </w:p>
        </w:tc>
        <w:tc>
          <w:tcPr>
            <w:tcW w:w="236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8"/>
              </w:rPr>
              <w:t>Amount Of</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Amount Of</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Common Stock</w:t>
            </w:r>
          </w:p>
        </w:tc>
        <w:tc>
          <w:tcPr>
            <w:tcW w:w="7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That</w:t>
            </w:r>
          </w:p>
        </w:tc>
      </w:tr>
      <w:tr>
        <w:trPr>
          <w:trHeight w:val="203"/>
        </w:trPr>
        <w:tc>
          <w:tcPr>
            <w:tcW w:w="1160" w:type="dxa"/>
            <w:vAlign w:val="bottom"/>
          </w:tcPr>
          <w:p>
            <w:pPr>
              <w:spacing w:after="0"/>
              <w:rPr>
                <w:sz w:val="17"/>
                <w:szCs w:val="17"/>
                <w:color w:val="auto"/>
              </w:rPr>
            </w:pPr>
          </w:p>
        </w:tc>
        <w:tc>
          <w:tcPr>
            <w:tcW w:w="236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Notes Owned</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Notes That</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Owned Before</w:t>
            </w:r>
          </w:p>
        </w:tc>
        <w:tc>
          <w:tcPr>
            <w:tcW w:w="7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5"/>
              </w:rPr>
              <w:t>May Be</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360" w:type="dxa"/>
            <w:vAlign w:val="bottom"/>
          </w:tcPr>
          <w:p>
            <w:pPr>
              <w:jc w:val="center"/>
              <w:ind w:left="572"/>
              <w:spacing w:after="0" w:line="203" w:lineRule="exact"/>
              <w:rPr>
                <w:sz w:val="20"/>
                <w:szCs w:val="20"/>
                <w:color w:val="auto"/>
              </w:rPr>
            </w:pPr>
            <w:r>
              <w:rPr>
                <w:rFonts w:ascii="Courier New" w:cs="Courier New" w:eastAsia="Courier New" w:hAnsi="Courier New"/>
                <w:sz w:val="18"/>
                <w:szCs w:val="18"/>
                <w:color w:val="auto"/>
                <w:w w:val="97"/>
              </w:rPr>
              <w:t>Before Offering</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May Be Sold</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Offering</w:t>
            </w:r>
          </w:p>
        </w:tc>
        <w:tc>
          <w:tcPr>
            <w:tcW w:w="7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Sold</w:t>
            </w:r>
          </w:p>
        </w:tc>
      </w:tr>
    </w:tbl>
    <w:p>
      <w:pPr>
        <w:spacing w:after="0" w:line="4" w:lineRule="exact"/>
        <w:rPr>
          <w:sz w:val="20"/>
          <w:szCs w:val="20"/>
          <w:color w:val="auto"/>
        </w:rPr>
      </w:pPr>
    </w:p>
    <w:p>
      <w:pPr>
        <w:ind w:left="3160" w:hanging="1888"/>
        <w:spacing w:after="0"/>
        <w:tabs>
          <w:tab w:leader="none" w:pos="31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20"/>
                <w:szCs w:val="20"/>
                <w:color w:val="auto"/>
              </w:rPr>
            </w:pPr>
            <w:r>
              <w:rPr>
                <w:rFonts w:ascii="Courier New" w:cs="Courier New" w:eastAsia="Courier New" w:hAnsi="Courier New"/>
                <w:sz w:val="18"/>
                <w:szCs w:val="18"/>
                <w:color w:val="auto"/>
              </w:rPr>
              <w:t>ABN AMRO Incorporated.......</w:t>
            </w:r>
          </w:p>
        </w:tc>
        <w:tc>
          <w:tcPr>
            <w:tcW w:w="14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$5,500,000</w:t>
            </w:r>
          </w:p>
        </w:tc>
        <w:tc>
          <w:tcPr>
            <w:tcW w:w="15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$5,500,000</w:t>
            </w:r>
          </w:p>
        </w:tc>
        <w:tc>
          <w:tcPr>
            <w:tcW w:w="1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42,380</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AIG/National Union Fire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Insurance..................</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1,030,000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1,030,000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7,936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Allstate Insurance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Company(1).................</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5,100,000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276,100(2)</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39,298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Allstate Life Insurance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Company(1).................</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13,100,000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13,100,000</w:t>
            </w: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276,100(2) 100,943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Aloha Airlines Non-Pilots</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Pension Trust..............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135,000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135,000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1,040</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Aloha Pilots Retirement</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Trust......................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75,000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75,000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577</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Alpha US Sub Fund VIII,</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LLC........................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9,246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Amaranth Securities L.L.C...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11,500,000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11,500,000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88,614</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American Century Equity</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3,200,000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24,657</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American Fidelity Assurance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125,000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125,000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American Stores 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250,000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Amerisure Companies/Michigan</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Mutual Insurance 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375,000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375,000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2,889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Annuity Board of the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Southern Baptist</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Convention.................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250,000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Arbitex Master Fund, L.P....</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14,000,000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107,878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Argent Classic Convertible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Arbitrage Fund (Bermuda)</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L.P. ......................</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38,000,000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292,812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Argent Classic Convertible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Arbitrage Fund L.P.........</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20,000,000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Argent Convertible Arbitrage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Fund Ltd...................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7,000,000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53,939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Arkansas PERS...............</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2,950,000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22,731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Arlington County Employees'</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Supplemental Retirement</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System.....................</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125,000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125,000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Arpeggio Fund, LP...........</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2,800,000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21,375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Associated Electric &amp; Gas</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Services Limited...........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BBT Fund, L.P...............</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15,000,000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115,584</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Banc of America Securities</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LLC........................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750,000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5,779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Bancroft Convertible Fund,</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Bankers Life Insurance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 of New York........</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145,000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145,000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1,117</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Bankers Trust Company as</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Trustee for DaimlerChrysler</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Corp. EMP #1 Pension Plan</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DTD 4/1/89.................</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6,355,000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6,355,000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48,969</w:t>
            </w:r>
          </w:p>
        </w:tc>
      </w:tr>
    </w:tbl>
    <w:p>
      <w:pPr>
        <w:sectPr>
          <w:pgSz w:w="11900" w:h="16838" w:orient="portrait"/>
          <w:cols w:equalWidth="0" w:num="1">
            <w:col w:w="10219"/>
          </w:cols>
          <w:pgMar w:left="240" w:top="723"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20"/>
                <w:szCs w:val="20"/>
                <w:color w:val="auto"/>
              </w:rPr>
            </w:pPr>
            <w:r>
              <w:rPr>
                <w:rFonts w:ascii="Courier New" w:cs="Courier New" w:eastAsia="Courier New" w:hAnsi="Courier New"/>
                <w:sz w:val="18"/>
                <w:szCs w:val="18"/>
                <w:color w:val="auto"/>
              </w:rPr>
              <w:t>Bay County PERS.............</w:t>
            </w:r>
          </w:p>
        </w:tc>
        <w:tc>
          <w:tcPr>
            <w:tcW w:w="14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235,000</w:t>
            </w:r>
          </w:p>
        </w:tc>
        <w:tc>
          <w:tcPr>
            <w:tcW w:w="18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235,000</w:t>
            </w:r>
          </w:p>
        </w:tc>
        <w:tc>
          <w:tcPr>
            <w:tcW w:w="9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1,810</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Bear, Stearns &amp; Co., Inc....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20,000,000</w:t>
            </w: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20,000,000</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Black Diamond Offshore,</w:t>
            </w:r>
          </w:p>
        </w:tc>
        <w:tc>
          <w:tcPr>
            <w:tcW w:w="14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Ltd........................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3,272,000</w:t>
            </w: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3,272,000</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25,212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Blue Cross Blue Shield of</w:t>
            </w:r>
          </w:p>
        </w:tc>
        <w:tc>
          <w:tcPr>
            <w:tcW w:w="14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Florida....................</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1,500,000</w:t>
            </w: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1,500,000</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11,558</w:t>
            </w:r>
          </w:p>
        </w:tc>
      </w:tr>
      <w:tr>
        <w:trPr>
          <w:trHeight w:val="405"/>
        </w:trPr>
        <w:tc>
          <w:tcPr>
            <w:tcW w:w="3160" w:type="dxa"/>
            <w:vAlign w:val="bottom"/>
          </w:tcPr>
          <w:p>
            <w:pPr>
              <w:spacing w:after="0"/>
              <w:rPr>
                <w:sz w:val="24"/>
                <w:szCs w:val="24"/>
                <w:color w:val="auto"/>
              </w:rPr>
            </w:pPr>
          </w:p>
        </w:tc>
        <w:tc>
          <w:tcPr>
            <w:tcW w:w="14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w:t>
            </w:r>
          </w:p>
        </w:tc>
        <w:tc>
          <w:tcPr>
            <w:tcW w:w="1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3" w:name="page4"/>
    <w:bookmarkEnd w:id="3"/>
    <w:p>
      <w:pPr>
        <w:spacing w:after="0" w:line="1"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8"/>
                <w:szCs w:val="18"/>
                <w:color w:val="auto"/>
              </w:rPr>
              <w:t>Shares Of</w:t>
            </w:r>
          </w:p>
        </w:tc>
        <w:tc>
          <w:tcPr>
            <w:tcW w:w="7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Shares</w:t>
            </w:r>
          </w:p>
        </w:tc>
      </w:tr>
      <w:tr>
        <w:trPr>
          <w:trHeight w:val="203"/>
        </w:trPr>
        <w:tc>
          <w:tcPr>
            <w:tcW w:w="1160" w:type="dxa"/>
            <w:vAlign w:val="bottom"/>
          </w:tcPr>
          <w:p>
            <w:pPr>
              <w:spacing w:after="0"/>
              <w:rPr>
                <w:sz w:val="17"/>
                <w:szCs w:val="17"/>
                <w:color w:val="auto"/>
              </w:rPr>
            </w:pPr>
          </w:p>
        </w:tc>
        <w:tc>
          <w:tcPr>
            <w:tcW w:w="2420" w:type="dxa"/>
            <w:vAlign w:val="bottom"/>
          </w:tcPr>
          <w:p>
            <w:pPr>
              <w:jc w:val="center"/>
              <w:ind w:left="532"/>
              <w:spacing w:after="0" w:line="203" w:lineRule="exact"/>
              <w:rPr>
                <w:sz w:val="20"/>
                <w:szCs w:val="20"/>
                <w:color w:val="auto"/>
              </w:rPr>
            </w:pPr>
            <w:r>
              <w:rPr>
                <w:rFonts w:ascii="Courier New" w:cs="Courier New" w:eastAsia="Courier New" w:hAnsi="Courier New"/>
                <w:sz w:val="18"/>
                <w:szCs w:val="18"/>
                <w:color w:val="auto"/>
                <w:w w:val="98"/>
              </w:rPr>
              <w:t>Amount Of</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Amount Of</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Common Stock</w:t>
            </w: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That</w:t>
            </w:r>
          </w:p>
        </w:tc>
      </w:tr>
      <w:tr>
        <w:trPr>
          <w:trHeight w:val="203"/>
        </w:trPr>
        <w:tc>
          <w:tcPr>
            <w:tcW w:w="1160" w:type="dxa"/>
            <w:vAlign w:val="bottom"/>
          </w:tcPr>
          <w:p>
            <w:pPr>
              <w:spacing w:after="0"/>
              <w:rPr>
                <w:sz w:val="17"/>
                <w:szCs w:val="17"/>
                <w:color w:val="auto"/>
              </w:rPr>
            </w:pPr>
          </w:p>
        </w:tc>
        <w:tc>
          <w:tcPr>
            <w:tcW w:w="2420" w:type="dxa"/>
            <w:vAlign w:val="bottom"/>
          </w:tcPr>
          <w:p>
            <w:pPr>
              <w:jc w:val="center"/>
              <w:ind w:left="532"/>
              <w:spacing w:after="0" w:line="203" w:lineRule="exact"/>
              <w:rPr>
                <w:sz w:val="20"/>
                <w:szCs w:val="20"/>
                <w:color w:val="auto"/>
              </w:rPr>
            </w:pPr>
            <w:r>
              <w:rPr>
                <w:rFonts w:ascii="Courier New" w:cs="Courier New" w:eastAsia="Courier New" w:hAnsi="Courier New"/>
                <w:sz w:val="18"/>
                <w:szCs w:val="18"/>
                <w:color w:val="auto"/>
                <w:w w:val="97"/>
              </w:rPr>
              <w:t>Notes Owned</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Notes That</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Owned Before</w:t>
            </w:r>
          </w:p>
        </w:tc>
        <w:tc>
          <w:tcPr>
            <w:tcW w:w="7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May Be</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420" w:type="dxa"/>
            <w:vAlign w:val="bottom"/>
          </w:tcPr>
          <w:p>
            <w:pPr>
              <w:jc w:val="center"/>
              <w:ind w:left="512"/>
              <w:spacing w:after="0" w:line="203" w:lineRule="exact"/>
              <w:rPr>
                <w:sz w:val="20"/>
                <w:szCs w:val="20"/>
                <w:color w:val="auto"/>
              </w:rPr>
            </w:pPr>
            <w:r>
              <w:rPr>
                <w:rFonts w:ascii="Courier New" w:cs="Courier New" w:eastAsia="Courier New" w:hAnsi="Courier New"/>
                <w:sz w:val="18"/>
                <w:szCs w:val="18"/>
                <w:color w:val="auto"/>
                <w:w w:val="97"/>
              </w:rPr>
              <w:t>Before Offering</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May Be Sold</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Offering</w:t>
            </w: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Sold</w:t>
            </w:r>
          </w:p>
        </w:tc>
      </w:tr>
    </w:tbl>
    <w:p>
      <w:pPr>
        <w:spacing w:after="0" w:line="4" w:lineRule="exact"/>
        <w:rPr>
          <w:sz w:val="20"/>
          <w:szCs w:val="20"/>
          <w:color w:val="auto"/>
        </w:rPr>
      </w:pPr>
    </w:p>
    <w:p>
      <w:pPr>
        <w:ind w:left="3160" w:hanging="1888"/>
        <w:spacing w:after="0"/>
        <w:tabs>
          <w:tab w:leader="none" w:pos="31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20"/>
                <w:szCs w:val="20"/>
                <w:color w:val="auto"/>
              </w:rPr>
            </w:pPr>
            <w:r>
              <w:rPr>
                <w:rFonts w:ascii="Courier New" w:cs="Courier New" w:eastAsia="Courier New" w:hAnsi="Courier New"/>
                <w:sz w:val="18"/>
                <w:szCs w:val="18"/>
                <w:color w:val="auto"/>
              </w:rPr>
              <w:t>Boston Medical Center.......</w:t>
            </w: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100,000</w:t>
            </w:r>
          </w:p>
        </w:tc>
        <w:tc>
          <w:tcPr>
            <w:tcW w:w="1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100,000</w:t>
            </w: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770</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 &amp; H Sugar Company, Inc. ..</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200,000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California State Automobile</w:t>
            </w: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Association Inter-</w:t>
            </w: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Insurance..................</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1,400,000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10,787</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CALAMOS Convertible</w:t>
            </w: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Technology Fund - CALAMOS</w:t>
            </w: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 Trust...........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50,000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CGU Life Insurance Company</w:t>
            </w: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America.................</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1,500,000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CIBC World Markets</w:t>
            </w: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International Arbitrage</w:t>
            </w: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Corp.......................</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20,000,000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CPA II......................</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350,000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2,696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CWA/ITU Negotiated Pension</w:t>
            </w: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Plan.......................</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350,000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2,696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CapitalCare, Inc............</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40,000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CareFirst of Maryland,</w:t>
            </w: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175,000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175,000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Chase Manhattan</w:t>
            </w: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International..............</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22,500,000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22,500,000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173,376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Christiana Care Health</w:t>
            </w: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Services...................</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175,000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175,000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Christiana Care Health</w:t>
            </w: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Services Retirement Trust..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125,000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125,000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Christiana Care Health</w:t>
            </w: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Services Self Insurance</w:t>
            </w: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Reserve Fund...............</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175,000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175,000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City of Birmingham</w:t>
            </w: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Retirement &amp; Relief</w:t>
            </w: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System.....................</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1,015,000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1,015,000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7,821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City of New Bedford</w:t>
            </w: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Retirement System..........</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City of Worcester Retirement</w:t>
            </w: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System.....................</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150,000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Clinton Riverside</w:t>
            </w: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Convertible Portfolio</w:t>
            </w: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Limited....................</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4,000,000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30,822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Conseco Annuity Assurance</w:t>
            </w: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Company-Multi-Bucket</w:t>
            </w: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Annuity Convertible Bond</w:t>
            </w: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Fund.......................</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4,500,000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4,500,000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34,675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Conseco Fund Group--</w:t>
            </w: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Convertible Securities</w:t>
            </w: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Fund.......................</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1,000,000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Cornell University</w:t>
            </w: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Endowment..................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400,000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Curtiss-Wright Retirement</w:t>
            </w: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Plan.......................</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D.E. Shaw Investments,</w:t>
            </w: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L.P........................</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2,200,000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16,952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D.E. Shaw Valence, L.P......</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8,800,000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8,800,000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67,809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Delaware PERS...............</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2,655,000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2,655,000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20,458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Deephaven Domestic</w:t>
            </w: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Convertible Trading Ltd....</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30,000,000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30,000,000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231,168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Deutsche Bank Securities</w:t>
            </w: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125,500,000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125,500,000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967,052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Double Black Diamond</w:t>
            </w: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Offshore, LDC..............</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13,526,000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13,526,000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104,225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Dow Corning Retirement</w:t>
            </w: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Plan.......................</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400,000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El Paso County Retirement</w:t>
            </w: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Plan.......................</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125,000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125,000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El Pomar Foundation.........</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250,000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Ellsworth Convertible Growth</w:t>
            </w: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Income Fund, Inc.......</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1,000,000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Ensign Peak Advisors........</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425,000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425,000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3,274</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Entergy Services, Inc.......</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125,000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125,000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F.R. Convertible Securities</w:t>
            </w: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Fund.......................</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120,000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924</w:t>
            </w:r>
          </w:p>
        </w:tc>
      </w:tr>
    </w:tbl>
    <w:p>
      <w:pPr>
        <w:sectPr>
          <w:pgSz w:w="11900" w:h="16838" w:orient="portrait"/>
          <w:cols w:equalWidth="0" w:num="1">
            <w:col w:w="10219"/>
          </w:cols>
          <w:pgMar w:left="240" w:top="1122" w:right="1440"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20"/>
                <w:szCs w:val="20"/>
                <w:color w:val="auto"/>
              </w:rPr>
            </w:pPr>
            <w:r>
              <w:rPr>
                <w:rFonts w:ascii="Courier New" w:cs="Courier New" w:eastAsia="Courier New" w:hAnsi="Courier New"/>
                <w:sz w:val="18"/>
                <w:szCs w:val="18"/>
                <w:color w:val="auto"/>
              </w:rPr>
              <w:t>Fairfax County..............</w:t>
            </w:r>
          </w:p>
        </w:tc>
        <w:tc>
          <w:tcPr>
            <w:tcW w:w="1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250,000</w:t>
            </w: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250,000</w:t>
            </w: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1,926</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Firemen's Annuity &amp; Benefit</w:t>
            </w:r>
          </w:p>
        </w:tc>
        <w:tc>
          <w:tcPr>
            <w:tcW w:w="17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Fund of Chicago............</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200,000</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First Republic Bank.........</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115,000</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115,000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886</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 and Marshall</w:t>
            </w:r>
          </w:p>
        </w:tc>
        <w:tc>
          <w:tcPr>
            <w:tcW w:w="17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College....................</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420,000</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420,000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3,236</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FreeState Health Plan,</w:t>
            </w:r>
          </w:p>
        </w:tc>
        <w:tc>
          <w:tcPr>
            <w:tcW w:w="17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45,000</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45,000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346</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Goldman, Sachs &amp; Co.........</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26,475,000(3)</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22,640,000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174,454</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Granville Capital</w:t>
            </w:r>
          </w:p>
        </w:tc>
        <w:tc>
          <w:tcPr>
            <w:tcW w:w="17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Corporation................</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77,315,000</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77,315,000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595,758</w:t>
            </w:r>
          </w:p>
        </w:tc>
      </w:tr>
      <w:tr>
        <w:trPr>
          <w:trHeight w:val="405"/>
        </w:trPr>
        <w:tc>
          <w:tcPr>
            <w:tcW w:w="3220" w:type="dxa"/>
            <w:vAlign w:val="bottom"/>
          </w:tcPr>
          <w:p>
            <w:pPr>
              <w:spacing w:after="0"/>
              <w:rPr>
                <w:sz w:val="24"/>
                <w:szCs w:val="24"/>
                <w:color w:val="auto"/>
              </w:rPr>
            </w:pPr>
          </w:p>
        </w:tc>
        <w:tc>
          <w:tcPr>
            <w:tcW w:w="17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w:t>
            </w:r>
          </w:p>
        </w:tc>
        <w:tc>
          <w:tcPr>
            <w:tcW w:w="1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5" w:name="page6"/>
    <w:bookmarkEnd w:id="5"/>
    <w:p>
      <w:pPr>
        <w:spacing w:after="0" w:line="1"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8"/>
                <w:szCs w:val="18"/>
                <w:color w:val="auto"/>
              </w:rPr>
              <w:t>Shares Of</w:t>
            </w:r>
          </w:p>
        </w:tc>
        <w:tc>
          <w:tcPr>
            <w:tcW w:w="860" w:type="dxa"/>
            <w:vAlign w:val="bottom"/>
          </w:tcPr>
          <w:p>
            <w:pPr>
              <w:ind w:left="120"/>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1160" w:type="dxa"/>
            <w:vAlign w:val="bottom"/>
          </w:tcPr>
          <w:p>
            <w:pPr>
              <w:spacing w:after="0"/>
              <w:rPr>
                <w:sz w:val="17"/>
                <w:szCs w:val="17"/>
                <w:color w:val="auto"/>
              </w:rPr>
            </w:pPr>
          </w:p>
        </w:tc>
        <w:tc>
          <w:tcPr>
            <w:tcW w:w="236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8"/>
              </w:rPr>
              <w:t>Amount Of</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Amount Of</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Common Stock</w:t>
            </w:r>
          </w:p>
        </w:tc>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That</w:t>
            </w:r>
          </w:p>
        </w:tc>
      </w:tr>
      <w:tr>
        <w:trPr>
          <w:trHeight w:val="203"/>
        </w:trPr>
        <w:tc>
          <w:tcPr>
            <w:tcW w:w="1160" w:type="dxa"/>
            <w:vAlign w:val="bottom"/>
          </w:tcPr>
          <w:p>
            <w:pPr>
              <w:spacing w:after="0"/>
              <w:rPr>
                <w:sz w:val="17"/>
                <w:szCs w:val="17"/>
                <w:color w:val="auto"/>
              </w:rPr>
            </w:pPr>
          </w:p>
        </w:tc>
        <w:tc>
          <w:tcPr>
            <w:tcW w:w="236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Notes Owned</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Notes That</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Owned Before</w:t>
            </w:r>
          </w:p>
        </w:tc>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May</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360" w:type="dxa"/>
            <w:vAlign w:val="bottom"/>
          </w:tcPr>
          <w:p>
            <w:pPr>
              <w:jc w:val="center"/>
              <w:ind w:left="572"/>
              <w:spacing w:after="0" w:line="203" w:lineRule="exact"/>
              <w:rPr>
                <w:sz w:val="20"/>
                <w:szCs w:val="20"/>
                <w:color w:val="auto"/>
              </w:rPr>
            </w:pPr>
            <w:r>
              <w:rPr>
                <w:rFonts w:ascii="Courier New" w:cs="Courier New" w:eastAsia="Courier New" w:hAnsi="Courier New"/>
                <w:sz w:val="18"/>
                <w:szCs w:val="18"/>
                <w:color w:val="auto"/>
                <w:w w:val="97"/>
              </w:rPr>
              <w:t>Before Offering</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May Be Sold</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Offering</w:t>
            </w:r>
          </w:p>
        </w:tc>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Be Sold</w:t>
            </w:r>
          </w:p>
        </w:tc>
      </w:tr>
    </w:tbl>
    <w:p>
      <w:pPr>
        <w:spacing w:after="0" w:line="4" w:lineRule="exact"/>
        <w:rPr>
          <w:sz w:val="20"/>
          <w:szCs w:val="20"/>
          <w:color w:val="auto"/>
        </w:rPr>
      </w:pPr>
    </w:p>
    <w:p>
      <w:pPr>
        <w:ind w:left="3160" w:hanging="1888"/>
        <w:spacing w:after="0"/>
        <w:tabs>
          <w:tab w:leader="none" w:pos="31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gridSpan w:val="2"/>
          </w:tcPr>
          <w:p>
            <w:pPr>
              <w:spacing w:after="0"/>
              <w:rPr>
                <w:sz w:val="20"/>
                <w:szCs w:val="20"/>
                <w:color w:val="auto"/>
              </w:rPr>
            </w:pPr>
            <w:r>
              <w:rPr>
                <w:rFonts w:ascii="Courier New" w:cs="Courier New" w:eastAsia="Courier New" w:hAnsi="Courier New"/>
                <w:sz w:val="18"/>
                <w:szCs w:val="18"/>
                <w:color w:val="auto"/>
              </w:rPr>
              <w:t>Great-West Life &amp; Annuity</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Insurance 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10,000,000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77,056</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Group Hospitalization and</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Medical Services, Inc. ....</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Gryphon Domestic III, LLC...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8,100,000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8,100,000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62,415</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Hawaiian Airlines Pension</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Plan for Salaried</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Employees..................</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Hawaiian Airlines Pilots</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Retirement Plan............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924</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Hawaiian Airlines Employees</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Pension Plan--IAM..........</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Healthcare Underwriters</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Mutual Insurance 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800,000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6,164</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Highbridge International</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86"/>
              </w:rPr>
              <w:t>LLC</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36,500,000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36,500,000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281,254</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IBM</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Pension Plan............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1,450,000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1,450,000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11,173</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ICI</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American Holdings</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Trust......................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1,235,000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1,235,000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9,516</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IL Annuity &amp; Insurance</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61,000,000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61,000,000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470,041</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Investcorp-SAM Fund</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Limited....................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8,700,000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8,700,000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67,038</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Island Holdings.............</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Island Insurance Convertible</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Account....................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225,000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225,000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1,733</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JMG</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Partners, LP....</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18,500,000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18,500,000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142,553</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JMG</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Triton Offshore Fund,</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86"/>
              </w:rPr>
              <w:t>Ltd</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11,558</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J.P. Morgan Securities,</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86"/>
              </w:rPr>
              <w:t>Inc</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30,219,000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30,219,000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232,855</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Julius Baer Securities,</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86"/>
              </w:rPr>
              <w:t>Inc</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1,370,000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1,370,000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10,556</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KBC</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Financial Products,</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86"/>
              </w:rPr>
              <w:t>Inc</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8,000,000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8,000,000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61,644</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Kerr-McGee Corporation......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925,000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925,000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7,127</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 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Agent for Aerojet 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Foundation.................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 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Agent for the Charitable</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Convertible Securities</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1,650,000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1,650,000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12,714</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 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Agent for the Charitable</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Income 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265,000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265,000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2,041</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 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Agent for the EB</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Convertible Securities</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1,650,000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1,650,000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12,714</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 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Agent for the Field</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Foundation of Illinois.....</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75,000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75,000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577</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 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Agent for the Key Trust</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Convertible Securities</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2,311</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 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Agent for the Key Trust</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Fixed Income 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415,000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415,000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3,197</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 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Agent for the Omnova</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Solutions..................</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847</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 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Agent for the Parker</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Key/Convertible 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370,000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2,851</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 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Agent for Union Security</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Life Insurance 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 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ectPr>
          <w:pgSz w:w="11900" w:h="16838" w:orient="portrait"/>
          <w:cols w:equalWidth="0" w:num="1">
            <w:col w:w="10219"/>
          </w:cols>
          <w:pgMar w:left="240" w:top="1122"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ind w:left="120"/>
              <w:spacing w:after="0"/>
              <w:rPr>
                <w:sz w:val="20"/>
                <w:szCs w:val="20"/>
                <w:color w:val="auto"/>
              </w:rPr>
            </w:pPr>
            <w:r>
              <w:rPr>
                <w:rFonts w:ascii="Courier New" w:cs="Courier New" w:eastAsia="Courier New" w:hAnsi="Courier New"/>
                <w:sz w:val="18"/>
                <w:szCs w:val="18"/>
                <w:color w:val="auto"/>
              </w:rPr>
              <w:t>as</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Agent for Victory</w:t>
            </w:r>
          </w:p>
        </w:tc>
        <w:tc>
          <w:tcPr>
            <w:tcW w:w="2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470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Convertible Securities</w:t>
            </w:r>
          </w:p>
        </w:tc>
        <w:tc>
          <w:tcPr>
            <w:tcW w:w="1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3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74"/>
              </w:rPr>
              <w:t>Fund.......................</w:t>
            </w:r>
          </w:p>
        </w:tc>
        <w:tc>
          <w:tcPr>
            <w:tcW w:w="2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1,400,000</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1,400,000</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10,787</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Asset Management,</w:t>
            </w:r>
          </w:p>
        </w:tc>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Agent for Victory</w:t>
            </w:r>
          </w:p>
        </w:tc>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w:t>
            </w:r>
          </w:p>
        </w:tc>
        <w:tc>
          <w:tcPr>
            <w:tcW w:w="1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3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74"/>
              </w:rPr>
              <w:t>Quality Bond Fund..........</w:t>
            </w:r>
          </w:p>
        </w:tc>
        <w:tc>
          <w:tcPr>
            <w:tcW w:w="2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170,000</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170,000</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1,309</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Asset Management,</w:t>
            </w:r>
          </w:p>
        </w:tc>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4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Investment Manager for</w:t>
            </w:r>
          </w:p>
        </w:tc>
        <w:tc>
          <w:tcPr>
            <w:tcW w:w="1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3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the California State</w:t>
            </w:r>
          </w:p>
        </w:tc>
        <w:tc>
          <w:tcPr>
            <w:tcW w:w="2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3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Automobile Inter-</w:t>
            </w:r>
          </w:p>
        </w:tc>
        <w:tc>
          <w:tcPr>
            <w:tcW w:w="2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3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74"/>
              </w:rPr>
              <w:t>Insurance..................</w:t>
            </w:r>
          </w:p>
        </w:tc>
        <w:tc>
          <w:tcPr>
            <w:tcW w:w="2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530,000</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530,000</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4,083</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Asset Management,</w:t>
            </w:r>
          </w:p>
        </w:tc>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4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Investment Manager for</w:t>
            </w:r>
          </w:p>
        </w:tc>
        <w:tc>
          <w:tcPr>
            <w:tcW w:w="1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470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California State Automobile</w:t>
            </w:r>
          </w:p>
        </w:tc>
        <w:tc>
          <w:tcPr>
            <w:tcW w:w="1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3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74"/>
              </w:rPr>
              <w:t>Retirement Pension.........</w:t>
            </w:r>
          </w:p>
        </w:tc>
        <w:tc>
          <w:tcPr>
            <w:tcW w:w="2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110,000</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110,000</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847</w:t>
            </w:r>
          </w:p>
        </w:tc>
      </w:tr>
      <w:tr>
        <w:trPr>
          <w:trHeight w:val="405"/>
        </w:trPr>
        <w:tc>
          <w:tcPr>
            <w:tcW w:w="3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w:t>
            </w:r>
          </w:p>
        </w:tc>
        <w:tc>
          <w:tcPr>
            <w:tcW w:w="1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Shares Of</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3160" w:type="dxa"/>
            <w:vAlign w:val="bottom"/>
          </w:tcPr>
          <w:p>
            <w:pPr>
              <w:spacing w:after="0"/>
              <w:rPr>
                <w:sz w:val="17"/>
                <w:szCs w:val="17"/>
                <w:color w:val="auto"/>
              </w:rPr>
            </w:pP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Amount Of</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Amount Of</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Common Stock</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That</w:t>
            </w:r>
          </w:p>
        </w:tc>
      </w:tr>
      <w:tr>
        <w:trPr>
          <w:trHeight w:val="203"/>
        </w:trPr>
        <w:tc>
          <w:tcPr>
            <w:tcW w:w="3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Notes Owned</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Notes That</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Owned Before</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May</w:t>
            </w:r>
          </w:p>
        </w:tc>
      </w:tr>
      <w:tr>
        <w:trPr>
          <w:trHeight w:val="203"/>
        </w:trPr>
        <w:tc>
          <w:tcPr>
            <w:tcW w:w="316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Name</w:t>
            </w:r>
          </w:p>
        </w:tc>
        <w:tc>
          <w:tcPr>
            <w:tcW w:w="3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Before Offering May Be Sold</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Offering</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Be Sold</w:t>
            </w:r>
          </w:p>
        </w:tc>
      </w:tr>
      <w:tr>
        <w:trPr>
          <w:trHeight w:val="203"/>
        </w:trPr>
        <w:tc>
          <w:tcPr>
            <w:tcW w:w="316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w:t>
            </w:r>
          </w:p>
        </w:tc>
        <w:tc>
          <w:tcPr>
            <w:tcW w:w="52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 ----------- ------------- -------</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Key Asset Management, Inc. as</w:t>
            </w: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 Manager for the</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Health Foundation of Greater</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Cincinnati..................</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235,000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235,000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1,810</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 as</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 Manager for the</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JCPenney Life Insurance</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Company.....................</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 as</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 Manager for the</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Potlatch-First Trust Company</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of St. Paul.................</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1,050,000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1,050,000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8,090</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 as</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 Manager for the</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Standard Insurance Company..</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640,000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4,931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 as</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 Manager for the</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University of South Florida</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Foundation..................</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Lehman Brothers, Inc.........</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19,500,000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19,500,000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150,259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Lipper Convertibles, L.P.....</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11,500,000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11,500,000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88,614</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Lipper Convertibles Series</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II, L.P.....................</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Lipper Offshore Convertibles,</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L.P.........................</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1,500,000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Loomis Sayles Bond Fund......</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Lucent Technologies Master</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Pension Trust...............</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4,238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Lutheran Brotherhood.........</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6,000,000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6,000,000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13,430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46,233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Lydian Overseas Partners</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Master Fund.................</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55,000,000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55,000,000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423,808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MAG Mutual Insurance</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Company.....................</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MFS Total Return Fund........</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1,160,000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1,160,000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8,938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Maine State Retirement</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System......................</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Maxim Corporate Bond Fund....</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750,000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5,779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Medical Liability Mutual</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Insurance Company...........</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27,500,000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27,500,000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15,500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211,904</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Merrill Lynch Pierce Fenner &amp;</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Smith, Inc..................</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4,615,000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4,615,000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35,561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MetLife Separate Account</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235.........................</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Museum of Fine Arts, Boston..</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44,000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Nalco Chemical Company.......</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Nashville Electric Service...</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NCMIC Insurance Company......</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1,500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New York Life Insurance</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Company.....................</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5,500,000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5,500,000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42,380</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New York State Electric &amp; Gas</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Corp. Retirement Benefit</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Plan........................</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4,238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Nike, Inc. Profit Sharing</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Plan........................</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Nomura Securities</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International, Inc..........</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3,000,000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3,000,000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248,130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23,116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NORCAL Mutual Insurance</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Company.....................</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225,000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225,000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Northern Income Equity Fund..</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Northwestern Mutual Life</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Insurance Company...........</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16,500,000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16,500,000</w:t>
            </w: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111,600(4) 127,142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Nstar (Boston Edison) Union</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Medical VEBA................</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Nuclear Electric Insurance</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Ltd.........................</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775,000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775,000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5,971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OHIC Insurance Company.......</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Oppenheimer Convertible</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Securities Fund.............</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12,000,000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12,000,000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92,467</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Paloma Securities L.L.C. ....</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3,500,000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3,500,000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11,800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26,969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Parker-Hannifin Corporation..</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81,000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81,000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624</w:t>
            </w:r>
          </w:p>
        </w:tc>
      </w:tr>
    </w:tbl>
    <w:p>
      <w:pPr>
        <w:sectPr>
          <w:pgSz w:w="11900" w:h="16838" w:orient="portrait"/>
          <w:cols w:equalWidth="0" w:num="1">
            <w:col w:w="10219"/>
          </w:cols>
          <w:pgMar w:left="240" w:top="1122" w:right="1440"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Courier New" w:cs="Courier New" w:eastAsia="Courier New" w:hAnsi="Courier New"/>
                <w:sz w:val="18"/>
                <w:szCs w:val="18"/>
                <w:color w:val="auto"/>
              </w:rPr>
              <w:t>Pell Rudman Trust Company....</w:t>
            </w:r>
          </w:p>
        </w:tc>
        <w:tc>
          <w:tcPr>
            <w:tcW w:w="14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4,335,000</w:t>
            </w:r>
          </w:p>
        </w:tc>
        <w:tc>
          <w:tcPr>
            <w:tcW w:w="14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4,335,000</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534,052</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33,403</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Penn Treaty Network America</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Insurance Company...........</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515,000</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515,000</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3,968</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Pension Reserves Investment</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Trust.......................</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800,000</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800,000</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6,164</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Peoples Benefit Life</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Insurance Company (Teamsters</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Separate Account)...........</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5,000,000</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5,000,000</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38,528</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Physicians' Reciprocal</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Insurers Account #7.........</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1,000,000</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1,000,000</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w:t>
            </w:r>
          </w:p>
        </w:tc>
      </w:tr>
      <w:tr>
        <w:trPr>
          <w:trHeight w:val="405"/>
        </w:trPr>
        <w:tc>
          <w:tcPr>
            <w:tcW w:w="3320" w:type="dxa"/>
            <w:vAlign w:val="bottom"/>
          </w:tcPr>
          <w:p>
            <w:pPr>
              <w:spacing w:after="0"/>
              <w:rPr>
                <w:sz w:val="24"/>
                <w:szCs w:val="24"/>
                <w:color w:val="auto"/>
              </w:rPr>
            </w:pPr>
          </w:p>
        </w:tc>
        <w:tc>
          <w:tcPr>
            <w:tcW w:w="14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w:t>
            </w: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9" w:name="page10"/>
    <w:bookmarkEnd w:id="9"/>
    <w:p>
      <w:pPr>
        <w:spacing w:after="0" w:line="1"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8"/>
                <w:szCs w:val="18"/>
                <w:color w:val="auto"/>
              </w:rPr>
              <w:t>Shares Of</w:t>
            </w:r>
          </w:p>
        </w:tc>
        <w:tc>
          <w:tcPr>
            <w:tcW w:w="860" w:type="dxa"/>
            <w:vAlign w:val="bottom"/>
          </w:tcPr>
          <w:p>
            <w:pPr>
              <w:ind w:left="120"/>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1160" w:type="dxa"/>
            <w:vAlign w:val="bottom"/>
          </w:tcPr>
          <w:p>
            <w:pPr>
              <w:spacing w:after="0"/>
              <w:rPr>
                <w:sz w:val="17"/>
                <w:szCs w:val="17"/>
                <w:color w:val="auto"/>
              </w:rPr>
            </w:pPr>
          </w:p>
        </w:tc>
        <w:tc>
          <w:tcPr>
            <w:tcW w:w="236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8"/>
              </w:rPr>
              <w:t>Amount Of</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Amount Of</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Common Stock</w:t>
            </w:r>
          </w:p>
        </w:tc>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That</w:t>
            </w:r>
          </w:p>
        </w:tc>
      </w:tr>
      <w:tr>
        <w:trPr>
          <w:trHeight w:val="203"/>
        </w:trPr>
        <w:tc>
          <w:tcPr>
            <w:tcW w:w="1160" w:type="dxa"/>
            <w:vAlign w:val="bottom"/>
          </w:tcPr>
          <w:p>
            <w:pPr>
              <w:spacing w:after="0"/>
              <w:rPr>
                <w:sz w:val="17"/>
                <w:szCs w:val="17"/>
                <w:color w:val="auto"/>
              </w:rPr>
            </w:pPr>
          </w:p>
        </w:tc>
        <w:tc>
          <w:tcPr>
            <w:tcW w:w="236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Notes Owned</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Notes That</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Owned Before</w:t>
            </w:r>
          </w:p>
        </w:tc>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May</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360" w:type="dxa"/>
            <w:vAlign w:val="bottom"/>
          </w:tcPr>
          <w:p>
            <w:pPr>
              <w:jc w:val="center"/>
              <w:ind w:left="572"/>
              <w:spacing w:after="0" w:line="203" w:lineRule="exact"/>
              <w:rPr>
                <w:sz w:val="20"/>
                <w:szCs w:val="20"/>
                <w:color w:val="auto"/>
              </w:rPr>
            </w:pPr>
            <w:r>
              <w:rPr>
                <w:rFonts w:ascii="Courier New" w:cs="Courier New" w:eastAsia="Courier New" w:hAnsi="Courier New"/>
                <w:sz w:val="18"/>
                <w:szCs w:val="18"/>
                <w:color w:val="auto"/>
                <w:w w:val="97"/>
              </w:rPr>
              <w:t>Before Offering</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May Be Sold</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Offering</w:t>
            </w:r>
          </w:p>
        </w:tc>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Be Sold</w:t>
            </w:r>
          </w:p>
        </w:tc>
      </w:tr>
    </w:tbl>
    <w:p>
      <w:pPr>
        <w:spacing w:after="0" w:line="4" w:lineRule="exact"/>
        <w:rPr>
          <w:sz w:val="20"/>
          <w:szCs w:val="20"/>
          <w:color w:val="auto"/>
        </w:rPr>
      </w:pPr>
    </w:p>
    <w:p>
      <w:pPr>
        <w:ind w:left="3160" w:hanging="1888"/>
        <w:spacing w:after="0"/>
        <w:tabs>
          <w:tab w:leader="none" w:pos="31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gridSpan w:val="2"/>
          </w:tcPr>
          <w:p>
            <w:pPr>
              <w:spacing w:after="0"/>
              <w:rPr>
                <w:sz w:val="20"/>
                <w:szCs w:val="20"/>
                <w:color w:val="auto"/>
              </w:rPr>
            </w:pPr>
            <w:r>
              <w:rPr>
                <w:rFonts w:ascii="Courier New" w:cs="Courier New" w:eastAsia="Courier New" w:hAnsi="Courier New"/>
                <w:sz w:val="18"/>
                <w:szCs w:val="18"/>
                <w:color w:val="auto"/>
              </w:rPr>
              <w:t>PIMCO Convertible Fund......</w:t>
            </w:r>
          </w:p>
        </w:tc>
        <w:tc>
          <w:tcPr>
            <w:tcW w:w="14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3,200,000</w:t>
            </w:r>
          </w:p>
        </w:tc>
        <w:tc>
          <w:tcPr>
            <w:tcW w:w="15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3,200,000</w:t>
            </w:r>
          </w:p>
        </w:tc>
        <w:tc>
          <w:tcPr>
            <w:tcW w:w="11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rPr>
                <w:sz w:val="20"/>
                <w:szCs w:val="20"/>
                <w:color w:val="auto"/>
              </w:rPr>
            </w:pPr>
            <w:r>
              <w:rPr>
                <w:rFonts w:ascii="Courier New" w:cs="Courier New" w:eastAsia="Courier New" w:hAnsi="Courier New"/>
                <w:sz w:val="18"/>
                <w:szCs w:val="18"/>
                <w:color w:val="auto"/>
              </w:rPr>
              <w:t>24,657</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PRIM Board..................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4,500,000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34,675</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Primerica Life Insurance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Company</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2,226,000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2,226,000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17,152</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ProMutual...................</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162,000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162,000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1,248</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Putnam Asset Allocation</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Funds--</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Balanced Portfolio..</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332,000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332,000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2,558</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Putnam Asset Allocation</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Funds--</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Conservative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Portfolio..................</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199,000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1,533</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Putnam Convertible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Opportunities and Income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Trust......................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109,000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109,000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839</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Quattro Fund, LLC ..........</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3,000,000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23,116</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Queen's Health Plan.........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45,000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346</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RET Pension Plan of the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California State Automobile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Association................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3,082</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Reliant Energy Retirement</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Plan.......................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Rhapsody Fund, LP...........</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9,700,000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9,700,000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74,744</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Robertson Stephens..........</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14,800,000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14,800,000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114,042</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Rohm &amp; Haas Company Pension</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SG Cowen Securities Corp....</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17,500,000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17,500,000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134,848</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Salomon Brothers Asset</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Management, Inc. ..........</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4,550,000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35,060</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Salomon Smith Barney Inc....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Southern Farm Bureau Life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Insurance..................</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1,530,000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1,530,000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11,789</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 Albans Partners Ltd.....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5,000,000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38,528</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Starvest Combined</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Portfolio..................</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1,260,000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1,260,000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9,709</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Starvest Managed Portfolio..</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1,078</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of Oregon/Equity......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7,450,000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57,406</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of Oregon/SAIF</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Corporation................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5,350,000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41,224</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Street Bank as</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Custodian for GE Pension</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Trust......................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3,135,000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3,135,000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24,157</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Sun America Style Select</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Series Equity Income.......</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450,000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3,467</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Target Corporation..........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350,000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2,696</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Thomas Weisel Partners LLC..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24,275,000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24,275,000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94,200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187,053</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Toronto Dominion (New York),</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Inc........................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39,000,000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300,518</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Transamerica Life Insurance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and Annuity 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4,000,000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30,822</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Travelers Indemnity</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Company</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7,223,000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7,223,000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55,657</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Travelers Insurance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Company--Life..............</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3,772,000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3,772,000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29,065</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Travelers Insurance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Company Separate Account</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TLAC.......................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428,000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428,000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3,297</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Travelers Life and</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Annuity 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451,000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451,000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3,475</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Travelers Series Convertible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Bond Portfolio.............</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4,623</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Travelers Series Managed</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Assets Trust...............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2,311</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UBFAM Arbitrage Fund Ltd. ..</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UBS AG, London Branch.......</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27,500,000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27,500,000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211,904</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U.S. Olympic Foundation.....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United Food and Commercial</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Workers Tri-State Pension</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United Healthcare Insurance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Company</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2,000,000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University of Rochester.....</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41,000</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w:t>
            </w:r>
          </w:p>
        </w:tc>
      </w:tr>
    </w:tbl>
    <w:p>
      <w:pPr>
        <w:sectPr>
          <w:pgSz w:w="11900" w:h="16838" w:orient="portrait"/>
          <w:cols w:equalWidth="0" w:num="1">
            <w:col w:w="10219"/>
          </w:cols>
          <w:pgMar w:left="240" w:top="1122" w:right="1440" w:bottom="0" w:gutter="0" w:footer="0" w:header="0"/>
        </w:sectPr>
      </w:pPr>
    </w:p>
    <w:bookmarkStart w:id="10" w:name="page11"/>
    <w:bookmarkEnd w:id="10"/>
    <w:p>
      <w:pPr>
        <w:ind w:left="3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019"/>
          </w:cols>
          <w:pgMar w:left="1440" w:top="339" w:right="1440" w:bottom="1440" w:gutter="0" w:footer="0" w:header="0"/>
        </w:sectPr>
      </w:pPr>
    </w:p>
    <w:bookmarkStart w:id="11" w:name="page12"/>
    <w:bookmarkEnd w:id="11"/>
    <w:tbl>
      <w:tblPr>
        <w:tblLayout w:type="fixed"/>
        <w:tblInd w:w="1160" w:type="dxa"/>
        <w:tblCellMar>
          <w:top w:w="0" w:type="dxa"/>
          <w:left w:w="0" w:type="dxa"/>
          <w:bottom w:w="0" w:type="dxa"/>
          <w:right w:w="0" w:type="dxa"/>
        </w:tblCellMar>
      </w:tblPr>
      <w:tr>
        <w:trPr>
          <w:trHeight w:val="204"/>
        </w:trPr>
        <w:tc>
          <w:tcPr>
            <w:tcW w:w="1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60" w:type="dxa"/>
            <w:vAlign w:val="bottom"/>
          </w:tcPr>
          <w:p>
            <w:pPr>
              <w:ind w:left="260"/>
              <w:spacing w:after="0"/>
              <w:rPr>
                <w:sz w:val="20"/>
                <w:szCs w:val="20"/>
                <w:color w:val="auto"/>
              </w:rPr>
            </w:pPr>
            <w:r>
              <w:rPr>
                <w:rFonts w:ascii="Courier New" w:cs="Courier New" w:eastAsia="Courier New" w:hAnsi="Courier New"/>
                <w:sz w:val="18"/>
                <w:szCs w:val="18"/>
                <w:color w:val="auto"/>
              </w:rPr>
              <w:t>Shares Of</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1120" w:type="dxa"/>
            <w:vAlign w:val="bottom"/>
          </w:tcPr>
          <w:p>
            <w:pPr>
              <w:spacing w:after="0"/>
              <w:rPr>
                <w:sz w:val="17"/>
                <w:szCs w:val="17"/>
                <w:color w:val="auto"/>
              </w:rPr>
            </w:pPr>
          </w:p>
        </w:tc>
        <w:tc>
          <w:tcPr>
            <w:tcW w:w="2320" w:type="dxa"/>
            <w:vAlign w:val="bottom"/>
          </w:tcPr>
          <w:p>
            <w:pPr>
              <w:jc w:val="center"/>
              <w:ind w:left="532"/>
              <w:spacing w:after="0" w:line="203" w:lineRule="exact"/>
              <w:rPr>
                <w:sz w:val="20"/>
                <w:szCs w:val="20"/>
                <w:color w:val="auto"/>
              </w:rPr>
            </w:pPr>
            <w:r>
              <w:rPr>
                <w:rFonts w:ascii="Courier New" w:cs="Courier New" w:eastAsia="Courier New" w:hAnsi="Courier New"/>
                <w:sz w:val="18"/>
                <w:szCs w:val="18"/>
                <w:color w:val="auto"/>
                <w:w w:val="96"/>
              </w:rPr>
              <w:t>Amount Of</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Amount Of</w:t>
            </w:r>
          </w:p>
        </w:tc>
        <w:tc>
          <w:tcPr>
            <w:tcW w:w="14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Common Stock</w:t>
            </w:r>
          </w:p>
        </w:tc>
        <w:tc>
          <w:tcPr>
            <w:tcW w:w="9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That</w:t>
            </w:r>
          </w:p>
        </w:tc>
      </w:tr>
      <w:tr>
        <w:trPr>
          <w:trHeight w:val="203"/>
        </w:trPr>
        <w:tc>
          <w:tcPr>
            <w:tcW w:w="1120" w:type="dxa"/>
            <w:vAlign w:val="bottom"/>
          </w:tcPr>
          <w:p>
            <w:pPr>
              <w:spacing w:after="0"/>
              <w:rPr>
                <w:sz w:val="17"/>
                <w:szCs w:val="17"/>
                <w:color w:val="auto"/>
              </w:rPr>
            </w:pPr>
          </w:p>
        </w:tc>
        <w:tc>
          <w:tcPr>
            <w:tcW w:w="2320" w:type="dxa"/>
            <w:vAlign w:val="bottom"/>
          </w:tcPr>
          <w:p>
            <w:pPr>
              <w:jc w:val="center"/>
              <w:ind w:left="512"/>
              <w:spacing w:after="0" w:line="203" w:lineRule="exact"/>
              <w:rPr>
                <w:sz w:val="20"/>
                <w:szCs w:val="20"/>
                <w:color w:val="auto"/>
              </w:rPr>
            </w:pPr>
            <w:r>
              <w:rPr>
                <w:rFonts w:ascii="Courier New" w:cs="Courier New" w:eastAsia="Courier New" w:hAnsi="Courier New"/>
                <w:sz w:val="18"/>
                <w:szCs w:val="18"/>
                <w:color w:val="auto"/>
                <w:w w:val="97"/>
              </w:rPr>
              <w:t>Notes Owned</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Notes That</w:t>
            </w:r>
          </w:p>
        </w:tc>
        <w:tc>
          <w:tcPr>
            <w:tcW w:w="14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Owned Before</w:t>
            </w:r>
          </w:p>
        </w:tc>
        <w:tc>
          <w:tcPr>
            <w:tcW w:w="9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May</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320" w:type="dxa"/>
            <w:vAlign w:val="bottom"/>
          </w:tcPr>
          <w:p>
            <w:pPr>
              <w:jc w:val="center"/>
              <w:ind w:left="532"/>
              <w:spacing w:after="0" w:line="203" w:lineRule="exact"/>
              <w:rPr>
                <w:sz w:val="20"/>
                <w:szCs w:val="20"/>
                <w:color w:val="auto"/>
              </w:rPr>
            </w:pPr>
            <w:r>
              <w:rPr>
                <w:rFonts w:ascii="Courier New" w:cs="Courier New" w:eastAsia="Courier New" w:hAnsi="Courier New"/>
                <w:sz w:val="18"/>
                <w:szCs w:val="18"/>
                <w:color w:val="auto"/>
                <w:w w:val="97"/>
              </w:rPr>
              <w:t>Before Offering</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May Be Sold</w:t>
            </w:r>
          </w:p>
        </w:tc>
        <w:tc>
          <w:tcPr>
            <w:tcW w:w="14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Offering</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Be Sold</w:t>
            </w:r>
          </w:p>
        </w:tc>
      </w:tr>
    </w:tbl>
    <w:p>
      <w:pPr>
        <w:spacing w:after="0" w:line="4" w:lineRule="exact"/>
        <w:rPr>
          <w:sz w:val="20"/>
          <w:szCs w:val="20"/>
          <w:color w:val="auto"/>
        </w:rPr>
      </w:pPr>
    </w:p>
    <w:p>
      <w:pPr>
        <w:ind w:left="2960" w:hanging="1793"/>
        <w:spacing w:after="0"/>
        <w:tabs>
          <w:tab w:leader="none" w:pos="2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20"/>
                <w:szCs w:val="20"/>
                <w:color w:val="auto"/>
              </w:rPr>
            </w:pPr>
            <w:r>
              <w:rPr>
                <w:rFonts w:ascii="Courier New" w:cs="Courier New" w:eastAsia="Courier New" w:hAnsi="Courier New"/>
                <w:sz w:val="18"/>
                <w:szCs w:val="18"/>
                <w:color w:val="auto"/>
              </w:rPr>
              <w:t>The Virginia Insurance</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Reciprocal................</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500,000</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500,000</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3,852</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Value Line Convertible</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Fund, Inc.................</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1,000,000</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1,000,000</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w:t>
            </w:r>
          </w:p>
        </w:tc>
      </w:tr>
      <w:tr>
        <w:trPr>
          <w:trHeight w:val="203"/>
        </w:trPr>
        <w:tc>
          <w:tcPr>
            <w:tcW w:w="3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Van Kampen Harbor Fund.....</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8,100,000</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8,100,000</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5,003,250(5)</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62,415</w:t>
            </w:r>
          </w:p>
        </w:tc>
      </w:tr>
      <w:tr>
        <w:trPr>
          <w:trHeight w:val="203"/>
        </w:trPr>
        <w:tc>
          <w:tcPr>
            <w:tcW w:w="3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The Whitaker Foundation....</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150,000</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150,000</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White River Securities,</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L.L.C.....................</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20,000,000</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20,000,000</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154,112</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Worldwide Transactions,</w:t>
            </w: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Ltd.......................</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702,000</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702,000</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5,409</w:t>
            </w:r>
          </w:p>
        </w:tc>
      </w:tr>
      <w:tr>
        <w:trPr>
          <w:trHeight w:val="203"/>
        </w:trPr>
        <w:tc>
          <w:tcPr>
            <w:tcW w:w="3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Zeneca AG Products, Inc....</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221,000</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221,000</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1,702</w:t>
            </w:r>
          </w:p>
        </w:tc>
      </w:tr>
      <w:tr>
        <w:trPr>
          <w:trHeight w:val="203"/>
        </w:trPr>
        <w:tc>
          <w:tcPr>
            <w:tcW w:w="3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Zeneca Holdings Trust......</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940,000</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940,000</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7,243</w:t>
            </w:r>
          </w:p>
        </w:tc>
      </w:tr>
      <w:tr>
        <w:trPr>
          <w:trHeight w:val="203"/>
        </w:trPr>
        <w:tc>
          <w:tcPr>
            <w:tcW w:w="3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Unknown (6)................</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55,767,000</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59,602,000</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459,953</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519" w:hanging="412"/>
        <w:spacing w:after="0" w:line="235"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Allstate Life Insurance Company is a subsidiary of Allstate Insurance Company.</w:t>
      </w:r>
    </w:p>
    <w:p>
      <w:pPr>
        <w:spacing w:after="0" w:line="5"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169,500 shares of common stock held by Allstate Insurance Company, 14,100 shares of common stock held by Allstate Life Insurance Company, and 92,500 shares of common stock held by affiliates of Allstate Insurance Company and Allstate Life Insurance Company.</w:t>
      </w:r>
    </w:p>
    <w:p>
      <w:pPr>
        <w:spacing w:after="0" w:line="4" w:lineRule="exact"/>
        <w:rPr>
          <w:rFonts w:ascii="Courier New" w:cs="Courier New" w:eastAsia="Courier New" w:hAnsi="Courier New"/>
          <w:sz w:val="18"/>
          <w:szCs w:val="18"/>
          <w:color w:val="auto"/>
        </w:rPr>
      </w:pPr>
    </w:p>
    <w:p>
      <w:pPr>
        <w:ind w:left="420" w:right="1879" w:hanging="412"/>
        <w:spacing w:after="0" w:line="236"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3,835,000 principal amount of registered notes that Goldman, Sachs &amp; Co. has purchased on the open market. These notes are not being offered by this prospectus.</w:t>
      </w:r>
    </w:p>
    <w:p>
      <w:pPr>
        <w:spacing w:after="0" w:line="6" w:lineRule="exact"/>
        <w:rPr>
          <w:rFonts w:ascii="Courier New" w:cs="Courier New" w:eastAsia="Courier New" w:hAnsi="Courier New"/>
          <w:sz w:val="18"/>
          <w:szCs w:val="18"/>
          <w:color w:val="auto"/>
        </w:rPr>
      </w:pPr>
    </w:p>
    <w:p>
      <w:pPr>
        <w:ind w:left="420" w:right="2099" w:hanging="412"/>
        <w:spacing w:after="0" w:line="268" w:lineRule="auto"/>
        <w:tabs>
          <w:tab w:leader="none" w:pos="4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Northwestern Mutual Life Insurance Company is the indirect beneficial owner with shared investment and voting power of these shares of common stock, which are currently held by affiliated entities.</w:t>
      </w:r>
    </w:p>
    <w:p>
      <w:pPr>
        <w:ind w:left="420" w:right="2199" w:hanging="412"/>
        <w:spacing w:after="0" w:line="235"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these shares of common stock are held by entities affiliated with Van Kampen Harbor Fund.</w:t>
      </w:r>
    </w:p>
    <w:p>
      <w:pPr>
        <w:spacing w:after="0" w:line="5"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"Unknown" represents the remaining selling securityholders. We are unable to provide the names of these securityholders because certain of these notes are currently evidenced by a global note which has been deposited with DTC and registered in the name of Cede &amp; Co. as DTC's nominee.</w:t>
      </w:r>
    </w:p>
    <w:p>
      <w:pPr>
        <w:spacing w:after="0" w:line="203"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8"/>
          <w:szCs w:val="18"/>
          <w:color w:val="auto"/>
        </w:rPr>
        <w:t>The date of this Prospectus Supplement is January 4, 2001.</w:t>
      </w:r>
    </w:p>
    <w:p>
      <w:pPr>
        <w:jc w:val="center"/>
        <w:ind w:right="1459"/>
        <w:spacing w:after="0" w:line="238" w:lineRule="auto"/>
        <w:rPr>
          <w:sz w:val="20"/>
          <w:szCs w:val="20"/>
          <w:color w:val="auto"/>
        </w:rPr>
      </w:pPr>
      <w:r>
        <w:rPr>
          <w:rFonts w:ascii="Courier New" w:cs="Courier New" w:eastAsia="Courier New" w:hAnsi="Courier New"/>
          <w:sz w:val="18"/>
          <w:szCs w:val="18"/>
          <w:color w:val="auto"/>
        </w:rPr>
        <w:t>7</w:t>
      </w: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2019-12-12T08:41:03Z</dcterms:created>
  <dcterms:modified xsi:type="dcterms:W3CDTF">2019-12-12T08:41:03Z</dcterms:modified>
</cp:coreProperties>
</file>