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Jain Vivek</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ONE ANALOG WAY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jc w:val="center"/>
        <w:ind w:right="215"/>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ANALOG DEVICES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ADI</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0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04/07/2026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45"/>
        <w:spacing w:after="0"/>
        <w:rPr>
          <w:sz w:val="20"/>
          <w:szCs w:val="20"/>
          <w:color w:val="auto"/>
        </w:rPr>
      </w:pPr>
      <w:r>
        <w:rPr>
          <w:rFonts w:ascii="Times New Roman" w:cs="Times New Roman" w:eastAsia="Times New Roman" w:hAnsi="Times New Roman"/>
          <w:sz w:val="17"/>
          <w:szCs w:val="17"/>
          <w:color w:val="0000FF"/>
        </w:rPr>
        <w:t>EVP, Global Operations</w:t>
      </w:r>
    </w:p>
    <w:p>
      <w:pPr>
        <w:spacing w:after="0" w:line="333"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3" w:lineRule="exact"/>
        <w:rPr>
          <w:sz w:val="24"/>
          <w:szCs w:val="24"/>
          <w:color w:val="auto"/>
        </w:rPr>
      </w:pPr>
    </w:p>
    <w:tbl>
      <w:tblPr>
        <w:tblLayout w:type="fixed"/>
        <w:tblInd w:w="80" w:type="dxa"/>
        <w:tblCellMar>
          <w:top w:w="0" w:type="dxa"/>
          <w:left w:w="0" w:type="dxa"/>
          <w:bottom w:w="0" w:type="dxa"/>
          <w:right w:w="0" w:type="dxa"/>
        </w:tblCellMar>
      </w:tblPr>
      <w:tr>
        <w:trPr>
          <w:trHeight w:val="36"/>
        </w:trPr>
        <w:tc>
          <w:tcPr>
            <w:tcW w:w="40" w:type="dxa"/>
            <w:vAlign w:val="bottom"/>
          </w:tcPr>
          <w:p>
            <w:pPr>
              <w:spacing w:after="0"/>
              <w:rPr>
                <w:sz w:val="3"/>
                <w:szCs w:val="3"/>
                <w:color w:val="auto"/>
              </w:rPr>
            </w:pPr>
          </w:p>
        </w:tc>
        <w:tc>
          <w:tcPr>
            <w:tcW w:w="1980" w:type="dxa"/>
            <w:vAlign w:val="bottom"/>
            <w:tcBorders>
              <w:bottom w:val="single" w:sz="8" w:color="9A9A9A"/>
            </w:tcBorders>
          </w:tcPr>
          <w:p>
            <w:pPr>
              <w:spacing w:after="0"/>
              <w:rPr>
                <w:sz w:val="3"/>
                <w:szCs w:val="3"/>
                <w:color w:val="auto"/>
              </w:rPr>
            </w:pPr>
          </w:p>
        </w:tc>
        <w:tc>
          <w:tcPr>
            <w:tcW w:w="1660" w:type="dxa"/>
            <w:vAlign w:val="bottom"/>
            <w:tcBorders>
              <w:bottom w:val="single" w:sz="8" w:color="9A9A9A"/>
            </w:tcBorders>
          </w:tcPr>
          <w:p>
            <w:pPr>
              <w:spacing w:after="0"/>
              <w:rPr>
                <w:sz w:val="3"/>
                <w:szCs w:val="3"/>
                <w:color w:val="auto"/>
              </w:rPr>
            </w:pPr>
          </w:p>
        </w:tc>
        <w:tc>
          <w:tcPr>
            <w:tcW w:w="3760" w:type="dxa"/>
            <w:vAlign w:val="bottom"/>
            <w:vMerge w:val="restart"/>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vMerge w:val="restart"/>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1980" w:type="dxa"/>
            <w:vAlign w:val="bottom"/>
          </w:tcPr>
          <w:p>
            <w:pPr>
              <w:spacing w:after="0"/>
              <w:rPr>
                <w:sz w:val="8"/>
                <w:szCs w:val="8"/>
                <w:color w:val="auto"/>
              </w:rPr>
            </w:pPr>
          </w:p>
        </w:tc>
        <w:tc>
          <w:tcPr>
            <w:tcW w:w="1660" w:type="dxa"/>
            <w:vAlign w:val="bottom"/>
          </w:tcPr>
          <w:p>
            <w:pPr>
              <w:spacing w:after="0"/>
              <w:rPr>
                <w:sz w:val="8"/>
                <w:szCs w:val="8"/>
                <w:color w:val="auto"/>
              </w:rPr>
            </w:pPr>
          </w:p>
        </w:tc>
        <w:tc>
          <w:tcPr>
            <w:tcW w:w="3760" w:type="dxa"/>
            <w:vAlign w:val="bottom"/>
            <w:vMerge w:val="continue"/>
          </w:tcPr>
          <w:p>
            <w:pPr>
              <w:spacing w:after="0"/>
              <w:rPr>
                <w:sz w:val="8"/>
                <w:szCs w:val="8"/>
                <w:color w:val="auto"/>
              </w:rPr>
            </w:pPr>
          </w:p>
        </w:tc>
        <w:tc>
          <w:tcPr>
            <w:tcW w:w="32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2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66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3280" w:type="dxa"/>
            <w:vAlign w:val="bottom"/>
          </w:tcPr>
          <w:p>
            <w:pPr>
              <w:ind w:left="220"/>
              <w:spacing w:after="0"/>
              <w:rPr>
                <w:sz w:val="20"/>
                <w:szCs w:val="20"/>
                <w:color w:val="auto"/>
              </w:rPr>
            </w:pPr>
            <w:r>
              <w:rPr>
                <w:rFonts w:ascii="Arial" w:cs="Arial" w:eastAsia="Arial" w:hAnsi="Arial"/>
                <w:sz w:val="13"/>
                <w:szCs w:val="13"/>
                <w:color w:val="auto"/>
              </w:rPr>
              <w:t>Line)</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1980" w:type="dxa"/>
            <w:vAlign w:val="bottom"/>
          </w:tcPr>
          <w:p>
            <w:pPr>
              <w:spacing w:after="0"/>
              <w:rPr>
                <w:sz w:val="20"/>
                <w:szCs w:val="20"/>
                <w:color w:val="auto"/>
              </w:rPr>
            </w:pPr>
            <w:r>
              <w:rPr>
                <w:rFonts w:ascii="Times New Roman" w:cs="Times New Roman" w:eastAsia="Times New Roman" w:hAnsi="Times New Roman"/>
                <w:sz w:val="17"/>
                <w:szCs w:val="17"/>
                <w:color w:val="0000FF"/>
              </w:rPr>
              <w:t>WILMINGTON MA</w:t>
            </w:r>
          </w:p>
        </w:tc>
        <w:tc>
          <w:tcPr>
            <w:tcW w:w="1660" w:type="dxa"/>
            <w:vAlign w:val="bottom"/>
          </w:tcPr>
          <w:p>
            <w:pPr>
              <w:jc w:val="right"/>
              <w:ind w:right="673"/>
              <w:spacing w:after="0"/>
              <w:rPr>
                <w:sz w:val="20"/>
                <w:szCs w:val="20"/>
                <w:color w:val="auto"/>
              </w:rPr>
            </w:pPr>
            <w:r>
              <w:rPr>
                <w:rFonts w:ascii="Times New Roman" w:cs="Times New Roman" w:eastAsia="Times New Roman" w:hAnsi="Times New Roman"/>
                <w:sz w:val="17"/>
                <w:szCs w:val="17"/>
                <w:color w:val="0000FF"/>
              </w:rPr>
              <w:t>01887</w:t>
            </w:r>
          </w:p>
        </w:tc>
        <w:tc>
          <w:tcPr>
            <w:tcW w:w="3760" w:type="dxa"/>
            <w:vAlign w:val="bottom"/>
          </w:tcPr>
          <w:p>
            <w:pPr>
              <w:spacing w:after="0"/>
              <w:rPr>
                <w:sz w:val="20"/>
                <w:szCs w:val="20"/>
                <w:color w:val="auto"/>
              </w:rPr>
            </w:pPr>
          </w:p>
        </w:tc>
        <w:tc>
          <w:tcPr>
            <w:tcW w:w="3280" w:type="dxa"/>
            <w:vAlign w:val="bottom"/>
          </w:tcPr>
          <w:p>
            <w:pPr>
              <w:ind w:left="7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1980" w:type="dxa"/>
            <w:vAlign w:val="bottom"/>
            <w:tcBorders>
              <w:bottom w:val="single" w:sz="8" w:color="9A9A9A"/>
            </w:tcBorders>
          </w:tcPr>
          <w:p>
            <w:pPr>
              <w:spacing w:after="0"/>
              <w:rPr>
                <w:sz w:val="13"/>
                <w:szCs w:val="13"/>
                <w:color w:val="auto"/>
              </w:rPr>
            </w:pPr>
          </w:p>
        </w:tc>
        <w:tc>
          <w:tcPr>
            <w:tcW w:w="1660" w:type="dxa"/>
            <w:vAlign w:val="bottom"/>
            <w:tcBorders>
              <w:bottom w:val="single" w:sz="8" w:color="9A9A9A"/>
            </w:tcBorders>
          </w:tcPr>
          <w:p>
            <w:pPr>
              <w:spacing w:after="0"/>
              <w:rPr>
                <w:sz w:val="13"/>
                <w:szCs w:val="13"/>
                <w:color w:val="auto"/>
              </w:rPr>
            </w:pPr>
          </w:p>
        </w:tc>
        <w:tc>
          <w:tcPr>
            <w:tcW w:w="3760" w:type="dxa"/>
            <w:vAlign w:val="bottom"/>
          </w:tcPr>
          <w:p>
            <w:pPr>
              <w:spacing w:after="0"/>
              <w:rPr>
                <w:sz w:val="13"/>
                <w:szCs w:val="13"/>
                <w:color w:val="auto"/>
              </w:rPr>
            </w:pPr>
          </w:p>
        </w:tc>
        <w:tc>
          <w:tcPr>
            <w:tcW w:w="3280" w:type="dxa"/>
            <w:vAlign w:val="bottom"/>
          </w:tcPr>
          <w:p>
            <w:pPr>
              <w:ind w:left="740"/>
              <w:spacing w:after="0" w:line="141"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6"/>
        </w:trPr>
        <w:tc>
          <w:tcPr>
            <w:tcW w:w="4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3280" w:type="dxa"/>
            <w:vAlign w:val="bottom"/>
          </w:tcPr>
          <w:p>
            <w:pPr>
              <w:ind w:left="740"/>
              <w:spacing w:after="0" w:line="146" w:lineRule="exact"/>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bl>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83"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 Stock - $.16-2/3 value</w:t>
            </w: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04/07/2026</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6,734</w:t>
            </w:r>
            <w:r>
              <w:rPr>
                <w:rFonts w:ascii="Times New Roman" w:cs="Times New Roman" w:eastAsia="Times New Roman" w:hAnsi="Times New Roman"/>
                <w:sz w:val="22"/>
                <w:szCs w:val="22"/>
                <w:color w:val="008000"/>
                <w:w w:val="97"/>
                <w:vertAlign w:val="superscript"/>
              </w:rPr>
              <w:t>(1)</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360"/>
              <w:spacing w:after="0"/>
              <w:rPr>
                <w:sz w:val="20"/>
                <w:szCs w:val="20"/>
                <w:color w:val="auto"/>
              </w:rPr>
            </w:pPr>
            <w:r>
              <w:rPr>
                <w:rFonts w:ascii="Times New Roman" w:cs="Times New Roman" w:eastAsia="Times New Roman" w:hAnsi="Times New Roman"/>
                <w:sz w:val="17"/>
                <w:szCs w:val="17"/>
                <w:color w:val="0000FF"/>
              </w:rPr>
              <w:t>48,823.474</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Stock Units (RSUs) granted to the Reporting Person on April 7, 2026 vest in equal installments on the first, second, third and fourth anniversaries of March 15, 2026. Upon each vesting date, each vested RSU shall automatically convert into one (1) share of common stock.</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Shelly Shaw, General</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0801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080135"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Counsel, by Power of</w:t>
      </w:r>
      <w:r>
        <w:rPr>
          <w:sz w:val="20"/>
          <w:szCs w:val="20"/>
          <w:color w:val="auto"/>
        </w:rPr>
        <w:tab/>
      </w:r>
      <w:r>
        <w:rPr>
          <w:rFonts w:ascii="Times New Roman" w:cs="Times New Roman" w:eastAsia="Times New Roman" w:hAnsi="Times New Roman"/>
          <w:sz w:val="17"/>
          <w:szCs w:val="17"/>
          <w:color w:val="0000FF"/>
        </w:rPr>
        <w:t>04/09/2026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91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391160"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465733" TargetMode="External"/><Relationship Id="rId14" Type="http://schemas.openxmlformats.org/officeDocument/2006/relationships/hyperlink" Target="http://www.sec.gov/cgi-bin/browse-edgar?action=getcompany&amp;CIK=000000628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2026-04-09T16:09:22Z</dcterms:created>
  <dcterms:modified xsi:type="dcterms:W3CDTF">2026-04-09T16:09:22Z</dcterms:modified>
</cp:coreProperties>
</file>