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7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152400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May 4, 2013</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40" w:hanging="691"/>
        <w:spacing w:after="0" w:line="256" w:lineRule="auto"/>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tbl>
      <w:tblPr>
        <w:tblLayout w:type="fixed"/>
        <w:tblInd w:w="860" w:type="dxa"/>
        <w:tblCellMar>
          <w:top w:w="0" w:type="dxa"/>
          <w:left w:w="0" w:type="dxa"/>
          <w:bottom w:w="0" w:type="dxa"/>
          <w:right w:w="0" w:type="dxa"/>
        </w:tblCellMar>
      </w:tblPr>
      <w:tr>
        <w:trPr>
          <w:trHeight w:val="204"/>
        </w:trPr>
        <w:tc>
          <w:tcPr>
            <w:tcW w:w="5360" w:type="dxa"/>
            <w:vAlign w:val="bottom"/>
            <w:gridSpan w:val="2"/>
          </w:tcPr>
          <w:p>
            <w:pPr>
              <w:ind w:left="3040"/>
              <w:spacing w:after="0" w:line="204" w:lineRule="exact"/>
              <w:rPr>
                <w:sz w:val="20"/>
                <w:szCs w:val="20"/>
                <w:color w:val="auto"/>
              </w:rPr>
            </w:pPr>
            <w:r>
              <w:rPr>
                <w:rFonts w:ascii="Arial" w:cs="Arial" w:eastAsia="Arial" w:hAnsi="Arial"/>
                <w:sz w:val="18"/>
                <w:szCs w:val="18"/>
                <w:b w:val="1"/>
                <w:bCs w:val="1"/>
                <w:color w:val="auto"/>
                <w:w w:val="90"/>
              </w:rPr>
              <w:t>For the transition period from</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line="204" w:lineRule="exact"/>
              <w:rPr>
                <w:sz w:val="20"/>
                <w:szCs w:val="20"/>
                <w:color w:val="auto"/>
              </w:rPr>
            </w:pPr>
            <w:r>
              <w:rPr>
                <w:rFonts w:ascii="Arial" w:cs="Arial" w:eastAsia="Arial" w:hAnsi="Arial"/>
                <w:sz w:val="18"/>
                <w:szCs w:val="18"/>
                <w:b w:val="1"/>
                <w:bCs w:val="1"/>
                <w:color w:val="auto"/>
                <w:w w:val="82"/>
              </w:rPr>
              <w:t>to</w:t>
            </w:r>
          </w:p>
        </w:tc>
        <w:tc>
          <w:tcPr>
            <w:tcW w:w="580" w:type="dxa"/>
            <w:vAlign w:val="bottom"/>
            <w:tcBorders>
              <w:bottom w:val="single" w:sz="8" w:color="auto"/>
            </w:tcBorders>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412"/>
        </w:trPr>
        <w:tc>
          <w:tcPr>
            <w:tcW w:w="3460" w:type="dxa"/>
            <w:vAlign w:val="bottom"/>
          </w:tcPr>
          <w:p>
            <w:pPr>
              <w:spacing w:after="0"/>
              <w:rPr>
                <w:sz w:val="24"/>
                <w:szCs w:val="24"/>
                <w:color w:val="auto"/>
              </w:rPr>
            </w:pPr>
          </w:p>
        </w:tc>
        <w:tc>
          <w:tcPr>
            <w:tcW w:w="2480" w:type="dxa"/>
            <w:vAlign w:val="bottom"/>
            <w:gridSpan w:val="2"/>
          </w:tcPr>
          <w:p>
            <w:pPr>
              <w:jc w:val="center"/>
              <w:ind w:left="210"/>
              <w:spacing w:after="0"/>
              <w:rPr>
                <w:sz w:val="20"/>
                <w:szCs w:val="20"/>
                <w:color w:val="auto"/>
              </w:rPr>
            </w:pPr>
            <w:r>
              <w:rPr>
                <w:rFonts w:ascii="Arial" w:cs="Arial" w:eastAsia="Arial" w:hAnsi="Arial"/>
                <w:sz w:val="18"/>
                <w:szCs w:val="18"/>
                <w:b w:val="1"/>
                <w:bCs w:val="1"/>
                <w:color w:val="auto"/>
                <w:w w:val="89"/>
              </w:rPr>
              <w:t>Commission File No. 1-7819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7"/>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92"/>
        </w:trPr>
        <w:tc>
          <w:tcPr>
            <w:tcW w:w="9320" w:type="dxa"/>
            <w:vAlign w:val="bottom"/>
            <w:gridSpan w:val="7"/>
          </w:tcPr>
          <w:p>
            <w:pPr>
              <w:jc w:val="center"/>
              <w:ind w:left="285"/>
              <w:spacing w:after="0" w:line="491" w:lineRule="exact"/>
              <w:rPr>
                <w:sz w:val="20"/>
                <w:szCs w:val="20"/>
                <w:color w:val="auto"/>
              </w:rPr>
            </w:pPr>
            <w:r>
              <w:rPr>
                <w:rFonts w:ascii="Arial" w:cs="Arial" w:eastAsia="Arial" w:hAnsi="Arial"/>
                <w:sz w:val="43"/>
                <w:szCs w:val="43"/>
                <w:b w:val="1"/>
                <w:bCs w:val="1"/>
                <w:color w:val="auto"/>
                <w:w w:val="89"/>
              </w:rPr>
              <w:t>Analog Devices, Inc.</w:t>
            </w:r>
          </w:p>
        </w:tc>
      </w:tr>
      <w:tr>
        <w:trPr>
          <w:trHeight w:val="230"/>
        </w:trPr>
        <w:tc>
          <w:tcPr>
            <w:tcW w:w="9320" w:type="dxa"/>
            <w:vAlign w:val="bottom"/>
            <w:gridSpan w:val="7"/>
          </w:tcPr>
          <w:p>
            <w:pPr>
              <w:jc w:val="center"/>
              <w:ind w:left="265"/>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r>
      <w:tr>
        <w:trPr>
          <w:trHeight w:val="203"/>
        </w:trPr>
        <w:tc>
          <w:tcPr>
            <w:tcW w:w="34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93"/>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86"/>
              </w:rPr>
              <w:t>Massachusetts</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04-2348234</w:t>
            </w:r>
          </w:p>
        </w:tc>
      </w:tr>
      <w:tr>
        <w:trPr>
          <w:trHeight w:val="218"/>
        </w:trPr>
        <w:tc>
          <w:tcPr>
            <w:tcW w:w="5940" w:type="dxa"/>
            <w:vAlign w:val="bottom"/>
            <w:gridSpan w:val="3"/>
          </w:tcPr>
          <w:p>
            <w:pPr>
              <w:jc w:val="center"/>
              <w:ind w:right="2440"/>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90"/>
        </w:trPr>
        <w:tc>
          <w:tcPr>
            <w:tcW w:w="5940" w:type="dxa"/>
            <w:vAlign w:val="bottom"/>
            <w:gridSpan w:val="3"/>
          </w:tcPr>
          <w:p>
            <w:pPr>
              <w:jc w:val="center"/>
              <w:ind w:right="2460"/>
              <w:spacing w:after="0"/>
              <w:rPr>
                <w:sz w:val="20"/>
                <w:szCs w:val="20"/>
                <w:color w:val="auto"/>
              </w:rPr>
            </w:pPr>
            <w:r>
              <w:rPr>
                <w:rFonts w:ascii="Arial" w:cs="Arial" w:eastAsia="Arial" w:hAnsi="Arial"/>
                <w:sz w:val="18"/>
                <w:szCs w:val="18"/>
                <w:b w:val="1"/>
                <w:bCs w:val="1"/>
                <w:color w:val="auto"/>
                <w:w w:val="90"/>
              </w:rPr>
              <w:t>One Technology Way, Norwood, MA</w:t>
            </w:r>
          </w:p>
        </w:tc>
        <w:tc>
          <w:tcPr>
            <w:tcW w:w="3380" w:type="dxa"/>
            <w:vAlign w:val="bottom"/>
            <w:gridSpan w:val="4"/>
          </w:tcPr>
          <w:p>
            <w:pPr>
              <w:jc w:val="center"/>
              <w:ind w:left="1230"/>
              <w:spacing w:after="0"/>
              <w:rPr>
                <w:sz w:val="20"/>
                <w:szCs w:val="20"/>
                <w:color w:val="auto"/>
              </w:rPr>
            </w:pPr>
            <w:r>
              <w:rPr>
                <w:rFonts w:ascii="Arial" w:cs="Arial" w:eastAsia="Arial" w:hAnsi="Arial"/>
                <w:sz w:val="18"/>
                <w:szCs w:val="18"/>
                <w:b w:val="1"/>
                <w:bCs w:val="1"/>
                <w:color w:val="auto"/>
                <w:w w:val="89"/>
              </w:rPr>
              <w:t>02062-9106</w:t>
            </w:r>
          </w:p>
        </w:tc>
      </w:tr>
      <w:tr>
        <w:trPr>
          <w:trHeight w:val="218"/>
        </w:trPr>
        <w:tc>
          <w:tcPr>
            <w:tcW w:w="5940" w:type="dxa"/>
            <w:vAlign w:val="bottom"/>
            <w:gridSpan w:val="3"/>
          </w:tcPr>
          <w:p>
            <w:pPr>
              <w:jc w:val="center"/>
              <w:ind w:right="2460"/>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40" w:type="dxa"/>
            <w:vAlign w:val="bottom"/>
          </w:tcPr>
          <w:p>
            <w:pPr>
              <w:jc w:val="center"/>
              <w:ind w:left="508"/>
              <w:spacing w:after="0"/>
              <w:rPr>
                <w:sz w:val="20"/>
                <w:szCs w:val="20"/>
                <w:color w:val="auto"/>
              </w:rPr>
            </w:pPr>
            <w:r>
              <w:rPr>
                <w:rFonts w:ascii="Arial" w:cs="Arial" w:eastAsia="Arial" w:hAnsi="Arial"/>
                <w:sz w:val="14"/>
                <w:szCs w:val="14"/>
                <w:i w:val="1"/>
                <w:iCs w:val="1"/>
                <w:color w:val="auto"/>
                <w:w w:val="93"/>
              </w:rPr>
              <w:t>(Zip Code)</w:t>
            </w:r>
          </w:p>
        </w:tc>
      </w:tr>
      <w:tr>
        <w:trPr>
          <w:trHeight w:val="371"/>
        </w:trPr>
        <w:tc>
          <w:tcPr>
            <w:tcW w:w="5940" w:type="dxa"/>
            <w:vAlign w:val="bottom"/>
            <w:gridSpan w:val="3"/>
          </w:tcPr>
          <w:p>
            <w:pPr>
              <w:jc w:val="center"/>
              <w:ind w:left="3685"/>
              <w:spacing w:after="0"/>
              <w:rPr>
                <w:sz w:val="20"/>
                <w:szCs w:val="20"/>
                <w:color w:val="auto"/>
              </w:rPr>
            </w:pPr>
            <w:r>
              <w:rPr>
                <w:rFonts w:ascii="Arial" w:cs="Arial" w:eastAsia="Arial" w:hAnsi="Arial"/>
                <w:sz w:val="18"/>
                <w:szCs w:val="18"/>
                <w:b w:val="1"/>
                <w:bCs w:val="1"/>
                <w:color w:val="auto"/>
                <w:w w:val="90"/>
              </w:rPr>
              <w:t>(781) 329-4700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6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2"/>
              </w:rPr>
              <w:t>(Registrant’s telephone number, including area code)</w:t>
            </w:r>
          </w:p>
        </w:tc>
      </w:tr>
      <w:tr>
        <w:trPr>
          <w:trHeight w:val="182"/>
        </w:trPr>
        <w:tc>
          <w:tcPr>
            <w:tcW w:w="9320" w:type="dxa"/>
            <w:vAlign w:val="bottom"/>
            <w:gridSpan w:val="7"/>
          </w:tcPr>
          <w:p>
            <w:pPr>
              <w:jc w:val="center"/>
              <w:ind w:left="285"/>
              <w:spacing w:after="0"/>
              <w:rPr>
                <w:sz w:val="20"/>
                <w:szCs w:val="20"/>
                <w:color w:val="auto"/>
              </w:rPr>
            </w:pPr>
            <w:r>
              <w:rPr>
                <w:rFonts w:ascii="Arial" w:cs="Arial" w:eastAsia="Arial" w:hAnsi="Arial"/>
                <w:sz w:val="14"/>
                <w:szCs w:val="14"/>
                <w:i w:val="1"/>
                <w:iCs w:val="1"/>
                <w:color w:val="auto"/>
                <w:w w:val="93"/>
              </w:rPr>
              <w:t>(Former name, former address and former fiscal year, if changed since last report)</w:t>
            </w:r>
          </w:p>
        </w:tc>
      </w:tr>
      <w:tr>
        <w:trPr>
          <w:trHeight w:val="255"/>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bl>
    <w:p>
      <w:pPr>
        <w:spacing w:after="0" w:line="36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1017" w:right="419" w:bottom="1440" w:gutter="0" w:footer="0" w:header="0"/>
        </w:sectPr>
      </w:pPr>
    </w:p>
    <w:p>
      <w:pPr>
        <w:spacing w:after="0" w:line="1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920" w:space="720"/>
            <w:col w:w="4680" w:space="720"/>
            <w:col w:w="2220" w:space="720"/>
            <w:col w:w="260"/>
          </w:cols>
          <w:pgMar w:left="240" w:top="1017" w:right="41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920" w:space="720"/>
            <w:col w:w="160" w:space="100"/>
            <w:col w:w="4420" w:space="720"/>
            <w:col w:w="2220" w:space="720"/>
            <w:col w:w="260"/>
          </w:cols>
          <w:pgMar w:left="240" w:top="1017" w:right="419" w:bottom="1440" w:gutter="0" w:footer="0" w:header="0"/>
          <w:type w:val="continuous"/>
        </w:sectPr>
      </w:pPr>
    </w:p>
    <w:p>
      <w:pPr>
        <w:ind w:left="440" w:right="1220"/>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4, 2013 there were 308,165,416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240" w:top="1017" w:right="4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5360" w:type="dxa"/>
            <w:vAlign w:val="bottom"/>
          </w:tcPr>
          <w:p>
            <w:pPr>
              <w:ind w:left="60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6060" w:type="dxa"/>
            <w:vAlign w:val="bottom"/>
            <w:gridSpan w:val="2"/>
          </w:tcPr>
          <w:p>
            <w:pPr>
              <w:spacing w:after="0"/>
              <w:rPr>
                <w:sz w:val="20"/>
                <w:szCs w:val="20"/>
                <w:color w:val="auto"/>
              </w:rPr>
            </w:pPr>
            <w:r>
              <w:rPr>
                <w:rFonts w:ascii="Arial" w:cs="Arial" w:eastAsia="Arial" w:hAnsi="Arial"/>
                <w:sz w:val="18"/>
                <w:szCs w:val="18"/>
                <w:color w:val="auto"/>
              </w:rPr>
              <w:t>ANALOG DEVICES, INC.</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CONDENSED CONSOLIDATED STATEMENTS OF INCOME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(Unaudited)</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spacing w:after="0"/>
              <w:rPr>
                <w:sz w:val="20"/>
                <w:szCs w:val="20"/>
                <w:color w:val="auto"/>
              </w:rPr>
            </w:pPr>
            <w:r>
              <w:rPr>
                <w:rFonts w:ascii="Arial" w:cs="Arial" w:eastAsia="Arial" w:hAnsi="Arial"/>
                <w:sz w:val="18"/>
                <w:szCs w:val="18"/>
                <w:color w:val="auto"/>
              </w:rPr>
              <w:t>(thousands, except per share amounts)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7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700" w:type="dxa"/>
            <w:vAlign w:val="bottom"/>
          </w:tcPr>
          <w:p>
            <w:pPr>
              <w:spacing w:after="0"/>
              <w:rPr>
                <w:sz w:val="22"/>
                <w:szCs w:val="22"/>
                <w:color w:val="auto"/>
              </w:rPr>
            </w:pPr>
          </w:p>
        </w:tc>
        <w:tc>
          <w:tcPr>
            <w:tcW w:w="5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5, 2012</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22"/>
                <w:szCs w:val="22"/>
                <w:color w:val="auto"/>
              </w:rPr>
            </w:pPr>
          </w:p>
        </w:tc>
        <w:tc>
          <w:tcPr>
            <w:tcW w:w="1080" w:type="dxa"/>
            <w:vAlign w:val="bottom"/>
          </w:tcPr>
          <w:p>
            <w:pPr>
              <w:jc w:val="right"/>
              <w:ind w:right="171"/>
              <w:spacing w:after="0"/>
              <w:rPr>
                <w:sz w:val="20"/>
                <w:szCs w:val="20"/>
                <w:color w:val="auto"/>
              </w:rPr>
            </w:pPr>
            <w:r>
              <w:rPr>
                <w:rFonts w:ascii="Arial" w:cs="Arial" w:eastAsia="Arial" w:hAnsi="Arial"/>
                <w:sz w:val="14"/>
                <w:szCs w:val="14"/>
                <w:b w:val="1"/>
                <w:bCs w:val="1"/>
                <w:color w:val="auto"/>
              </w:rPr>
              <w:t>May 5, 2012</w:t>
            </w:r>
          </w:p>
        </w:tc>
        <w:tc>
          <w:tcPr>
            <w:tcW w:w="0" w:type="dxa"/>
            <w:vAlign w:val="bottom"/>
          </w:tcPr>
          <w:p>
            <w:pPr>
              <w:spacing w:after="0"/>
              <w:rPr>
                <w:sz w:val="1"/>
                <w:szCs w:val="1"/>
                <w:color w:val="auto"/>
              </w:rPr>
            </w:pPr>
          </w:p>
        </w:tc>
      </w:tr>
      <w:tr>
        <w:trPr>
          <w:trHeight w:val="250"/>
        </w:trPr>
        <w:tc>
          <w:tcPr>
            <w:tcW w:w="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Revenue</w:t>
            </w:r>
          </w:p>
        </w:tc>
        <w:tc>
          <w:tcPr>
            <w:tcW w:w="53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1,281,384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1,323,152</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Cost of sales (1)</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237,055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234,639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468,905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473,307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440,455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849,845</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253,274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251,915</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Selling, marketing, general and administrative (1)</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102,703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99,992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200,263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199,037</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230,813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227,529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467,608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453,547</w:t>
            </w:r>
          </w:p>
        </w:tc>
        <w:tc>
          <w:tcPr>
            <w:tcW w:w="0" w:type="dxa"/>
            <w:vAlign w:val="bottom"/>
          </w:tcPr>
          <w:p>
            <w:pPr>
              <w:spacing w:after="0"/>
              <w:rPr>
                <w:sz w:val="1"/>
                <w:szCs w:val="1"/>
                <w:color w:val="auto"/>
              </w:rPr>
            </w:pPr>
          </w:p>
        </w:tc>
      </w:tr>
      <w:tr>
        <w:trPr>
          <w:trHeight w:val="27"/>
        </w:trPr>
        <w:tc>
          <w:tcPr>
            <w:tcW w:w="6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212,926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344,871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396,298</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Nonoperating (income) expense: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13,572</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 w:type="dxa"/>
            <w:vAlign w:val="bottom"/>
            <w:tcBorders>
              <w:bottom w:val="single" w:sz="8" w:color="CCEEFF"/>
            </w:tcBorders>
            <w:shd w:val="clear" w:color="auto" w:fill="CCEEFF"/>
          </w:tcPr>
          <w:p>
            <w:pPr>
              <w:spacing w:after="0"/>
              <w:rPr>
                <w:sz w:val="23"/>
                <w:szCs w:val="23"/>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187,661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337,770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391,540</w:t>
            </w:r>
          </w:p>
        </w:tc>
        <w:tc>
          <w:tcPr>
            <w:tcW w:w="0" w:type="dxa"/>
            <w:vAlign w:val="bottom"/>
          </w:tcPr>
          <w:p>
            <w:pPr>
              <w:spacing w:after="0"/>
              <w:rPr>
                <w:sz w:val="1"/>
                <w:szCs w:val="1"/>
                <w:color w:val="auto"/>
              </w:rPr>
            </w:pPr>
          </w:p>
        </w:tc>
      </w:tr>
      <w:tr>
        <w:trPr>
          <w:trHeight w:val="243"/>
        </w:trPr>
        <w:tc>
          <w:tcPr>
            <w:tcW w:w="606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23,189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48,555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42,076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89,259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295,694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302,281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Shares used to compute earnings per share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307,444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298,130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305,464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297,959</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to compute earnings per share – diluted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311,822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305,726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0.53</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gridSpan w:val="2"/>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color w:val="auto"/>
              </w:rPr>
              <w:t>Dividends declared and paid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gridSpan w:val="2"/>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67"/>
        </w:trPr>
        <w:tc>
          <w:tcPr>
            <w:tcW w:w="700" w:type="dxa"/>
            <w:vAlign w:val="bottom"/>
            <w:tcBorders>
              <w:bottom w:val="single" w:sz="8" w:color="CCEEFF"/>
            </w:tcBorders>
          </w:tcPr>
          <w:p>
            <w:pPr>
              <w:spacing w:after="0"/>
              <w:rPr>
                <w:sz w:val="5"/>
                <w:szCs w:val="5"/>
                <w:color w:val="auto"/>
              </w:rPr>
            </w:pPr>
          </w:p>
        </w:tc>
        <w:tc>
          <w:tcPr>
            <w:tcW w:w="53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00" w:type="dxa"/>
            <w:vAlign w:val="bottom"/>
            <w:tcBorders>
              <w:bottom w:val="single" w:sz="8" w:color="CCEEFF"/>
            </w:tcBorders>
            <w:shd w:val="clear" w:color="auto" w:fill="CCEEFF"/>
          </w:tcPr>
          <w:p>
            <w:pPr>
              <w:spacing w:after="0"/>
              <w:rPr>
                <w:sz w:val="20"/>
                <w:szCs w:val="20"/>
                <w:color w:val="auto"/>
              </w:rPr>
            </w:pPr>
          </w:p>
        </w:tc>
        <w:tc>
          <w:tcPr>
            <w:tcW w:w="53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 Includes stock-based compensation expense as follows: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60" w:type="dxa"/>
            <w:vAlign w:val="bottom"/>
          </w:tcPr>
          <w:p>
            <w:pPr>
              <w:ind w:left="500"/>
              <w:spacing w:after="0"/>
              <w:rPr>
                <w:sz w:val="20"/>
                <w:szCs w:val="20"/>
                <w:color w:val="auto"/>
              </w:rPr>
            </w:pPr>
            <w:r>
              <w:rPr>
                <w:rFonts w:ascii="Arial" w:cs="Arial" w:eastAsia="Arial" w:hAnsi="Arial"/>
                <w:sz w:val="18"/>
                <w:szCs w:val="18"/>
                <w:color w:val="auto"/>
              </w:rPr>
              <w:t>Cost of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3,478</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11,047</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5360" w:type="dxa"/>
            <w:vAlign w:val="bottom"/>
          </w:tcPr>
          <w:p>
            <w:pPr>
              <w:ind w:left="500"/>
              <w:spacing w:after="0"/>
              <w:rPr>
                <w:sz w:val="20"/>
                <w:szCs w:val="20"/>
                <w:color w:val="auto"/>
              </w:rPr>
            </w:pPr>
            <w:r>
              <w:rPr>
                <w:rFonts w:ascii="Arial" w:cs="Arial" w:eastAsia="Arial" w:hAnsi="Arial"/>
                <w:sz w:val="18"/>
                <w:szCs w:val="18"/>
                <w:color w:val="auto"/>
              </w:rPr>
              <w:t>Selling, marketing, general and administrative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11,395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17,189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10,907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5, 2012</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22"/>
                <w:szCs w:val="22"/>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May 5, 2012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164,472</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162,899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295,694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302,281</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2"/>
              </w:rPr>
              <w:t>Change in unrealized holding (losses) gains (net of taxes of $25, $435, $21 and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$229, respectively) on securities classified as short-term investments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Change in unrealized holding losses (net of taxes of $0, $398, $0 and $300,</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 on securities classified as other investments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29"/>
        </w:trPr>
        <w:tc>
          <w:tcPr>
            <w:tcW w:w="6060" w:type="dxa"/>
            <w:vAlign w:val="bottom"/>
          </w:tcPr>
          <w:p>
            <w:pPr>
              <w:ind w:left="180"/>
              <w:spacing w:after="0"/>
              <w:rPr>
                <w:sz w:val="20"/>
                <w:szCs w:val="20"/>
                <w:color w:val="auto"/>
              </w:rPr>
            </w:pPr>
            <w:r>
              <w:rPr>
                <w:rFonts w:ascii="Arial" w:cs="Arial" w:eastAsia="Arial" w:hAnsi="Arial"/>
                <w:sz w:val="18"/>
                <w:szCs w:val="18"/>
                <w:color w:val="auto"/>
                <w:w w:val="91"/>
              </w:rPr>
              <w:t>Change in unrealized (losses) gains (net of taxes of $235, $416, $293 and $413,</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060" w:type="dxa"/>
            <w:vAlign w:val="bottom"/>
          </w:tcPr>
          <w:p>
            <w:pPr>
              <w:ind w:left="180"/>
              <w:spacing w:after="0"/>
              <w:rPr>
                <w:sz w:val="20"/>
                <w:szCs w:val="20"/>
                <w:color w:val="auto"/>
              </w:rPr>
            </w:pPr>
            <w:r>
              <w:rPr>
                <w:rFonts w:ascii="Arial" w:cs="Arial" w:eastAsia="Arial" w:hAnsi="Arial"/>
                <w:sz w:val="18"/>
                <w:szCs w:val="18"/>
                <w:color w:val="auto"/>
              </w:rPr>
              <w:t>respectively) on derivative instruments designated as cash flow hedges</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2,635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(3,106)</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Changes in pension plans including prior service cost, transition obligation,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actuarial loss and foreign currency translation adjustments, net of taxes of ($205,</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57"/>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$0, $205 and $0 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w:t>
            </w:r>
          </w:p>
        </w:tc>
      </w:tr>
      <w:tr>
        <w:trPr>
          <w:trHeight w:val="237"/>
        </w:trPr>
        <w:tc>
          <w:tcPr>
            <w:tcW w:w="6060" w:type="dxa"/>
            <w:vAlign w:val="bottom"/>
          </w:tcPr>
          <w:p>
            <w:pPr>
              <w:ind w:left="180"/>
              <w:spacing w:after="0"/>
              <w:rPr>
                <w:sz w:val="20"/>
                <w:szCs w:val="20"/>
                <w:color w:val="auto"/>
              </w:rPr>
            </w:pPr>
            <w:r>
              <w:rPr>
                <w:rFonts w:ascii="Arial" w:cs="Arial" w:eastAsia="Arial" w:hAnsi="Arial"/>
                <w:sz w:val="18"/>
                <w:szCs w:val="18"/>
                <w:color w:val="auto"/>
              </w:rPr>
              <w:t>Other comprehensive loss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(7,052)</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161,135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161,096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293,056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295,229</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4, 2013</w:t>
            </w:r>
          </w:p>
        </w:tc>
        <w:tc>
          <w:tcPr>
            <w:tcW w:w="200" w:type="dxa"/>
            <w:vAlign w:val="bottom"/>
          </w:tcPr>
          <w:p>
            <w:pPr>
              <w:spacing w:after="0"/>
              <w:rPr>
                <w:sz w:val="16"/>
                <w:szCs w:val="16"/>
                <w:color w:val="auto"/>
              </w:rPr>
            </w:pPr>
          </w:p>
        </w:tc>
        <w:tc>
          <w:tcPr>
            <w:tcW w:w="1480" w:type="dxa"/>
            <w:vAlign w:val="bottom"/>
          </w:tcPr>
          <w:p>
            <w:pPr>
              <w:jc w:val="right"/>
              <w:ind w:right="219"/>
              <w:spacing w:after="0"/>
              <w:rPr>
                <w:sz w:val="20"/>
                <w:szCs w:val="20"/>
                <w:color w:val="auto"/>
              </w:rPr>
            </w:pPr>
            <w:r>
              <w:rPr>
                <w:rFonts w:ascii="Arial" w:cs="Arial" w:eastAsia="Arial" w:hAnsi="Arial"/>
                <w:sz w:val="14"/>
                <w:szCs w:val="14"/>
                <w:b w:val="1"/>
                <w:bCs w:val="1"/>
                <w:color w:val="auto"/>
                <w:w w:val="97"/>
              </w:rPr>
              <w:t>November 3, 2012</w:t>
            </w:r>
          </w:p>
        </w:tc>
        <w:tc>
          <w:tcPr>
            <w:tcW w:w="0" w:type="dxa"/>
            <w:vAlign w:val="bottom"/>
          </w:tcPr>
          <w:p>
            <w:pPr>
              <w:spacing w:after="0"/>
              <w:rPr>
                <w:sz w:val="1"/>
                <w:szCs w:val="1"/>
                <w:color w:val="auto"/>
              </w:rPr>
            </w:pPr>
          </w:p>
        </w:tc>
      </w:tr>
      <w:tr>
        <w:trPr>
          <w:trHeight w:val="236"/>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595,631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528,833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3,576,510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3,371,545</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333,924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339,881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Inventories (1)</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298,967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313,723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90,335</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Prepaid income tax</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16,771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8,624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43,205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43,244</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4,963,212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4,696,185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 at Cost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Land and buildings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454,217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447,818</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1,705,007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1,681,661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Office equipment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49,586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50,042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48,758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48,630</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2,257,568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2,228,151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1,767,521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1,727,284</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Net property, plant and equipment</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490,047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500,867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compensation plan investments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14,862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28,426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282,925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283,833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28,662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20,372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43,531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36,917</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Total other assets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387,777</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423,295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5,841,036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5,620,347</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118,261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117,034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income on shipments to distributors,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244,202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238,541</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12,487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6,097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134,212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148,907</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509,162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525,079</w:t>
            </w:r>
          </w:p>
        </w:tc>
        <w:tc>
          <w:tcPr>
            <w:tcW w:w="0" w:type="dxa"/>
            <w:vAlign w:val="bottom"/>
          </w:tcPr>
          <w:p>
            <w:pPr>
              <w:spacing w:after="0"/>
              <w:rPr>
                <w:sz w:val="1"/>
                <w:szCs w:val="1"/>
                <w:color w:val="auto"/>
              </w:rPr>
            </w:pPr>
          </w:p>
        </w:tc>
      </w:tr>
      <w:tr>
        <w:trPr>
          <w:trHeight w:val="231"/>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Non-current liabilities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757,855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807,098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1,130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Deferred compensation plan liability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28,426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Other non-current liabilities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94,069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93,255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871,284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929,909</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Arial" w:cs="Arial" w:eastAsia="Arial" w:hAnsi="Arial"/>
                <w:sz w:val="16"/>
                <w:szCs w:val="16"/>
                <w:color w:val="auto"/>
              </w:rPr>
              <w:t>Commitments and contingencies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Preferred stock, $1.00 par value, 471,934 shares authorized, none outstanding</w:t>
            </w:r>
          </w:p>
        </w:tc>
        <w:tc>
          <w:tcPr>
            <w:tcW w:w="300" w:type="dxa"/>
            <w:vAlign w:val="bottom"/>
          </w:tcPr>
          <w:p>
            <w:pPr>
              <w:spacing w:after="0"/>
              <w:rPr>
                <w:sz w:val="20"/>
                <w:szCs w:val="20"/>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$0.16 2/3 par value, 1,200,000,000 shares authorized, 308,165,416 shares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issued and outstanding (301,389,176 on November 3, 2012)</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51,362</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50,233</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586,791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390,651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3,889,469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3,788,869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(67,032)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(64,394)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4,460,590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4,165,359</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5,841,036</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5,620,347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60" w:right="3140" w:firstLine="272"/>
        <w:spacing w:after="0" w:line="522" w:lineRule="auto"/>
        <w:tabs>
          <w:tab w:leader="none" w:pos="65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$2,123 and $2,517 related to stock-based compensation at May 4, 2013 and November 3, 2012, respectively. See accompanying notes.</w:t>
      </w:r>
    </w:p>
    <w:p>
      <w:pPr>
        <w:sectPr>
          <w:pgSz w:w="11900" w:h="16838" w:orient="portrait"/>
          <w:cols w:equalWidth="0" w:num="1">
            <w:col w:w="11420"/>
          </w:cols>
          <w:pgMar w:left="240" w:top="719" w:right="239" w:bottom="0" w:gutter="0" w:footer="0" w:header="0"/>
        </w:sectPr>
      </w:pPr>
    </w:p>
    <w:bookmarkStart w:id="4" w:name="page5"/>
    <w:bookmarkEnd w:id="4"/>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91"/>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4, 2013</w:t>
            </w:r>
          </w:p>
        </w:tc>
        <w:tc>
          <w:tcPr>
            <w:tcW w:w="300" w:type="dxa"/>
            <w:vAlign w:val="bottom"/>
          </w:tcPr>
          <w:p>
            <w:pPr>
              <w:spacing w:after="0"/>
              <w:rPr>
                <w:sz w:val="22"/>
                <w:szCs w:val="22"/>
                <w:color w:val="auto"/>
              </w:rPr>
            </w:pPr>
          </w:p>
        </w:tc>
        <w:tc>
          <w:tcPr>
            <w:tcW w:w="1400" w:type="dxa"/>
            <w:vAlign w:val="bottom"/>
          </w:tcPr>
          <w:p>
            <w:pPr>
              <w:jc w:val="right"/>
              <w:ind w:right="391"/>
              <w:spacing w:after="0"/>
              <w:rPr>
                <w:sz w:val="20"/>
                <w:szCs w:val="20"/>
                <w:color w:val="auto"/>
              </w:rPr>
            </w:pPr>
            <w:r>
              <w:rPr>
                <w:rFonts w:ascii="Arial" w:cs="Arial" w:eastAsia="Arial" w:hAnsi="Arial"/>
                <w:sz w:val="14"/>
                <w:szCs w:val="14"/>
                <w:b w:val="1"/>
                <w:bCs w:val="1"/>
                <w:color w:val="auto"/>
              </w:rPr>
              <w:t>May 5,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295,694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302,281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55,233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55,114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31,017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25,432</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Gain on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Excess tax benefit-stock options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(4,498)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r>
      <w:tr>
        <w:trPr>
          <w:trHeight w:val="243"/>
        </w:trPr>
        <w:tc>
          <w:tcPr>
            <w:tcW w:w="7900" w:type="dxa"/>
            <w:vAlign w:val="bottom"/>
          </w:tcPr>
          <w:p>
            <w:pPr>
              <w:ind w:left="720"/>
              <w:spacing w:after="0"/>
              <w:rPr>
                <w:sz w:val="20"/>
                <w:szCs w:val="20"/>
                <w:color w:val="auto"/>
              </w:rPr>
            </w:pPr>
            <w:r>
              <w:rPr>
                <w:rFonts w:ascii="Arial" w:cs="Arial" w:eastAsia="Arial" w:hAnsi="Arial"/>
                <w:sz w:val="18"/>
                <w:szCs w:val="18"/>
                <w:color w:val="auto"/>
              </w:rPr>
              <w:t>Other non-cash activity</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48,693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68,202</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Total adjustments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114,461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138,508</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410,155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440,789</w:t>
            </w:r>
          </w:p>
        </w:tc>
      </w:tr>
      <w:tr>
        <w:trPr>
          <w:trHeight w:val="223"/>
        </w:trPr>
        <w:tc>
          <w:tcPr>
            <w:tcW w:w="79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r>
      <w:tr>
        <w:trPr>
          <w:trHeight w:val="41"/>
        </w:trPr>
        <w:tc>
          <w:tcPr>
            <w:tcW w:w="79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short-term available-for-sale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(3,856,909)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(4,428,475)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Maturities of short-term available-for-sale investments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3,277,635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3,295,587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Sales of short-term available-for-sale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261,575</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the sale of investments</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1,506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(55,426)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Payments for acquisitions, net of cash acquired</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(24,158)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(251,733)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(950,714)</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Early termination of swap agreements</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18,520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loan repayments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Dividend payments to shareholders</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(195,094)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(163,818)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(122,734)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Proceeds from employee stock plans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176,025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87,736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 payment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Increase (decrease) in other financing activities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Excess tax benefit-stock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4,498</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(92,484)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(199,028)</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66,798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(710,034)</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528,833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1,405,100</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595,631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695,066</w:t>
            </w:r>
          </w:p>
        </w:tc>
      </w:tr>
      <w:tr>
        <w:trPr>
          <w:trHeight w:val="27"/>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0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MAY 4,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4"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3, 2012 and related notes. The results of operations for the interim periods shown in this report are not necessarily indicative of the results that may be expected for the fiscal year ending November 2, 2013 or any future period.</w:t>
      </w:r>
    </w:p>
    <w:p>
      <w:pPr>
        <w:spacing w:after="0" w:line="100" w:lineRule="exact"/>
        <w:rPr>
          <w:sz w:val="20"/>
          <w:szCs w:val="20"/>
          <w:color w:val="auto"/>
        </w:rPr>
      </w:pPr>
    </w:p>
    <w:p>
      <w:pPr>
        <w:ind w:right="80" w:firstLine="432"/>
        <w:spacing w:after="0" w:line="279" w:lineRule="auto"/>
        <w:rPr>
          <w:sz w:val="20"/>
          <w:szCs w:val="20"/>
          <w:color w:val="auto"/>
        </w:rPr>
      </w:pPr>
      <w:r>
        <w:rPr>
          <w:rFonts w:ascii="Arial" w:cs="Arial" w:eastAsia="Arial" w:hAnsi="Arial"/>
          <w:sz w:val="17"/>
          <w:szCs w:val="17"/>
          <w:color w:val="auto"/>
        </w:rPr>
        <w:t>Certain amounts reported in previous years have been reclassified to conform to the fiscal 2013 presentation. Such reclassified amounts are immaterial. The Company has a 52-53 week fiscal year that ends on the Saturday closest to the last day in October. Fiscal 2013 is a 52-week fiscal year and fiscal 2012 was a 53-week fiscal year. The additional week in fiscal 2012 was included in the first quarter ended February 4, 2012. Therefore, the first six months of fiscal 2012 included an additional week of operations as compared to the first six months of fiscal 2013.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94"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27"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2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19" w:lineRule="exact"/>
        <w:rPr>
          <w:sz w:val="20"/>
          <w:szCs w:val="20"/>
          <w:color w:val="auto"/>
        </w:rPr>
      </w:pPr>
    </w:p>
    <w:p>
      <w:pPr>
        <w:ind w:right="240" w:firstLine="432"/>
        <w:spacing w:after="0" w:line="312" w:lineRule="auto"/>
        <w:rPr>
          <w:sz w:val="20"/>
          <w:szCs w:val="20"/>
          <w:color w:val="auto"/>
        </w:rPr>
      </w:pPr>
      <w:r>
        <w:rPr>
          <w:rFonts w:ascii="Arial" w:cs="Arial" w:eastAsia="Arial" w:hAnsi="Arial"/>
          <w:sz w:val="16"/>
          <w:szCs w:val="16"/>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93"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71"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price-protection and price-adjustment credits granted to distributors historically have not exceeded the margins the Company earns on sales of its products. The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t>Company continuously monitors the level and nature of product returns and is in frequent contact with the distributors to ensure reserves are established for all known material issues.</w:t>
      </w:r>
    </w:p>
    <w:p>
      <w:pPr>
        <w:spacing w:after="0" w:line="11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As of May 4, 2013 and November 3, 2012, the Company had gross deferred revenue of $304.6 million and $299.0 million, respectively, and gross deferred cost of sales of $60.4 million and $60.5 million, respectively. Deferred income on shipments to distributors increased in the first six months of fiscal 2013 primarily as a result of a mix shift in favor of higher margin products sold through the channel.</w:t>
      </w:r>
    </w:p>
    <w:p>
      <w:pPr>
        <w:spacing w:after="0" w:line="127"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defective products. Specific accruals are recorded for known product warranty issues. Product warranty expenses during each of the three- and six-month periods ended May 4, 2013 and May 5, 2012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Stock-Based Compensation</w:t>
      </w:r>
    </w:p>
    <w:p>
      <w:pPr>
        <w:spacing w:after="0" w:line="229"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Determining the amount of stock-based compensation to be recorded requires the Company to develop estimates used in calculating the grant-date fair value of stock options.</w:t>
      </w:r>
    </w:p>
    <w:p>
      <w:pPr>
        <w:spacing w:after="0" w:line="187"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i w:val="1"/>
          <w:iCs w:val="1"/>
          <w:color w:val="auto"/>
        </w:rPr>
        <w:t xml:space="preserve">Grant-Date Fair Value </w:t>
      </w:r>
      <w:r>
        <w:rPr>
          <w:rFonts w:ascii="Arial" w:cs="Arial" w:eastAsia="Arial" w:hAnsi="Arial"/>
          <w:sz w:val="17"/>
          <w:szCs w:val="17"/>
          <w:color w:val="auto"/>
        </w:rPr>
        <w:t>— The Company uses the Black-Scholes valuation model to calculate the grant-date fair value of stock option awards.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valuation models requires the Company to make estimates and assumptions, such as expected volatility, expected term, risk-free interest rate, expected dividend yield and forfeiture rates. The grant-date fair value of restricted stock units represents the value of the Company’s common stock on the date of grant, reduced by the present value of dividends expected to be paid on the Company’s common stock prior to vesting.</w:t>
      </w:r>
    </w:p>
    <w:p>
      <w:pPr>
        <w:spacing w:after="0" w:line="117"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Information pertaining to the Company’s stock option awards and the related estimated weighted-average assumptions to calculate the fair value of stock options granted during the three- and six-month periods ended May 4, 2013 and May 5, 2012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1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29"/>
        </w:trPr>
        <w:tc>
          <w:tcPr>
            <w:tcW w:w="5860" w:type="dxa"/>
            <w:vAlign w:val="bottom"/>
            <w:gridSpan w:val="3"/>
          </w:tcPr>
          <w:p>
            <w:pPr>
              <w:ind w:left="40"/>
              <w:spacing w:after="0"/>
              <w:rPr>
                <w:sz w:val="20"/>
                <w:szCs w:val="20"/>
                <w:color w:val="auto"/>
              </w:rPr>
            </w:pPr>
            <w:r>
              <w:rPr>
                <w:rFonts w:ascii="Arial" w:cs="Arial" w:eastAsia="Arial" w:hAnsi="Arial"/>
                <w:sz w:val="14"/>
                <w:szCs w:val="14"/>
                <w:b w:val="1"/>
                <w:bCs w:val="1"/>
                <w:color w:val="auto"/>
              </w:rPr>
              <w:t>Stock Options</w:t>
            </w: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May 4, 2013</w:t>
            </w: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May 5, 2012</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May 4, 2013</w:t>
            </w:r>
          </w:p>
        </w:tc>
        <w:tc>
          <w:tcPr>
            <w:tcW w:w="1320" w:type="dxa"/>
            <w:vAlign w:val="bottom"/>
          </w:tcPr>
          <w:p>
            <w:pPr>
              <w:jc w:val="right"/>
              <w:ind w:right="192"/>
              <w:spacing w:after="0"/>
              <w:rPr>
                <w:sz w:val="20"/>
                <w:szCs w:val="20"/>
                <w:color w:val="auto"/>
              </w:rPr>
            </w:pPr>
            <w:r>
              <w:rPr>
                <w:rFonts w:ascii="Arial" w:cs="Arial" w:eastAsia="Arial" w:hAnsi="Arial"/>
                <w:sz w:val="14"/>
                <w:szCs w:val="14"/>
                <w:b w:val="1"/>
                <w:bCs w:val="1"/>
                <w:color w:val="auto"/>
              </w:rPr>
              <w:t>May 5,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Options granted (in thousands)</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2,178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2,286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2,227</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Weighted-average exercise price</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$46.47</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$39.77</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$46.41</w:t>
            </w:r>
          </w:p>
        </w:tc>
        <w:tc>
          <w:tcPr>
            <w:tcW w:w="1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$39.71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grant-date fair value</w:t>
            </w: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$7.50</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Assumptions:</w:t>
            </w: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expected volatility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term (in years)</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5.3</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Weighted-average risk-free interest rate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860" w:type="dxa"/>
            <w:vAlign w:val="bottom"/>
            <w:gridSpan w:val="3"/>
          </w:tcPr>
          <w:p>
            <w:pPr>
              <w:ind w:left="40"/>
              <w:spacing w:after="0"/>
              <w:rPr>
                <w:sz w:val="20"/>
                <w:szCs w:val="20"/>
                <w:color w:val="auto"/>
              </w:rPr>
            </w:pPr>
            <w:r>
              <w:rPr>
                <w:rFonts w:ascii="Arial" w:cs="Arial" w:eastAsia="Arial" w:hAnsi="Arial"/>
                <w:sz w:val="18"/>
                <w:szCs w:val="18"/>
                <w:color w:val="auto"/>
              </w:rPr>
              <w:t>Weighted-average expected dividend yield</w:t>
            </w: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175"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(4) the remaining maturities of the traded options used to estimate volatility are at least one year.</w:t>
      </w:r>
    </w:p>
    <w:p>
      <w:pPr>
        <w:spacing w:after="0" w:line="2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as the risk-free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8" w:name="page9"/>
    <w:bookmarkEnd w:id="8"/>
    <w:p>
      <w:pPr>
        <w:ind w:firstLine="432"/>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Expense</w:t>
      </w:r>
    </w:p>
    <w:p>
      <w:pPr>
        <w:spacing w:after="0" w:line="171"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May 4, 2013.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Additional paid-in-capital (APIC) Pool</w:t>
      </w:r>
    </w:p>
    <w:p>
      <w:pPr>
        <w:spacing w:after="0" w:line="90"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 and six-month periods ended May 4, 2013, the Company had a sufficient APIC pool to cover any tax deficiencies recorded and as a result, these deficiencies did not affect its results of operations. During the three-month period ended May 5, 2012, the Company recorded excess tax benefits of $0.3 million. The Company applied these excess tax benefits to the $1.8 million income tax expense previously recorded during the three-month period ended February 4, 2012, resulting in $1.5 million of income tax expense for the six-month period ended May 5, 2012.</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Stock-Based Compensation Activity</w:t>
      </w:r>
    </w:p>
    <w:p>
      <w:pPr>
        <w:spacing w:after="0" w:line="90"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 summary of the activity under the Company’s stock option plans as of May 4, 2013 and changes during the three- and six-month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May 4, 2013</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3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58"/>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2"/>
              </w:rPr>
              <w:t>Price Per Share</w:t>
            </w: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2"/>
              </w:rPr>
              <w:t>Term in Years</w:t>
            </w: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0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Options outstanding February 2, 2013</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22,430</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$32.24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2,266</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$46.47</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$30.41</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Arial" w:cs="Arial" w:eastAsia="Arial" w:hAnsi="Arial"/>
                <w:sz w:val="18"/>
                <w:szCs w:val="18"/>
                <w:color w:val="auto"/>
              </w:rPr>
              <w:t>Options 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$33.53</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Options 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$44.66</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Options outstanding at May 4, 2013</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22,586</w:t>
            </w:r>
          </w:p>
        </w:tc>
        <w:tc>
          <w:tcPr>
            <w:tcW w:w="1620" w:type="dxa"/>
            <w:vAlign w:val="bottom"/>
            <w:tcBorders>
              <w:bottom w:val="single" w:sz="8" w:color="CCEEFF"/>
            </w:tcBorders>
            <w:gridSpan w:val="2"/>
          </w:tcPr>
          <w:p>
            <w:pPr>
              <w:jc w:val="right"/>
              <w:ind w:right="48"/>
              <w:spacing w:after="0"/>
              <w:rPr>
                <w:sz w:val="20"/>
                <w:szCs w:val="20"/>
                <w:color w:val="auto"/>
              </w:rPr>
            </w:pPr>
            <w:r>
              <w:rPr>
                <w:rFonts w:ascii="Arial" w:cs="Arial" w:eastAsia="Arial" w:hAnsi="Arial"/>
                <w:sz w:val="18"/>
                <w:szCs w:val="18"/>
                <w:color w:val="auto"/>
              </w:rPr>
              <w:t>$33.82</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Arial" w:cs="Arial" w:eastAsia="Arial" w:hAnsi="Arial"/>
                <w:sz w:val="18"/>
                <w:szCs w:val="18"/>
                <w:color w:val="auto"/>
              </w:rPr>
              <w:t>$256,487</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Options exercisable at May 4, 2013</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15,663</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$31.99</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$204,292</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Options vested or expected to vest at May 4, 2013 (1)</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3"/>
            <w:vMerge w:val="continue"/>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21,999</w:t>
            </w:r>
          </w:p>
        </w:tc>
        <w:tc>
          <w:tcPr>
            <w:tcW w:w="1620" w:type="dxa"/>
            <w:vAlign w:val="bottom"/>
            <w:gridSpan w:val="2"/>
          </w:tcPr>
          <w:p>
            <w:pPr>
              <w:jc w:val="right"/>
              <w:ind w:right="48"/>
              <w:spacing w:after="0"/>
              <w:rPr>
                <w:sz w:val="20"/>
                <w:szCs w:val="20"/>
                <w:color w:val="auto"/>
              </w:rPr>
            </w:pPr>
            <w:r>
              <w:rPr>
                <w:rFonts w:ascii="Arial" w:cs="Arial" w:eastAsia="Arial" w:hAnsi="Arial"/>
                <w:sz w:val="18"/>
                <w:szCs w:val="18"/>
                <w:color w:val="auto"/>
              </w:rPr>
              <w:t>$33.62</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8"/>
                <w:szCs w:val="18"/>
                <w:color w:val="auto"/>
              </w:rPr>
              <w:t>$253,828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660" w:right="2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9" w:name="page10"/>
    <w:bookmarkEnd w:id="9"/>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84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Activity during the Six Months Ended May 4, 2013</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0" w:type="dxa"/>
            <w:vAlign w:val="bottom"/>
          </w:tcPr>
          <w:p>
            <w:pPr>
              <w:spacing w:after="0"/>
              <w:rPr>
                <w:sz w:val="1"/>
                <w:szCs w:val="1"/>
                <w:color w:val="auto"/>
              </w:rPr>
            </w:pPr>
          </w:p>
        </w:tc>
      </w:tr>
      <w:tr>
        <w:trPr>
          <w:trHeight w:val="158"/>
        </w:trPr>
        <w:tc>
          <w:tcPr>
            <w:tcW w:w="8420" w:type="dxa"/>
            <w:vAlign w:val="bottom"/>
            <w:gridSpan w:val="3"/>
            <w:vMerge w:val="continue"/>
          </w:tcPr>
          <w:p>
            <w:pPr>
              <w:spacing w:after="0"/>
              <w:rPr>
                <w:sz w:val="13"/>
                <w:szCs w:val="13"/>
                <w:color w:val="auto"/>
              </w:rPr>
            </w:pPr>
          </w:p>
        </w:tc>
        <w:tc>
          <w:tcPr>
            <w:tcW w:w="13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Price Per Share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14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Options outstanding November 3, 2012</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26,453</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$31.73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360"/>
              <w:spacing w:after="0"/>
              <w:rPr>
                <w:sz w:val="20"/>
                <w:szCs w:val="20"/>
                <w:color w:val="auto"/>
              </w:rPr>
            </w:pPr>
            <w:r>
              <w:rPr>
                <w:rFonts w:ascii="Arial" w:cs="Arial" w:eastAsia="Arial" w:hAnsi="Arial"/>
                <w:sz w:val="18"/>
                <w:szCs w:val="18"/>
                <w:color w:val="auto"/>
              </w:rPr>
              <w:t>Options granted</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2,286</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Options 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360"/>
              <w:spacing w:after="0"/>
              <w:rPr>
                <w:sz w:val="20"/>
                <w:szCs w:val="20"/>
                <w:color w:val="auto"/>
              </w:rPr>
            </w:pPr>
            <w:r>
              <w:rPr>
                <w:rFonts w:ascii="Arial" w:cs="Arial" w:eastAsia="Arial" w:hAnsi="Arial"/>
                <w:sz w:val="18"/>
                <w:szCs w:val="18"/>
                <w:color w:val="auto"/>
              </w:rPr>
              <w:t>Options 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(146)</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Options 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57"/>
        </w:trPr>
        <w:tc>
          <w:tcPr>
            <w:tcW w:w="8420" w:type="dxa"/>
            <w:vAlign w:val="bottom"/>
            <w:gridSpan w:val="3"/>
          </w:tcPr>
          <w:p>
            <w:pPr>
              <w:ind w:left="20"/>
              <w:spacing w:after="0"/>
              <w:rPr>
                <w:sz w:val="20"/>
                <w:szCs w:val="20"/>
                <w:color w:val="auto"/>
              </w:rPr>
            </w:pPr>
            <w:r>
              <w:rPr>
                <w:rFonts w:ascii="Arial" w:cs="Arial" w:eastAsia="Arial" w:hAnsi="Arial"/>
                <w:sz w:val="18"/>
                <w:szCs w:val="18"/>
                <w:b w:val="1"/>
                <w:bCs w:val="1"/>
                <w:color w:val="auto"/>
              </w:rPr>
              <w:t>Options outstanding at May 4, 2013</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22,586</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$33.82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40"/>
        <w:spacing w:after="0" w:line="264" w:lineRule="auto"/>
        <w:rPr>
          <w:sz w:val="20"/>
          <w:szCs w:val="20"/>
          <w:color w:val="auto"/>
        </w:rPr>
      </w:pPr>
      <w:r>
        <w:rPr>
          <w:rFonts w:ascii="Arial" w:cs="Arial" w:eastAsia="Arial" w:hAnsi="Arial"/>
          <w:sz w:val="18"/>
          <w:szCs w:val="18"/>
          <w:color w:val="auto"/>
        </w:rPr>
        <w:t>During the three and six months ended May 4, 2013, the total intrinsic value of options exercised (i.e. the difference between the market price at exercise and the price paid by the employee to exercise the options) was $31.2 million and $83.2 million, respectively, and the total amount of proceeds received by the Company from the exercise of these options was $62.2 million and $176.0 million, respectively.</w:t>
      </w:r>
    </w:p>
    <w:p>
      <w:pPr>
        <w:spacing w:after="0" w:line="181" w:lineRule="exact"/>
        <w:rPr>
          <w:sz w:val="20"/>
          <w:szCs w:val="20"/>
          <w:color w:val="auto"/>
        </w:rPr>
      </w:pPr>
    </w:p>
    <w:p>
      <w:pPr>
        <w:ind w:left="60" w:right="40"/>
        <w:spacing w:after="0" w:line="264" w:lineRule="auto"/>
        <w:rPr>
          <w:sz w:val="20"/>
          <w:szCs w:val="20"/>
          <w:color w:val="auto"/>
        </w:rPr>
      </w:pPr>
      <w:r>
        <w:rPr>
          <w:rFonts w:ascii="Arial" w:cs="Arial" w:eastAsia="Arial" w:hAnsi="Arial"/>
          <w:sz w:val="18"/>
          <w:szCs w:val="18"/>
          <w:color w:val="auto"/>
        </w:rPr>
        <w:t>During the three and six months ended May 5, 2012, the total intrinsic value of options exercised (i.e. the difference between the market price at exercise and the price paid by the employee to exercise the options) was $24.4 million and $49.3 million, respectively, and the total amount of proceeds received by the Company from the exercise of these options was $38.8 million and $87.7 million, respectively.</w:t>
      </w:r>
    </w:p>
    <w:p>
      <w:pPr>
        <w:spacing w:after="0" w:line="127"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 summary of the Company’s restricted stock unit award activity as of May 4, 2013 and changes during the three- and six-month periods then ended is presented below:</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Three Months Ended May 4, 2013</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February 2, 2013</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1,995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754</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$35.30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May 4, 2013</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2,506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23"/>
                <w:szCs w:val="23"/>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49"/>
        </w:trPr>
        <w:tc>
          <w:tcPr>
            <w:tcW w:w="83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Activity during the Six Months Ended May 4, 2013</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58"/>
        </w:trPr>
        <w:tc>
          <w:tcPr>
            <w:tcW w:w="8340" w:type="dxa"/>
            <w:vAlign w:val="bottom"/>
            <w:gridSpan w:val="4"/>
            <w:vMerge w:val="continue"/>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3"/>
                <w:szCs w:val="13"/>
                <w:color w:val="auto"/>
              </w:rPr>
            </w:pPr>
          </w:p>
        </w:tc>
        <w:tc>
          <w:tcPr>
            <w:tcW w:w="1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November 3, 2012</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3,060</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Units granted</w:t>
            </w:r>
          </w:p>
        </w:tc>
        <w:tc>
          <w:tcPr>
            <w:tcW w:w="1500" w:type="dxa"/>
            <w:vAlign w:val="bottom"/>
          </w:tcPr>
          <w:p>
            <w:pPr>
              <w:jc w:val="right"/>
              <w:ind w:right="38"/>
              <w:spacing w:after="0"/>
              <w:rPr>
                <w:sz w:val="20"/>
                <w:szCs w:val="20"/>
                <w:color w:val="auto"/>
              </w:rPr>
            </w:pPr>
            <w:r>
              <w:rPr>
                <w:rFonts w:ascii="Arial" w:cs="Arial" w:eastAsia="Arial" w:hAnsi="Arial"/>
                <w:sz w:val="18"/>
                <w:szCs w:val="18"/>
                <w:color w:val="auto"/>
              </w:rPr>
              <w:t>767</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Restrictions lapsed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(43)</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$34.49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stock units outstanding at May 4, 2013</w:t>
            </w:r>
          </w:p>
        </w:tc>
        <w:tc>
          <w:tcPr>
            <w:tcW w:w="15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2,506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As of May 4, 2013, there was $106.2 million of total unrecognized compensation cost related to unvested share-based awards comprised of stock options and restricted stock units. That cost is expected to be recognized over a weighted-average period of 1.5 years. The total grant-date fair value of shares that vested during the three and six months ended May 4, 2013 was approximately $11.9 million and $62.1 million, respectively. The total grant-date fair value of shares that vested during the three and six months ended May 5, 2012 was approximately $1.8 million and $26.8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 Repurchase</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Company’s common stock repurchase program has been in place since August 2004. In the aggregate, the Board of Directors has authorized the Company to repurchase $5.0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May 4, 2013, the Company had repurchased a total of approximately 129.2 million shares of its common stock for approximately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26" w:right="239" w:bottom="1440" w:gutter="0" w:footer="0" w:header="0"/>
        </w:sectPr>
      </w:pPr>
    </w:p>
    <w:bookmarkStart w:id="10" w:name="page11"/>
    <w:bookmarkEnd w:id="10"/>
    <w:p>
      <w:pPr>
        <w:jc w:val="both"/>
        <w:ind w:right="40"/>
        <w:spacing w:after="0" w:line="288" w:lineRule="auto"/>
        <w:rPr>
          <w:sz w:val="20"/>
          <w:szCs w:val="20"/>
          <w:color w:val="auto"/>
        </w:rPr>
      </w:pPr>
      <w:r>
        <w:rPr>
          <w:rFonts w:ascii="Arial" w:cs="Arial" w:eastAsia="Arial" w:hAnsi="Arial"/>
          <w:sz w:val="16"/>
          <w:szCs w:val="16"/>
          <w:color w:val="auto"/>
        </w:rPr>
        <w:t>$4,439.0 million under this program. As of May 4, 2013 an additional $561.0 million remains available for repurchase of shares under the current authorized program. The repurchased shares are held as authorized but unissued shares of common stock. Any future common stock repurchases will be dependent upon several factors, including the amount of cash available to the Company in the United States and the Company’s financial performance, outlook and liquidity.</w:t>
      </w:r>
    </w:p>
    <w:p>
      <w:pPr>
        <w:spacing w:after="0" w:line="255" w:lineRule="auto"/>
        <w:rPr>
          <w:sz w:val="20"/>
          <w:szCs w:val="20"/>
          <w:color w:val="auto"/>
        </w:rPr>
      </w:pPr>
      <w:r>
        <w:rPr>
          <w:rFonts w:ascii="Arial" w:cs="Arial" w:eastAsia="Arial" w:hAnsi="Arial"/>
          <w:sz w:val="18"/>
          <w:szCs w:val="18"/>
          <w:color w:val="auto"/>
        </w:rPr>
        <w:t>The Company also, from time to time, repurchases shares in settlement of employee tax withholding obligations due upon the vesting of restricted stock units, or in certain limited circumstances to satisfy the exercise price of options granted to the Company’s employees under the Company’s equity compensation plans.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66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5 – Accumulated Other Comprehensive Income (Loss)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accumulated other comprehensive loss at May 4, 2013 and November 3, 2012 consisted of the following, net of tax:</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160" w:type="dxa"/>
            <w:vAlign w:val="bottom"/>
          </w:tcPr>
          <w:p>
            <w:pPr>
              <w:spacing w:after="0"/>
              <w:rPr>
                <w:sz w:val="16"/>
                <w:szCs w:val="16"/>
                <w:color w:val="auto"/>
              </w:rPr>
            </w:pPr>
          </w:p>
        </w:tc>
        <w:tc>
          <w:tcPr>
            <w:tcW w:w="1320" w:type="dxa"/>
            <w:vAlign w:val="bottom"/>
          </w:tcPr>
          <w:p>
            <w:pPr>
              <w:jc w:val="right"/>
              <w:ind w:right="93"/>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gains on available-for-sale securities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444</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gains on derivative instruments</w:t>
            </w:r>
          </w:p>
        </w:tc>
        <w:tc>
          <w:tcPr>
            <w:tcW w:w="2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1,165</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(66,562)</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accumulated other comprehensive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(64,394)</w:t>
            </w:r>
          </w:p>
        </w:tc>
      </w:tr>
      <w:tr>
        <w:trPr>
          <w:trHeight w:val="27"/>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aggregate fair value of investments with unrealized losses as of May 4, 2013 and November 3, 2012 was $1,112.7 million and $1,214.1 million, respectively. These unrealized losses were primarily related to corporate obligations that earn lower interest rates than current market rates. None of these investments have been in a loss position for more than twelve months.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Unrealized gains and losses on available-for-sale securities classified as short-term investments at May 4, 2013 and November 3, 2012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November 3, 2012</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gains on securities classified as short-term investments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losses on securities classified as short-term investments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gains on securities classified as short-term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Realized gains or losses on investments are determined based on the specific identification basis and are recognized in nonoperating (income) expense.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Gross realized gains and losses on sales of available-for-sale investments during the three- and six-month periods ended May 5, 2012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 million and approximately $0.1 million, respectively. There were no material net realized gains or losses from the sales of available-for-sale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any other of the fiscal periods presented.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Earnings Per Share</w:t>
      </w:r>
    </w:p>
    <w:p>
      <w:pPr>
        <w:spacing w:after="0" w:line="94"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years, related to the Company’s outstanding stock options could be dilutive in the future.</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094" w:right="239" w:bottom="1440" w:gutter="0" w:footer="0" w:header="0"/>
        </w:sectPr>
      </w:pPr>
    </w:p>
    <w:bookmarkStart w:id="12" w:name="page13"/>
    <w:bookmarkEnd w:id="12"/>
    <w:p>
      <w:pPr>
        <w:jc w:val="center"/>
        <w:ind w:left="67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23495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103" w:lineRule="exact"/>
        <w:rPr>
          <w:sz w:val="20"/>
          <w:szCs w:val="20"/>
          <w:color w:val="auto"/>
        </w:rPr>
      </w:pPr>
    </w:p>
    <w:p>
      <w:pPr>
        <w:ind w:left="6740"/>
        <w:spacing w:after="0"/>
        <w:tabs>
          <w:tab w:leader="none" w:pos="7980" w:val="left"/>
        </w:tabs>
        <w:rPr>
          <w:sz w:val="20"/>
          <w:szCs w:val="20"/>
          <w:color w:val="auto"/>
        </w:rPr>
      </w:pPr>
      <w:r>
        <w:rPr>
          <w:rFonts w:ascii="Arial" w:cs="Arial" w:eastAsia="Arial" w:hAnsi="Arial"/>
          <w:sz w:val="14"/>
          <w:szCs w:val="14"/>
          <w:b w:val="1"/>
          <w:bCs w:val="1"/>
          <w:color w:val="auto"/>
        </w:rPr>
        <w:t>May 4, 2013</w:t>
      </w:r>
      <w:r>
        <w:rPr>
          <w:sz w:val="20"/>
          <w:szCs w:val="20"/>
          <w:color w:val="auto"/>
        </w:rPr>
        <w:tab/>
      </w:r>
      <w:r>
        <w:rPr>
          <w:rFonts w:ascii="Arial" w:cs="Arial" w:eastAsia="Arial" w:hAnsi="Arial"/>
          <w:sz w:val="13"/>
          <w:szCs w:val="13"/>
          <w:b w:val="1"/>
          <w:bCs w:val="1"/>
          <w:color w:val="auto"/>
        </w:rPr>
        <w:t>May 5, 2012</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23495</wp:posOffset>
            </wp:positionV>
            <wp:extent cx="15093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May 4, 2013</w:t>
      </w:r>
      <w:r>
        <w:rPr>
          <w:sz w:val="20"/>
          <w:szCs w:val="20"/>
          <w:color w:val="auto"/>
        </w:rPr>
        <w:tab/>
      </w:r>
      <w:r>
        <w:rPr>
          <w:rFonts w:ascii="Arial" w:cs="Arial" w:eastAsia="Arial" w:hAnsi="Arial"/>
          <w:sz w:val="13"/>
          <w:szCs w:val="13"/>
          <w:b w:val="1"/>
          <w:bCs w:val="1"/>
          <w:color w:val="auto"/>
        </w:rPr>
        <w:t>May 5, 2012</w:t>
      </w:r>
    </w:p>
    <w:p>
      <w:pPr>
        <w:spacing w:after="0" w:line="25" w:lineRule="exact"/>
        <w:rPr>
          <w:sz w:val="20"/>
          <w:szCs w:val="20"/>
          <w:color w:val="auto"/>
        </w:rPr>
      </w:pPr>
    </w:p>
    <w:p>
      <w:pPr>
        <w:sectPr>
          <w:pgSz w:w="11900" w:h="16838" w:orient="portrait"/>
          <w:cols w:equalWidth="0" w:num="2">
            <w:col w:w="8740" w:space="500"/>
            <w:col w:w="2180"/>
          </w:cols>
          <w:pgMar w:left="240" w:top="806" w:right="239" w:bottom="1440" w:gutter="0" w:footer="0" w:header="0"/>
        </w:sectPr>
      </w:pPr>
    </w:p>
    <w:tbl>
      <w:tblPr>
        <w:tblLayout w:type="fixed"/>
        <w:tblInd w:w="0" w:type="dxa"/>
        <w:tblCellMar>
          <w:top w:w="0" w:type="dxa"/>
          <w:left w:w="0" w:type="dxa"/>
          <w:bottom w:w="0" w:type="dxa"/>
          <w:right w:w="0" w:type="dxa"/>
        </w:tblCellMar>
      </w:tblPr>
      <w:tr>
        <w:trPr>
          <w:trHeight w:val="281"/>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164,472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162,899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295,694</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302,281</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shares: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307,444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298,130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305,464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297,959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Earnings per share basic:</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shares:</w:t>
            </w: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Weighted-average shares outstanding</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307,444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298,130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305,464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297,959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Assumed exercise of common stock equivalents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5,924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7,767</w:t>
            </w:r>
          </w:p>
        </w:tc>
        <w:tc>
          <w:tcPr>
            <w:tcW w:w="0" w:type="dxa"/>
            <w:vAlign w:val="bottom"/>
          </w:tcPr>
          <w:p>
            <w:pPr>
              <w:spacing w:after="0"/>
              <w:rPr>
                <w:sz w:val="1"/>
                <w:szCs w:val="1"/>
                <w:color w:val="auto"/>
              </w:rPr>
            </w:pP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Weighted-average common and common equivalent shares</w:t>
            </w: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313,368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305,921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311,822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305,726</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Earnings per share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Anti-dilutive shares related to:</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Outstanding stock options</w:t>
            </w: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Special Charges</w:t>
      </w:r>
    </w:p>
    <w:p>
      <w:pPr>
        <w:spacing w:after="0" w:line="94"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tables display the special charges taken for ongoing actions and a roll-forward from November 3, 2012 to May 4, 2013 of the employee separation and exit cost accruals established related to these actions.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4"/>
                <w:szCs w:val="14"/>
                <w:b w:val="1"/>
                <w:bCs w:val="1"/>
                <w:color w:val="auto"/>
                <w:w w:val="97"/>
              </w:rPr>
              <w:t>Reduction of Operating Costs</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060" w:type="dxa"/>
            <w:vAlign w:val="bottom"/>
            <w:gridSpan w:val="4"/>
          </w:tcPr>
          <w:p>
            <w:pPr>
              <w:ind w:left="40"/>
              <w:spacing w:after="0"/>
              <w:rPr>
                <w:sz w:val="20"/>
                <w:szCs w:val="20"/>
                <w:color w:val="auto"/>
              </w:rPr>
            </w:pPr>
            <w:r>
              <w:rPr>
                <w:rFonts w:ascii="Arial" w:cs="Arial" w:eastAsia="Arial" w:hAnsi="Arial"/>
                <w:sz w:val="14"/>
                <w:szCs w:val="14"/>
                <w:b w:val="1"/>
                <w:bCs w:val="1"/>
                <w:color w:val="auto"/>
              </w:rPr>
              <w:t>Statement of Income</w:t>
            </w:r>
          </w:p>
        </w:tc>
        <w:tc>
          <w:tcPr>
            <w:tcW w:w="300" w:type="dxa"/>
            <w:vAlign w:val="bottom"/>
          </w:tcPr>
          <w:p>
            <w:pPr>
              <w:spacing w:after="0"/>
              <w:rPr>
                <w:sz w:val="19"/>
                <w:szCs w:val="19"/>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Workforce reductions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Facility closure costs</w:t>
            </w: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Non-cash impairment charge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Other items</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Charges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6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Accrued Restructuring</w:t>
            </w: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w w:val="91"/>
              </w:rPr>
              <w:t>Reduction of</w:t>
            </w:r>
          </w:p>
        </w:tc>
        <w:tc>
          <w:tcPr>
            <w:tcW w:w="0" w:type="dxa"/>
            <w:vAlign w:val="bottom"/>
          </w:tcPr>
          <w:p>
            <w:pPr>
              <w:spacing w:after="0"/>
              <w:rPr>
                <w:sz w:val="1"/>
                <w:szCs w:val="1"/>
                <w:color w:val="auto"/>
              </w:rPr>
            </w:pPr>
          </w:p>
        </w:tc>
      </w:tr>
      <w:tr>
        <w:trPr>
          <w:trHeight w:val="158"/>
        </w:trPr>
        <w:tc>
          <w:tcPr>
            <w:tcW w:w="60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Operating Costs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November 3, 2012</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First quarter 2013 special charge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14,071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Severance payments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43"/>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Effect of foreign currency on accrual</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February 2, 2013</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12,824</w:t>
            </w: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Arial" w:cs="Arial" w:eastAsia="Arial" w:hAnsi="Arial"/>
                <w:sz w:val="18"/>
                <w:szCs w:val="18"/>
                <w:color w:val="auto"/>
              </w:rPr>
              <w:t>Severance payments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foreign currency on accrual</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6060" w:type="dxa"/>
            <w:vAlign w:val="bottom"/>
            <w:gridSpan w:val="4"/>
          </w:tcPr>
          <w:p>
            <w:pPr>
              <w:ind w:left="40"/>
              <w:spacing w:after="0"/>
              <w:rPr>
                <w:sz w:val="20"/>
                <w:szCs w:val="20"/>
                <w:color w:val="auto"/>
              </w:rPr>
            </w:pPr>
            <w:r>
              <w:rPr>
                <w:rFonts w:ascii="Arial" w:cs="Arial" w:eastAsia="Arial" w:hAnsi="Arial"/>
                <w:sz w:val="18"/>
                <w:szCs w:val="18"/>
                <w:b w:val="1"/>
                <w:bCs w:val="1"/>
                <w:color w:val="auto"/>
              </w:rPr>
              <w:t>Balance at May 4, 2013</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Reduction of Operating Costs</w:t>
      </w:r>
    </w:p>
    <w:p>
      <w:pPr>
        <w:spacing w:after="0" w:line="9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During fiscal 2010 through fiscal 2012, the Company recorded special charges of approximately $22.1 million. These special charges included: $21.1 million for severance and fringe benefit costs in accordance with its ongoing benefit plan or statutory requirements at foreign locations for 269 manufacturing, engineering and selling, marketing, general and administrative (SMG&amp;A) employees; $0.2 million for lease obligation costs for facilities that the Company ceased using during the third quarter of fiscal 2012; $0.1 million for contract termination costs; $0.2 million for the write-off of property, plant and equipment; and $0.5 million related to the impairment of intellectual property. The Company terminated the employment of all employees associated with these actions.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06" w:right="239" w:bottom="1440" w:gutter="0" w:footer="0" w:header="0"/>
          <w:type w:val="continuous"/>
        </w:sectPr>
      </w:pPr>
    </w:p>
    <w:bookmarkStart w:id="13" w:name="page14"/>
    <w:bookmarkEnd w:id="13"/>
    <w:p>
      <w:pPr>
        <w:ind w:right="140" w:firstLine="432"/>
        <w:spacing w:after="0" w:line="279" w:lineRule="auto"/>
        <w:rPr>
          <w:sz w:val="20"/>
          <w:szCs w:val="20"/>
          <w:color w:val="auto"/>
        </w:rPr>
      </w:pPr>
      <w:r>
        <w:rPr>
          <w:rFonts w:ascii="Arial" w:cs="Arial" w:eastAsia="Arial" w:hAnsi="Arial"/>
          <w:sz w:val="17"/>
          <w:szCs w:val="17"/>
          <w:color w:val="auto"/>
        </w:rPr>
        <w:t>During the first quarter of fiscal 2013, the Company recorded a special charge of approximately $14.1 million for severance and fringe benefit costs in accordance with its ongoing benefit plan or statutory requirements at foreign locations for 137 manufacturing, engineering and SMG&amp;A employees. As of May 4, 2013, the Company employed 6 of the 137 employees included in this cost reduction action. These employees must continue to be employed by the Company until their employment is involuntarily terminated in order to receive the severance benefit.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Information</w:t>
      </w:r>
    </w:p>
    <w:p>
      <w:pPr>
        <w:spacing w:after="0" w:line="94" w:lineRule="exact"/>
        <w:rPr>
          <w:sz w:val="20"/>
          <w:szCs w:val="20"/>
          <w:color w:val="auto"/>
        </w:rPr>
      </w:pPr>
    </w:p>
    <w:p>
      <w:pPr>
        <w:jc w:val="both"/>
        <w:ind w:right="340" w:firstLine="432"/>
        <w:spacing w:after="0" w:line="264" w:lineRule="auto"/>
        <w:rPr>
          <w:sz w:val="20"/>
          <w:szCs w:val="20"/>
          <w:color w:val="auto"/>
        </w:rPr>
      </w:pPr>
      <w:r>
        <w:rPr>
          <w:rFonts w:ascii="Arial" w:cs="Arial" w:eastAsia="Arial" w:hAnsi="Arial"/>
          <w:sz w:val="18"/>
          <w:szCs w:val="18"/>
          <w:color w:val="auto"/>
        </w:rPr>
        <w:t>The Company operates and tracks its results in one reportable segment based on the aggregation of five operating segments. The Company designs, develops, manufactures and markets a broad range of integrated circuits. The Chief Executive Officer has been identified as the Chief Operating Decision Maker.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5"/>
              </w:rPr>
              <w:t>May 5, 2012</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400" w:type="dxa"/>
            <w:vAlign w:val="bottom"/>
            <w:vMerge w:val="restart"/>
          </w:tcPr>
          <w:p>
            <w:pPr>
              <w:spacing w:after="0"/>
              <w:rPr>
                <w:sz w:val="13"/>
                <w:szCs w:val="13"/>
                <w:color w:val="auto"/>
              </w:rPr>
            </w:pPr>
          </w:p>
        </w:tc>
        <w:tc>
          <w:tcPr>
            <w:tcW w:w="10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312,071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324,728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122,229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118,210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101,049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106,086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123,901</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126,070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659,250</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675,094</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8890</wp:posOffset>
            </wp:positionV>
            <wp:extent cx="1835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8890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-130175</wp:posOffset>
            </wp:positionV>
            <wp:extent cx="1835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-130175</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w w:val="95"/>
              </w:rPr>
              <w:t>May 5, 2012</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Revenue</w:t>
            </w:r>
          </w:p>
        </w:tc>
        <w:tc>
          <w:tcPr>
            <w:tcW w:w="120" w:type="dxa"/>
            <w:vAlign w:val="bottom"/>
            <w:vMerge w:val="restart"/>
          </w:tcPr>
          <w:p>
            <w:pPr>
              <w:spacing w:after="0"/>
              <w:rPr>
                <w:sz w:val="13"/>
                <w:szCs w:val="13"/>
                <w:color w:val="auto"/>
              </w:rPr>
            </w:pPr>
          </w:p>
        </w:tc>
        <w:tc>
          <w:tcPr>
            <w:tcW w:w="1420" w:type="dxa"/>
            <w:vAlign w:val="bottom"/>
          </w:tcPr>
          <w:p>
            <w:pPr>
              <w:jc w:val="right"/>
              <w:ind w:right="47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4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400" w:type="dxa"/>
            <w:vAlign w:val="bottom"/>
            <w:vMerge w:val="restart"/>
          </w:tcPr>
          <w:p>
            <w:pPr>
              <w:spacing w:after="0"/>
              <w:rPr>
                <w:sz w:val="13"/>
                <w:szCs w:val="13"/>
                <w:color w:val="auto"/>
              </w:rPr>
            </w:pPr>
          </w:p>
        </w:tc>
        <w:tc>
          <w:tcPr>
            <w:tcW w:w="1040" w:type="dxa"/>
            <w:vAlign w:val="bottom"/>
          </w:tcPr>
          <w:p>
            <w:pPr>
              <w:jc w:val="right"/>
              <w:ind w:right="47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593,588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615,439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229,875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238,820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Consumer</w:t>
            </w: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207,998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220,300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249,923</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5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248,593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1,281,384</w:t>
            </w:r>
          </w:p>
        </w:tc>
        <w:tc>
          <w:tcPr>
            <w:tcW w:w="12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1,323,152</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8890</wp:posOffset>
            </wp:positionV>
            <wp:extent cx="18351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8890</wp:posOffset>
            </wp:positionV>
            <wp:extent cx="18351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-130175</wp:posOffset>
            </wp:positionV>
            <wp:extent cx="1835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-130175</wp:posOffset>
            </wp:positionV>
            <wp:extent cx="1835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90" w:lineRule="exact"/>
        <w:rPr>
          <w:sz w:val="20"/>
          <w:szCs w:val="20"/>
          <w:color w:val="auto"/>
        </w:rPr>
      </w:pPr>
    </w:p>
    <w:p>
      <w:pPr>
        <w:ind w:right="160" w:firstLine="432"/>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May 4, 2013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w w:val="97"/>
              </w:rPr>
              <w:t>May 5, 2012</w:t>
            </w:r>
          </w:p>
        </w:tc>
        <w:tc>
          <w:tcPr>
            <w:tcW w:w="10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gridSpan w:val="2"/>
            <w:vMerge w:val="restart"/>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jc w:val="right"/>
              <w:ind w:right="482"/>
              <w:spacing w:after="0" w:line="15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20" w:type="dxa"/>
            <w:vAlign w:val="bottom"/>
            <w:gridSpan w:val="2"/>
            <w:vMerge w:val="restart"/>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Revenue</w:t>
            </w:r>
          </w:p>
        </w:tc>
        <w:tc>
          <w:tcPr>
            <w:tcW w:w="100" w:type="dxa"/>
            <w:vAlign w:val="bottom"/>
            <w:gridSpan w:val="2"/>
            <w:vMerge w:val="restart"/>
          </w:tcPr>
          <w:p>
            <w:pPr>
              <w:spacing w:after="0"/>
              <w:rPr>
                <w:sz w:val="13"/>
                <w:szCs w:val="13"/>
                <w:color w:val="auto"/>
              </w:rPr>
            </w:pPr>
          </w:p>
        </w:tc>
        <w:tc>
          <w:tcPr>
            <w:tcW w:w="420" w:type="dxa"/>
            <w:vAlign w:val="bottom"/>
            <w:gridSpan w:val="2"/>
            <w:vMerge w:val="restart"/>
          </w:tcPr>
          <w:p>
            <w:pPr>
              <w:spacing w:after="0"/>
              <w:rPr>
                <w:sz w:val="13"/>
                <w:szCs w:val="13"/>
                <w:color w:val="auto"/>
              </w:rPr>
            </w:pPr>
          </w:p>
        </w:tc>
        <w:tc>
          <w:tcPr>
            <w:tcW w:w="1020" w:type="dxa"/>
            <w:vAlign w:val="bottom"/>
          </w:tcPr>
          <w:p>
            <w:pPr>
              <w:jc w:val="right"/>
              <w:ind w:right="494"/>
              <w:spacing w:after="0" w:line="15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420" w:type="dxa"/>
            <w:vAlign w:val="bottom"/>
            <w:tcBorders>
              <w:bottom w:val="single" w:sz="8" w:color="auto"/>
            </w:tcBorders>
            <w:gridSpan w:val="2"/>
            <w:vMerge w:val="continue"/>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0"/>
              </w:rPr>
              <w:t>Revenue*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301,887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300,338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164,793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177,872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91,906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90,442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558,586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85%</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568,652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43,623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46,051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602,209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91%</w:t>
            </w: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614,703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57,041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60,391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659,250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675,094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00" w:type="dxa"/>
            <w:vAlign w:val="bottom"/>
            <w:gridSpan w:val="9"/>
          </w:tcPr>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1"/>
        </w:trPr>
        <w:tc>
          <w:tcPr>
            <w:tcW w:w="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May 4, 2013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5"/>
              </w:rPr>
              <w:t>May 5, 2012</w:t>
            </w:r>
          </w:p>
        </w:tc>
        <w:tc>
          <w:tcPr>
            <w:tcW w:w="1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Revenue</w:t>
            </w:r>
          </w:p>
        </w:tc>
        <w:tc>
          <w:tcPr>
            <w:tcW w:w="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40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Y/Y%</w:t>
            </w:r>
          </w:p>
        </w:tc>
        <w:tc>
          <w:tcPr>
            <w:tcW w:w="8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Revenue</w:t>
            </w:r>
          </w:p>
        </w:tc>
        <w:tc>
          <w:tcPr>
            <w:tcW w:w="100" w:type="dxa"/>
            <w:vAlign w:val="bottom"/>
            <w:gridSpan w:val="2"/>
            <w:vMerge w:val="restart"/>
          </w:tcPr>
          <w:p>
            <w:pPr>
              <w:spacing w:after="0"/>
              <w:rPr>
                <w:sz w:val="13"/>
                <w:szCs w:val="13"/>
                <w:color w:val="auto"/>
              </w:rPr>
            </w:pPr>
          </w:p>
        </w:tc>
        <w:tc>
          <w:tcPr>
            <w:tcW w:w="380" w:type="dxa"/>
            <w:vAlign w:val="bottom"/>
            <w:vMerge w:val="restart"/>
          </w:tcPr>
          <w:p>
            <w:pPr>
              <w:spacing w:after="0"/>
              <w:rPr>
                <w:sz w:val="13"/>
                <w:szCs w:val="13"/>
                <w:color w:val="auto"/>
              </w:rPr>
            </w:pPr>
          </w:p>
        </w:tc>
        <w:tc>
          <w:tcPr>
            <w:tcW w:w="1020" w:type="dxa"/>
            <w:vAlign w:val="bottom"/>
          </w:tcPr>
          <w:p>
            <w:pPr>
              <w:jc w:val="right"/>
              <w:ind w:right="454"/>
              <w:spacing w:after="0" w:line="15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9"/>
              </w:rPr>
              <w:t>Revenue</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Converters</w:t>
            </w: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579,524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585,527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322,646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342,339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187,599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186,604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1,089,769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top w:val="single" w:sz="8" w:color="auto"/>
            </w:tcBorders>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1,114,470</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83,083</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1,172,852</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20" w:type="dxa"/>
            <w:vAlign w:val="bottom"/>
            <w:tcBorders>
              <w:top w:val="single" w:sz="8" w:color="auto"/>
            </w:tcBorders>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1,205,395</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108,532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117,757</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1,281,384</w:t>
            </w: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Borders>
              <w:top w:val="single" w:sz="8" w:color="auto"/>
            </w:tcBorders>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1,323,152</w:t>
            </w:r>
          </w:p>
        </w:tc>
        <w:tc>
          <w:tcPr>
            <w:tcW w:w="4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8890</wp:posOffset>
            </wp:positionV>
            <wp:extent cx="18351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8890</wp:posOffset>
            </wp:positionV>
            <wp:extent cx="18351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-130175</wp:posOffset>
            </wp:positionV>
            <wp:extent cx="1835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5150" cy="889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-130175</wp:posOffset>
            </wp:positionV>
            <wp:extent cx="18351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jc w:val="both"/>
        <w:ind w:right="60" w:firstLine="432"/>
        <w:spacing w:after="0" w:line="277" w:lineRule="auto"/>
        <w:rPr>
          <w:sz w:val="20"/>
          <w:szCs w:val="20"/>
          <w:color w:val="auto"/>
        </w:rPr>
      </w:pPr>
      <w:r>
        <w:rPr>
          <w:rFonts w:ascii="Arial" w:cs="Arial" w:eastAsia="Arial" w:hAnsi="Arial"/>
          <w:sz w:val="18"/>
          <w:szCs w:val="18"/>
          <w:color w:val="auto"/>
        </w:rPr>
        <w:t>Revenue by geographic region, based on the primary location of the Company's customers’ design activity for its products, for the three- and six-month periods ended May 4, 2013 and May 5, 2012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229"/>
        </w:trPr>
        <w:tc>
          <w:tcPr>
            <w:tcW w:w="5620" w:type="dxa"/>
            <w:vAlign w:val="bottom"/>
            <w:gridSpan w:val="3"/>
          </w:tcPr>
          <w:p>
            <w:pPr>
              <w:ind w:left="40"/>
              <w:spacing w:after="0"/>
              <w:rPr>
                <w:sz w:val="20"/>
                <w:szCs w:val="20"/>
                <w:color w:val="auto"/>
              </w:rPr>
            </w:pPr>
            <w:r>
              <w:rPr>
                <w:rFonts w:ascii="Arial" w:cs="Arial" w:eastAsia="Arial" w:hAnsi="Arial"/>
                <w:sz w:val="14"/>
                <w:szCs w:val="14"/>
                <w:b w:val="1"/>
                <w:bCs w:val="1"/>
                <w:color w:val="auto"/>
              </w:rPr>
              <w:t>Region</w:t>
            </w:r>
          </w:p>
        </w:tc>
        <w:tc>
          <w:tcPr>
            <w:tcW w:w="22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4, 2013</w:t>
            </w:r>
          </w:p>
        </w:tc>
        <w:tc>
          <w:tcPr>
            <w:tcW w:w="20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5, 2012</w:t>
            </w: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4, 2013</w:t>
            </w:r>
          </w:p>
        </w:tc>
        <w:tc>
          <w:tcPr>
            <w:tcW w:w="200" w:type="dxa"/>
            <w:vAlign w:val="bottom"/>
          </w:tcPr>
          <w:p>
            <w:pPr>
              <w:spacing w:after="0"/>
              <w:rPr>
                <w:sz w:val="19"/>
                <w:szCs w:val="19"/>
                <w:color w:val="auto"/>
              </w:rPr>
            </w:pPr>
          </w:p>
        </w:tc>
        <w:tc>
          <w:tcPr>
            <w:tcW w:w="1160" w:type="dxa"/>
            <w:vAlign w:val="bottom"/>
          </w:tcPr>
          <w:p>
            <w:pPr>
              <w:jc w:val="right"/>
              <w:ind w:right="212"/>
              <w:spacing w:after="0"/>
              <w:rPr>
                <w:sz w:val="20"/>
                <w:szCs w:val="20"/>
                <w:color w:val="auto"/>
              </w:rPr>
            </w:pPr>
            <w:r>
              <w:rPr>
                <w:rFonts w:ascii="Arial" w:cs="Arial" w:eastAsia="Arial" w:hAnsi="Arial"/>
                <w:sz w:val="14"/>
                <w:szCs w:val="14"/>
                <w:b w:val="1"/>
                <w:bCs w:val="1"/>
                <w:color w:val="auto"/>
              </w:rPr>
              <w:t>May 5, 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4"/>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206,181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396,607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388,075</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28,194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30,392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65,551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62,265</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216,071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405,369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423,293</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71,874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86,687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136,562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167,026</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89,405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164,981</w:t>
            </w:r>
          </w:p>
        </w:tc>
      </w:tr>
      <w:tr>
        <w:trPr>
          <w:trHeight w:val="243"/>
        </w:trPr>
        <w:tc>
          <w:tcPr>
            <w:tcW w:w="562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52,960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59,867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108,556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117,512</w:t>
            </w:r>
          </w:p>
        </w:tc>
      </w:tr>
      <w:tr>
        <w:trPr>
          <w:trHeight w:val="27"/>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659,250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675,094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1,281,384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1,323,152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the three- and six-month periods ended May 4, 2013 and May 5, 2012,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9 – Fair Value</w:t>
      </w:r>
    </w:p>
    <w:p>
      <w:pPr>
        <w:spacing w:after="0" w:line="94"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34"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6"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Level 2 inputs are inputs other than quoted prices included within Level 1 that are observable for the asset or liability, either directly or</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indirectly. If the asset or liability has a specified (contractual) term, a Level 2 input must be observable for substantially the full term of the asset or liability.</w:t>
      </w:r>
    </w:p>
    <w:p>
      <w:pPr>
        <w:spacing w:after="0" w:line="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16"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The tables below, set forth by level, the Company’s financial assets and liabilities, excluding accrued interest components that were accounted for at fair value on a recurring basis as of May 4, 2013 and November 3, 2012. The tables exclude cash on hand and assets and liabilities that are measured at historical cost or any basis other than fair value. As of May 4, 2013 and November 3, 2012, the Company held $51.3 million and $38.9 million, respectively, of cash and held-to-maturity investments that were excluded from the tables below.</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75" w:right="259" w:bottom="1440" w:gutter="0" w:footer="0" w:header="0"/>
        </w:sectPr>
      </w:pPr>
    </w:p>
    <w:bookmarkStart w:id="16" w:name="page17"/>
    <w:bookmarkEnd w:id="16"/>
    <w:p>
      <w:pPr>
        <w:ind w:left="7920"/>
        <w:spacing w:after="0"/>
        <w:rPr>
          <w:sz w:val="20"/>
          <w:szCs w:val="20"/>
          <w:color w:val="auto"/>
        </w:rPr>
      </w:pPr>
      <w:r>
        <w:rPr>
          <w:rFonts w:ascii="Arial" w:cs="Arial" w:eastAsia="Arial" w:hAnsi="Arial"/>
          <w:sz w:val="14"/>
          <w:szCs w:val="14"/>
          <w:b w:val="1"/>
          <w:bCs w:val="1"/>
          <w:color w:val="auto"/>
        </w:rPr>
        <w:t>May 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113,954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113,954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430,303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430,303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3,132,226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3,132,226</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187,413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187,413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61,887</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194,984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194,984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14,921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128,875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4,007,856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4,136,731</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May 4, 2013 was $3,591.2 million.</w:t>
      </w:r>
    </w:p>
    <w:p>
      <w:pPr>
        <w:spacing w:after="0" w:line="23" w:lineRule="exact"/>
        <w:rPr>
          <w:rFonts w:ascii="Arial" w:cs="Arial" w:eastAsia="Arial" w:hAnsi="Arial"/>
          <w:sz w:val="18"/>
          <w:szCs w:val="18"/>
          <w:color w:val="auto"/>
        </w:rPr>
      </w:pPr>
    </w:p>
    <w:p>
      <w:pPr>
        <w:ind w:left="660" w:right="480" w:hanging="328"/>
        <w:spacing w:after="0" w:line="32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Company has a master netting arrangement by counterparty with respect to derivative contracts. As of May 4, 2013, contracts in a liability position of $2.5 million were netted against contracts in an asset position in the Company's condensed consolidated balance sheet.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38" w:right="239" w:bottom="1440" w:gutter="0" w:footer="0" w:header="0"/>
        </w:sectPr>
      </w:pPr>
    </w:p>
    <w:bookmarkStart w:id="17" w:name="page18"/>
    <w:bookmarkEnd w:id="17"/>
    <w:p>
      <w:pPr>
        <w:ind w:left="7740"/>
        <w:spacing w:after="0"/>
        <w:rPr>
          <w:sz w:val="20"/>
          <w:szCs w:val="20"/>
          <w:color w:val="auto"/>
        </w:rPr>
      </w:pPr>
      <w:r>
        <w:rPr>
          <w:rFonts w:ascii="Arial" w:cs="Arial" w:eastAsia="Arial" w:hAnsi="Arial"/>
          <w:sz w:val="14"/>
          <w:szCs w:val="14"/>
          <w:b w:val="1"/>
          <w:bCs w:val="1"/>
          <w:color w:val="auto"/>
        </w:rPr>
        <w:t>November 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23495</wp:posOffset>
            </wp:positionV>
            <wp:extent cx="3978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4"/>
          <w:szCs w:val="14"/>
          <w:b w:val="1"/>
          <w:bCs w:val="1"/>
          <w:color w:val="auto"/>
        </w:rPr>
        <w:t>Fair Value measurement at</w:t>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Institutional money market funds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143,876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143,876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347,028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2,818,798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2,818,798</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280,065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280,065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234,280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234,280</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Arial" w:cs="Arial" w:eastAsia="Arial" w:hAnsi="Arial"/>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Arial" w:cs="Arial" w:eastAsia="Arial" w:hAnsi="Arial"/>
                <w:sz w:val="18"/>
                <w:szCs w:val="18"/>
                <w:color w:val="auto"/>
              </w:rPr>
              <w:t>28,480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28,480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172,356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3,718,640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3,890,996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12,219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12,219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12,219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amortized cost of the Company’s investments classified as available-for-sale as of November 3, 2012 was $3,327.5 million.</w:t>
      </w:r>
    </w:p>
    <w:p>
      <w:pPr>
        <w:spacing w:after="0" w:line="23" w:lineRule="exact"/>
        <w:rPr>
          <w:rFonts w:ascii="Arial" w:cs="Arial" w:eastAsia="Arial" w:hAnsi="Arial"/>
          <w:sz w:val="18"/>
          <w:szCs w:val="18"/>
          <w:color w:val="auto"/>
        </w:rPr>
      </w:pPr>
    </w:p>
    <w:p>
      <w:pPr>
        <w:ind w:left="660" w:right="4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has a master netting arrangement by counterparty with respect to derivative contracts. As of November 3, 2012, contracts in a liability position of $1.9 million were netted against contracts in an asset position in the Company's condensed consolidated balance sheet.</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methods and assumptions were used by the Company in estimating its fair value disclosures for financial instruments:</w:t>
      </w:r>
    </w:p>
    <w:p>
      <w:pPr>
        <w:spacing w:after="0" w:line="171"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and short-term investments </w:t>
      </w:r>
      <w:r>
        <w:rPr>
          <w:rFonts w:ascii="Arial" w:cs="Arial" w:eastAsia="Arial" w:hAnsi="Arial"/>
          <w:sz w:val="18"/>
          <w:szCs w:val="18"/>
          <w:color w:val="auto"/>
        </w:rPr>
        <w:t>— These investments are adjusted to fair value based on quoted market prices or are determined using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yield curve model based on current market rates.</w:t>
      </w:r>
    </w:p>
    <w:p>
      <w:pPr>
        <w:spacing w:after="0" w:line="116"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b w:val="1"/>
          <w:bCs w:val="1"/>
          <w:i w:val="1"/>
          <w:iCs w:val="1"/>
          <w:color w:val="auto"/>
        </w:rPr>
        <w:t xml:space="preserve">Deferred compensation plan investments </w:t>
      </w:r>
      <w:r>
        <w:rPr>
          <w:rFonts w:ascii="Arial" w:cs="Arial" w:eastAsia="Arial" w:hAnsi="Arial"/>
          <w:sz w:val="18"/>
          <w:szCs w:val="18"/>
          <w:color w:val="auto"/>
        </w:rPr>
        <w:t>— The fair value of these mutual fund, money market fund and equity investments are based on quoted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prices.</w:t>
      </w:r>
    </w:p>
    <w:p>
      <w:pPr>
        <w:spacing w:after="0" w:line="116" w:lineRule="exact"/>
        <w:rPr>
          <w:sz w:val="20"/>
          <w:szCs w:val="20"/>
          <w:color w:val="auto"/>
        </w:rPr>
      </w:pPr>
    </w:p>
    <w:p>
      <w:pPr>
        <w:jc w:val="both"/>
        <w:ind w:right="100" w:firstLine="432"/>
        <w:spacing w:after="0" w:line="279" w:lineRule="auto"/>
        <w:rPr>
          <w:sz w:val="20"/>
          <w:szCs w:val="20"/>
          <w:color w:val="auto"/>
        </w:rPr>
      </w:pPr>
      <w:r>
        <w:rPr>
          <w:rFonts w:ascii="Arial" w:cs="Arial" w:eastAsia="Arial" w:hAnsi="Arial"/>
          <w:sz w:val="17"/>
          <w:szCs w:val="17"/>
          <w:b w:val="1"/>
          <w:bCs w:val="1"/>
          <w:i w:val="1"/>
          <w:iCs w:val="1"/>
          <w:color w:val="auto"/>
        </w:rPr>
        <w:t xml:space="preserve">Interest rate derivatives and forward foreign currency exchange contracts </w:t>
      </w:r>
      <w:r>
        <w:rPr>
          <w:rFonts w:ascii="Arial" w:cs="Arial" w:eastAsia="Arial" w:hAnsi="Arial"/>
          <w:sz w:val="17"/>
          <w:szCs w:val="17"/>
          <w:color w:val="auto"/>
        </w:rPr>
        <w:t>— The estimated fair value of interest rate derivatives and forward foreign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currency exchange contracts, which includes 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71"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fair value of the contingent consideration was estimated utilizing the income approach and is based upon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inputs not observable in the market. The income approach is based on two steps. The first step involves a projection of the cash flows that is based on the Company’s estimates of the timing and probability of achieving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8" w:right="239" w:bottom="1440" w:gutter="0" w:footer="0" w:header="0"/>
        </w:sectPr>
      </w:pPr>
    </w:p>
    <w:bookmarkStart w:id="18" w:name="page19"/>
    <w:bookmarkEnd w:id="18"/>
    <w:p>
      <w:pPr>
        <w:ind w:right="20"/>
        <w:spacing w:after="0" w:line="277" w:lineRule="auto"/>
        <w:rPr>
          <w:sz w:val="20"/>
          <w:szCs w:val="20"/>
          <w:color w:val="auto"/>
        </w:rPr>
      </w:pPr>
      <w:r>
        <w:rPr>
          <w:rFonts w:ascii="Arial" w:cs="Arial" w:eastAsia="Arial" w:hAnsi="Arial"/>
          <w:sz w:val="18"/>
          <w:szCs w:val="18"/>
          <w:color w:val="auto"/>
        </w:rPr>
        <w:t>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measurement of the contingent consideration encompasses the following significant unobservable inputs: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 Inputs</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940" w:type="dxa"/>
            <w:vAlign w:val="bottom"/>
            <w:gridSpan w:val="3"/>
            <w:vMerge w:val="restart"/>
          </w:tcPr>
          <w:p>
            <w:pPr>
              <w:ind w:left="40"/>
              <w:spacing w:after="0"/>
              <w:rPr>
                <w:sz w:val="20"/>
                <w:szCs w:val="20"/>
                <w:color w:val="auto"/>
              </w:rPr>
            </w:pPr>
            <w:r>
              <w:rPr>
                <w:rFonts w:ascii="Arial" w:cs="Arial" w:eastAsia="Arial" w:hAnsi="Arial"/>
                <w:sz w:val="18"/>
                <w:szCs w:val="18"/>
                <w:color w:val="auto"/>
              </w:rPr>
              <w:t>Estimated contingent consideration payments</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940" w:type="dxa"/>
            <w:vAlign w:val="bottom"/>
            <w:gridSpan w:val="3"/>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7% - 10%</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Arial" w:cs="Arial" w:eastAsia="Arial" w:hAnsi="Arial"/>
                <w:sz w:val="18"/>
                <w:szCs w:val="18"/>
                <w:color w:val="auto"/>
              </w:rPr>
              <w:t>Timing of cash flows</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1 - 20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Probability of achievement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may result in a fluctuation in the fair value measurement.</w:t>
      </w:r>
    </w:p>
    <w:p>
      <w:pPr>
        <w:spacing w:after="0" w:line="12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summarizes the change in the fair value of the contingent consideration measured using significant unobservable inputs (Level 3) as of November 3, 2012 and May 4,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right"/>
              <w:ind w:right="316"/>
              <w:spacing w:after="0"/>
              <w:rPr>
                <w:sz w:val="20"/>
                <w:szCs w:val="20"/>
                <w:color w:val="auto"/>
              </w:rPr>
            </w:pPr>
            <w:r>
              <w:rPr>
                <w:rFonts w:ascii="Arial" w:cs="Arial" w:eastAsia="Arial" w:hAnsi="Arial"/>
                <w:sz w:val="14"/>
                <w:szCs w:val="14"/>
                <w:b w:val="1"/>
                <w:bCs w:val="1"/>
                <w:color w:val="auto"/>
              </w:rPr>
              <w:t>Contingent</w:t>
            </w:r>
          </w:p>
        </w:tc>
      </w:tr>
      <w:tr>
        <w:trPr>
          <w:trHeight w:val="192"/>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Consideration</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Balance as of November 3, 2012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12,219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made (1)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Fair value adjustment (2)</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88</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4,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8,307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payment is reflected in the Company's condensed consolidated statements of cash flows as cash used in financing activities related to the liability recognized at fair value as of the acquisition date and as cash provided by operating activities related to the fair value adjustments previously recognized in earnings.</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Recorded in research and development expense in the Company's condensed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Recorded at Fair Value on a Recurring Basis</w:t>
      </w:r>
    </w:p>
    <w:p>
      <w:pPr>
        <w:spacing w:after="0" w:line="9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 June 30, 2009, the Company issued $375.0 million aggregate principal amount of 5.0% senior unsecured notes due July 1, 2014 (the 5.0% Notes) with semi-annual fixed interest payments due on January 1 and July 1 of each year, commencing January 1, 2010. Based on quotes received from third-party banks, the fair value of the 5.0% Notes as of May 4, 2013 and November 3, 2012 was $394.2 million and $402.5 million, respectively, and is classified as a Level 1 measurement according to the fair value hierarchy.</w:t>
      </w:r>
    </w:p>
    <w:p>
      <w:pPr>
        <w:spacing w:after="0" w:line="133" w:lineRule="exact"/>
        <w:rPr>
          <w:sz w:val="20"/>
          <w:szCs w:val="20"/>
          <w:color w:val="auto"/>
        </w:rPr>
      </w:pPr>
    </w:p>
    <w:p>
      <w:pPr>
        <w:jc w:val="both"/>
        <w:ind w:right="120" w:firstLine="432"/>
        <w:spacing w:after="0" w:line="259" w:lineRule="auto"/>
        <w:rPr>
          <w:sz w:val="20"/>
          <w:szCs w:val="20"/>
          <w:color w:val="auto"/>
        </w:rPr>
      </w:pPr>
      <w:r>
        <w:rPr>
          <w:rFonts w:ascii="Arial" w:cs="Arial" w:eastAsia="Arial" w:hAnsi="Arial"/>
          <w:sz w:val="18"/>
          <w:szCs w:val="18"/>
          <w:color w:val="auto"/>
        </w:rPr>
        <w:t>On April 4, 2011, the Company issued $375.0 million aggregate principal amount of 3.0% senior unsecured notes due April 15, 2016 (the 3.0% Notes) with semi-annual fixed interest payments due on April 15 and October 15 of each year, commencing October 15, 2011. Based on quotes received from third-party banks, the fair value of the 3.0% Notes as of May 4, 2013 and November 3, 2012 was $397.3 million and $402.3 million, respectively, and is classified as a Level 1 measurement according to the fair value hierarchy.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w:t>
      </w:r>
    </w:p>
    <w:p>
      <w:pPr>
        <w:spacing w:after="0" w:line="94" w:lineRule="exact"/>
        <w:rPr>
          <w:sz w:val="20"/>
          <w:szCs w:val="20"/>
          <w:color w:val="auto"/>
        </w:rPr>
      </w:pPr>
    </w:p>
    <w:p>
      <w:pPr>
        <w:ind w:right="80" w:firstLine="432"/>
        <w:spacing w:after="0" w:line="256" w:lineRule="auto"/>
        <w:rPr>
          <w:sz w:val="20"/>
          <w:szCs w:val="20"/>
          <w:color w:val="auto"/>
        </w:rPr>
      </w:pPr>
      <w:r>
        <w:rPr>
          <w:rFonts w:ascii="Arial" w:cs="Arial" w:eastAsia="Arial" w:hAnsi="Arial"/>
          <w:sz w:val="18"/>
          <w:szCs w:val="18"/>
          <w:i w:val="1"/>
          <w:iCs w:val="1"/>
          <w:color w:val="auto"/>
        </w:rPr>
        <w:t xml:space="preserve">Foreign Exchange Exposure Management </w:t>
      </w:r>
      <w:r>
        <w:rPr>
          <w:rFonts w:ascii="Arial" w:cs="Arial" w:eastAsia="Arial" w:hAnsi="Arial"/>
          <w:sz w:val="18"/>
          <w:szCs w:val="18"/>
          <w:color w:val="auto"/>
        </w:rPr>
        <w:t>— The Company enters into forward foreign currency exchange contracts to offset certain operational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spacing w:after="0" w:line="252" w:lineRule="auto"/>
        <w:rPr>
          <w:sz w:val="20"/>
          <w:szCs w:val="20"/>
          <w:color w:val="auto"/>
        </w:rPr>
      </w:pPr>
      <w:r>
        <w:rPr>
          <w:rFonts w:ascii="Arial" w:cs="Arial" w:eastAsia="Arial" w:hAnsi="Arial"/>
          <w:sz w:val="18"/>
          <w:szCs w:val="18"/>
          <w:color w:val="auto"/>
        </w:rPr>
        <w:t>than the U.S. dollar, primarily the Euro; other significant exposures include the Philippine Peso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comprehensive (loss) income (OCI) in shareholders’ equity and reclassified into earnings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right="20"/>
        <w:spacing w:after="0" w:line="293" w:lineRule="auto"/>
        <w:rPr>
          <w:sz w:val="20"/>
          <w:szCs w:val="20"/>
          <w:color w:val="auto"/>
        </w:rPr>
      </w:pPr>
      <w:r>
        <w:rPr>
          <w:rFonts w:ascii="Arial" w:cs="Arial" w:eastAsia="Arial" w:hAnsi="Arial"/>
          <w:sz w:val="16"/>
          <w:szCs w:val="16"/>
          <w:color w:val="auto"/>
        </w:rPr>
        <w:t>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 certain recorded assets and liabilities in a non-functional currency. Changes in the fair value of these undesignated hedges are recognized in other (income) expense immediately as an offset to the changes in the fair value of the asset or liability being hedged. As of May 4, 2013 and November 3, 2012, the total notional amount of these undesignated hedges was $36.7 million and $31.5 million, respectively. The fair value of these hedging instruments in the Company’s condensed consolidated balance sheets as of May 4, 2013 and November 3, 2012 was immaterial.</w:t>
      </w:r>
    </w:p>
    <w:p>
      <w:pPr>
        <w:spacing w:after="0" w:line="111"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i w:val="1"/>
          <w:iCs w:val="1"/>
          <w:color w:val="auto"/>
        </w:rPr>
        <w:t xml:space="preserve">Interest Rate Exposure Management </w:t>
      </w:r>
      <w:r>
        <w:rPr>
          <w:rFonts w:ascii="Arial" w:cs="Arial" w:eastAsia="Arial" w:hAnsi="Arial"/>
          <w:sz w:val="18"/>
          <w:szCs w:val="18"/>
          <w:color w:val="auto"/>
        </w:rPr>
        <w:t>— The Company's current and future debt may be subject to interest rate risk. The Company utilizes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to alter interest rate exposure in an attempt to reduce the effects of these changes. The fair value of the Company's interest rate derivatives designated as cash flow hedges was $0.9 million and was included in prepaid expenses and other current assets in the Company's condensed consolidated balance sheet as of May 4, 2013.</w:t>
      </w:r>
    </w:p>
    <w:p>
      <w:pPr>
        <w:spacing w:after="0" w:line="133" w:lineRule="exact"/>
        <w:rPr>
          <w:sz w:val="20"/>
          <w:szCs w:val="20"/>
          <w:color w:val="auto"/>
        </w:rPr>
      </w:pPr>
    </w:p>
    <w:p>
      <w:pPr>
        <w:ind w:firstLine="432"/>
        <w:spacing w:after="0" w:line="267" w:lineRule="auto"/>
        <w:rPr>
          <w:sz w:val="20"/>
          <w:szCs w:val="20"/>
          <w:color w:val="auto"/>
        </w:rPr>
      </w:pPr>
      <w:r>
        <w:rPr>
          <w:rFonts w:ascii="Arial" w:cs="Arial" w:eastAsia="Arial" w:hAnsi="Arial"/>
          <w:sz w:val="17"/>
          <w:szCs w:val="17"/>
          <w:color w:val="auto"/>
        </w:rPr>
        <w:t>On June 30, 2009, the Company entered into interest rate swap transactions related to its outstanding 5.0% senior unsecured notes where the Company swapped the notional amount of its $375.0 million of fixed rate debt at 5.0% into floating interest rate debt through July 1, 2014. Under the terms of the swaps, the Company would (i) receive on the $375.0 million notional amount a 5.0% annual interest payment that is paid in two installments on the 1st business day of every January and July, commencing January 1, 2010 through and ending on the maturity date; and (ii) pay on the $375.0 million notional amount an annual three months LIBOR plus 2.05% interest payment, payable in four installments on the 1st business day of every January, April, July and October, commencing on October 1, 2009 and ending on the maturity date. The LIBOR-based rate was set quarterly three months prior to the date of the interest payment.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will be amortized into earnings as a reduction of interest expense over the remaining life of the debt. This amortization is reflected in the Company's condensed consolidated statements of cash flows within operating activities. During fiscal year 2012, $5.3 million was amortized into earnings as a reduction of interest expense related to the swap termination. During the first six months of fiscal 2013, $4.0 million was amortized into earnings as a reduction of interest expense related to the swap termination.</w:t>
      </w:r>
    </w:p>
    <w:p>
      <w:pPr>
        <w:spacing w:after="0" w:line="137"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May 4, 2013,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67"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Company records the fair value of its derivative financial instruments in its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are reported in earnings as they occur.</w:t>
      </w:r>
    </w:p>
    <w:p>
      <w:pPr>
        <w:spacing w:after="0" w:line="119"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 total notional amounts of forward foreign currency derivative instruments designated as hedging instruments of cash flow hedges denominated in Euros, British Pounds, Philippine Pesos and Japanese Yen as of May 4, 2013 and November 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right="300"/>
        <w:spacing w:after="0" w:line="277" w:lineRule="auto"/>
        <w:rPr>
          <w:sz w:val="20"/>
          <w:szCs w:val="20"/>
          <w:color w:val="auto"/>
        </w:rPr>
      </w:pPr>
      <w:r>
        <w:rPr>
          <w:rFonts w:ascii="Arial" w:cs="Arial" w:eastAsia="Arial" w:hAnsi="Arial"/>
          <w:sz w:val="18"/>
          <w:szCs w:val="18"/>
          <w:color w:val="auto"/>
        </w:rPr>
        <w:t>2012 was $163.4 million and $151.8 million, respectively. The fair values of these hedging instruments in the Company’s condensed consolidated balance sheets as of May 4, 2013 and November 3, 2012 were as follows:</w:t>
      </w:r>
    </w:p>
    <w:p>
      <w:pPr>
        <w:spacing w:after="0" w:line="176" w:lineRule="exact"/>
        <w:rPr>
          <w:sz w:val="20"/>
          <w:szCs w:val="20"/>
          <w:color w:val="auto"/>
        </w:rPr>
      </w:pPr>
    </w:p>
    <w:p>
      <w:pPr>
        <w:ind w:left="9320"/>
        <w:spacing w:after="0"/>
        <w:rPr>
          <w:sz w:val="20"/>
          <w:szCs w:val="20"/>
          <w:color w:val="auto"/>
        </w:rPr>
      </w:pPr>
      <w:r>
        <w:rPr>
          <w:rFonts w:ascii="Arial" w:cs="Arial" w:eastAsia="Arial" w:hAnsi="Arial"/>
          <w:sz w:val="14"/>
          <w:szCs w:val="14"/>
          <w:b w:val="1"/>
          <w:bCs w:val="1"/>
          <w:color w:val="auto"/>
        </w:rPr>
        <w:t>Fair Value At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100" w:type="dxa"/>
            <w:vAlign w:val="bottom"/>
            <w:tcBorders>
              <w:top w:val="single" w:sz="8" w:color="CCEEFF"/>
            </w:tcBorders>
            <w:shd w:val="clear" w:color="auto" w:fill="CCEEFF"/>
          </w:tcPr>
          <w:p>
            <w:pPr>
              <w:spacing w:after="0"/>
              <w:rPr>
                <w:sz w:val="23"/>
                <w:szCs w:val="23"/>
                <w:color w:val="auto"/>
              </w:rPr>
            </w:pPr>
          </w:p>
        </w:tc>
        <w:tc>
          <w:tcPr>
            <w:tcW w:w="3860" w:type="dxa"/>
            <w:vAlign w:val="bottom"/>
            <w:tcBorders>
              <w:top w:val="single" w:sz="8" w:color="CCEEFF"/>
              <w:bottom w:val="single" w:sz="8" w:color="auto"/>
            </w:tcBorders>
            <w:shd w:val="clear" w:color="auto" w:fill="CCEEFF"/>
          </w:tcPr>
          <w:p>
            <w:pPr>
              <w:ind w:left="122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Borders>
              <w:top w:val="single" w:sz="8" w:color="CCEEFF"/>
            </w:tcBorders>
            <w:shd w:val="clear" w:color="auto" w:fill="CCEEFF"/>
          </w:tcPr>
          <w:p>
            <w:pPr>
              <w:spacing w:after="0"/>
              <w:rPr>
                <w:sz w:val="23"/>
                <w:szCs w:val="23"/>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May 4, 2013</w:t>
            </w:r>
          </w:p>
        </w:tc>
        <w:tc>
          <w:tcPr>
            <w:tcW w:w="40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140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Arial" w:cs="Arial" w:eastAsia="Arial" w:hAnsi="Arial"/>
                <w:sz w:val="14"/>
                <w:szCs w:val="14"/>
                <w:b w:val="1"/>
                <w:bCs w:val="1"/>
                <w:color w:val="auto"/>
                <w:w w:val="95"/>
              </w:rPr>
              <w:t>November 3, 2012</w:t>
            </w: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Forward foreign currency exchange contracts</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200" w:type="dxa"/>
            <w:vAlign w:val="bottom"/>
          </w:tcPr>
          <w:p>
            <w:pPr>
              <w:jc w:val="right"/>
              <w:ind w:right="996"/>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1,161</w:t>
            </w:r>
          </w:p>
        </w:tc>
      </w:tr>
      <w:tr>
        <w:trPr>
          <w:trHeight w:val="27"/>
        </w:trPr>
        <w:tc>
          <w:tcPr>
            <w:tcW w:w="410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4100" w:type="dxa"/>
            <w:vAlign w:val="bottom"/>
            <w:shd w:val="clear" w:color="auto" w:fill="CCEEFF"/>
          </w:tcPr>
          <w:p>
            <w:pPr>
              <w:spacing w:after="0"/>
              <w:rPr>
                <w:sz w:val="21"/>
                <w:szCs w:val="21"/>
                <w:color w:val="auto"/>
              </w:rPr>
            </w:pP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4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160" w:firstLine="432"/>
        <w:spacing w:after="0" w:line="277" w:lineRule="auto"/>
        <w:rPr>
          <w:sz w:val="20"/>
          <w:szCs w:val="20"/>
          <w:color w:val="auto"/>
        </w:rPr>
      </w:pPr>
      <w:r>
        <w:rPr>
          <w:rFonts w:ascii="Arial" w:cs="Arial" w:eastAsia="Arial" w:hAnsi="Arial"/>
          <w:sz w:val="18"/>
          <w:szCs w:val="18"/>
          <w:color w:val="auto"/>
        </w:rPr>
        <w:t>The effect of forward foreign currency derivative instruments designated as cash flow hedges on the Company's condensed consolidated statements of income for the three- and six-month periods ended May 4, 2013 and May 5, 2012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5, 2012</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22"/>
                <w:szCs w:val="22"/>
                <w:color w:val="auto"/>
              </w:rPr>
            </w:pPr>
          </w:p>
        </w:tc>
        <w:tc>
          <w:tcPr>
            <w:tcW w:w="1240" w:type="dxa"/>
            <w:vAlign w:val="bottom"/>
          </w:tcPr>
          <w:p>
            <w:pPr>
              <w:jc w:val="right"/>
              <w:ind w:right="275"/>
              <w:spacing w:after="0"/>
              <w:rPr>
                <w:sz w:val="20"/>
                <w:szCs w:val="20"/>
                <w:color w:val="auto"/>
              </w:rPr>
            </w:pPr>
            <w:r>
              <w:rPr>
                <w:rFonts w:ascii="Arial" w:cs="Arial" w:eastAsia="Arial" w:hAnsi="Arial"/>
                <w:sz w:val="14"/>
                <w:szCs w:val="14"/>
                <w:b w:val="1"/>
                <w:bCs w:val="1"/>
                <w:color w:val="auto"/>
              </w:rPr>
              <w:t>May 5, 2012</w:t>
            </w: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(Loss) gain recognized in OCI on derivatives (net of taxes of $521,</w:t>
            </w: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$178, $239 and $945,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7"/>
              </w:rPr>
              <w:t>(Gain) loss reclassified from OCI into income (net of taxes of $33,</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$238, $265 and $532, respectively)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3,538</w:t>
            </w:r>
          </w:p>
        </w:tc>
      </w:tr>
      <w:tr>
        <w:trPr>
          <w:trHeight w:val="391"/>
        </w:trPr>
        <w:tc>
          <w:tcPr>
            <w:tcW w:w="11420" w:type="dxa"/>
            <w:vAlign w:val="bottom"/>
            <w:gridSpan w:val="12"/>
          </w:tcPr>
          <w:p>
            <w:pPr>
              <w:jc w:val="right"/>
              <w:ind w:right="295"/>
              <w:spacing w:after="0"/>
              <w:rPr>
                <w:sz w:val="20"/>
                <w:szCs w:val="20"/>
                <w:color w:val="auto"/>
              </w:rPr>
            </w:pPr>
            <w:r>
              <w:rPr>
                <w:rFonts w:ascii="Arial" w:cs="Arial" w:eastAsia="Arial" w:hAnsi="Arial"/>
                <w:sz w:val="18"/>
                <w:szCs w:val="18"/>
                <w:color w:val="auto"/>
                <w:w w:val="93"/>
              </w:rPr>
              <w:t>The amounts reclassified into earnings before tax are recognized in cost of sales and operating expenses for the three- and six-month periods ended</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May 4, 2013 and May 5, 2012 were as follows:</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9"/>
        </w:trPr>
        <w:tc>
          <w:tcPr>
            <w:tcW w:w="5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855"/>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5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5, 2012</w:t>
            </w:r>
          </w:p>
        </w:tc>
        <w:tc>
          <w:tcPr>
            <w:tcW w:w="240" w:type="dxa"/>
            <w:vAlign w:val="bottom"/>
          </w:tcPr>
          <w:p>
            <w:pPr>
              <w:spacing w:after="0"/>
              <w:rPr>
                <w:sz w:val="22"/>
                <w:szCs w:val="22"/>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22"/>
                <w:szCs w:val="22"/>
                <w:color w:val="auto"/>
              </w:rPr>
            </w:pPr>
          </w:p>
        </w:tc>
        <w:tc>
          <w:tcPr>
            <w:tcW w:w="1240" w:type="dxa"/>
            <w:vAlign w:val="bottom"/>
          </w:tcPr>
          <w:p>
            <w:pPr>
              <w:jc w:val="right"/>
              <w:ind w:right="275"/>
              <w:spacing w:after="0"/>
              <w:rPr>
                <w:sz w:val="20"/>
                <w:szCs w:val="20"/>
                <w:color w:val="auto"/>
              </w:rPr>
            </w:pPr>
            <w:r>
              <w:rPr>
                <w:rFonts w:ascii="Arial" w:cs="Arial" w:eastAsia="Arial" w:hAnsi="Arial"/>
                <w:sz w:val="14"/>
                <w:szCs w:val="14"/>
                <w:b w:val="1"/>
                <w:bCs w:val="1"/>
                <w:color w:val="auto"/>
              </w:rPr>
              <w:t>May 5, 2012</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1,418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1,093</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marketing, general and administrative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1,455</w:t>
            </w:r>
          </w:p>
        </w:tc>
      </w:tr>
      <w:tr>
        <w:trPr>
          <w:trHeight w:val="27"/>
        </w:trPr>
        <w:tc>
          <w:tcPr>
            <w:tcW w:w="5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derivative gains and losses related to forward foreign currency derivative instruments included in OCI will be reclassified into earnings within the next 12 months. There was no ineffectiveness in the three- and six-month periods ended May 4, 2013 and May 5,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Goodwill and Intangible Assets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4) or more frequently if indicators of impairment exist. For the Company’s latest annual impairment assessment that occurred on August 5, 2012, the Company identified its reporting units to be its five operating segments, which meet the aggregation criteria for one reportable segment.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periods presented. The Company’s next annual impairment assessment will be performed as of the first day of the fourth quarter of fiscal 2013, unless indicators arise that would require the Company to reevaluate at an earlier date. The following table presents the changes in goodwill during the first six months of fiscal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tcPr>
          <w:p>
            <w:pPr>
              <w:spacing w:after="0"/>
              <w:rPr>
                <w:sz w:val="21"/>
                <w:szCs w:val="21"/>
                <w:color w:val="auto"/>
              </w:rPr>
            </w:pPr>
          </w:p>
        </w:tc>
        <w:tc>
          <w:tcPr>
            <w:tcW w:w="54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May 4, 2013</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November 3, 2012</w:t>
            </w:r>
          </w:p>
        </w:tc>
        <w:tc>
          <w:tcPr>
            <w:tcW w:w="5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283,833</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5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May 4, 2013</w:t>
            </w:r>
          </w:p>
        </w:tc>
        <w:tc>
          <w:tcPr>
            <w:tcW w:w="5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282,925</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bottom w:val="single" w:sz="8" w:color="CCEEFF"/>
            </w:tcBorders>
            <w:vMerge w:val="restart"/>
          </w:tcPr>
          <w:p>
            <w:pPr>
              <w:jc w:val="right"/>
              <w:ind w:right="3770"/>
              <w:spacing w:after="0"/>
              <w:rPr>
                <w:sz w:val="20"/>
                <w:szCs w:val="20"/>
                <w:color w:val="auto"/>
              </w:rPr>
            </w:pPr>
            <w:r>
              <w:rPr>
                <w:rFonts w:ascii="Arial" w:cs="Arial" w:eastAsia="Arial" w:hAnsi="Arial"/>
                <w:sz w:val="18"/>
                <w:szCs w:val="18"/>
                <w:color w:val="auto"/>
              </w:rPr>
              <w:t>19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5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May 4, 2013 and November 3, 2012, the Company’s finite-lived intangible assets consisted of the following which related to the acquisition of Multigig, Inc. (See Note 16, Acquisitions,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May 4, 2013</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02"/>
              <w:spacing w:after="0"/>
              <w:rPr>
                <w:sz w:val="20"/>
                <w:szCs w:val="20"/>
                <w:color w:val="auto"/>
              </w:rPr>
            </w:pPr>
            <w:r>
              <w:rPr>
                <w:rFonts w:ascii="Arial" w:cs="Arial" w:eastAsia="Arial" w:hAnsi="Arial"/>
                <w:sz w:val="14"/>
                <w:szCs w:val="14"/>
                <w:b w:val="1"/>
                <w:bCs w:val="1"/>
                <w:color w:val="auto"/>
              </w:rPr>
              <w:t>November 3, 2012</w:t>
            </w: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360" w:type="dxa"/>
            <w:vAlign w:val="bottom"/>
          </w:tcPr>
          <w:p>
            <w:pPr>
              <w:spacing w:after="0"/>
              <w:rPr>
                <w:sz w:val="13"/>
                <w:szCs w:val="13"/>
                <w:color w:val="auto"/>
              </w:rPr>
            </w:pPr>
          </w:p>
        </w:tc>
        <w:tc>
          <w:tcPr>
            <w:tcW w:w="13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3"/>
                <w:szCs w:val="13"/>
                <w:color w:val="auto"/>
              </w:rPr>
            </w:pPr>
          </w:p>
        </w:tc>
        <w:tc>
          <w:tcPr>
            <w:tcW w:w="14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260" w:type="dxa"/>
            <w:vAlign w:val="bottom"/>
          </w:tcPr>
          <w:p>
            <w:pPr>
              <w:spacing w:after="0"/>
              <w:rPr>
                <w:sz w:val="13"/>
                <w:szCs w:val="13"/>
                <w:color w:val="auto"/>
              </w:rPr>
            </w:pPr>
          </w:p>
        </w:tc>
        <w:tc>
          <w:tcPr>
            <w:tcW w:w="13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Accumulated</w:t>
            </w: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36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Arial" w:cs="Arial" w:eastAsia="Arial" w:hAnsi="Arial"/>
                <w:sz w:val="14"/>
                <w:szCs w:val="14"/>
                <w:b w:val="1"/>
                <w:bCs w:val="1"/>
                <w:color w:val="auto"/>
              </w:rPr>
              <w:t>Amortization</w:t>
            </w:r>
          </w:p>
        </w:tc>
      </w:tr>
      <w:tr>
        <w:trPr>
          <w:trHeight w:val="243"/>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Technology-based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128</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Amortization expense related to finite-lived intangible assets was $0.1 million for the three- and six-month periods ended May 4, 2013. Amortization expense related to finite-lived intangible assets for the three- and six-month periods ended May 5, 2012 was immaterial. The remaining amortization expense will be recognized over a weighted-average period of approximately 2.1 years.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annual amortization expense for intangible assets to be: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2060" w:type="dxa"/>
            <w:vAlign w:val="bottom"/>
          </w:tcPr>
          <w:p>
            <w:pPr>
              <w:jc w:val="right"/>
              <w:ind w:right="253"/>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360" w:type="dxa"/>
            <w:vAlign w:val="bottom"/>
            <w:gridSpan w:val="3"/>
            <w:vMerge w:val="restart"/>
          </w:tcPr>
          <w:p>
            <w:pPr>
              <w:ind w:left="40"/>
              <w:spacing w:after="0"/>
              <w:rPr>
                <w:sz w:val="20"/>
                <w:szCs w:val="20"/>
                <w:color w:val="auto"/>
              </w:rPr>
            </w:pPr>
            <w:r>
              <w:rPr>
                <w:rFonts w:ascii="Arial" w:cs="Arial" w:eastAsia="Arial" w:hAnsi="Arial"/>
                <w:sz w:val="18"/>
                <w:szCs w:val="18"/>
                <w:color w:val="auto"/>
              </w:rPr>
              <w:t>Remainder of fiscal 2013</w:t>
            </w: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360" w:type="dxa"/>
            <w:vAlign w:val="bottom"/>
            <w:gridSpan w:val="3"/>
            <w:vMerge w:val="continue"/>
          </w:tcPr>
          <w:p>
            <w:pPr>
              <w:spacing w:after="0"/>
              <w:rPr>
                <w:sz w:val="20"/>
                <w:szCs w:val="20"/>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8640" w:type="dxa"/>
            <w:vAlign w:val="bottom"/>
          </w:tcPr>
          <w:p>
            <w:pPr>
              <w:spacing w:after="0"/>
              <w:rPr>
                <w:sz w:val="21"/>
                <w:szCs w:val="21"/>
                <w:color w:val="auto"/>
              </w:rPr>
            </w:pPr>
          </w:p>
        </w:tc>
        <w:tc>
          <w:tcPr>
            <w:tcW w:w="2060" w:type="dxa"/>
            <w:vAlign w:val="bottom"/>
          </w:tcPr>
          <w:p>
            <w:pPr>
              <w:jc w:val="right"/>
              <w:ind w:right="13"/>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Indefinite-lived intangible assets are tested for impairment on an annual basis on the first day of the fourth quarter (on or about August 4) or more frequently if indicators of impairment exist. The impairment test involves the comparison of the fair values of the intangible assets with their carrying values. No impairment of intangible assets resulted from the impairment tests in any of the fiscal years presented.</w:t>
      </w:r>
    </w:p>
    <w:p>
      <w:pPr>
        <w:spacing w:after="0" w:line="127"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R&amp;D efforts. Upon completion of the projects, the IPR&amp;D assets will be amortized over their estimated useful lives.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Indefinite-lived intangible assets consisted of $27.8 million of IPR&amp;D as of May 4, 2013 and November 3,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Pension Plans</w:t>
      </w:r>
    </w:p>
    <w:p>
      <w:pPr>
        <w:spacing w:after="0" w:line="94"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27"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6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2013</w:t>
            </w:r>
          </w:p>
        </w:tc>
        <w:tc>
          <w:tcPr>
            <w:tcW w:w="160" w:type="dxa"/>
            <w:vAlign w:val="bottom"/>
          </w:tcPr>
          <w:p>
            <w:pPr>
              <w:spacing w:after="0"/>
              <w:rPr>
                <w:sz w:val="22"/>
                <w:szCs w:val="22"/>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5, 2012</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22"/>
                <w:szCs w:val="22"/>
                <w:color w:val="auto"/>
              </w:rPr>
            </w:pPr>
          </w:p>
        </w:tc>
        <w:tc>
          <w:tcPr>
            <w:tcW w:w="1080" w:type="dxa"/>
            <w:vAlign w:val="bottom"/>
          </w:tcPr>
          <w:p>
            <w:pPr>
              <w:jc w:val="right"/>
              <w:ind w:right="172"/>
              <w:spacing w:after="0"/>
              <w:rPr>
                <w:sz w:val="20"/>
                <w:szCs w:val="20"/>
                <w:color w:val="auto"/>
              </w:rPr>
            </w:pPr>
            <w:r>
              <w:rPr>
                <w:rFonts w:ascii="Arial" w:cs="Arial" w:eastAsia="Arial" w:hAnsi="Arial"/>
                <w:sz w:val="14"/>
                <w:szCs w:val="14"/>
                <w:b w:val="1"/>
                <w:bCs w:val="1"/>
                <w:color w:val="auto"/>
              </w:rPr>
              <w:t>May 5, 2012</w:t>
            </w:r>
          </w:p>
        </w:tc>
      </w:tr>
      <w:tr>
        <w:trPr>
          <w:trHeight w:val="250"/>
        </w:trPr>
        <w:tc>
          <w:tcPr>
            <w:tcW w:w="6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3,988</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3,114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6,251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5,537</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(5,310)</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initial net obligation</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6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Amortization of net loss</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180</w:t>
            </w:r>
          </w:p>
        </w:tc>
      </w:tr>
      <w:tr>
        <w:trPr>
          <w:trHeight w:val="27"/>
        </w:trPr>
        <w:tc>
          <w:tcPr>
            <w:tcW w:w="6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pension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Pension contributions of $4.3 million and $8.7 million were made by the Company during the three and six months ended May 4, 2013. The Company presently anticipates contributing an additional $8.5 million to fund its defined benefit pension plans in fiscal year 2013 for a total of $17.2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Revolving Credit Facility</w:t>
      </w:r>
    </w:p>
    <w:p>
      <w:pPr>
        <w:spacing w:after="0" w:line="229" w:lineRule="exact"/>
        <w:rPr>
          <w:sz w:val="20"/>
          <w:szCs w:val="20"/>
          <w:color w:val="auto"/>
        </w:rPr>
      </w:pPr>
    </w:p>
    <w:p>
      <w:pPr>
        <w:ind w:right="100" w:firstLine="432"/>
        <w:spacing w:after="0" w:line="286" w:lineRule="auto"/>
        <w:rPr>
          <w:sz w:val="20"/>
          <w:szCs w:val="20"/>
          <w:color w:val="auto"/>
        </w:rPr>
      </w:pPr>
      <w:r>
        <w:rPr>
          <w:rFonts w:ascii="Arial" w:cs="Arial" w:eastAsia="Arial" w:hAnsi="Arial"/>
          <w:sz w:val="16"/>
          <w:szCs w:val="16"/>
          <w:color w:val="auto"/>
        </w:rPr>
        <w:t>As of May 4, 2013, the Company had $4,172.1 million of cash and cash equivalents and short-term investments, of which $1,180.6 million was held in the United States. The balance of the Company's cash and cash equivalents and short-term investments was held outside the United States in various foreign subsidiaries. As the Company intends to reinvest its foreign earnings indefinitely, this cash is not available to meet the Company's cash requirements in the United States, including cash dividends and common stock repurchases. During December 2012, the Company terminated its five-year, $165.0 million unsecured revolving credit facility with certain institutional lenders entered into in May 2008. On December 19, 2012, the Company entered into a five-year, $500.0 million senior unsecured revolving credit facility with certain institutional lenders (the Credit Agreement).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and (iii) one month Eurodollar Rate plus 1.00%)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May 4, 2013, the Company was compliant with these covenants.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Debt</w:t>
      </w:r>
    </w:p>
    <w:p>
      <w:pPr>
        <w:spacing w:after="0" w:line="94"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June 30, 2009, the Company issued $375.0 million aggregate principal amount of 5.0% senior unsecured notes due July 1, 2014 (the 5.0% Notes) with semi-annual fixed interest payments due on January 1 and July 1 of each year, commencing January 1, 2010. The sale of the 5.0%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will be amortized over the term of the 5.0% Notes. The indenture governing the 5.0%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May 4, 2013, the Company was compliant with these covenants. The notes are subordinated to any future secured debt and to the other liabilities of the Company’s subsidiaries.</w:t>
      </w:r>
    </w:p>
    <w:p>
      <w:pPr>
        <w:spacing w:after="0" w:line="128" w:lineRule="exact"/>
        <w:rPr>
          <w:sz w:val="20"/>
          <w:szCs w:val="20"/>
          <w:color w:val="auto"/>
        </w:rPr>
      </w:pPr>
    </w:p>
    <w:p>
      <w:pPr>
        <w:ind w:right="80" w:firstLine="432"/>
        <w:spacing w:after="0" w:line="272" w:lineRule="auto"/>
        <w:rPr>
          <w:sz w:val="20"/>
          <w:szCs w:val="20"/>
          <w:color w:val="auto"/>
        </w:rPr>
      </w:pPr>
      <w:r>
        <w:rPr>
          <w:rFonts w:ascii="Arial" w:cs="Arial" w:eastAsia="Arial" w:hAnsi="Arial"/>
          <w:sz w:val="17"/>
          <w:szCs w:val="17"/>
          <w:color w:val="auto"/>
        </w:rPr>
        <w:t>On June 30, 2009, the Company entered into interest rate swap transactions where the Company swapped the notional amount of its $375.0 million of fixed rate debt at 5.0% into floating interest rate debt through July 1, 2014. Under the terms of the swaps, the Company would (i) receive on the $375.0 million notional amount a 5.0% annual interest payment that is paid in two installments on the 1st business day of every January and July, commencing January 1, 2010 through and ending on the maturity date; and (ii) pay on the $375.0 million notional amount an annual three month LIBOR plus 2.05% interest payment, payable in four installments on the 1st business day of every January, April, July and October, commencing on October 1, 2009 and ending on the maturity date. The LIBOR-based rate was set quarterly three months prior to the date of the interest payment. The Company designated these swaps as fair value hedges. The changes in the fair value of the interest rate swaps were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6" w:right="239" w:bottom="1440" w:gutter="0" w:footer="0" w:header="0"/>
        </w:sectPr>
      </w:pPr>
    </w:p>
    <w:bookmarkStart w:id="23" w:name="page24"/>
    <w:bookmarkEnd w:id="23"/>
    <w:p>
      <w:pPr>
        <w:ind w:right="20"/>
        <w:spacing w:after="0" w:line="270" w:lineRule="auto"/>
        <w:rPr>
          <w:sz w:val="20"/>
          <w:szCs w:val="20"/>
          <w:color w:val="auto"/>
        </w:rPr>
      </w:pPr>
      <w:r>
        <w:rPr>
          <w:rFonts w:ascii="Arial" w:cs="Arial" w:eastAsia="Arial" w:hAnsi="Arial"/>
          <w:sz w:val="17"/>
          <w:szCs w:val="17"/>
          <w:color w:val="auto"/>
        </w:rPr>
        <w:t>reflected in the carrying value of the interest rate swaps in other assets on the balance sheet. The carrying value 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5.0% Notes was adjusted for the change in the fair value of the interest component of the debt up to the date of the termination of the swap in an amount equal to the fair value of the swap, and will be amortized into earnings as a reduction of interest expense over the remaining life of the debt. This amortization is reflected in the Company's condensed consolidated statements of cash flows within operating activities. During fiscal year 2012, $5.3 million was amortized into earnings as a reduction of interest expense related to the swap termination. During the first six months of fiscal year 2013, $4.0 million was amortized into earnings as a reduction of interest expense related to the swap termination.</w:t>
      </w:r>
    </w:p>
    <w:p>
      <w:pPr>
        <w:spacing w:after="0" w:line="128"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On December 22, 2010, Analog Devices Holdings B.V., a wholly owned subsidiary of the Company, entered into a credit agreement with Bank of America, N.A., London Branch as administrative agent. The borrower’s obligations were guaranteed by the Company. The credit agreement provided for a term loan facility of $145.0 million, which was set to mature on December 22, 2013. During the first quarter of fiscal 2013, the Company repaid the remaining outstanding principal balance on the loan of $60.1 million and the credit agreement was terminated. The terms of the agreement provided for a three year principal amortization schedule with $3.6 million payable quarterly every March, June, September and December with the balance payable upon the maturity date. During fiscal 2011 and fiscal 2012, the Company made additional principal payments of $17.5 million and $42.0 million, respectively. The loan bore interest at a fluctuating rate for each period equal to the LIBOR rate corresponding with the tenor of the interest period plus a spread of 1.25%. The terms of this facility included limitations on subsidiary indebtedness and on liens against the assets of the Company and its subsidiaries, and also included financial covenants that required the Company to maintain a minimum interest coverage ratio and not exceed a maximum leverage ratio.</w:t>
      </w:r>
    </w:p>
    <w:p>
      <w:pPr>
        <w:spacing w:after="0" w:line="113"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On April 4, 2011, the Company issued $375.0 million aggregate principal amount of 3.0% senior unsecured notes due April 15, 2016 (the 3.0% Notes) with semi-annual fixed interest payments due on April 15 and October 15 of each year, commencing October 15, 2011. The sale of the 3.0%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3.0% Notes. The indenture governing the 3.0%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May 4, 2013, the Company was compliant with these covenants. The notes are subordinated to any future secured debt and to the other liabilities of the Company’s subsidiaries.</w:t>
      </w:r>
    </w:p>
    <w:p>
      <w:pPr>
        <w:spacing w:after="0" w:line="113"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The Company’s principal payments related to its debt obligations are due as follows: $375.0 million in fiscal year 2014; and $375.0 million in fiscal year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Inventories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Inventories at May 4, 2013 and November 3, 2012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November 3, 2012</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28,111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191,410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185,773</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86,161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99,839</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Total inventories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298,967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313,723</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Acquisitions</w:t>
      </w:r>
    </w:p>
    <w:p>
      <w:pPr>
        <w:spacing w:after="0" w:line="9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is payable within 15 months of the transaction date, which is included in accrued liabilities in the Company's condensed consolidated balance sheet as of May 4, 2013. The Company’s assessment of fair value of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4" w:name="page25"/>
    <w:bookmarkEnd w:id="24"/>
    <w:p>
      <w:pPr>
        <w:ind w:right="20"/>
        <w:spacing w:after="0" w:line="270" w:lineRule="auto"/>
        <w:rPr>
          <w:sz w:val="20"/>
          <w:szCs w:val="20"/>
          <w:color w:val="auto"/>
        </w:rPr>
      </w:pPr>
      <w:r>
        <w:rPr>
          <w:rFonts w:ascii="Arial" w:cs="Arial" w:eastAsia="Arial" w:hAnsi="Arial"/>
          <w:sz w:val="17"/>
          <w:szCs w:val="17"/>
          <w:color w:val="auto"/>
        </w:rPr>
        <w:t>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third quarter of fiscal 2012, the Company reduced this holdback amount by $0.1 million as a result of indemnification claims. During the fourth quarter of fiscal 2012, the Company finalized its purchase accounting for Multigig, which resulted in adjustments of $0.4 million to deferred taxes and goodwill.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May 4, 2013, no royalty payments have been made. The Company recognized $0.5 million of acquisition-related costs that were expensed in fiscal 2012, which were included in operating expenses in the Company's condensed consolidated statement of income.</w:t>
      </w:r>
    </w:p>
    <w:p>
      <w:pPr>
        <w:spacing w:after="0" w:line="128"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May 4, 2013, the Company had paid $6.0 million in contingent consideration. These payments are reflected in the Company's condensed consolidated statements of cash flows as cash used in financing activities related to the liability recognized at fair value as of the acquisition date and cash provided by operating activities related to the fair value adjustments previously recognized in earnings. The Company’s assessment of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$8.3 million as of May 4, 2013, of which $3.8 million is included in accrued liabilities and $4.5 million is included in other non-current liabilities in the Company's condensed consolidated balance sheet.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May 4, 2013, no royalty payments have been made. The Company recognized $0.2 million of acquisition-related costs that were expensed in fiscal 2011, which were included in operating expenses in the Company's condensed consolidated statement of income.</w:t>
      </w:r>
    </w:p>
    <w:p>
      <w:pPr>
        <w:spacing w:after="0" w:line="330"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Company has not provided pro forma results of operations for Multigig and Lyric herein as these acquisitions were not considered material to the Company on either an individual or an aggregate basis. The Company included the results of operations of each acquisition in its condensed consolidated statement of income from the date of each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Income Taxes</w:t>
      </w:r>
    </w:p>
    <w:p>
      <w:pPr>
        <w:spacing w:after="0" w:line="94" w:lineRule="exact"/>
        <w:rPr>
          <w:sz w:val="20"/>
          <w:szCs w:val="20"/>
          <w:color w:val="auto"/>
        </w:rPr>
      </w:pPr>
    </w:p>
    <w:p>
      <w:pPr>
        <w:ind w:right="80" w:firstLine="432"/>
        <w:spacing w:after="0" w:line="273" w:lineRule="auto"/>
        <w:rPr>
          <w:sz w:val="20"/>
          <w:szCs w:val="20"/>
          <w:color w:val="auto"/>
        </w:rPr>
      </w:pPr>
      <w:r>
        <w:rPr>
          <w:rFonts w:ascii="Arial" w:cs="Arial" w:eastAsia="Arial" w:hAnsi="Arial"/>
          <w:sz w:val="17"/>
          <w:szCs w:val="17"/>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12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Company's effective tax rate reflects the applicable tax rate in effect in the various tax jurisdictions around the world where its income is earned. The Company's effective tax rate for the first six months of fiscal 2013 reflects income earned in lower tax rate jurisdictions established through an international tax restructuring effective January 1, 2013. In addition, the Company's effective tax rate includes a tax benefit from the reinstatement of the U.S. federal research and development tax credit in January 2013 retroactive to January 1, 2012 of $6.3 million and a tax benefit recorded as a result of the reversal of certain prior period tax liabilities of $6.6 million which combined resulted in lowering the Company's effective tax rate by approximately 4%.</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65" w:right="259" w:bottom="1440" w:gutter="0" w:footer="0" w:header="0"/>
        </w:sectPr>
      </w:pPr>
    </w:p>
    <w:bookmarkStart w:id="25" w:name="page26"/>
    <w:bookmarkEnd w:id="25"/>
    <w:p>
      <w:pPr>
        <w:ind w:firstLine="432"/>
        <w:spacing w:after="0" w:line="279" w:lineRule="auto"/>
        <w:rPr>
          <w:sz w:val="20"/>
          <w:szCs w:val="20"/>
          <w:color w:val="auto"/>
        </w:rPr>
      </w:pPr>
      <w:r>
        <w:rPr>
          <w:rFonts w:ascii="Arial" w:cs="Arial" w:eastAsia="Arial" w:hAnsi="Arial"/>
          <w:sz w:val="17"/>
          <w:szCs w:val="17"/>
          <w:color w:val="auto"/>
        </w:rPr>
        <w:t>The Company has filed a petition with the Tax Court for one open matter for fiscal years 2006 and 2007 that pertains to Section 965 of the Internal Revenue Code related to the beneficial tax treatment of dividends paid from foreign owned companies under The American Jobs Creation Act. The potential liability for this adjustment is $36.5 million. The Company has concluded, based on discussions with its tax advisors that this item is not likely to result in any additional tax liability. Therefore, the Company has not recorded any additional tax liability for this issue.</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U.S. federal tax returns prior to fiscal year 2009 are no longer subject to examination.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tax returns in Ireland prior to fiscal year 2008 are no longer subject to examination.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New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 xml:space="preserve">In June 2011, the Financial Accounting Standards Board (FASB) issued Accounting Standards Update (ASU) No. 2011-05,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(ASU No. 2011-05). ASU No. 2011-05 amended Accounting Standards Codification (ASC) 220,</w:t>
      </w:r>
      <w:r>
        <w:rPr>
          <w:rFonts w:ascii="Arial" w:cs="Arial" w:eastAsia="Arial" w:hAnsi="Arial"/>
          <w:sz w:val="16"/>
          <w:szCs w:val="16"/>
          <w:i w:val="1"/>
          <w:iCs w:val="1"/>
          <w:color w:val="auto"/>
        </w:rPr>
        <w:t xml:space="preserve"> Comprehensive Income, </w:t>
      </w:r>
      <w:r>
        <w:rPr>
          <w:rFonts w:ascii="Arial" w:cs="Arial" w:eastAsia="Arial" w:hAnsi="Arial"/>
          <w:sz w:val="16"/>
          <w:szCs w:val="16"/>
          <w:color w:val="auto"/>
        </w:rPr>
        <w:t>to converge</w:t>
      </w:r>
      <w:r>
        <w:rPr>
          <w:rFonts w:ascii="Arial" w:cs="Arial" w:eastAsia="Arial" w:hAnsi="Arial"/>
          <w:sz w:val="16"/>
          <w:szCs w:val="16"/>
          <w:i w:val="1"/>
          <w:iCs w:val="1"/>
          <w:color w:val="auto"/>
        </w:rPr>
        <w:t xml:space="preserve"> </w:t>
      </w:r>
      <w:r>
        <w:rPr>
          <w:rFonts w:ascii="Arial" w:cs="Arial" w:eastAsia="Arial" w:hAnsi="Arial"/>
          <w:sz w:val="16"/>
          <w:szCs w:val="16"/>
          <w:color w:val="auto"/>
        </w:rPr>
        <w:t>the presentation of comprehensive income between U.S. GAAP and IFRS. ASU No. 2011-05 requires that all non-owner changes in stockholders’ equity be presented in either a single continuous statement of comprehensive income or in two separate but consecutive statements and requires reclassification adjustments for items that are reclassified from other comprehensive income to net income in the statements where the components of net income and the components of other comprehensive income are presented. ASU No. 2011-05 eliminates the option to present the components of other comprehensive income as part of the statement in changes of stockholders equity. ASU No. 2011-05 was effective for fiscal years, and interim periods within those years, beginning after December 15, 2011, which was the Company’s first quarter of fiscal year 2013. The adoption of ASU No. 2011-05 in the first quarter of fiscal 2013 affected the presentation of comprehensive income but did not impact the Company’s financial condition or results of operations.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w:t>
      </w:r>
    </w:p>
    <w:p>
      <w:pPr>
        <w:spacing w:after="0" w:line="90" w:lineRule="exact"/>
        <w:rPr>
          <w:sz w:val="20"/>
          <w:szCs w:val="20"/>
          <w:color w:val="auto"/>
        </w:rPr>
      </w:pPr>
    </w:p>
    <w:p>
      <w:pPr>
        <w:ind w:right="100" w:firstLine="432"/>
        <w:spacing w:after="0" w:line="269" w:lineRule="auto"/>
        <w:rPr>
          <w:sz w:val="20"/>
          <w:szCs w:val="20"/>
          <w:color w:val="auto"/>
        </w:rPr>
      </w:pPr>
      <w:r>
        <w:rPr>
          <w:rFonts w:ascii="Arial" w:cs="Arial" w:eastAsia="Arial" w:hAnsi="Arial"/>
          <w:sz w:val="17"/>
          <w:szCs w:val="17"/>
          <w:color w:val="auto"/>
        </w:rPr>
        <w:t xml:space="preserve">In December 2011, the FASB issued ASU No. 2011-11,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xml:space="preserve"> (ASU No. 2011-11). ASU No. 2011-11 amended ASC 210, </w:t>
      </w:r>
      <w:r>
        <w:rPr>
          <w:rFonts w:ascii="Arial" w:cs="Arial" w:eastAsia="Arial" w:hAnsi="Arial"/>
          <w:sz w:val="17"/>
          <w:szCs w:val="17"/>
          <w:i w:val="1"/>
          <w:iCs w:val="1"/>
          <w:color w:val="auto"/>
        </w:rPr>
        <w:t>Balance Sheet,</w:t>
      </w:r>
      <w:r>
        <w:rPr>
          <w:rFonts w:ascii="Arial" w:cs="Arial" w:eastAsia="Arial" w:hAnsi="Arial"/>
          <w:sz w:val="17"/>
          <w:szCs w:val="17"/>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ASU No. 2011-11 is effective for fiscal years, and interim periods within those years, beginning after January 1, 2013, which is the Company’s fiscal year 2014. Subsequently, in January 2013, the FASB issued ASU No. 2013-01,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clarifies that the scope of ASU No. 2011-11 applies to derivatives accounted for in accordance with Topic 815, Derivatives and 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adoption of ASU No. 2011-11 and ASU No. 2013-01 will require additional disclosures related to offsetting assets and liabilities but will not impact the Company's financial condition or results of operations.</w:t>
      </w:r>
    </w:p>
    <w:p>
      <w:pPr>
        <w:spacing w:after="0" w:line="4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Comprehensive Income</w:t>
      </w:r>
    </w:p>
    <w:p>
      <w:pPr>
        <w:spacing w:after="0" w:line="90"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color w:val="auto"/>
        </w:rPr>
        <w:t xml:space="preserve">In January 2013, the FASB issued ASU No. 2013-02, </w:t>
      </w:r>
      <w:r>
        <w:rPr>
          <w:rFonts w:ascii="Arial" w:cs="Arial" w:eastAsia="Arial" w:hAnsi="Arial"/>
          <w:sz w:val="17"/>
          <w:szCs w:val="17"/>
          <w:i w:val="1"/>
          <w:iCs w:val="1"/>
          <w:color w:val="auto"/>
        </w:rPr>
        <w:t>Reporting of Amounts Reclassified out of Accumulated Other Comprehensive Income</w:t>
      </w:r>
      <w:r>
        <w:rPr>
          <w:rFonts w:ascii="Arial" w:cs="Arial" w:eastAsia="Arial" w:hAnsi="Arial"/>
          <w:sz w:val="17"/>
          <w:szCs w:val="17"/>
          <w:color w:val="auto"/>
        </w:rPr>
        <w:t xml:space="preserve"> (ASU No. 2013-02), which seek to improve the reporting of reclassifications out of accumulated other comprehensive income by requiring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ASU No. 2013-02 supersede the presentation requirements for reclassifications out of accumulated other comprehensive income in ASU No.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and ASU No. 2011-12, </w:t>
      </w:r>
      <w:r>
        <w:rPr>
          <w:rFonts w:ascii="Arial" w:cs="Arial" w:eastAsia="Arial" w:hAnsi="Arial"/>
          <w:sz w:val="17"/>
          <w:szCs w:val="17"/>
          <w:i w:val="1"/>
          <w:iCs w:val="1"/>
          <w:color w:val="auto"/>
        </w:rPr>
        <w:t>Deferral of the Effective Date for</w:t>
      </w:r>
      <w:r>
        <w:rPr>
          <w:rFonts w:ascii="Arial" w:cs="Arial" w:eastAsia="Arial" w:hAnsi="Arial"/>
          <w:sz w:val="17"/>
          <w:szCs w:val="17"/>
          <w:color w:val="auto"/>
        </w:rPr>
        <w:t xml:space="preserve"> </w:t>
      </w:r>
      <w:r>
        <w:rPr>
          <w:rFonts w:ascii="Arial" w:cs="Arial" w:eastAsia="Arial" w:hAnsi="Arial"/>
          <w:sz w:val="17"/>
          <w:szCs w:val="17"/>
          <w:i w:val="1"/>
          <w:iCs w:val="1"/>
          <w:color w:val="auto"/>
        </w:rPr>
        <w:t>Amendments to the Presentation of Reclassifications of Items Out of Accumulated Other Comprehensive Income in Accounting Standards Update No. 2011-05</w:t>
      </w:r>
      <w:r>
        <w:rPr>
          <w:rFonts w:ascii="Arial" w:cs="Arial" w:eastAsia="Arial" w:hAnsi="Arial"/>
          <w:sz w:val="17"/>
          <w:szCs w:val="17"/>
          <w:color w:val="auto"/>
        </w:rPr>
        <w:t>. ASU No. 2013-02 is effective for fiscal years, and interim periods within those years, beginning after December 15, 2012, which is the Company's first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year 2014. The adoption of ASU No. 2013-02 in the first quarter of fiscal 2014 will affect the presentation of comprehensive income but will not impact the Company's financial condition or results of operations.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4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19 – Subsequent Event</w:t>
      </w:r>
    </w:p>
    <w:p>
      <w:pPr>
        <w:spacing w:after="0" w:line="9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May 20, 2013, the Board of Directors of the Company declared a cash dividend of $0.34 per outstanding share of common stock. The dividend will be paid on June 11, 2013 to all shareholders of record at the close of business on May 31, 2013.</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3, 2012.</w:t>
      </w:r>
    </w:p>
    <w:p>
      <w:pPr>
        <w:spacing w:after="0" w:line="111"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“may” and "will,"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except to the extent required by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1600" w:type="dxa"/>
            <w:vAlign w:val="bottom"/>
            <w:tcBorders>
              <w:bottom w:val="single" w:sz="8" w:color="auto"/>
            </w:tcBorders>
          </w:tcPr>
          <w:p>
            <w:pPr>
              <w:spacing w:after="0"/>
              <w:rPr>
                <w:sz w:val="16"/>
                <w:szCs w:val="16"/>
                <w:color w:val="auto"/>
              </w:rPr>
            </w:pPr>
          </w:p>
        </w:tc>
      </w:tr>
      <w:tr>
        <w:trPr>
          <w:trHeight w:val="264"/>
        </w:trPr>
        <w:tc>
          <w:tcPr>
            <w:tcW w:w="4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5, 2012</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659,250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675,094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164,472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162,899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332"/>
        </w:trPr>
        <w:tc>
          <w:tcPr>
            <w:tcW w:w="4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600" w:type="dxa"/>
            <w:vAlign w:val="bottom"/>
            <w:tcBorders>
              <w:bottom w:val="single" w:sz="8" w:color="auto"/>
            </w:tcBorders>
          </w:tcPr>
          <w:p>
            <w:pPr>
              <w:spacing w:after="0"/>
              <w:rPr>
                <w:sz w:val="24"/>
                <w:szCs w:val="24"/>
                <w:color w:val="auto"/>
              </w:rPr>
            </w:pPr>
          </w:p>
        </w:tc>
      </w:tr>
      <w:tr>
        <w:trPr>
          <w:trHeight w:val="264"/>
        </w:trPr>
        <w:tc>
          <w:tcPr>
            <w:tcW w:w="4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5, 2012</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tcPr>
          <w:p>
            <w:pPr>
              <w:jc w:val="right"/>
              <w:ind w:right="39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1,281,384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1,323,152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295,694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302,281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Net income as a % of revenue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4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60" w:firstLine="432"/>
        <w:spacing w:after="0" w:line="342" w:lineRule="auto"/>
        <w:rPr>
          <w:sz w:val="20"/>
          <w:szCs w:val="20"/>
          <w:color w:val="auto"/>
        </w:rPr>
      </w:pPr>
      <w:r>
        <w:rPr>
          <w:rFonts w:ascii="Arial" w:cs="Arial" w:eastAsia="Arial" w:hAnsi="Arial"/>
          <w:sz w:val="16"/>
          <w:szCs w:val="16"/>
          <w:color w:val="auto"/>
        </w:rPr>
        <w:t>Fiscal 2013 is a 52-week year and fiscal 2012 was a 53-week year. The additional week in fiscal 2012 was included in the first quarter ended February 4, 2012. Therefore, the first six months of fiscal 2012 included an additional week of operations as compared to the first six months of fiscal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77" w:right="239" w:bottom="1440" w:gutter="0" w:footer="0" w:header="0"/>
        </w:sectPr>
      </w:pPr>
    </w:p>
    <w:bookmarkStart w:id="27" w:name="page28"/>
    <w:bookmarkEnd w:id="27"/>
    <w:p>
      <w:pPr>
        <w:ind w:right="320" w:firstLine="432"/>
        <w:spacing w:after="0" w:line="277" w:lineRule="auto"/>
        <w:rPr>
          <w:sz w:val="20"/>
          <w:szCs w:val="20"/>
          <w:color w:val="auto"/>
        </w:rPr>
      </w:pPr>
      <w:r>
        <w:rPr>
          <w:rFonts w:ascii="Arial" w:cs="Arial" w:eastAsia="Arial" w:hAnsi="Arial"/>
          <w:sz w:val="18"/>
          <w:szCs w:val="18"/>
          <w:color w:val="auto"/>
        </w:rPr>
        <w:t xml:space="preserve">The year-to-year revenue changes by end market and product type are more fully outlined below under </w:t>
      </w:r>
      <w:r>
        <w:rPr>
          <w:rFonts w:ascii="Arial" w:cs="Arial" w:eastAsia="Arial" w:hAnsi="Arial"/>
          <w:sz w:val="18"/>
          <w:szCs w:val="18"/>
          <w:i w:val="1"/>
          <w:iCs w:val="1"/>
          <w:color w:val="auto"/>
        </w:rPr>
        <w:t>Revenue Trends by End Market</w:t>
      </w:r>
      <w:r>
        <w:rPr>
          <w:rFonts w:ascii="Arial" w:cs="Arial" w:eastAsia="Arial" w:hAnsi="Arial"/>
          <w:sz w:val="18"/>
          <w:szCs w:val="18"/>
          <w:color w:val="auto"/>
        </w:rPr>
        <w:t xml:space="preserve"> and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Trends by Product Type</w:t>
      </w:r>
      <w:r>
        <w:rPr>
          <w:rFonts w:ascii="Arial" w:cs="Arial" w:eastAsia="Arial" w:hAnsi="Arial"/>
          <w:sz w:val="18"/>
          <w:szCs w:val="18"/>
          <w:color w:val="auto"/>
        </w:rPr>
        <w:t>.</w:t>
      </w:r>
    </w:p>
    <w:p>
      <w:pPr>
        <w:spacing w:after="0" w:line="116" w:lineRule="exact"/>
        <w:rPr>
          <w:sz w:val="20"/>
          <w:szCs w:val="20"/>
          <w:color w:val="auto"/>
        </w:rPr>
      </w:pPr>
    </w:p>
    <w:p>
      <w:pPr>
        <w:ind w:right="160" w:firstLine="432"/>
        <w:spacing w:after="0" w:line="255" w:lineRule="auto"/>
        <w:rPr>
          <w:sz w:val="20"/>
          <w:szCs w:val="20"/>
          <w:color w:val="auto"/>
        </w:rPr>
      </w:pPr>
      <w:r>
        <w:rPr>
          <w:rFonts w:ascii="Arial" w:cs="Arial" w:eastAsia="Arial" w:hAnsi="Arial"/>
          <w:sz w:val="18"/>
          <w:szCs w:val="18"/>
          <w:color w:val="auto"/>
        </w:rPr>
        <w:t>During the first six months of fiscal 2013, our revenue decreased 3% compared to the first six months of fiscal 2012. Our diluted earnings per share in the first six months of fiscal 2013 was $0.95 compared to $0.99 in the first six months of fiscal 2012. Cash flow from operations in the first six months of fiscal 2013 was $410.2 million, or 32% of revenue. During the first six months of fiscal 2013, we received $176.0 million in net proceeds from employee stock options, paid $204.8 million for the net purchases of available-for-sale short term investments, distributed $195.1 million to our shareholders in dividend payments, repaid the remaining outstanding principal balance on our $145.0 million term loan facility of $60.1 million and paid $44.4 million for property, plant and equipment additions. These factors contributed to the net increase in cash and cash equivalents of $66.8 million in the first six months of fiscal 2013.</w:t>
      </w:r>
    </w:p>
    <w:p>
      <w:pPr>
        <w:spacing w:after="0" w:line="135"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The year-to-year decrease in revenue was attributable to one less week of operations in the first six months of fiscal 2013 as compared to the first six months of fiscal 2012 and a weak demand environment as a result of ongoing economic uncertainty. We believe that our variable cost structure and continued efforts to manage production, inventory levels and expenses helped to mitigate the effect that these lower sales levels had on our earnings.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90"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May 5, 2012</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3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312,071</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324,728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122,229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118,210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101,049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106,086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123,901</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126,070</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659,250</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675,094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16979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-130175</wp:posOffset>
            </wp:positionV>
            <wp:extent cx="16979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875"/>
              <w:spacing w:after="0"/>
              <w:rPr>
                <w:sz w:val="20"/>
                <w:szCs w:val="20"/>
                <w:color w:val="auto"/>
              </w:rPr>
            </w:pPr>
            <w:r>
              <w:rPr>
                <w:rFonts w:ascii="Arial" w:cs="Arial" w:eastAsia="Arial" w:hAnsi="Arial"/>
                <w:sz w:val="14"/>
                <w:szCs w:val="14"/>
                <w:b w:val="1"/>
                <w:bCs w:val="1"/>
                <w:color w:val="auto"/>
              </w:rPr>
              <w:t>May 5, 2012</w:t>
            </w: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7"/>
              <w:spacing w:after="0" w:line="15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3"/>
                <w:szCs w:val="13"/>
                <w:color w:val="auto"/>
              </w:rPr>
            </w:pPr>
          </w:p>
        </w:tc>
        <w:tc>
          <w:tcPr>
            <w:tcW w:w="13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Y/Y%</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593,588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615,439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229,875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238,820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207,998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220,300</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249,923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248,593</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1,281,384</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1,323,152</w:t>
            </w: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8890</wp:posOffset>
            </wp:positionV>
            <wp:extent cx="17068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8890</wp:posOffset>
            </wp:positionV>
            <wp:extent cx="16979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5544820</wp:posOffset>
            </wp:positionH>
            <wp:positionV relativeFrom="paragraph">
              <wp:posOffset>-130175</wp:posOffset>
            </wp:positionV>
            <wp:extent cx="17068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-130175</wp:posOffset>
            </wp:positionV>
            <wp:extent cx="16979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5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year-to-year decrease in revenue in the industrial, consumer and communications end markets in the three-month period ended May 4, 2013 was primarily the result of a weak demand environment. Automotive end market revenue increased in the three-month period ended May 4, 2013 primarily as a result of an increase in the demand for products used in powertrain electronics.</w:t>
      </w:r>
    </w:p>
    <w:p>
      <w:pPr>
        <w:spacing w:after="0" w:line="12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year-to-year decrease in revenue in the industrial, consumer and automotive end markets in the six-month period ended May 4, 2013 was primarily the result of a weak demand environment and one less week of operations in the first six months of fiscal 2013 as compared to the first six months of fiscal 2012.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 Type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8" w:name="page29"/>
    <w:bookmarkEnd w:id="28"/>
    <w:p>
      <w:pPr>
        <w:ind w:right="60" w:firstLine="432"/>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May 4, 2013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May 5, 2012</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20" w:type="dxa"/>
            <w:vAlign w:val="bottom"/>
            <w:gridSpan w:val="2"/>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140" w:type="dxa"/>
            <w:vAlign w:val="bottom"/>
          </w:tcPr>
          <w:p>
            <w:pPr>
              <w:jc w:val="right"/>
              <w:ind w:right="435"/>
              <w:spacing w:after="0" w:line="15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Revenue</w:t>
            </w:r>
          </w:p>
        </w:tc>
        <w:tc>
          <w:tcPr>
            <w:tcW w:w="120" w:type="dxa"/>
            <w:vAlign w:val="bottom"/>
            <w:gridSpan w:val="2"/>
            <w:vMerge w:val="restart"/>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gridSpan w:val="2"/>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301,887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300,338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164,793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177,872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91,906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2 %</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90,442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558,586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568,652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46,051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602,209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614,703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60,391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659,250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480" w:type="dxa"/>
            <w:vAlign w:val="bottom"/>
            <w:gridSpan w:val="4"/>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675,094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gridSpan w:val="4"/>
          </w:tcPr>
          <w:p>
            <w:pPr>
              <w:spacing w:after="0"/>
              <w:rPr>
                <w:sz w:val="20"/>
                <w:szCs w:val="20"/>
                <w:color w:val="auto"/>
              </w:rPr>
            </w:pPr>
            <w:r>
              <w:rPr>
                <w:rFonts w:ascii="Arial" w:cs="Arial" w:eastAsia="Arial" w:hAnsi="Arial"/>
                <w:sz w:val="18"/>
                <w:szCs w:val="18"/>
                <w:color w:val="auto"/>
                <w:w w:val="88"/>
              </w:rPr>
              <w:t>* The sum of the individual percentages does not equal the total due to rounding</w:t>
            </w:r>
          </w:p>
        </w:tc>
        <w:tc>
          <w:tcPr>
            <w:tcW w:w="2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May 4, 2013</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May 5, 2012</w:t>
            </w: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80" w:type="dxa"/>
            <w:vAlign w:val="bottom"/>
            <w:vMerge w:val="restart"/>
          </w:tcPr>
          <w:p>
            <w:pPr>
              <w:spacing w:after="0"/>
              <w:rPr>
                <w:sz w:val="13"/>
                <w:szCs w:val="13"/>
                <w:color w:val="auto"/>
              </w:rPr>
            </w:pPr>
          </w:p>
        </w:tc>
        <w:tc>
          <w:tcPr>
            <w:tcW w:w="114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Y/Y%</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Revenue</w:t>
            </w:r>
          </w:p>
        </w:tc>
        <w:tc>
          <w:tcPr>
            <w:tcW w:w="100" w:type="dxa"/>
            <w:vAlign w:val="bottom"/>
            <w:vMerge w:val="restart"/>
          </w:tcPr>
          <w:p>
            <w:pPr>
              <w:spacing w:after="0"/>
              <w:rPr>
                <w:sz w:val="13"/>
                <w:szCs w:val="13"/>
                <w:color w:val="auto"/>
              </w:rPr>
            </w:pP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Revenue*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Converters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579,524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585,527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Amplifiers / Radio frequency</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322,646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480" w:type="dxa"/>
            <w:vAlign w:val="bottom"/>
            <w:gridSpan w:val="4"/>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342,339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analog</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187,599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80" w:type="dxa"/>
            <w:vAlign w:val="bottom"/>
            <w:tcBorders>
              <w:bottom w:val="single" w:sz="8" w:color="CCEEFF"/>
            </w:tcBorders>
            <w:gridSpan w:val="4"/>
            <w:shd w:val="clear" w:color="auto" w:fill="CCEEFF"/>
          </w:tcPr>
          <w:p>
            <w:pPr>
              <w:jc w:val="right"/>
              <w:ind w:right="8"/>
              <w:spacing w:after="0"/>
              <w:rPr>
                <w:sz w:val="20"/>
                <w:szCs w:val="20"/>
                <w:color w:val="auto"/>
              </w:rPr>
            </w:pPr>
            <w:r>
              <w:rPr>
                <w:rFonts w:ascii="Arial" w:cs="Arial" w:eastAsia="Arial" w:hAnsi="Arial"/>
                <w:sz w:val="18"/>
                <w:szCs w:val="18"/>
                <w:color w:val="auto"/>
              </w:rPr>
              <w:t>1 %</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color w:val="auto"/>
              </w:rPr>
              <w:t>Subtotal analog signal processing</w:t>
            </w: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1,089,769</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top w:val="single" w:sz="8" w:color="auto"/>
            </w:tcBorders>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1,114,470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Power management &amp; reference</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83,083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90,925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analog products</w:t>
            </w: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1,172,852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w:t>
            </w:r>
          </w:p>
        </w:tc>
        <w:tc>
          <w:tcPr>
            <w:tcW w:w="20" w:type="dxa"/>
            <w:vAlign w:val="bottom"/>
            <w:tcBorders>
              <w:top w:val="single" w:sz="8" w:color="auto"/>
            </w:tcBorders>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1,205,395</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Digital signal processing</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108,532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117,757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444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1,281,384</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0" w:type="dxa"/>
            <w:vAlign w:val="bottom"/>
            <w:tcBorders>
              <w:top w:val="single" w:sz="8" w:color="auto"/>
            </w:tcBorders>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1,323,152</w:t>
            </w: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8890</wp:posOffset>
            </wp:positionV>
            <wp:extent cx="16897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8890</wp:posOffset>
            </wp:positionV>
            <wp:extent cx="16897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The sum of the individual percentages does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5519420</wp:posOffset>
            </wp:positionH>
            <wp:positionV relativeFrom="paragraph">
              <wp:posOffset>-130175</wp:posOffset>
            </wp:positionV>
            <wp:extent cx="16897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89735" cy="889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-130175</wp:posOffset>
            </wp:positionV>
            <wp:extent cx="16897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5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year-to-year decrease in total revenue in the three-month period ended May 4, 2013 was primarily the result of a broad-based decrease in demand across most product type categories.</w:t>
      </w:r>
    </w:p>
    <w:p>
      <w:pPr>
        <w:spacing w:after="0" w:line="11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year-to-year decrease in total revenue in the six-month period ended May 4, 2013 was the result of one less week of operations in the first six months of fiscal 2013 as compared to the first six months of fiscal 2012 and a broad-based decrease in demand across most product type categories.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90"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Revenue by geographic region, based upon the primary location of our customers’ design activity for our products for the three- and six-month periods ended May 4, 2013 and May 5, 2012 were as follows: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665" w:right="29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r>
      <w:tr>
        <w:trPr>
          <w:trHeight w:val="229"/>
        </w:trPr>
        <w:tc>
          <w:tcPr>
            <w:tcW w:w="5040" w:type="dxa"/>
            <w:vAlign w:val="bottom"/>
            <w:gridSpan w:val="3"/>
          </w:tcPr>
          <w:p>
            <w:pPr>
              <w:ind w:left="2320"/>
              <w:spacing w:after="0"/>
              <w:rPr>
                <w:sz w:val="20"/>
                <w:szCs w:val="20"/>
                <w:color w:val="auto"/>
              </w:rPr>
            </w:pPr>
            <w:r>
              <w:rPr>
                <w:rFonts w:ascii="Arial" w:cs="Arial" w:eastAsia="Arial" w:hAnsi="Arial"/>
                <w:sz w:val="14"/>
                <w:szCs w:val="14"/>
                <w:b w:val="1"/>
                <w:bCs w:val="1"/>
                <w:color w:val="auto"/>
              </w:rPr>
              <w:t>Region</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5, 2012</w:t>
            </w:r>
          </w:p>
        </w:tc>
        <w:tc>
          <w:tcPr>
            <w:tcW w:w="280" w:type="dxa"/>
            <w:vAlign w:val="bottom"/>
          </w:tcPr>
          <w:p>
            <w:pPr>
              <w:spacing w:after="0"/>
              <w:rPr>
                <w:sz w:val="19"/>
                <w:szCs w:val="19"/>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164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206,181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191,548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14,633</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8 %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28,194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30,392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(2,198)</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216,071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217,195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71,874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86,687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(14,813)</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89,405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(5,435)</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52,960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59,867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(6,907)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659,250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675,094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(15,844)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535"/>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9"/>
        </w:trPr>
        <w:tc>
          <w:tcPr>
            <w:tcW w:w="5040" w:type="dxa"/>
            <w:vAlign w:val="bottom"/>
            <w:gridSpan w:val="3"/>
          </w:tcPr>
          <w:p>
            <w:pPr>
              <w:ind w:left="2320"/>
              <w:spacing w:after="0"/>
              <w:rPr>
                <w:sz w:val="20"/>
                <w:szCs w:val="20"/>
                <w:color w:val="auto"/>
              </w:rPr>
            </w:pPr>
            <w:r>
              <w:rPr>
                <w:rFonts w:ascii="Arial" w:cs="Arial" w:eastAsia="Arial" w:hAnsi="Arial"/>
                <w:sz w:val="14"/>
                <w:szCs w:val="14"/>
                <w:b w:val="1"/>
                <w:bCs w:val="1"/>
                <w:color w:val="auto"/>
              </w:rPr>
              <w:t>Region</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4, 2013</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May 5, 2012</w:t>
            </w:r>
          </w:p>
        </w:tc>
        <w:tc>
          <w:tcPr>
            <w:tcW w:w="280" w:type="dxa"/>
            <w:vAlign w:val="bottom"/>
          </w:tcPr>
          <w:p>
            <w:pPr>
              <w:spacing w:after="0"/>
              <w:rPr>
                <w:sz w:val="19"/>
                <w:szCs w:val="19"/>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9"/>
                <w:szCs w:val="19"/>
                <w:color w:val="auto"/>
              </w:rPr>
            </w:pPr>
          </w:p>
        </w:tc>
        <w:tc>
          <w:tcPr>
            <w:tcW w:w="1640" w:type="dxa"/>
            <w:vAlign w:val="bottom"/>
          </w:tcPr>
          <w:p>
            <w:pPr>
              <w:jc w:val="right"/>
              <w:ind w:right="428"/>
              <w:spacing w:after="0"/>
              <w:rPr>
                <w:sz w:val="20"/>
                <w:szCs w:val="20"/>
                <w:color w:val="auto"/>
              </w:rPr>
            </w:pPr>
            <w:r>
              <w:rPr>
                <w:rFonts w:ascii="Arial" w:cs="Arial" w:eastAsia="Arial" w:hAnsi="Arial"/>
                <w:sz w:val="14"/>
                <w:szCs w:val="14"/>
                <w:b w:val="1"/>
                <w:bCs w:val="1"/>
                <w:color w:val="auto"/>
              </w:rPr>
              <w:t>% Change</w:t>
            </w: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396,607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388,075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8,532</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North and South America</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65,551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62,265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3,286</w:t>
            </w:r>
          </w:p>
        </w:tc>
        <w:tc>
          <w:tcPr>
            <w:tcW w:w="1740" w:type="dxa"/>
            <w:vAlign w:val="bottom"/>
            <w:gridSpan w:val="2"/>
          </w:tcPr>
          <w:p>
            <w:pPr>
              <w:jc w:val="right"/>
              <w:ind w:right="8"/>
              <w:spacing w:after="0"/>
              <w:rPr>
                <w:sz w:val="20"/>
                <w:szCs w:val="20"/>
                <w:color w:val="auto"/>
              </w:rPr>
            </w:pPr>
            <w:r>
              <w:rPr>
                <w:rFonts w:ascii="Arial" w:cs="Arial" w:eastAsia="Arial" w:hAnsi="Arial"/>
                <w:sz w:val="18"/>
                <w:szCs w:val="18"/>
                <w:color w:val="auto"/>
              </w:rPr>
              <w:t>5 %</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405,369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423,293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136,562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167,026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(30,464)</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40" w:type="dxa"/>
            <w:vAlign w:val="bottom"/>
            <w:gridSpan w:val="2"/>
          </w:tcPr>
          <w:p>
            <w:pPr>
              <w:spacing w:after="0"/>
              <w:rPr>
                <w:sz w:val="2"/>
                <w:szCs w:val="2"/>
                <w:color w:val="auto"/>
              </w:rPr>
            </w:pPr>
          </w:p>
        </w:tc>
      </w:tr>
      <w:tr>
        <w:trPr>
          <w:trHeight w:val="250"/>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China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168,739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164,981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3,758</w:t>
            </w:r>
          </w:p>
        </w:tc>
        <w:tc>
          <w:tcPr>
            <w:tcW w:w="174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2 %</w:t>
            </w:r>
          </w:p>
        </w:tc>
      </w:tr>
      <w:tr>
        <w:trPr>
          <w:trHeight w:val="243"/>
        </w:trPr>
        <w:tc>
          <w:tcPr>
            <w:tcW w:w="5040" w:type="dxa"/>
            <w:vAlign w:val="bottom"/>
            <w:gridSpan w:val="3"/>
          </w:tcPr>
          <w:p>
            <w:pPr>
              <w:ind w:left="40"/>
              <w:spacing w:after="0"/>
              <w:rPr>
                <w:sz w:val="20"/>
                <w:szCs w:val="20"/>
                <w:color w:val="auto"/>
              </w:rPr>
            </w:pPr>
            <w:r>
              <w:rPr>
                <w:rFonts w:ascii="Arial" w:cs="Arial" w:eastAsia="Arial" w:hAnsi="Arial"/>
                <w:sz w:val="18"/>
                <w:szCs w:val="18"/>
                <w:color w:val="auto"/>
              </w:rPr>
              <w:t>Rest of Asia</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108,556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117,512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(8,956)</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740" w:type="dxa"/>
            <w:vAlign w:val="bottom"/>
            <w:tcBorders>
              <w:bottom w:val="single" w:sz="8" w:color="CCEEFF"/>
            </w:tcBorders>
            <w:gridSpan w:val="2"/>
          </w:tcPr>
          <w:p>
            <w:pPr>
              <w:spacing w:after="0"/>
              <w:rPr>
                <w:sz w:val="2"/>
                <w:szCs w:val="2"/>
                <w:color w:val="auto"/>
              </w:rPr>
            </w:pPr>
          </w:p>
        </w:tc>
      </w:tr>
      <w:tr>
        <w:trPr>
          <w:trHeight w:val="257"/>
        </w:trPr>
        <w:tc>
          <w:tcPr>
            <w:tcW w:w="50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1,281,384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1,323,152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(41,768)</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In the three- and six-month periods ended May 4, 2013 and May 5, 2012, the predominant country comprising “Rest of North and South America” is Canada; the predominant countries comprising “Europe” are Germany, Sweden, France and the United Kingdom; and the predominant countries comprising “Rest of Asia” are Taiwan and South Korea.</w:t>
      </w:r>
    </w:p>
    <w:p>
      <w:pPr>
        <w:spacing w:after="0" w:line="127"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On a regional basis, the year-over-year sales decline in Japan and sales increase in the United States for the three- and six-month periods ended May 4, 2013 were primarily the result of product transitions within consumer applications. In addition, the sales increase in the United States in the three-month period ended May 4, 2013 was partially attributable to an increase in demand in the automotive end market. The year-over-year sales decline in Europe in the six-month period ended May 4, 2013 was primarily a result of lower demand in the industrial and automotive end markets.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r>
      <w:tr>
        <w:trPr>
          <w:trHeight w:val="264"/>
        </w:trPr>
        <w:tc>
          <w:tcPr>
            <w:tcW w:w="15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7"/>
              </w:rPr>
              <w:t>May 4, 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May 5, 2012</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5, 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422,195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440,455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   (18,260)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812,479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849,845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(37,366)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Gross margin %</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spacing w:after="0" w:line="1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Gross margin percentage was lower by 120 and 80 basis points in the three and six months ended May 4, 2013, respectively, as compared to the three and six months ended May 5, 2012, respectively, primarily as a result of decreased operating levels in our manufacturing facilities driven by our efforts to balance manufacturing production, demand and inventory levels.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(R&amp;D)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r>
      <w:tr>
        <w:trPr>
          <w:trHeight w:val="264"/>
        </w:trPr>
        <w:tc>
          <w:tcPr>
            <w:tcW w:w="15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5,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5, 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R&amp;D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128,110</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   127,537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   253,274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   251,915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580" w:type="dxa"/>
            <w:vAlign w:val="bottom"/>
          </w:tcPr>
          <w:p>
            <w:pPr>
              <w:ind w:left="40"/>
              <w:spacing w:after="0"/>
              <w:rPr>
                <w:sz w:val="20"/>
                <w:szCs w:val="20"/>
                <w:color w:val="auto"/>
              </w:rPr>
            </w:pPr>
            <w:r>
              <w:rPr>
                <w:rFonts w:ascii="Arial" w:cs="Arial" w:eastAsia="Arial" w:hAnsi="Arial"/>
                <w:sz w:val="18"/>
                <w:szCs w:val="18"/>
                <w:color w:val="auto"/>
                <w:w w:val="95"/>
              </w:rPr>
              <w:t>R&amp;D expenses as a</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5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86"/>
        </w:trPr>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456"/>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954" w:right="239" w:bottom="1440" w:gutter="0" w:footer="0" w:header="0"/>
        </w:sectPr>
      </w:pPr>
    </w:p>
    <w:bookmarkStart w:id="30" w:name="page31"/>
    <w:bookmarkEnd w:id="30"/>
    <w:p>
      <w:pPr>
        <w:ind w:right="220" w:firstLine="432"/>
        <w:spacing w:after="0" w:line="264" w:lineRule="auto"/>
        <w:rPr>
          <w:sz w:val="20"/>
          <w:szCs w:val="20"/>
          <w:color w:val="auto"/>
        </w:rPr>
      </w:pPr>
      <w:r>
        <w:rPr>
          <w:rFonts w:ascii="Arial" w:cs="Arial" w:eastAsia="Arial" w:hAnsi="Arial"/>
          <w:sz w:val="18"/>
          <w:szCs w:val="18"/>
          <w:color w:val="auto"/>
        </w:rPr>
        <w:t>R&amp;D expenses remained flat in the three and six months ended May 4, 2013 as compared to the same periods of fiscal 2012 as increases in employee salary and benefit expenses and other operational spending were offset by lower variable compensation expense, which is a variable expense linked to our overall profitability and revenue growth.</w:t>
      </w:r>
    </w:p>
    <w:p>
      <w:pPr>
        <w:spacing w:after="0" w:line="127"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therefore, we expect to continue to make significant R&amp;D investments in the future.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 (SMG&amp;A)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r>
      <w:tr>
        <w:trPr>
          <w:trHeight w:val="264"/>
        </w:trPr>
        <w:tc>
          <w:tcPr>
            <w:tcW w:w="16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w w:val="97"/>
              </w:rPr>
              <w:t>May 4, 2013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5, 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8"/>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5, 2012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9"/>
              </w:rPr>
              <w:t>SMG&amp;A expenses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102,703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99,992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200,263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   199,037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SMG&amp;A expenses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780" w:type="dxa"/>
            <w:vAlign w:val="bottom"/>
            <w:gridSpan w:val="2"/>
          </w:tcPr>
          <w:p>
            <w:pPr>
              <w:ind w:left="40"/>
              <w:spacing w:after="0"/>
              <w:rPr>
                <w:sz w:val="20"/>
                <w:szCs w:val="20"/>
                <w:color w:val="auto"/>
              </w:rPr>
            </w:pPr>
            <w:r>
              <w:rPr>
                <w:rFonts w:ascii="Arial" w:cs="Arial" w:eastAsia="Arial" w:hAnsi="Arial"/>
                <w:sz w:val="18"/>
                <w:szCs w:val="18"/>
                <w:color w:val="auto"/>
              </w:rPr>
              <w:t>as a % of revenue</w:t>
            </w: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The increases in SMG&amp;A expenses in the three- and six-month periods ended May 4, 2013 as compared to the same periods of fiscal 2012 were primarily the result of recording $6.3 million of stock-based compensation expense following the death of the Company's CEO in the second quarter of fiscal 2013 due to the accelerated vesting of restricted stock units in accordance with the terms of his restricted stock unit agreement. These increases in expense were partially offset by lower variable compensation expense, which is a variable expense linked to our overall profitability and revenue growth.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 – Reduction of Operating Costs</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 These reductions relating to ongoing actions are described below.</w:t>
      </w:r>
    </w:p>
    <w:p>
      <w:pPr>
        <w:spacing w:after="0" w:line="127"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During fiscal 2010 through fiscal 2012, we recorded special charges of approximately $22.1 million. These special charges included: $21.1 million for severance and fringe benefit costs in accordance with our ongoing benefit plan or statutory requirements at foreign locations for 269 manufacturing, engineering and SMG&amp;A employees; $0.2 million for lease obligation costs for facilities that we ceased using during the third quarter of fiscal 2012; $0.1 million for contract termination costs; $0.2 million for the write-off of property, plant and equipment; and $0.5 million related to the impairment of intellectual property. These actions resulted in annual cost savings of approximately $32.0 million. We have terminated the employment of all employees associated with these actions.</w:t>
      </w:r>
    </w:p>
    <w:p>
      <w:pPr>
        <w:spacing w:after="0" w:line="13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During the first quarter of fiscal 2013, we recorded a special charge of approximately $14.1 million for severance and fringe benefit costs in accordance with our ongoing benefit plan or statutory requirements at foreign locations for 137 manufacturing, engineering and SMG&amp;A employees. As of May 4, 2013, we employed 6 of the 137 employees included in this cost reduction action. These employees must continue to be employed by us until their employment is involuntarily terminated in order to receive the severance benefit. We estimate this action will result in annual cost savings of approximately $17.0 million once fully implemented.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r>
      <w:tr>
        <w:trPr>
          <w:trHeight w:val="264"/>
        </w:trPr>
        <w:tc>
          <w:tcPr>
            <w:tcW w:w="15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May 4, 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May 5, 2012</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May 4, 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May 5, 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191,382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212,926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(21,544)</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  $</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344,871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396,298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Operating income as</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740" w:type="dxa"/>
            <w:vAlign w:val="bottom"/>
            <w:gridSpan w:val="2"/>
          </w:tcPr>
          <w:p>
            <w:pPr>
              <w:ind w:left="40"/>
              <w:spacing w:after="0"/>
              <w:rPr>
                <w:sz w:val="20"/>
                <w:szCs w:val="20"/>
                <w:color w:val="auto"/>
              </w:rPr>
            </w:pPr>
            <w:r>
              <w:rPr>
                <w:rFonts w:ascii="Arial" w:cs="Arial" w:eastAsia="Arial" w:hAnsi="Arial"/>
                <w:sz w:val="18"/>
                <w:szCs w:val="18"/>
                <w:color w:val="auto"/>
              </w:rPr>
              <w:t>a % of revenue</w:t>
            </w: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75"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year-over-year decrease in operating income in the three months ended May 4, 2013 was primarily the result of a decrease in revenue of $15.8 million, a 120 basis point decrease in gross margin percentage and an increase of $2.7 million in SMG&amp;A expenses as more fully described above under the heading S</w:t>
      </w:r>
      <w:r>
        <w:rPr>
          <w:rFonts w:ascii="Arial" w:cs="Arial" w:eastAsia="Arial" w:hAnsi="Arial"/>
          <w:sz w:val="18"/>
          <w:szCs w:val="18"/>
          <w:i w:val="1"/>
          <w:iCs w:val="1"/>
          <w:color w:val="auto"/>
        </w:rPr>
        <w:t>elling, Marketing, General and Administrative</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1" w:name="page32"/>
    <w:bookmarkEnd w:id="31"/>
    <w:p>
      <w:pPr>
        <w:ind w:right="60" w:firstLine="432"/>
        <w:spacing w:after="0" w:line="264" w:lineRule="auto"/>
        <w:rPr>
          <w:sz w:val="20"/>
          <w:szCs w:val="20"/>
          <w:color w:val="auto"/>
        </w:rPr>
      </w:pPr>
      <w:r>
        <w:rPr>
          <w:rFonts w:ascii="Arial" w:cs="Arial" w:eastAsia="Arial" w:hAnsi="Arial"/>
          <w:sz w:val="18"/>
          <w:szCs w:val="18"/>
          <w:color w:val="auto"/>
        </w:rPr>
        <w:t xml:space="preserve">The year-over-year decrease in operating income in the six months ended May 4, 2013 was primarily the result of a decrease in revenue of $41.8 million, a 80 basis point decrease in gross margin percentage and $14.1 million in special charges recorded in the first six months of fiscal 2013 as more fully described above under the heading </w:t>
      </w:r>
      <w:r>
        <w:rPr>
          <w:rFonts w:ascii="Arial" w:cs="Arial" w:eastAsia="Arial" w:hAnsi="Arial"/>
          <w:sz w:val="18"/>
          <w:szCs w:val="18"/>
          <w:i w:val="1"/>
          <w:iCs w:val="1"/>
          <w:color w:val="auto"/>
        </w:rPr>
        <w:t>Special Charges—Reduction of Operating Costs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38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May 5, 2012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May 5, 2012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8"/>
              </w:rPr>
              <w:t>$ Change</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23,189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48,555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42,076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89,259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(47,183)</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decrease in our effective tax rate for the second quarter of fiscal 2013 compared to the second quarter of fiscal 2012 was primarily due to income earned in lower tax rate jurisdictions as a result of an international tax restructuring effective January 1, 2013. In addition, our effective tax rate was lower by approximately 4% due to a tax benefit of $6.6 million recorded as a result of the reversal of certain prior period tax liabilities. Our effective tax rate for the second quarter of fiscal 2013 also included a benefit related to the application of the U.S. federal research and development tax credit which was not available in the second quarter of fiscal 2012.</w:t>
      </w:r>
    </w:p>
    <w:p>
      <w:pPr>
        <w:spacing w:after="0" w:line="134" w:lineRule="exact"/>
        <w:rPr>
          <w:sz w:val="20"/>
          <w:szCs w:val="20"/>
          <w:color w:val="auto"/>
        </w:rPr>
      </w:pPr>
    </w:p>
    <w:p>
      <w:pPr>
        <w:jc w:val="both"/>
        <w:ind w:right="80" w:firstLine="432"/>
        <w:spacing w:after="0" w:line="279" w:lineRule="auto"/>
        <w:rPr>
          <w:sz w:val="20"/>
          <w:szCs w:val="20"/>
          <w:color w:val="auto"/>
        </w:rPr>
      </w:pPr>
      <w:r>
        <w:rPr>
          <w:rFonts w:ascii="Arial" w:cs="Arial" w:eastAsia="Arial" w:hAnsi="Arial"/>
          <w:sz w:val="17"/>
          <w:szCs w:val="17"/>
          <w:color w:val="auto"/>
        </w:rPr>
        <w:t>The decrease in our effective tax rate for the first six months of fiscal 2013 compared to the first six months of fiscal 2012 was primarily due to income earned in lower tax rate jurisdictions as a result of an international tax restructuring effective January 1, 2013. In addition, our effective tax rate was lower by 4% due to a tax benefit from the reinstatement of the U.S. federal research and development tax credit in January 2013 retroactive to January 1, 2012 of $6.3 million and a tax benefit of $6.6 million recorded as a result of the reversal of certain prior period tax liabilities.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expect our effective tax rate to be approximately 16.5% for the remainder of fiscal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Borders>
              <w:bottom w:val="single" w:sz="8" w:color="auto"/>
            </w:tcBorders>
          </w:tcPr>
          <w:p>
            <w:pPr>
              <w:spacing w:after="0"/>
              <w:rPr>
                <w:sz w:val="16"/>
                <w:szCs w:val="16"/>
                <w:color w:val="auto"/>
              </w:rPr>
            </w:pPr>
          </w:p>
        </w:tc>
      </w:tr>
      <w:tr>
        <w:trPr>
          <w:trHeight w:val="264"/>
        </w:trPr>
        <w:tc>
          <w:tcPr>
            <w:tcW w:w="15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5, 2012</w:t>
            </w:r>
          </w:p>
        </w:tc>
        <w:tc>
          <w:tcPr>
            <w:tcW w:w="160" w:type="dxa"/>
            <w:vAlign w:val="bottom"/>
          </w:tcPr>
          <w:p>
            <w:pPr>
              <w:spacing w:after="0"/>
              <w:rPr>
                <w:sz w:val="22"/>
                <w:szCs w:val="22"/>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May 4, 2013</w:t>
            </w:r>
          </w:p>
        </w:tc>
        <w:tc>
          <w:tcPr>
            <w:tcW w:w="180" w:type="dxa"/>
            <w:vAlign w:val="bottom"/>
          </w:tcPr>
          <w:p>
            <w:pPr>
              <w:spacing w:after="0"/>
              <w:rPr>
                <w:sz w:val="22"/>
                <w:szCs w:val="22"/>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5, 2012</w:t>
            </w:r>
          </w:p>
        </w:tc>
        <w:tc>
          <w:tcPr>
            <w:tcW w:w="220" w:type="dxa"/>
            <w:vAlign w:val="bottom"/>
          </w:tcPr>
          <w:p>
            <w:pPr>
              <w:spacing w:after="0"/>
              <w:rPr>
                <w:sz w:val="22"/>
                <w:szCs w:val="22"/>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100" w:type="dxa"/>
            <w:vAlign w:val="bottom"/>
          </w:tcPr>
          <w:p>
            <w:pPr>
              <w:jc w:val="right"/>
              <w:ind w:right="13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1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164,472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162,899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295,694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302,281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1560" w:type="dxa"/>
            <w:vAlign w:val="bottom"/>
          </w:tcPr>
          <w:p>
            <w:pPr>
              <w:ind w:left="40"/>
              <w:spacing w:after="0"/>
              <w:rPr>
                <w:sz w:val="20"/>
                <w:szCs w:val="20"/>
                <w:color w:val="auto"/>
              </w:rPr>
            </w:pPr>
            <w:r>
              <w:rPr>
                <w:rFonts w:ascii="Arial" w:cs="Arial" w:eastAsia="Arial" w:hAnsi="Arial"/>
                <w:sz w:val="18"/>
                <w:szCs w:val="18"/>
                <w:color w:val="auto"/>
                <w:w w:val="98"/>
              </w:rPr>
              <w:t>Net Income as a %</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1560" w:type="dxa"/>
            <w:vAlign w:val="bottom"/>
          </w:tcPr>
          <w:p>
            <w:pPr>
              <w:ind w:left="40"/>
              <w:spacing w:after="0"/>
              <w:rPr>
                <w:sz w:val="20"/>
                <w:szCs w:val="20"/>
                <w:color w:val="auto"/>
              </w:rPr>
            </w:pPr>
            <w:r>
              <w:rPr>
                <w:rFonts w:ascii="Arial" w:cs="Arial" w:eastAsia="Arial" w:hAnsi="Arial"/>
                <w:sz w:val="18"/>
                <w:szCs w:val="18"/>
                <w:color w:val="auto"/>
              </w:rPr>
              <w:t>of revenue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1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7"/>
        </w:trPr>
        <w:tc>
          <w:tcPr>
            <w:tcW w:w="1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Net income remained flat year-over-year as the $25.4 million decrease in provision for income taxes was offset by the $21.5 million decrease in operating income in the second quarter of fiscal 2013.</w:t>
      </w:r>
    </w:p>
    <w:p>
      <w:pPr>
        <w:spacing w:after="0" w:line="116"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The year-over-year decrease in net income in the six months ended May 4, 2013 was primarily a result of the $51.4 million decrease in operating income partially offset by a lower provision for income taxes in the first six months of fiscal 2013.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The following statements are based on current expectations. These statements are forward-looking and our actual results may differ materially as a result of, among other things, the important factors contained in Part II,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 and we disclaim any obligation to update these forward-looking statements.</w:t>
      </w:r>
    </w:p>
    <w:p>
      <w:pPr>
        <w:spacing w:after="0" w:line="13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We are planning for revenue in the third quarter of fiscal 2013 to be in the range of approximately $655 million to $685 million. Our plan is for gross margin for the third quarter of fiscal 2013 to be approximately 64.5% and for operating expenses to be approximately $226 million. We expect our effective tax rate to be approximately 16.5%. As a result, we are planning for diluted earnings per share to be in the range of $0.51 to $0.56 in the third quarter of fiscal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140" w:firstLine="432"/>
        <w:spacing w:after="0" w:line="256" w:lineRule="auto"/>
        <w:rPr>
          <w:sz w:val="20"/>
          <w:szCs w:val="20"/>
          <w:color w:val="auto"/>
        </w:rPr>
      </w:pPr>
      <w:r>
        <w:rPr>
          <w:rFonts w:ascii="Arial" w:cs="Arial" w:eastAsia="Arial" w:hAnsi="Arial"/>
          <w:sz w:val="18"/>
          <w:szCs w:val="18"/>
          <w:color w:val="auto"/>
        </w:rPr>
        <w:t>At May 4, 2013, our principal source of liquidity was $4,172.1 million of cash and cash equivalents and short-term investments, of which approximately $1,180.6 million was held in the United States. The balance of our cash and cash equivalents and short-term investments was held outside the United States in various foreign subsidiaries. As we intend to</w:t>
      </w:r>
    </w:p>
    <w:p>
      <w:pPr>
        <w:ind w:right="140"/>
        <w:spacing w:after="0" w:line="253" w:lineRule="auto"/>
        <w:rPr>
          <w:sz w:val="20"/>
          <w:szCs w:val="20"/>
          <w:color w:val="auto"/>
        </w:rPr>
      </w:pPr>
      <w:r>
        <w:rPr>
          <w:rFonts w:ascii="Arial" w:cs="Arial" w:eastAsia="Arial" w:hAnsi="Arial"/>
          <w:sz w:val="18"/>
          <w:szCs w:val="18"/>
          <w:color w:val="auto"/>
        </w:rPr>
        <w:t>reinvest our foreign earnings indefinitely, this cash held outside the United States is not available to meet our cash requirements in the United States, including cash dividends and common stock repurchases. Our cash and cash equivalents consist of highly liquid investments with maturities of three months or less at the time of acquisition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37" w:lineRule="exact"/>
        <w:rPr>
          <w:sz w:val="20"/>
          <w:szCs w:val="20"/>
          <w:color w:val="auto"/>
        </w:rPr>
      </w:pPr>
    </w:p>
    <w:p>
      <w:pPr>
        <w:ind w:right="260" w:firstLine="432"/>
        <w:spacing w:after="0" w:line="312" w:lineRule="auto"/>
        <w:rPr>
          <w:sz w:val="20"/>
          <w:szCs w:val="20"/>
          <w:color w:val="auto"/>
        </w:rPr>
      </w:pPr>
      <w:r>
        <w:rPr>
          <w:rFonts w:ascii="Arial" w:cs="Arial" w:eastAsia="Arial" w:hAnsi="Arial"/>
          <w:sz w:val="16"/>
          <w:szCs w:val="16"/>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Borders>
              <w:bottom w:val="single" w:sz="8" w:color="auto"/>
            </w:tcBorders>
          </w:tcPr>
          <w:p>
            <w:pPr>
              <w:spacing w:after="0"/>
              <w:rPr>
                <w:sz w:val="16"/>
                <w:szCs w:val="16"/>
                <w:color w:val="auto"/>
              </w:rPr>
            </w:pPr>
          </w:p>
        </w:tc>
      </w:tr>
      <w:tr>
        <w:trPr>
          <w:trHeight w:val="264"/>
        </w:trPr>
        <w:tc>
          <w:tcPr>
            <w:tcW w:w="5840" w:type="dxa"/>
            <w:vAlign w:val="bottom"/>
          </w:tcPr>
          <w:p>
            <w:pPr>
              <w:spacing w:after="0"/>
              <w:rPr>
                <w:sz w:val="22"/>
                <w:szCs w:val="22"/>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May 4, 2013</w:t>
            </w: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May 5, 2012</w:t>
            </w:r>
          </w:p>
        </w:tc>
        <w:tc>
          <w:tcPr>
            <w:tcW w:w="220" w:type="dxa"/>
            <w:vAlign w:val="bottom"/>
          </w:tcPr>
          <w:p>
            <w:pPr>
              <w:spacing w:after="0"/>
              <w:rPr>
                <w:sz w:val="22"/>
                <w:szCs w:val="22"/>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 Change</w:t>
            </w:r>
          </w:p>
        </w:tc>
        <w:tc>
          <w:tcPr>
            <w:tcW w:w="1360" w:type="dxa"/>
            <w:vAlign w:val="bottom"/>
          </w:tcPr>
          <w:p>
            <w:pPr>
              <w:jc w:val="right"/>
              <w:ind w:right="27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32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$410,155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$440,789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840" w:type="dxa"/>
            <w:vAlign w:val="bottom"/>
          </w:tcPr>
          <w:p>
            <w:pPr>
              <w:ind w:left="40"/>
              <w:spacing w:after="0"/>
              <w:rPr>
                <w:sz w:val="20"/>
                <w:szCs w:val="20"/>
                <w:color w:val="auto"/>
              </w:rPr>
            </w:pPr>
            <w:r>
              <w:rPr>
                <w:rFonts w:ascii="Arial" w:cs="Arial" w:eastAsia="Arial" w:hAnsi="Arial"/>
                <w:sz w:val="18"/>
                <w:szCs w:val="18"/>
                <w:color w:val="auto"/>
              </w:rPr>
              <w:t>Net cash provided by operations as a % of revenue</w:t>
            </w:r>
          </w:p>
        </w:tc>
        <w:tc>
          <w:tcPr>
            <w:tcW w:w="13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May 4, 2013, cash and cash equivalents totaled $595.6 million. The primary source of funds for the first six months of fiscal 2013 was net cash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generated from operating activities of $410.2 million. In addition, we received $176.0 million in net proceeds from employee stock option exercises, paid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$204.8 million for the net purchases of available-for-sale short term investments, distributed $195.1 million to our shareholders in dividend payments, repaid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remaining outstanding principal balance on our $145.0 million term loan facility of $60.1 million and paid $44.4 million for property, plant and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additions. These factors contributed to the net increase in cash and cash equivalents of $66.8 million in the first six months of fiscal 2013.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700" w:type="dxa"/>
            <w:vAlign w:val="bottom"/>
            <w:gridSpan w:val="2"/>
          </w:tcPr>
          <w:p>
            <w:pPr>
              <w:ind w:left="420"/>
              <w:spacing w:after="0"/>
              <w:rPr>
                <w:sz w:val="20"/>
                <w:szCs w:val="20"/>
                <w:color w:val="auto"/>
              </w:rPr>
            </w:pPr>
            <w:r>
              <w:rPr>
                <w:rFonts w:ascii="Arial" w:cs="Arial" w:eastAsia="Arial" w:hAnsi="Arial"/>
                <w:sz w:val="14"/>
                <w:szCs w:val="14"/>
                <w:b w:val="1"/>
                <w:bCs w:val="1"/>
                <w:color w:val="auto"/>
              </w:rPr>
              <w:t>May 4, 2013</w:t>
            </w: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November 3, 2012</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480" w:type="dxa"/>
            <w:vAlign w:val="bottom"/>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$333,924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$339,881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Days sales outstanding</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$298,967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$313,723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Days cost of sales in inventory</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bl>
    <w:p>
      <w:pPr>
        <w:spacing w:after="0" w:line="175" w:lineRule="exact"/>
        <w:rPr>
          <w:sz w:val="20"/>
          <w:szCs w:val="20"/>
          <w:color w:val="auto"/>
        </w:rPr>
      </w:pPr>
    </w:p>
    <w:p>
      <w:pPr>
        <w:ind w:right="140" w:firstLine="432"/>
        <w:spacing w:after="0" w:line="286" w:lineRule="auto"/>
        <w:rPr>
          <w:sz w:val="20"/>
          <w:szCs w:val="20"/>
          <w:color w:val="auto"/>
        </w:rPr>
      </w:pPr>
      <w:r>
        <w:rPr>
          <w:rFonts w:ascii="Arial" w:cs="Arial" w:eastAsia="Arial" w:hAnsi="Arial"/>
          <w:sz w:val="17"/>
          <w:szCs w:val="17"/>
          <w:color w:val="auto"/>
        </w:rPr>
        <w:t>The decrease in accounts receivable was primarily the result of lower revenue in the final month of the second quarter of fiscal 2013 compared to the final month of the fourth quarter of fiscal 2012. Days sales outstanding increased as a result of higher product shipments made to our distributors in the final month of the second quarter of fiscal 2013 as compared to the final month of the fourth quarter of fiscal 2012.</w:t>
      </w:r>
    </w:p>
    <w:p>
      <w:pPr>
        <w:spacing w:after="0" w:line="111"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Inventory decreased as a result of our continued efforts to balance manufacturing production, demand and inventory levels. Days cost of sales in inventory increased from 114 days at the end of the fourth fiscal quarter of 2012 to 115 days at the end of the second quarter of fiscal 2013 as a result of the decline in cost of sales by 6% while inventory decreased by only 5% for the same period.</w:t>
      </w:r>
    </w:p>
    <w:p>
      <w:pPr>
        <w:spacing w:after="0" w:line="127" w:lineRule="exact"/>
        <w:rPr>
          <w:sz w:val="20"/>
          <w:szCs w:val="20"/>
          <w:color w:val="auto"/>
        </w:rPr>
      </w:pPr>
    </w:p>
    <w:p>
      <w:pPr>
        <w:ind w:right="120" w:firstLine="432"/>
        <w:spacing w:after="0" w:line="302" w:lineRule="auto"/>
        <w:rPr>
          <w:sz w:val="20"/>
          <w:szCs w:val="20"/>
          <w:color w:val="auto"/>
        </w:rPr>
      </w:pPr>
      <w:r>
        <w:rPr>
          <w:rFonts w:ascii="Arial" w:cs="Arial" w:eastAsia="Arial" w:hAnsi="Arial"/>
          <w:sz w:val="16"/>
          <w:szCs w:val="16"/>
          <w:color w:val="auto"/>
        </w:rPr>
        <w:t>Current liabilities decreased to $509.2 million at May 4, 2013, a decrease of $15.9 million, or 3%, from $525.1 million at the end of fiscal 2012. This decrease was primarily due to a decrease in accrued liabilities as a result of lower variable compensation expense accruals and a decrease in the current portion of long term debt that related to the $145 million term loan facility, which we repaid in the first quarter of fiscal 2013. These decreases were partially offset by an increase in income taxes payable and an increase in deferred income on shipments to distributors, net, which is more fully described below.</w:t>
      </w:r>
    </w:p>
    <w:p>
      <w:pPr>
        <w:spacing w:after="0" w:line="100"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of May 4, 2013 and November 3, 2012, we had gross deferred revenue of $304.6 million and $299.0 million, respectively, and gross deferred cost of sales of $60.4 million and $60.5 million, respectively. Deferred income on shipments to distributors increased in the first six months of fiscal 2013 as a result of a mix shift in favor of higher margin products in the channel. Sales to distributors are made under agreements that allow distributors to receive price-adjustment credits and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958" w:right="239" w:bottom="1440" w:gutter="0" w:footer="0" w:header="0"/>
        </w:sectPr>
      </w:pPr>
    </w:p>
    <w:bookmarkStart w:id="33" w:name="page34"/>
    <w:bookmarkEnd w:id="33"/>
    <w:p>
      <w:pPr>
        <w:ind w:right="20"/>
        <w:spacing w:after="0" w:line="293" w:lineRule="auto"/>
        <w:rPr>
          <w:sz w:val="20"/>
          <w:szCs w:val="20"/>
          <w:color w:val="auto"/>
        </w:rPr>
      </w:pPr>
      <w:r>
        <w:rPr>
          <w:rFonts w:ascii="Arial" w:cs="Arial" w:eastAsia="Arial" w:hAnsi="Arial"/>
          <w:sz w:val="16"/>
          <w:szCs w:val="16"/>
          <w:color w:val="auto"/>
        </w:rPr>
        <w:t>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 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May 4, 2013, we had $750.0 million in principal outstanding on our long term debt. Our debt obligations consist of the following: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5.0% senior unsecured notes</w:t>
      </w:r>
    </w:p>
    <w:p>
      <w:pPr>
        <w:spacing w:after="0" w:line="90"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On June 30, 2009, we issued $375.0 million aggregate principal amount of 5.0% senior unsecured notes due July 1, 2014 (the 5.0% Notes) with semi-annual fixed interest payments due on January 1 and July 1 of each year, commencing January 1, 2010. We swapped the fixed interest portion of these notes for a variable interest rate based on the three-month LIBOR plus 2.05%. The variable interest payments based on the variable annual rate are payable quarterly. The LIBOR based rate is set quarterly three months prior to the date of the interest payment. In the second quarter of fiscal 2012, we terminated the interest rate swap agreement. We received $19.8 million in cash proceeds from the swap termination, which included $1.3 million in accrued interest. The proceeds, net of interest received, are disclosed in cash flows from financing activities in our condensed consolidated statements of cash flows. As a result of the termination, the carrying value of the 5.0% Notes was adjusted for the change in fair value of the interest component of the debt up to the date of the termination of the swap in an amount equal to the fair value of the swap, and will be amortized into earnings as a reduction of interest expense over the remaining life of the debt. This amortization is reflected in our condensed consolidated statements of cash flows within operating activities.</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$375.0 million aggregate principal amount of 3.0% senior unsecured notes</w:t>
      </w:r>
    </w:p>
    <w:p>
      <w:pPr>
        <w:spacing w:after="0" w:line="9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April 4, 2011, we issued $375.0 million aggregate principal amount of 3.0% senior unsecured notes due April 15, 2016 (the 3.0% Notes) with semi-annual fixed interest payments due on April 15 and October 15 of each year, commencing October 15, 2011.</w:t>
      </w:r>
    </w:p>
    <w:p>
      <w:pPr>
        <w:spacing w:after="0" w:line="116"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The indenture governing the 5.0% Notes and 3.0% Notes contains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4, 2013, we were compliant with these covenants. See Note 14, Debt</w:t>
      </w:r>
      <w:r>
        <w:rPr>
          <w:rFonts w:ascii="Arial" w:cs="Arial" w:eastAsia="Arial" w:hAnsi="Arial"/>
          <w:sz w:val="18"/>
          <w:szCs w:val="18"/>
          <w:i w:val="1"/>
          <w:iCs w:val="1"/>
          <w:color w:val="auto"/>
        </w:rPr>
        <w:t>,</w:t>
      </w:r>
      <w:r>
        <w:rPr>
          <w:rFonts w:ascii="Arial" w:cs="Arial" w:eastAsia="Arial" w:hAnsi="Arial"/>
          <w:sz w:val="18"/>
          <w:szCs w:val="18"/>
          <w:color w:val="auto"/>
        </w:rPr>
        <w:t xml:space="preserve"> of the Notes to our Condensed Consolidated Financial Statements contained in Item 1 of this Quarterly Report on Form 10-Q for further information on our outstanding debt.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Revolving Credit Facility</w:t>
      </w:r>
    </w:p>
    <w:p>
      <w:pPr>
        <w:spacing w:after="0" w:line="171"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During December 2012, we terminated our five-year, $165.0 million unsecured revolving credit facility with certain institutional lenders entered into in May 2008. On December 19, 2012, we entered into a five-year, $500.0 million senior unsecured revolving credit facility with certain institutional lenders.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May 4, 2013, we were compliant with these covenants.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$145.0 million term loan facility</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On December 22, 2010, Analog Devices Holdings B.V., our wholly owned subsidiary, entered into a credit agreement with Bank of America, N.A., London Branch as administrative agent. The credit agreement provided for a $145.0 million term loan facility, which was set to mature on December 22, 2013. During the first quarter of fiscal 2013, we repaid the remaining outstanding principal balance on the loan of $60.1 million and the credit agreement was terminated.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746" w:right="299" w:bottom="1440" w:gutter="0" w:footer="0" w:header="0"/>
        </w:sectPr>
      </w:pPr>
    </w:p>
    <w:bookmarkStart w:id="34" w:name="page35"/>
    <w:bookmarkEnd w:id="34"/>
    <w:p>
      <w:pPr>
        <w:ind w:firstLine="432"/>
        <w:spacing w:after="0" w:line="270" w:lineRule="auto"/>
        <w:rPr>
          <w:sz w:val="20"/>
          <w:szCs w:val="20"/>
          <w:color w:val="auto"/>
        </w:rPr>
      </w:pPr>
      <w:r>
        <w:rPr>
          <w:rFonts w:ascii="Arial" w:cs="Arial" w:eastAsia="Arial" w:hAnsi="Arial"/>
          <w:sz w:val="17"/>
          <w:szCs w:val="17"/>
          <w:color w:val="auto"/>
        </w:rPr>
        <w:t>Our common stock repurchase program has been in place since August 2004. In the aggregate, our Board of Directors has authorized us to repurchase $5.0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May 4, 2013, we had repurchased a total of approximately 129.2 million shares of our common stock for approximately $4,439.0 million under this program. As of May 4, 2013, an additional $561.0 million remains available for repurchase of shares under the current authorized program. The repurchased shares are held as authorized but unissued shares of common stock. We also from time to time repurchase shares in 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90" w:lineRule="exact"/>
        <w:rPr>
          <w:sz w:val="20"/>
          <w:szCs w:val="20"/>
          <w:color w:val="auto"/>
        </w:rPr>
      </w:pPr>
    </w:p>
    <w:p>
      <w:pPr>
        <w:jc w:val="both"/>
        <w:ind w:right="80" w:firstLine="432"/>
        <w:spacing w:after="0" w:line="312" w:lineRule="auto"/>
        <w:rPr>
          <w:sz w:val="20"/>
          <w:szCs w:val="20"/>
          <w:color w:val="auto"/>
        </w:rPr>
      </w:pPr>
      <w:r>
        <w:rPr>
          <w:rFonts w:ascii="Arial" w:cs="Arial" w:eastAsia="Arial" w:hAnsi="Arial"/>
          <w:sz w:val="16"/>
          <w:szCs w:val="16"/>
          <w:color w:val="auto"/>
        </w:rPr>
        <w:t>Net additions to property, plant and equipment were $44.4 million in the first six months of fiscal 2013 and were funded with a combination of cash on hand and cash generated from operations. We expect capital expenditures to be in the range of approximately $100 to $120 million in fiscal 2013 to be used primarily for our manufacturing and engineering capabilities, which will be funded with a combination of cash on hand and cash generated from operations.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jc w:val="both"/>
        <w:ind w:right="440" w:firstLine="432"/>
        <w:spacing w:after="0" w:line="302" w:lineRule="auto"/>
        <w:rPr>
          <w:sz w:val="20"/>
          <w:szCs w:val="20"/>
          <w:color w:val="auto"/>
        </w:rPr>
      </w:pPr>
      <w:r>
        <w:rPr>
          <w:rFonts w:ascii="Arial" w:cs="Arial" w:eastAsia="Arial" w:hAnsi="Arial"/>
          <w:sz w:val="16"/>
          <w:szCs w:val="16"/>
          <w:color w:val="auto"/>
        </w:rPr>
        <w:t>On May 20, 2013, our Board of Directors declared a cash dividend of $0.34 per outstanding share of common stock. The dividend will be paid on June 11, 2013 to all shareholders of record at the close of business on May 31, 2013 and is expected to total approximately $104.8 million. We currently expect quarterly dividends to continue at $0.34 per share, although they remain subject to determination and declaration by our Board of Directors. The payment of future dividends, if any, will be based on several factors, including our financial performance, outlook and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In the first quarter of fiscal 2013, we repaid the remaining outstanding principal balance of $60.1 million on our $145.0 million term loan. As a result of the repayment, the amounts previously reflected as “Debt obligations” in the contractual obligations table contained in the section entitled “Management’s Discussion and Analysis of Financial Condition and Results of Operations” of our Annual Report on Form 10-K for the fiscal year ended November 3, 2012 are lower by $60.1 million.</w:t>
      </w:r>
    </w:p>
    <w:p>
      <w:pPr>
        <w:spacing w:after="0" w:line="133"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There have not been any other material changes during the first six months of fiscal 2013 to the amounts presented in the table summarizing our contractual obligations included in our Annual Report on Form 10-K for the fiscal year ended November 3,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4"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New Accounting Pronouncements</w:t>
      </w:r>
      <w:r>
        <w:rPr>
          <w:rFonts w:ascii="Arial" w:cs="Arial" w:eastAsia="Arial" w:hAnsi="Arial"/>
          <w:sz w:val="17"/>
          <w:szCs w:val="17"/>
          <w:i w:val="1"/>
          <w:iCs w:val="1"/>
          <w:color w:val="auto"/>
        </w:rPr>
        <w:t>,</w:t>
      </w:r>
      <w:r>
        <w:rPr>
          <w:rFonts w:ascii="Arial" w:cs="Arial" w:eastAsia="Arial" w:hAnsi="Arial"/>
          <w:sz w:val="17"/>
          <w:szCs w:val="17"/>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There were no material changes in the first six months of fiscal 2013 to the information provided under the heading “Critical Accounting Policies and Estimates” included in our Annual Report on Form 10-K for the fiscal year ended November 3, 2012.</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There were no material changes in the first six months of fiscal 2013 to the information provided under Item 7A. “Quantitative and Qualitative Disclosures about Market Risk” set forth in our Annual Report on Form 10-K for the fiscal year ended November 3, 2012.</w:t>
      </w:r>
    </w:p>
    <w:p>
      <w:pPr>
        <w:spacing w:after="0" w:line="32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665" w:right="259" w:bottom="1440" w:gutter="0" w:footer="0" w:header="0"/>
        </w:sectPr>
      </w:pPr>
    </w:p>
    <w:bookmarkStart w:id="35" w:name="page36"/>
    <w:bookmarkEnd w:id="35"/>
    <w:p>
      <w:pPr>
        <w:ind w:firstLine="8"/>
        <w:spacing w:after="0" w:line="269" w:lineRule="auto"/>
        <w:tabs>
          <w:tab w:leader="none" w:pos="24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May 4, 2013.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4, 2013, our Chief Executive Officer and Chief Financial Officer concluded that, as of such date, our disclosure controls and procedures were effective at the reasonable assurance level.</w:t>
      </w:r>
    </w:p>
    <w:p>
      <w:pPr>
        <w:spacing w:after="0" w:line="125"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May 4, 2013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discussed in "Part I, Item 1A Risk Factors” of our Annual Report on Form 10-K for the fiscal year ended November 3,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ind w:right="80" w:firstLine="432"/>
        <w:spacing w:after="0" w:line="290" w:lineRule="auto"/>
        <w:rPr>
          <w:sz w:val="20"/>
          <w:szCs w:val="20"/>
          <w:color w:val="auto"/>
        </w:rPr>
      </w:pPr>
      <w:r>
        <w:rPr>
          <w:rFonts w:ascii="Arial" w:cs="Arial" w:eastAsia="Arial" w:hAnsi="Arial"/>
          <w:sz w:val="16"/>
          <w:szCs w:val="16"/>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Uncertainty regarding the future stability of the Euro Zone could cause the value of the Euro to deteriorate, thus reducing the purchasing power of our European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86"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adverse economic conditions in the markets in which we sell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customer demand for our products and for end products that incorporate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effectively manage our cost structure in both the short term and over a longer duration;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new product announcements or introductions by us, our customers or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15" w:lineRule="exact"/>
        <w:rPr>
          <w:rFonts w:ascii="Arial" w:cs="Arial" w:eastAsia="Arial" w:hAnsi="Arial"/>
          <w:sz w:val="17"/>
          <w:szCs w:val="17"/>
          <w:color w:val="auto"/>
        </w:rPr>
      </w:pPr>
    </w:p>
    <w:p>
      <w:pPr>
        <w:ind w:left="660" w:right="360" w:hanging="328"/>
        <w:spacing w:after="0" w:line="3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significant decline in our backlog;</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65" w:right="239" w:bottom="1440" w:gutter="0" w:footer="0" w:header="0"/>
        </w:sectPr>
      </w:pPr>
    </w:p>
    <w:bookmarkStart w:id="36" w:name="page37"/>
    <w:bookmarkEnd w:id="36"/>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delay or cancellation of significant customer orders and our ability to manage inventory;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15"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geographic, product or customer mix;</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utilize our manufacturing facilities at efficient levels;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significant litigation-related costs;</w:t>
      </w:r>
    </w:p>
    <w:p>
      <w:pPr>
        <w:spacing w:after="0" w:line="103" w:lineRule="exact"/>
        <w:rPr>
          <w:rFonts w:ascii="Arial" w:cs="Arial" w:eastAsia="Arial" w:hAnsi="Arial"/>
          <w:sz w:val="18"/>
          <w:szCs w:val="18"/>
          <w:color w:val="auto"/>
        </w:rPr>
      </w:pPr>
    </w:p>
    <w:p>
      <w:pPr>
        <w:ind w:left="660" w:right="160" w:hanging="328"/>
        <w:spacing w:after="0" w:line="3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related to compliance with increasing worldwide environmental and social responsibility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effective tax rates in the United States, Ireland or worldwide; and</w:t>
      </w:r>
    </w:p>
    <w:p>
      <w:pPr>
        <w:spacing w:after="0" w:line="103" w:lineRule="exact"/>
        <w:rPr>
          <w:rFonts w:ascii="Arial" w:cs="Arial" w:eastAsia="Arial" w:hAnsi="Arial"/>
          <w:sz w:val="18"/>
          <w:szCs w:val="18"/>
          <w:color w:val="auto"/>
        </w:rPr>
      </w:pPr>
    </w:p>
    <w:p>
      <w:pPr>
        <w:ind w:left="660" w:right="20" w:hanging="328"/>
        <w:spacing w:after="0" w:line="38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effects of public health emergencies, natural disasters, widespread travel disruptions, security risks, terrorist activities, international conflicts and other events beyond our control.</w:t>
      </w:r>
    </w:p>
    <w:p>
      <w:pPr>
        <w:spacing w:after="0" w:line="116"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In addition, the semiconductor market has historically been cyclical and subject to significant economic upturns and downturns. Our business is subject to rapid technological changes and there can be no assurance (i) that products stocked in our inventory will not be rendered obsolete before we ship them, or</w:t>
      </w:r>
    </w:p>
    <w:p>
      <w:pPr>
        <w:jc w:val="both"/>
        <w:ind w:right="100" w:firstLine="8"/>
        <w:spacing w:after="0" w:line="254" w:lineRule="auto"/>
        <w:tabs>
          <w:tab w:leader="none" w:pos="26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that we will be able to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In addition, if our revenue, gross margins, operating results and net income do not meet the expectations of securities analysts or investors, the market price of our common stock may decline.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our effective tax rate may impact our results of operations.</w:t>
      </w:r>
    </w:p>
    <w:p>
      <w:pPr>
        <w:spacing w:after="0" w:line="90"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number of factors may increase our future effective tax rate, including: changes in tax laws or the interpretation of such tax laws; increases in tax rates in various jurisdictions; variation in the jurisdictions in which profits are earned and taxed;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rates could adversely impact our net income during future periods.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02"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3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Our future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638" w:right="299" w:bottom="1440" w:gutter="0" w:footer="0" w:header="0"/>
        </w:sectPr>
      </w:pPr>
    </w:p>
    <w:bookmarkStart w:id="37" w:name="page38"/>
    <w:bookmarkEnd w:id="37"/>
    <w:p>
      <w:pPr>
        <w:spacing w:after="0" w:line="290" w:lineRule="auto"/>
        <w:rPr>
          <w:sz w:val="20"/>
          <w:szCs w:val="20"/>
          <w:color w:val="auto"/>
        </w:rPr>
      </w:pPr>
      <w:r>
        <w:rPr>
          <w:rFonts w:ascii="Arial" w:cs="Arial" w:eastAsia="Arial" w:hAnsi="Arial"/>
          <w:sz w:val="16"/>
          <w:szCs w:val="16"/>
          <w:color w:val="auto"/>
        </w:rPr>
        <w:t>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90"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19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We rely on third-party suppliers, subcontractors and manufacturers for some industry-standard wafers, manufacturing processes and assembly and test services, and generally cannot control their availability or conditions of supply.</w:t>
      </w:r>
    </w:p>
    <w:p>
      <w:pPr>
        <w:spacing w:after="0" w:line="35"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We rely, and plan to continue to rely, on suppliers, assembly and test subcontractors,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 significant percentage of our wafer requirements annually from third-party wafer fabrication foundries, primarily Taiwan Semiconductor Manufacturing Company, or TSMC</w:t>
      </w:r>
      <w:r>
        <w:rPr>
          <w:rFonts w:ascii="Arial" w:cs="Arial" w:eastAsia="Arial" w:hAnsi="Arial"/>
          <w:sz w:val="17"/>
          <w:szCs w:val="17"/>
          <w:i w:val="1"/>
          <w:iCs w:val="1"/>
          <w:color w:val="auto"/>
        </w:rPr>
        <w:t>.</w:t>
      </w:r>
      <w:r>
        <w:rPr>
          <w:rFonts w:ascii="Arial" w:cs="Arial" w:eastAsia="Arial" w:hAnsi="Arial"/>
          <w:sz w:val="17"/>
          <w:szCs w:val="17"/>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replacement suppliers or manufacturing processes are not available, we may also experience delays in product development or shipment which could, in turn, result in the temporary or permanent loss of customers.</w:t>
      </w:r>
    </w:p>
    <w:p>
      <w:pPr>
        <w:spacing w:after="0" w:line="20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35" w:lineRule="exact"/>
        <w:rPr>
          <w:sz w:val="20"/>
          <w:szCs w:val="20"/>
          <w:color w:val="auto"/>
        </w:rPr>
      </w:pPr>
    </w:p>
    <w:p>
      <w:pPr>
        <w:ind w:right="180" w:firstLine="432"/>
        <w:spacing w:after="0" w:line="289" w:lineRule="auto"/>
        <w:rPr>
          <w:sz w:val="20"/>
          <w:szCs w:val="20"/>
          <w:color w:val="auto"/>
        </w:rPr>
      </w:pPr>
      <w:r>
        <w:rPr>
          <w:rFonts w:ascii="Arial" w:cs="Arial" w:eastAsia="Arial" w:hAnsi="Arial"/>
          <w:sz w:val="16"/>
          <w:szCs w:val="16"/>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1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65" w:right="239" w:bottom="1440" w:gutter="0" w:footer="0" w:header="0"/>
        </w:sectPr>
      </w:pPr>
    </w:p>
    <w:bookmarkStart w:id="38" w:name="page39"/>
    <w:bookmarkEnd w:id="38"/>
    <w:p>
      <w:pPr>
        <w:ind w:right="80" w:firstLine="432"/>
        <w:spacing w:after="0" w:line="288" w:lineRule="auto"/>
        <w:rPr>
          <w:sz w:val="20"/>
          <w:szCs w:val="20"/>
          <w:color w:val="auto"/>
        </w:rPr>
      </w:pPr>
      <w:r>
        <w:rPr>
          <w:rFonts w:ascii="Arial" w:cs="Arial" w:eastAsia="Arial" w:hAnsi="Arial"/>
          <w:sz w:val="16"/>
          <w:szCs w:val="16"/>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2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35" w:lineRule="exact"/>
        <w:rPr>
          <w:sz w:val="20"/>
          <w:szCs w:val="20"/>
          <w:color w:val="auto"/>
        </w:rPr>
      </w:pPr>
    </w:p>
    <w:p>
      <w:pPr>
        <w:ind w:right="20" w:firstLine="432"/>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indemnity,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could have a material adverse effect on our financial position or on our operating results or cash flows in the period in which the litigation is resolved.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intellectual property rights, which may limit our ability to compete effectively.</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34"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139" w:lineRule="exact"/>
        <w:rPr>
          <w:sz w:val="20"/>
          <w:szCs w:val="20"/>
          <w:color w:val="auto"/>
        </w:rPr>
      </w:pPr>
    </w:p>
    <w:p>
      <w:pPr>
        <w:ind w:right="400" w:firstLine="432"/>
        <w:spacing w:after="0" w:line="264"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65" w:right="259" w:bottom="1440" w:gutter="0" w:footer="0" w:header="0"/>
        </w:sectPr>
      </w:pPr>
    </w:p>
    <w:bookmarkStart w:id="39" w:name="page40"/>
    <w:bookmarkEnd w:id="39"/>
    <w:p>
      <w:pPr>
        <w:ind w:right="440"/>
        <w:spacing w:after="0" w:line="277" w:lineRule="auto"/>
        <w:rPr>
          <w:sz w:val="20"/>
          <w:szCs w:val="20"/>
          <w:color w:val="auto"/>
        </w:rPr>
      </w:pPr>
      <w:r>
        <w:rPr>
          <w:rFonts w:ascii="Arial" w:cs="Arial" w:eastAsia="Arial" w:hAnsi="Arial"/>
          <w:sz w:val="18"/>
          <w:szCs w:val="18"/>
          <w:color w:val="auto"/>
        </w:rPr>
        <w:t>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 significant disruption in, or breach in security of, our information technology systems could materially and adversely affect our business or reputation.</w:t>
      </w:r>
    </w:p>
    <w:p>
      <w:pPr>
        <w:spacing w:after="0" w:line="237" w:lineRule="exact"/>
        <w:rPr>
          <w:sz w:val="20"/>
          <w:szCs w:val="20"/>
          <w:color w:val="auto"/>
        </w:rPr>
      </w:pPr>
    </w:p>
    <w:p>
      <w:pPr>
        <w:ind w:firstLine="297"/>
        <w:spacing w:after="0" w:line="270" w:lineRule="auto"/>
        <w:rPr>
          <w:sz w:val="20"/>
          <w:szCs w:val="20"/>
          <w:color w:val="auto"/>
        </w:rPr>
      </w:pPr>
      <w:r>
        <w:rPr>
          <w:rFonts w:ascii="Arial" w:cs="Arial" w:eastAsia="Arial" w:hAnsi="Arial"/>
          <w:sz w:val="17"/>
          <w:szCs w:val="17"/>
          <w:color w:val="auto"/>
        </w:rPr>
        <w:t>We rely on information technology systems throughout our company to keep financial records, process orders, manage inventory, coordinate shipments to customers, and operate other critical functions. Our information technology systems may be susceptible to damage, disruptions or shutdowns due to power outages, hardware failures, telecommunication failures, user errors, catastrophes or other unforeseen events. We may also be subject to security breaches caused by computer viruses, illegal break-ins or hacking, sabotage, or acts of vandalism by third parties. Our security measures or those of our third party service providers may not detect or prevent security breaches. If we were to experience a prolonged disruption in the information technology systems that involve our interactions with customers or suppliers, it could result in the loss of sales and customers and significant incremental costs, which could adversely affect our business. In addition, security breaches of our information technology systems could result in the misappropriation or unauthorized disclosure of confidential information belonging to us or to our employees, partners, customers or suppliers, which could result in our suffering significant financial or reputational damage.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adversely affected.</w:t>
      </w:r>
    </w:p>
    <w:p>
      <w:pPr>
        <w:spacing w:after="0" w:line="90"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purchase or license technology from third parties, or enter into other strategic transactions in order to introduce new products or enhance our existing products.</w:t>
      </w:r>
    </w:p>
    <w:p>
      <w:pPr>
        <w:spacing w:after="0" w:line="35"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find financing on favorable terms, and the sale of our stock may result in the dilution of our existing shareholders or the issuance of securities with rights that are superior to the rights of our common shareholders.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integrating acquired technologies, operations and personnel with our existing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strain on managerial and operational resources as management tries to oversee larger operations;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future funding requirements for acquired companies, which may be significant;</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exposure to unforeseen liabilities of acquired companies;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risk of costly and time-consuming litigation.</w:t>
      </w:r>
    </w:p>
    <w:p>
      <w:pPr>
        <w:spacing w:after="0" w:line="21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We rely on supplies, services and manufacturing capacity located in geologically unstable areas, which could affect our ability to produce products.</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746" w:right="259" w:bottom="1440" w:gutter="0" w:footer="0" w:header="0"/>
        </w:sectPr>
      </w:pPr>
    </w:p>
    <w:bookmarkStart w:id="40" w:name="page41"/>
    <w:bookmarkEnd w:id="40"/>
    <w:p>
      <w:pPr>
        <w:ind w:right="40" w:firstLine="432"/>
        <w:spacing w:after="0" w:line="271" w:lineRule="auto"/>
        <w:rPr>
          <w:sz w:val="20"/>
          <w:szCs w:val="20"/>
          <w:color w:val="auto"/>
        </w:rPr>
      </w:pPr>
      <w:r>
        <w:rPr>
          <w:rFonts w:ascii="Arial" w:cs="Arial" w:eastAsia="Arial" w:hAnsi="Arial"/>
          <w:sz w:val="17"/>
          <w:szCs w:val="17"/>
          <w:color w:val="auto"/>
        </w:rPr>
        <w:t>We, like many companies in the semiconductor industry, rely on supplies, services,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For example, in fiscal 2011, our revenue in Japan declined as a result of the severe earthquake and tsunami in that country. In addition, flooding in Thailand and the Philippines in 2012 had disruptive effects on local semiconductor-related businesses.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9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We have significant operations and manufacturing facilities outside the United States, including in Ireland and the Philippines. Approximately 69% of our revenue is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May 4, 2013, our principal source of liquidity was $4,172.1 million of cash and cash equivalents and short-term investments, of which approximately $1,180.6 million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26"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In addition to being exposed to the ongoing economic cycles in the semiconductor industry, we are also subject to the economic, political and legal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competition practices, intellectual property, anti-corruption and environmental compliance, trade and travel restrictions, pandemics, import and export license requirements and restrictions, difficulties in staffing and managing worldwide operations, and accounts receivable collections. We also incur significant costs associated with our foreign defined benefit pension plans. There can be no assurance that the value of the plan assets will be sufficient in the future and it is possible that we may be required to make higher cash contributions to the plans in future years, which would reduce the cash available for other business purposes.</w:t>
      </w:r>
    </w:p>
    <w:p>
      <w:pPr>
        <w:spacing w:after="0" w:line="115" w:lineRule="exact"/>
        <w:rPr>
          <w:sz w:val="20"/>
          <w:szCs w:val="20"/>
          <w:color w:val="auto"/>
        </w:rPr>
      </w:pPr>
    </w:p>
    <w:p>
      <w:pPr>
        <w:ind w:right="200" w:firstLine="432"/>
        <w:spacing w:after="0" w:line="273" w:lineRule="auto"/>
        <w:rPr>
          <w:sz w:val="20"/>
          <w:szCs w:val="20"/>
          <w:color w:val="auto"/>
        </w:rPr>
      </w:pPr>
      <w:r>
        <w:rPr>
          <w:rFonts w:ascii="Arial" w:cs="Arial" w:eastAsia="Arial" w:hAnsi="Arial"/>
          <w:sz w:val="17"/>
          <w:szCs w:val="17"/>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results are dependent on the performance of independent distributors.</w:t>
      </w:r>
    </w:p>
    <w:p>
      <w:pPr>
        <w:spacing w:after="0" w:line="90"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disrupt our current business, and if we are unable to find suitable replacements,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We are subject to increasingly strict environmental, health and safety (EHS) regulations, which could increase our expenses and affect our operating results.</w:t>
      </w:r>
    </w:p>
    <w:p>
      <w:pPr>
        <w:spacing w:after="0" w:line="194"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industry is subject to increasingly strict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25" w:lineRule="exact"/>
        <w:rPr>
          <w:sz w:val="20"/>
          <w:szCs w:val="20"/>
          <w:color w:val="auto"/>
        </w:rPr>
      </w:pPr>
    </w:p>
    <w:p>
      <w:pPr>
        <w:ind w:right="180" w:firstLine="432"/>
        <w:spacing w:after="0" w:line="254" w:lineRule="auto"/>
        <w:rPr>
          <w:sz w:val="20"/>
          <w:szCs w:val="20"/>
          <w:color w:val="auto"/>
        </w:rPr>
      </w:pPr>
      <w:r>
        <w:rPr>
          <w:rFonts w:ascii="Arial" w:cs="Arial" w:eastAsia="Arial" w:hAnsi="Arial"/>
          <w:sz w:val="18"/>
          <w:szCs w:val="18"/>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22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If we are unable to generate sufficient cash flow, we may not be able to service our debt obligations, including making payments on our two issuances of $375.0 million senior unsecured notes.</w:t>
      </w:r>
    </w:p>
    <w:p>
      <w:pPr>
        <w:spacing w:after="0" w:line="3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In fiscal 2009, we issued in a public offering $375.0 million aggregate principal amount of 5.0% senior unsecured notes due July 1, 2014. In April 2011, we issued in a public offering $375.0 million aggregate principal amount of 3.0% senior unsecured notes due April 15, 2016. Our ability to make payments of principal and interest on our indebtedness when due depends upon our future performance, which will be subject to general economic conditions, industry cycles and financial, business and other factors affecting our consolidated operations, many of which are beyond our control. If we are unable to generate sufficient cash flow from operations in the future to service our outstanding debt, we may be required to, among other things:</w:t>
      </w:r>
    </w:p>
    <w:p>
      <w:pPr>
        <w:spacing w:after="0" w:line="10" w:lineRule="exact"/>
        <w:rPr>
          <w:sz w:val="20"/>
          <w:szCs w:val="20"/>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 additional financing in the debt or equity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refinance or restructure all or a portion of our indebtedness, including the notes;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borrow under our existing revolving credit facility;</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divert funds that would otherwise be invested in our operations;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sell selected assets; or</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or delay planned capital expenditures or operating expenditures.</w:t>
      </w:r>
    </w:p>
    <w:p>
      <w:pPr>
        <w:spacing w:after="0" w:line="212"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in our revolving credit facility and outstanding debt instruments may limit our activities.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Our current revolving credit facility and our 5.0% and 3.0%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65" w:right="239" w:bottom="1440" w:gutter="0" w:footer="0" w:header="0"/>
        </w:sectPr>
      </w:pPr>
    </w:p>
    <w:bookmarkStart w:id="42" w:name="page43"/>
    <w:bookmarkEnd w:id="42"/>
    <w:p>
      <w:pPr>
        <w:spacing w:after="0" w:line="259" w:lineRule="auto"/>
        <w:rPr>
          <w:sz w:val="20"/>
          <w:szCs w:val="20"/>
          <w:color w:val="auto"/>
        </w:rPr>
      </w:pPr>
      <w:r>
        <w:rPr>
          <w:rFonts w:ascii="Arial" w:cs="Arial" w:eastAsia="Arial" w:hAnsi="Arial"/>
          <w:sz w:val="18"/>
          <w:szCs w:val="18"/>
          <w:color w:val="auto"/>
        </w:rPr>
        <w:t>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 governing our outstanding notes and do not obtain appropriate waivers, then, subject to applicable cure periods, our outstanding indebtedness thereunder could be declared immediately due and payable.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90" w:lineRule="exact"/>
        <w:rPr>
          <w:sz w:val="20"/>
          <w:szCs w:val="20"/>
          <w:color w:val="auto"/>
        </w:rPr>
      </w:pPr>
    </w:p>
    <w:p>
      <w:pPr>
        <w:ind w:right="680" w:firstLine="432"/>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8"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crises in global credit, debt and financial markets;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actual or anticipated fluctuations in our revenue and operating results;</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those estimates or our published guidance;</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market valuations of other semiconductor companies;</w:t>
      </w:r>
    </w:p>
    <w:p>
      <w:pPr>
        <w:spacing w:after="0" w:line="103" w:lineRule="exact"/>
        <w:rPr>
          <w:rFonts w:ascii="Arial" w:cs="Arial" w:eastAsia="Arial" w:hAnsi="Arial"/>
          <w:sz w:val="18"/>
          <w:szCs w:val="18"/>
          <w:color w:val="auto"/>
        </w:rPr>
      </w:pPr>
    </w:p>
    <w:p>
      <w:pPr>
        <w:ind w:left="660" w:right="460" w:hanging="247"/>
        <w:spacing w:after="0" w:line="36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products, technical innovations, material transactions, acquisitions or dispositions, litigation or capital commitments;</w:t>
      </w: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departures of key personnel;</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alleged noncompliance with laws, regulations or ethics standards by us or any of our employees, officers or directors; and</w:t>
      </w:r>
    </w:p>
    <w:p>
      <w:pPr>
        <w:spacing w:after="0" w:line="103" w:lineRule="exact"/>
        <w:rPr>
          <w:rFonts w:ascii="Arial" w:cs="Arial" w:eastAsia="Arial" w:hAnsi="Arial"/>
          <w:sz w:val="18"/>
          <w:szCs w:val="18"/>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media publicity targeting us or our suppliers, customers or competitors.</w:t>
      </w:r>
    </w:p>
    <w:p>
      <w:pPr>
        <w:spacing w:after="0" w:line="21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665" w:right="29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2.</w:t>
            </w:r>
          </w:p>
        </w:tc>
        <w:tc>
          <w:tcPr>
            <w:tcW w:w="4640" w:type="dxa"/>
            <w:vAlign w:val="bottom"/>
            <w:gridSpan w:val="4"/>
          </w:tcPr>
          <w:p>
            <w:pPr>
              <w:ind w:left="60"/>
              <w:spacing w:after="0"/>
              <w:rPr>
                <w:sz w:val="20"/>
                <w:szCs w:val="20"/>
                <w:color w:val="auto"/>
              </w:rPr>
            </w:pPr>
            <w:r>
              <w:rPr>
                <w:rFonts w:ascii="Arial" w:cs="Arial" w:eastAsia="Arial" w:hAnsi="Arial"/>
                <w:sz w:val="18"/>
                <w:szCs w:val="18"/>
                <w:b w:val="1"/>
                <w:bCs w:val="1"/>
                <w:color w:val="auto"/>
                <w:w w:val="87"/>
              </w:rPr>
              <w:t>Unregistered Sales of Equity Securities and Use of Proceeds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Value of Shares that</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8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Period</w:t>
            </w:r>
          </w:p>
        </w:tc>
        <w:tc>
          <w:tcPr>
            <w:tcW w:w="1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92"/>
        </w:trPr>
        <w:tc>
          <w:tcPr>
            <w:tcW w:w="124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9"/>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15"/>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February 3, 2013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46.78</w:t>
            </w:r>
          </w:p>
        </w:tc>
        <w:tc>
          <w:tcPr>
            <w:tcW w:w="1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1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March 2, 2013</w:t>
            </w:r>
          </w:p>
        </w:tc>
        <w:tc>
          <w:tcPr>
            <w:tcW w:w="266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CCEEFF"/>
            </w:tcBorders>
            <w:vMerge w:val="continue"/>
            <w:shd w:val="clear" w:color="auto" w:fill="CCEEFF"/>
          </w:tcPr>
          <w:p>
            <w:pPr>
              <w:spacing w:after="0"/>
              <w:rPr>
                <w:sz w:val="10"/>
                <w:szCs w:val="10"/>
                <w:color w:val="auto"/>
              </w:rPr>
            </w:pPr>
          </w:p>
        </w:tc>
        <w:tc>
          <w:tcPr>
            <w:tcW w:w="266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March 3, 2013 through</w:t>
            </w:r>
          </w:p>
        </w:tc>
        <w:tc>
          <w:tcPr>
            <w:tcW w:w="1840" w:type="dxa"/>
            <w:vAlign w:val="bottom"/>
            <w:vMerge w:val="restart"/>
          </w:tcPr>
          <w:p>
            <w:pPr>
              <w:jc w:val="right"/>
              <w:ind w:right="38"/>
              <w:spacing w:after="0"/>
              <w:rPr>
                <w:sz w:val="20"/>
                <w:szCs w:val="20"/>
                <w:color w:val="auto"/>
              </w:rPr>
            </w:pPr>
            <w:r>
              <w:rPr>
                <w:rFonts w:ascii="Arial" w:cs="Arial" w:eastAsia="Arial" w:hAnsi="Arial"/>
                <w:sz w:val="18"/>
                <w:szCs w:val="18"/>
                <w:color w:val="auto"/>
              </w:rPr>
              <w:t>1,148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tcPr>
          <w:p>
            <w:pPr>
              <w:jc w:val="right"/>
              <w:ind w:right="36"/>
              <w:spacing w:after="0"/>
              <w:rPr>
                <w:sz w:val="20"/>
                <w:szCs w:val="20"/>
                <w:color w:val="auto"/>
              </w:rPr>
            </w:pPr>
            <w:r>
              <w:rPr>
                <w:rFonts w:ascii="Arial" w:cs="Arial" w:eastAsia="Arial" w:hAnsi="Arial"/>
                <w:sz w:val="18"/>
                <w:szCs w:val="18"/>
                <w:color w:val="auto"/>
              </w:rPr>
              <w:t>44.89</w:t>
            </w:r>
          </w:p>
        </w:tc>
        <w:tc>
          <w:tcPr>
            <w:tcW w:w="100" w:type="dxa"/>
            <w:vAlign w:val="bottom"/>
          </w:tcPr>
          <w:p>
            <w:pPr>
              <w:spacing w:after="0"/>
              <w:rPr>
                <w:sz w:val="19"/>
                <w:szCs w:val="19"/>
                <w:color w:val="auto"/>
              </w:rPr>
            </w:pPr>
          </w:p>
        </w:tc>
        <w:tc>
          <w:tcPr>
            <w:tcW w:w="1800" w:type="dxa"/>
            <w:vAlign w:val="bottom"/>
            <w:vMerge w:val="restart"/>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1240" w:type="dxa"/>
            <w:vAlign w:val="bottom"/>
            <w:vMerge w:val="restart"/>
          </w:tcPr>
          <w:p>
            <w:pPr>
              <w:ind w:left="40"/>
              <w:spacing w:after="0"/>
              <w:rPr>
                <w:sz w:val="20"/>
                <w:szCs w:val="20"/>
                <w:color w:val="auto"/>
              </w:rPr>
            </w:pPr>
            <w:r>
              <w:rPr>
                <w:rFonts w:ascii="Arial" w:cs="Arial" w:eastAsia="Arial" w:hAnsi="Arial"/>
                <w:sz w:val="18"/>
                <w:szCs w:val="18"/>
                <w:color w:val="auto"/>
                <w:w w:val="94"/>
              </w:rPr>
              <w:t>March 30, 2013</w:t>
            </w:r>
          </w:p>
        </w:tc>
        <w:tc>
          <w:tcPr>
            <w:tcW w:w="26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March 31, 2013 through</w:t>
            </w:r>
          </w:p>
        </w:tc>
        <w:tc>
          <w:tcPr>
            <w:tcW w:w="184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95,179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45.40</w:t>
            </w:r>
          </w:p>
        </w:tc>
        <w:tc>
          <w:tcPr>
            <w:tcW w:w="100" w:type="dxa"/>
            <w:vAlign w:val="bottom"/>
            <w:shd w:val="clear" w:color="auto" w:fill="CCEEFF"/>
          </w:tcPr>
          <w:p>
            <w:pPr>
              <w:spacing w:after="0"/>
              <w:rPr>
                <w:sz w:val="19"/>
                <w:szCs w:val="19"/>
                <w:color w:val="auto"/>
              </w:rPr>
            </w:pPr>
          </w:p>
        </w:tc>
        <w:tc>
          <w:tcPr>
            <w:tcW w:w="1800" w:type="dxa"/>
            <w:vAlign w:val="bottom"/>
            <w:vMerge w:val="restart"/>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122"/>
        </w:trPr>
        <w:tc>
          <w:tcPr>
            <w:tcW w:w="12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May 4, 2013</w:t>
            </w:r>
          </w:p>
        </w:tc>
        <w:tc>
          <w:tcPr>
            <w:tcW w:w="266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CCEEFF"/>
            </w:tcBorders>
            <w:vMerge w:val="continue"/>
            <w:shd w:val="clear" w:color="auto" w:fill="CCEEFF"/>
          </w:tcPr>
          <w:p>
            <w:pPr>
              <w:spacing w:after="0"/>
              <w:rPr>
                <w:sz w:val="11"/>
                <w:szCs w:val="11"/>
                <w:color w:val="auto"/>
              </w:rPr>
            </w:pPr>
          </w:p>
        </w:tc>
        <w:tc>
          <w:tcPr>
            <w:tcW w:w="266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2660" w:type="dxa"/>
            <w:vAlign w:val="bottom"/>
          </w:tcPr>
          <w:p>
            <w:pPr>
              <w:ind w:left="52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99,457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0"/>
                <w:szCs w:val="20"/>
                <w:color w:val="auto"/>
              </w:rPr>
            </w:pPr>
          </w:p>
        </w:tc>
        <w:tc>
          <w:tcPr>
            <w:tcW w:w="1800" w:type="dxa"/>
            <w:vAlign w:val="bottom"/>
            <w:tcBorders>
              <w:top w:val="single" w:sz="8" w:color="auto"/>
            </w:tcBorders>
          </w:tcPr>
          <w:p>
            <w:pPr>
              <w:ind w:left="1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1"/>
              <w:spacing w:after="0"/>
              <w:rPr>
                <w:sz w:val="20"/>
                <w:szCs w:val="20"/>
                <w:color w:val="auto"/>
              </w:rPr>
            </w:pPr>
            <w:r>
              <w:rPr>
                <w:rFonts w:ascii="Arial" w:cs="Arial" w:eastAsia="Arial" w:hAnsi="Arial"/>
                <w:sz w:val="18"/>
                <w:szCs w:val="18"/>
                <w:color w:val="auto"/>
              </w:rPr>
              <w:t>560,974,387</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0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Consists of 99,457 shares withheld by us from employees to satisfy employee tax obligations upon vesting of restricted stock units granted to our employees under our equity compensation plans.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 w:lineRule="exact"/>
        <w:rPr>
          <w:rFonts w:ascii="Arial" w:cs="Arial" w:eastAsia="Arial" w:hAnsi="Arial"/>
          <w:sz w:val="18"/>
          <w:szCs w:val="18"/>
          <w:color w:val="auto"/>
        </w:rPr>
      </w:pPr>
    </w:p>
    <w:p>
      <w:pPr>
        <w:ind w:left="660" w:right="40" w:hanging="328"/>
        <w:spacing w:after="0" w:line="295"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repurchased pursuant to the stock repurchase program publicly announced on August 12, 2004. In the aggregate, our Board of Directors has authorized us to repurchase $5.0 billion of our common stock.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20"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2" w:right="239" w:bottom="1440" w:gutter="0" w:footer="0" w:header="0"/>
        </w:sectPr>
      </w:pPr>
    </w:p>
    <w:bookmarkStart w:id="44" w:name="page45"/>
    <w:bookmarkEnd w:id="44"/>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7940" w:type="dxa"/>
            <w:vAlign w:val="bottom"/>
            <w:gridSpan w:val="2"/>
          </w:tcPr>
          <w:p>
            <w:pPr>
              <w:ind w:left="1660"/>
              <w:spacing w:after="0"/>
              <w:rPr>
                <w:sz w:val="20"/>
                <w:szCs w:val="20"/>
                <w:color w:val="auto"/>
              </w:rPr>
            </w:pPr>
            <w:r>
              <w:rPr>
                <w:rFonts w:ascii="Arial" w:cs="Arial" w:eastAsia="Arial" w:hAnsi="Arial"/>
                <w:sz w:val="18"/>
                <w:szCs w:val="18"/>
                <w:color w:val="auto"/>
              </w:rPr>
              <w:t>ANALOG DEVICES, INC.</w:t>
            </w:r>
          </w:p>
        </w:tc>
      </w:tr>
      <w:tr>
        <w:trPr>
          <w:trHeight w:val="594"/>
        </w:trPr>
        <w:tc>
          <w:tcPr>
            <w:tcW w:w="3100" w:type="dxa"/>
            <w:vAlign w:val="bottom"/>
          </w:tcPr>
          <w:p>
            <w:pPr>
              <w:spacing w:after="0"/>
              <w:rPr>
                <w:sz w:val="20"/>
                <w:szCs w:val="20"/>
                <w:color w:val="auto"/>
              </w:rPr>
            </w:pPr>
            <w:r>
              <w:rPr>
                <w:rFonts w:ascii="Arial" w:cs="Arial" w:eastAsia="Arial" w:hAnsi="Arial"/>
                <w:sz w:val="18"/>
                <w:szCs w:val="18"/>
                <w:color w:val="auto"/>
              </w:rPr>
              <w:t>Date: May 21, 2013</w:t>
            </w:r>
          </w:p>
        </w:tc>
        <w:tc>
          <w:tcPr>
            <w:tcW w:w="2180" w:type="dxa"/>
            <w:vAlign w:val="bottom"/>
          </w:tcPr>
          <w:p>
            <w:pPr>
              <w:ind w:left="16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INCENT</w:t>
            </w:r>
            <w:r>
              <w:rPr>
                <w:rFonts w:ascii="Arial" w:cs="Arial" w:eastAsia="Arial" w:hAnsi="Arial"/>
                <w:sz w:val="18"/>
                <w:szCs w:val="18"/>
                <w:color w:val="auto"/>
              </w:rPr>
              <w:t xml:space="preserve"> T. R</w:t>
            </w:r>
            <w:r>
              <w:rPr>
                <w:rFonts w:ascii="Arial" w:cs="Arial" w:eastAsia="Arial" w:hAnsi="Arial"/>
                <w:sz w:val="14"/>
                <w:szCs w:val="14"/>
                <w:color w:val="auto"/>
              </w:rPr>
              <w:t>OCHE</w:t>
            </w:r>
          </w:p>
        </w:tc>
      </w:tr>
      <w:tr>
        <w:trPr>
          <w:trHeight w:val="27"/>
        </w:trPr>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Vincent T. Roche</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3100" w:type="dxa"/>
            <w:vAlign w:val="bottom"/>
          </w:tcPr>
          <w:p>
            <w:pPr>
              <w:spacing w:after="0"/>
              <w:rPr>
                <w:sz w:val="20"/>
                <w:szCs w:val="20"/>
                <w:color w:val="auto"/>
              </w:rPr>
            </w:pPr>
            <w:r>
              <w:rPr>
                <w:rFonts w:ascii="Arial" w:cs="Arial" w:eastAsia="Arial" w:hAnsi="Arial"/>
                <w:sz w:val="18"/>
                <w:szCs w:val="18"/>
                <w:color w:val="auto"/>
              </w:rPr>
              <w:t>Date: May 21, 2013</w:t>
            </w:r>
          </w:p>
        </w:tc>
        <w:tc>
          <w:tcPr>
            <w:tcW w:w="2180" w:type="dxa"/>
            <w:vAlign w:val="bottom"/>
          </w:tcPr>
          <w:p>
            <w:pPr>
              <w:ind w:left="1660"/>
              <w:spacing w:after="0"/>
              <w:rPr>
                <w:sz w:val="20"/>
                <w:szCs w:val="20"/>
                <w:color w:val="auto"/>
              </w:rPr>
            </w:pPr>
            <w:r>
              <w:rPr>
                <w:rFonts w:ascii="Arial" w:cs="Arial" w:eastAsia="Arial" w:hAnsi="Arial"/>
                <w:sz w:val="18"/>
                <w:szCs w:val="18"/>
                <w:color w:val="auto"/>
              </w:rPr>
              <w:t>By:</w:t>
            </w:r>
          </w:p>
        </w:tc>
        <w:tc>
          <w:tcPr>
            <w:tcW w:w="576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D</w:t>
            </w:r>
            <w:r>
              <w:rPr>
                <w:rFonts w:ascii="Arial" w:cs="Arial" w:eastAsia="Arial" w:hAnsi="Arial"/>
                <w:sz w:val="14"/>
                <w:szCs w:val="14"/>
                <w:color w:val="auto"/>
              </w:rPr>
              <w:t>AVID</w:t>
            </w:r>
            <w:r>
              <w:rPr>
                <w:rFonts w:ascii="Arial" w:cs="Arial" w:eastAsia="Arial" w:hAnsi="Arial"/>
                <w:sz w:val="18"/>
                <w:szCs w:val="18"/>
                <w:color w:val="auto"/>
              </w:rPr>
              <w:t xml:space="preserve"> A. Z</w:t>
            </w:r>
            <w:r>
              <w:rPr>
                <w:rFonts w:ascii="Arial" w:cs="Arial" w:eastAsia="Arial" w:hAnsi="Arial"/>
                <w:sz w:val="14"/>
                <w:szCs w:val="14"/>
                <w:color w:val="auto"/>
              </w:rPr>
              <w:t>INSNER</w:t>
            </w:r>
          </w:p>
        </w:tc>
      </w:tr>
      <w:tr>
        <w:trPr>
          <w:trHeight w:val="27"/>
        </w:trPr>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David A. Zinsner</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Vice President, Finance</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and Chief Financial Officer</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3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760" w:type="dxa"/>
            <w:vAlign w:val="bottom"/>
          </w:tcPr>
          <w:p>
            <w:pPr>
              <w:ind w:left="300"/>
              <w:spacing w:after="0"/>
              <w:rPr>
                <w:sz w:val="20"/>
                <w:szCs w:val="20"/>
                <w:color w:val="auto"/>
              </w:rPr>
            </w:pPr>
            <w:r>
              <w:rPr>
                <w:rFonts w:ascii="Arial" w:cs="Arial" w:eastAsia="Arial" w:hAnsi="Arial"/>
                <w:sz w:val="18"/>
                <w:szCs w:val="18"/>
                <w:color w:val="auto"/>
              </w:rPr>
              <w:t>43</w:t>
            </w:r>
          </w:p>
        </w:tc>
      </w:tr>
    </w:tbl>
    <w:p>
      <w:pPr>
        <w:sectPr>
          <w:pgSz w:w="11900" w:h="16838" w:orient="portrait"/>
          <w:cols w:equalWidth="0" w:num="1">
            <w:col w:w="11080"/>
          </w:cols>
          <w:pgMar w:left="240" w:top="580" w:right="579" w:bottom="1440" w:gutter="0" w:footer="0" w:header="0"/>
        </w:sectPr>
      </w:pPr>
    </w:p>
    <w:bookmarkStart w:id="45" w:name="page46"/>
    <w:bookmarkEnd w:id="45"/>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Exhibit No.</w:t>
            </w:r>
          </w:p>
        </w:tc>
        <w:tc>
          <w:tcPr>
            <w:tcW w:w="840" w:type="dxa"/>
            <w:vAlign w:val="bottom"/>
          </w:tcPr>
          <w:p>
            <w:pPr>
              <w:spacing w:after="0"/>
              <w:rPr>
                <w:sz w:val="24"/>
                <w:szCs w:val="24"/>
                <w:color w:val="auto"/>
              </w:rPr>
            </w:pPr>
          </w:p>
        </w:tc>
        <w:tc>
          <w:tcPr>
            <w:tcW w:w="8920" w:type="dxa"/>
            <w:vAlign w:val="bottom"/>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
        </w:trPr>
        <w:tc>
          <w:tcPr>
            <w:tcW w:w="154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auto"/>
                <w:w w:val="93"/>
              </w:rPr>
              <w:t>10.1†</w:t>
            </w:r>
          </w:p>
        </w:tc>
        <w:tc>
          <w:tcPr>
            <w:tcW w:w="8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1540" w:type="dxa"/>
            <w:vAlign w:val="bottom"/>
            <w:gridSpan w:val="2"/>
            <w:vMerge w:val="continue"/>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Analog Devices, Inc. Executive Section 162(m) Plan, as amended.</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10.2†</w:t>
            </w:r>
          </w:p>
        </w:tc>
        <w:tc>
          <w:tcPr>
            <w:tcW w:w="8920" w:type="dxa"/>
            <w:vAlign w:val="bottom"/>
          </w:tcPr>
          <w:p>
            <w:pPr>
              <w:ind w:left="40"/>
              <w:spacing w:after="0"/>
              <w:rPr>
                <w:sz w:val="20"/>
                <w:szCs w:val="20"/>
                <w:color w:val="auto"/>
              </w:rPr>
            </w:pPr>
            <w:r>
              <w:rPr>
                <w:rFonts w:ascii="Arial" w:cs="Arial" w:eastAsia="Arial" w:hAnsi="Arial"/>
                <w:sz w:val="18"/>
                <w:szCs w:val="18"/>
                <w:color w:val="auto"/>
                <w:w w:val="97"/>
              </w:rPr>
              <w:t>Form of Global Non-Qualified Stock Option Agreement for Employees for usage under the Company's 2006 Stock</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10.3†</w:t>
            </w:r>
          </w:p>
        </w:tc>
        <w:tc>
          <w:tcPr>
            <w:tcW w:w="8920" w:type="dxa"/>
            <w:vAlign w:val="bottom"/>
          </w:tcPr>
          <w:p>
            <w:pPr>
              <w:ind w:left="40"/>
              <w:spacing w:after="0"/>
              <w:rPr>
                <w:sz w:val="20"/>
                <w:szCs w:val="20"/>
                <w:color w:val="auto"/>
              </w:rPr>
            </w:pPr>
            <w:r>
              <w:rPr>
                <w:rFonts w:ascii="Arial" w:cs="Arial" w:eastAsia="Arial" w:hAnsi="Arial"/>
                <w:sz w:val="18"/>
                <w:szCs w:val="18"/>
                <w:color w:val="auto"/>
                <w:w w:val="94"/>
              </w:rPr>
              <w:t>Form of Global Restricted Stock Unit Agreement for Employees for usage under the Company's 2006 Stock Incentive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Plan.</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10.4†</w:t>
            </w:r>
          </w:p>
        </w:tc>
        <w:tc>
          <w:tcPr>
            <w:tcW w:w="8920" w:type="dxa"/>
            <w:vAlign w:val="bottom"/>
          </w:tcPr>
          <w:p>
            <w:pPr>
              <w:ind w:left="40"/>
              <w:spacing w:after="0"/>
              <w:rPr>
                <w:sz w:val="20"/>
                <w:szCs w:val="20"/>
                <w:color w:val="auto"/>
              </w:rPr>
            </w:pPr>
            <w:r>
              <w:rPr>
                <w:rFonts w:ascii="Arial" w:cs="Arial" w:eastAsia="Arial" w:hAnsi="Arial"/>
                <w:sz w:val="18"/>
                <w:szCs w:val="18"/>
                <w:color w:val="auto"/>
                <w:w w:val="92"/>
              </w:rPr>
              <w:t>Form of Non-Qualified Stock Option Agreement for Directors for usage under the Company's 2006 Stock Incentive Plan.</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10.5†</w:t>
            </w:r>
          </w:p>
        </w:tc>
        <w:tc>
          <w:tcPr>
            <w:tcW w:w="8920" w:type="dxa"/>
            <w:vAlign w:val="bottom"/>
          </w:tcPr>
          <w:p>
            <w:pPr>
              <w:ind w:left="40"/>
              <w:spacing w:after="0"/>
              <w:rPr>
                <w:sz w:val="20"/>
                <w:szCs w:val="20"/>
                <w:color w:val="auto"/>
              </w:rPr>
            </w:pPr>
            <w:r>
              <w:rPr>
                <w:rFonts w:ascii="Arial" w:cs="Arial" w:eastAsia="Arial" w:hAnsi="Arial"/>
                <w:sz w:val="18"/>
                <w:szCs w:val="18"/>
                <w:color w:val="auto"/>
                <w:w w:val="97"/>
              </w:rPr>
              <w:t>Form of Restricted Stock Unit Agreement for Directors for usage under the Company's 2006 Stock Incentive Plan.</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Executive Officer).</w:t>
            </w:r>
          </w:p>
        </w:tc>
        <w:tc>
          <w:tcPr>
            <w:tcW w:w="0" w:type="dxa"/>
            <w:vAlign w:val="bottom"/>
          </w:tcPr>
          <w:p>
            <w:pPr>
              <w:spacing w:after="0"/>
              <w:rPr>
                <w:sz w:val="1"/>
                <w:szCs w:val="1"/>
                <w:color w:val="auto"/>
              </w:rPr>
            </w:pPr>
          </w:p>
        </w:tc>
      </w:tr>
      <w:tr>
        <w:trPr>
          <w:trHeight w:val="256"/>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31.2†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Rule 13a-14(a) and 15d-14(a) of the Securities Exchange Act, as Adopted Pursuant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92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32.1†</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32.2†</w:t>
            </w:r>
          </w:p>
        </w:tc>
        <w:tc>
          <w:tcPr>
            <w:tcW w:w="8920" w:type="dxa"/>
            <w:vAlign w:val="bottom"/>
          </w:tcPr>
          <w:p>
            <w:pPr>
              <w:ind w:left="4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101.INS</w:t>
            </w:r>
          </w:p>
        </w:tc>
        <w:tc>
          <w:tcPr>
            <w:tcW w:w="8920" w:type="dxa"/>
            <w:vAlign w:val="bottom"/>
          </w:tcPr>
          <w:p>
            <w:pPr>
              <w:ind w:left="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101.SCH</w:t>
            </w:r>
          </w:p>
        </w:tc>
        <w:tc>
          <w:tcPr>
            <w:tcW w:w="8920" w:type="dxa"/>
            <w:vAlign w:val="bottom"/>
          </w:tcPr>
          <w:p>
            <w:pPr>
              <w:ind w:left="40"/>
              <w:spacing w:after="0"/>
              <w:rPr>
                <w:sz w:val="20"/>
                <w:szCs w:val="20"/>
                <w:color w:val="auto"/>
              </w:rPr>
            </w:pPr>
            <w:r>
              <w:rPr>
                <w:rFonts w:ascii="Arial" w:cs="Arial" w:eastAsia="Arial" w:hAnsi="Arial"/>
                <w:sz w:val="18"/>
                <w:szCs w:val="18"/>
                <w:color w:val="auto"/>
              </w:rPr>
              <w:t>XBRL Schema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4"/>
              </w:rPr>
              <w:t>101.CAL</w:t>
            </w:r>
          </w:p>
        </w:tc>
        <w:tc>
          <w:tcPr>
            <w:tcW w:w="8920" w:type="dxa"/>
            <w:vAlign w:val="bottom"/>
          </w:tcPr>
          <w:p>
            <w:pPr>
              <w:ind w:left="40"/>
              <w:spacing w:after="0"/>
              <w:rPr>
                <w:sz w:val="20"/>
                <w:szCs w:val="20"/>
                <w:color w:val="auto"/>
              </w:rPr>
            </w:pPr>
            <w:r>
              <w:rPr>
                <w:rFonts w:ascii="Arial" w:cs="Arial" w:eastAsia="Arial" w:hAnsi="Arial"/>
                <w:sz w:val="18"/>
                <w:szCs w:val="18"/>
                <w:color w:val="auto"/>
              </w:rPr>
              <w:t>XBRL Calculation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101.LAB</w:t>
            </w:r>
          </w:p>
        </w:tc>
        <w:tc>
          <w:tcPr>
            <w:tcW w:w="8920" w:type="dxa"/>
            <w:vAlign w:val="bottom"/>
          </w:tcPr>
          <w:p>
            <w:pPr>
              <w:ind w:left="40"/>
              <w:spacing w:after="0"/>
              <w:rPr>
                <w:sz w:val="20"/>
                <w:szCs w:val="20"/>
                <w:color w:val="auto"/>
              </w:rPr>
            </w:pPr>
            <w:r>
              <w:rPr>
                <w:rFonts w:ascii="Arial" w:cs="Arial" w:eastAsia="Arial" w:hAnsi="Arial"/>
                <w:sz w:val="18"/>
                <w:szCs w:val="18"/>
                <w:color w:val="auto"/>
              </w:rPr>
              <w:t>XBRL Labels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101.PRE</w:t>
            </w:r>
          </w:p>
        </w:tc>
        <w:tc>
          <w:tcPr>
            <w:tcW w:w="8920" w:type="dxa"/>
            <w:vAlign w:val="bottom"/>
          </w:tcPr>
          <w:p>
            <w:pPr>
              <w:ind w:left="40"/>
              <w:spacing w:after="0"/>
              <w:rPr>
                <w:sz w:val="20"/>
                <w:szCs w:val="20"/>
                <w:color w:val="auto"/>
              </w:rPr>
            </w:pPr>
            <w:r>
              <w:rPr>
                <w:rFonts w:ascii="Arial" w:cs="Arial" w:eastAsia="Arial" w:hAnsi="Arial"/>
                <w:sz w:val="18"/>
                <w:szCs w:val="18"/>
                <w:color w:val="auto"/>
              </w:rPr>
              <w:t>XBRL Presentation Linkbase Document.**</w:t>
            </w:r>
          </w:p>
        </w:tc>
        <w:tc>
          <w:tcPr>
            <w:tcW w:w="0" w:type="dxa"/>
            <w:vAlign w:val="bottom"/>
          </w:tcPr>
          <w:p>
            <w:pPr>
              <w:spacing w:after="0"/>
              <w:rPr>
                <w:sz w:val="1"/>
                <w:szCs w:val="1"/>
                <w:color w:val="auto"/>
              </w:rPr>
            </w:pPr>
          </w:p>
        </w:tc>
      </w:tr>
      <w:tr>
        <w:trPr>
          <w:trHeight w:val="270"/>
        </w:trPr>
        <w:tc>
          <w:tcPr>
            <w:tcW w:w="154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101.DEF</w:t>
            </w:r>
          </w:p>
        </w:tc>
        <w:tc>
          <w:tcPr>
            <w:tcW w:w="8920" w:type="dxa"/>
            <w:vAlign w:val="bottom"/>
          </w:tcPr>
          <w:p>
            <w:pPr>
              <w:ind w:left="40"/>
              <w:spacing w:after="0"/>
              <w:rPr>
                <w:sz w:val="20"/>
                <w:szCs w:val="20"/>
                <w:color w:val="auto"/>
              </w:rPr>
            </w:pPr>
            <w:r>
              <w:rPr>
                <w:rFonts w:ascii="Arial" w:cs="Arial" w:eastAsia="Arial" w:hAnsi="Arial"/>
                <w:sz w:val="18"/>
                <w:szCs w:val="18"/>
                <w:color w:val="auto"/>
              </w:rPr>
              <w:t>XBRL Definition Linkbase Document.**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620" w:hanging="107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or furnished herewith.</w:t>
      </w:r>
    </w:p>
    <w:p>
      <w:pPr>
        <w:spacing w:after="0" w:line="63" w:lineRule="exact"/>
        <w:rPr>
          <w:sz w:val="20"/>
          <w:szCs w:val="20"/>
          <w:color w:val="auto"/>
        </w:rPr>
      </w:pPr>
    </w:p>
    <w:p>
      <w:pPr>
        <w:ind w:left="1620" w:hanging="1121"/>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19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Condensed Consolidated Statements of Income for the three and six months ended May 4, 2013 and May 5, 2012, (ii) Condensed Consolidated Statements of Comprehensive Income for the three and six months ended May 4, 2013 and May 5, 2012, (iii) Condensed Consolidated Balance Sheets at May 4, 2013 and November 3, 2012,</w:t>
      </w:r>
    </w:p>
    <w:p>
      <w:pPr>
        <w:ind w:right="160" w:firstLine="8"/>
        <w:spacing w:after="0" w:line="261" w:lineRule="auto"/>
        <w:tabs>
          <w:tab w:leader="none" w:pos="3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six months ended May 4, 2013 and May 5, 2012 and (v) Notes to Condensed Consolidated Financial Statements for the three and six months ended May 4, 2013 and May 5, 2012.</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80"/>
          </w:cols>
          <w:pgMar w:left="240" w:top="715"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ANALOG DEVICES, INC.</w:t>
      </w:r>
    </w:p>
    <w:p>
      <w:pPr>
        <w:spacing w:after="0" w:line="9"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color w:val="auto"/>
        </w:rPr>
        <w:t>EXECUTIVE SECTION 162(m) PLAN</w:t>
      </w:r>
    </w:p>
    <w:p>
      <w:pPr>
        <w:spacing w:after="0" w:line="220"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02" w:lineRule="exact"/>
        <w:rPr>
          <w:rFonts w:ascii="Arial" w:cs="Arial" w:eastAsia="Arial" w:hAnsi="Arial"/>
          <w:sz w:val="18"/>
          <w:szCs w:val="18"/>
          <w:b w:val="1"/>
          <w:bCs w:val="1"/>
          <w:color w:val="auto"/>
        </w:rPr>
      </w:pPr>
    </w:p>
    <w:p>
      <w:pPr>
        <w:ind w:left="66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purpose of the Executive Section 162(m) Plan, as amended (the “Section 162(m) Plan”), is to motivate and retain senior executives of Analog Devices, Inc. (the “Company”) to achieve targeted levels of corporate, financial and strategic performance. The terms of the Section 162(m) Plan set forth herein shall, if approved by the shareholders of the Company, apply to awards for or during fiscal year 2013 and later fiscal periods. The Section 162(m) Plan provides for an incentive pool based on the Company’s Profits (as defined below) pursuant to Section III hereof.</w:t>
      </w:r>
    </w:p>
    <w:p>
      <w:pPr>
        <w:spacing w:after="0" w:line="164"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and Participation</w:t>
      </w:r>
    </w:p>
    <w:p>
      <w:pPr>
        <w:spacing w:after="0" w:line="202" w:lineRule="exact"/>
        <w:rPr>
          <w:rFonts w:ascii="Arial" w:cs="Arial" w:eastAsia="Arial" w:hAnsi="Arial"/>
          <w:sz w:val="18"/>
          <w:szCs w:val="18"/>
          <w:b w:val="1"/>
          <w:bCs w:val="1"/>
          <w:color w:val="auto"/>
        </w:rPr>
      </w:pPr>
    </w:p>
    <w:p>
      <w:pPr>
        <w:jc w:val="both"/>
        <w:ind w:left="66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Participants in the Section 162(m) Plan for any performance period shall include the Chief Executive Officer of the Company and such other key executives or class of executives as may be designated as participants for such period by the Compensation Committee (the “Committee”) of the Board of Directors of the Company.</w:t>
      </w:r>
    </w:p>
    <w:p>
      <w:pPr>
        <w:spacing w:after="0" w:line="191"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Incentive Pool</w:t>
      </w:r>
    </w:p>
    <w:p>
      <w:pPr>
        <w:spacing w:after="0" w:line="198" w:lineRule="exact"/>
        <w:rPr>
          <w:rFonts w:ascii="Arial" w:cs="Arial" w:eastAsia="Arial" w:hAnsi="Arial"/>
          <w:sz w:val="18"/>
          <w:szCs w:val="18"/>
          <w:b w:val="1"/>
          <w:bCs w:val="1"/>
          <w:color w:val="auto"/>
        </w:rPr>
      </w:pPr>
    </w:p>
    <w:p>
      <w:pPr>
        <w:ind w:left="660" w:hanging="4"/>
        <w:spacing w:after="0" w:line="287" w:lineRule="auto"/>
        <w:tabs>
          <w:tab w:leader="none" w:pos="880" w:val="left"/>
        </w:tabs>
        <w:numPr>
          <w:ilvl w:val="1"/>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Committee may designate participants who are eligible to receive an allocation of an incentive pool equal to 2% of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determined in accordance with GAAP (Generally Accepted Accounting Principles), as set forth in the Company's financial statements filed with the Securities and Exchange Commission, excluding restructuring charges, gain/loss from the sale of a business, and tangible and intangible asset impairments but including amounts paid under the Section 162(m) Plan (“Profits”) for the applicable performance period. The Committee shall allocate the incentive pool among the participants for each performance period. The performance period may be one or more fiscal quarters, one or more fiscal years, or such other period as determined by the Committee; provided that, for the avoidance of doubt, in no event may any performance periods overlap. In no event may (i) the allocation to any particular participant exceed 100% of the total incentive pool for the performance period and (ii) the sum of the incentive pool allocations for all participants exceed 100% of the total incentive pool. The incentive pool and the allocations among participants must be established by the Committee no later than the earlier of (i) ninety (90) days after the beginning of the performance period for which the incentive pool is created and (ii) the first 25% of the portion of the performance period with respect to which the incentive pool relates; provided, however, that in all cases, the incentive pool and the applicable allocations must be established by such time as may be required in order for the amounts paid under the incentive pool to qualify as performance-based compensation under Section 162(m)(4)(C) of the Internal Revenue Code (the “Code”) (such required date, the “162(m) Deadline”).</w:t>
      </w:r>
    </w:p>
    <w:p>
      <w:pPr>
        <w:spacing w:after="0" w:line="164" w:lineRule="exact"/>
        <w:rPr>
          <w:rFonts w:ascii="Arial" w:cs="Arial" w:eastAsia="Arial" w:hAnsi="Arial"/>
          <w:sz w:val="16"/>
          <w:szCs w:val="16"/>
          <w:b w:val="1"/>
          <w:bCs w:val="1"/>
          <w:color w:val="auto"/>
        </w:rPr>
      </w:pPr>
    </w:p>
    <w:p>
      <w:pPr>
        <w:ind w:left="660" w:hanging="4"/>
        <w:spacing w:after="0" w:line="255" w:lineRule="auto"/>
        <w:tabs>
          <w:tab w:leader="none" w:pos="87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Provisions. </w:t>
      </w:r>
      <w:r>
        <w:rPr>
          <w:rFonts w:ascii="Arial" w:cs="Arial" w:eastAsia="Arial" w:hAnsi="Arial"/>
          <w:sz w:val="18"/>
          <w:szCs w:val="18"/>
          <w:color w:val="auto"/>
        </w:rPr>
        <w:t>Allocations to participants may be paid in the form of cash, equity or otherwise in accordance with the discretion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The Committee may, in its sole discretion, (i) subject the participant’s right to receive his or her allocation of the incentive pool to additional service and/or performance conditions, including, without limitation, performance conditions under the annual executive performance incentive plan (the “Annual Bonus Plan”) established by the Board of Directors of the Company or the Committee and/or conditions relating to the delivery of equity awards under the Company’s then-effect stock incentive plan (a “Stock Incentive Plan”), and (ii) use negative discretion to reduce or eliminate the amount of any incentive pool allocation to a participant. Notwithstanding the foregoing, in no event may the Board or the Committee increase the amount of such payment.</w:t>
      </w:r>
    </w:p>
    <w:p>
      <w:pPr>
        <w:spacing w:after="0" w:line="20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Terms</w:t>
      </w:r>
    </w:p>
    <w:p>
      <w:pPr>
        <w:spacing w:after="0" w:line="202"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Each payment of an amount attributable to a participant’s incentive pool allocation under this Section 162(m) Plan shall be subject to the following terms:</w:t>
      </w:r>
    </w:p>
    <w:p>
      <w:pPr>
        <w:sectPr>
          <w:pgSz w:w="11900" w:h="16838" w:orient="portrait"/>
          <w:cols w:equalWidth="0" w:num="1">
            <w:col w:w="11420"/>
          </w:cols>
          <w:pgMar w:left="240" w:top="364" w:right="239" w:bottom="1440" w:gutter="0" w:footer="0" w:header="0"/>
        </w:sectPr>
      </w:pPr>
    </w:p>
    <w:bookmarkStart w:id="47" w:name="page48"/>
    <w:bookmarkEnd w:id="47"/>
    <w:p>
      <w:pPr>
        <w:ind w:left="660" w:right="80" w:hanging="4"/>
        <w:spacing w:after="0" w:line="295" w:lineRule="auto"/>
        <w:tabs>
          <w:tab w:leader="none" w:pos="10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No payment shall be made to participants in the Section 162(m) Plan unless and until the Committee has certified in writing (in such manner as shall be consistent with regulations under Section 162(m) of the Code) the amount of Profits for the applicable performance period and the participant’s allocation of the incentive pool.</w:t>
      </w:r>
    </w:p>
    <w:p>
      <w:pPr>
        <w:spacing w:after="0" w:line="141" w:lineRule="exact"/>
        <w:rPr>
          <w:rFonts w:ascii="Arial" w:cs="Arial" w:eastAsia="Arial" w:hAnsi="Arial"/>
          <w:sz w:val="18"/>
          <w:szCs w:val="18"/>
          <w:color w:val="auto"/>
        </w:rPr>
      </w:pPr>
    </w:p>
    <w:p>
      <w:pPr>
        <w:ind w:left="660" w:right="40" w:hanging="4"/>
        <w:spacing w:after="0" w:line="284" w:lineRule="auto"/>
        <w:tabs>
          <w:tab w:leader="none" w:pos="1002" w:val="left"/>
        </w:tabs>
        <w:numPr>
          <w:ilvl w:val="1"/>
          <w:numId w:val="22"/>
        </w:numPr>
        <w:rPr>
          <w:rFonts w:ascii="Arial" w:cs="Arial" w:eastAsia="Arial" w:hAnsi="Arial"/>
          <w:sz w:val="18"/>
          <w:szCs w:val="18"/>
          <w:color w:val="auto"/>
        </w:rPr>
      </w:pPr>
      <w:r>
        <w:rPr>
          <w:rFonts w:ascii="Arial" w:cs="Arial" w:eastAsia="Arial" w:hAnsi="Arial"/>
          <w:sz w:val="18"/>
          <w:szCs w:val="18"/>
          <w:color w:val="auto"/>
        </w:rPr>
        <w:t>To the extent amounts payable under the Section 162(m) Plan are paid in cash and to the extent the performance periods under the Section 162(m) Plan are the Company’s fiscal quarters, unless otherwise provided by the Committee, payment for the first and second fiscal quarters shall be made on or before June 30 of the calendar year in which the second fiscal quarter ends and payment for the third and fourth fiscal quarters shall be made on or before December 31 of the calendar year in which the fourth quarter ends. To the extent that the performance period is based on a different period of time, the Committee shall determine the time of payment in its sole discretion. Notwithstanding the preceding two sentences, in all cases cash payments shall be made no later than the later of (i) two and a half months after the end of the Company’s tax year in which such payment is no longer subject to a substantial risk of forfeiture and (ii) two and a half months after the end of the participant’s tax year in which such payment is no longer subject to a substantial risk of forfeiture. To the extent the Committee exercises discretion to make allocations in the form of equity awards under a Stock Incentive Plan, such allocations shall be paid in the time and manner consistent with the terms of such Stock Incentive Plan.</w:t>
      </w:r>
    </w:p>
    <w:p>
      <w:pPr>
        <w:spacing w:after="0" w:line="157" w:lineRule="exact"/>
        <w:rPr>
          <w:rFonts w:ascii="Arial" w:cs="Arial" w:eastAsia="Arial" w:hAnsi="Arial"/>
          <w:sz w:val="18"/>
          <w:szCs w:val="18"/>
          <w:color w:val="auto"/>
        </w:rPr>
      </w:pPr>
    </w:p>
    <w:p>
      <w:pPr>
        <w:jc w:val="both"/>
        <w:ind w:left="660" w:right="200" w:hanging="4"/>
        <w:spacing w:after="0" w:line="319" w:lineRule="auto"/>
        <w:tabs>
          <w:tab w:leader="none" w:pos="1005" w:val="left"/>
        </w:tabs>
        <w:numPr>
          <w:ilvl w:val="1"/>
          <w:numId w:val="22"/>
        </w:numPr>
        <w:rPr>
          <w:rFonts w:ascii="Arial" w:cs="Arial" w:eastAsia="Arial" w:hAnsi="Arial"/>
          <w:sz w:val="17"/>
          <w:szCs w:val="17"/>
          <w:color w:val="auto"/>
        </w:rPr>
      </w:pPr>
      <w:r>
        <w:rPr>
          <w:rFonts w:ascii="Arial" w:cs="Arial" w:eastAsia="Arial" w:hAnsi="Arial"/>
          <w:sz w:val="17"/>
          <w:szCs w:val="17"/>
          <w:color w:val="auto"/>
        </w:rPr>
        <w:t>Except as specifically set forth in this Section 162(m) Plan, the Annual Bonus Plan, a Stock Incentive Plan or in another agreement between a participant in the Section 162(m) Plan and the Company, a participant must be employed by the Company or one of its subsidiaries on the date on which any amount under the Section 162(m) Plan is paid in order to be eligible to receive such payment.</w:t>
      </w:r>
    </w:p>
    <w:p>
      <w:pPr>
        <w:spacing w:after="0" w:line="121" w:lineRule="exact"/>
        <w:rPr>
          <w:rFonts w:ascii="Arial" w:cs="Arial" w:eastAsia="Arial" w:hAnsi="Arial"/>
          <w:sz w:val="17"/>
          <w:szCs w:val="17"/>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Actions Binding, No Right To Employment, etc.</w:t>
      </w:r>
    </w:p>
    <w:p>
      <w:pPr>
        <w:spacing w:after="0" w:line="202" w:lineRule="exact"/>
        <w:rPr>
          <w:rFonts w:ascii="Arial" w:cs="Arial" w:eastAsia="Arial" w:hAnsi="Arial"/>
          <w:sz w:val="18"/>
          <w:szCs w:val="18"/>
          <w:b w:val="1"/>
          <w:bCs w:val="1"/>
          <w:color w:val="auto"/>
        </w:rPr>
      </w:pPr>
    </w:p>
    <w:p>
      <w:pPr>
        <w:ind w:left="660"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Committee shall have complete discretion to construe and administer the Section 162(m) Plan, to establish an incentive pool, to establish incentive pool allocations among participants, to determine the form in which amounts attributable to incentive pool allocations shall be paid, and otherwise to do all things necessary or appropriate to carry out the Section 162(m) Plan. The Committee is not obligated to establish an incentive pool or to make any allocations to any particular participants under the Section 162(m) Plan. Actions by the Committee under the Section 162(m) Plan shall be conclusive and binding on all persons.</w:t>
      </w:r>
    </w:p>
    <w:p>
      <w:pPr>
        <w:spacing w:after="0" w:line="188" w:lineRule="exact"/>
        <w:rPr>
          <w:rFonts w:ascii="Arial" w:cs="Arial" w:eastAsia="Arial" w:hAnsi="Arial"/>
          <w:sz w:val="18"/>
          <w:szCs w:val="18"/>
          <w:b w:val="1"/>
          <w:bCs w:val="1"/>
          <w:color w:val="auto"/>
        </w:rPr>
      </w:pPr>
    </w:p>
    <w:p>
      <w:pPr>
        <w:jc w:val="both"/>
        <w:ind w:left="6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Nothing in the Section 162(m) Plan shall entitle any participant to continued employment with the Company and its subsidiaries, and the loss of benefits or potential benefits under the Section 162(m) Plan shall in no event constitute an element of damages in any action brought against the Company or its subsidiaries.</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Committee may at any time, in its sole discretion, amend or terminate the Section 162(m) Plan.</w:t>
      </w:r>
    </w:p>
    <w:p>
      <w:pPr>
        <w:spacing w:after="0" w:line="225" w:lineRule="exact"/>
        <w:rPr>
          <w:rFonts w:ascii="Arial" w:cs="Arial" w:eastAsia="Arial" w:hAnsi="Arial"/>
          <w:sz w:val="18"/>
          <w:szCs w:val="18"/>
          <w:b w:val="1"/>
          <w:bCs w:val="1"/>
          <w:color w:val="auto"/>
        </w:rPr>
      </w:pPr>
    </w:p>
    <w:p>
      <w:pPr>
        <w:ind w:left="66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Section 162(m) Plan is effective on January 22, 2013, provided that any amounts payable under this plan shall be subject to approval of the material terms of the Section 162(m) Plan by the Company’s stockholders in the manner required under Section 162(m) of the Code in order for such amounts to be eligible to qualify as performance-based compensation under Section 162(m) of the Code, to the extent not already so approved.</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Approved March 13, 2013</w:t>
      </w:r>
    </w:p>
    <w:p>
      <w:pPr>
        <w:sectPr>
          <w:pgSz w:w="11900" w:h="16838" w:orient="portrait"/>
          <w:cols w:equalWidth="0" w:num="1">
            <w:col w:w="11420"/>
          </w:cols>
          <w:pgMar w:left="240" w:top="38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EXHIBIT 10.2</w:t>
      </w:r>
    </w:p>
    <w:p>
      <w:pPr>
        <w:spacing w:after="0" w:line="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2006 STOCK INCENTIVE PLAN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GLOBAL NON-QUALIFIED STOCK OPTION AGREEMENT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Private &amp; Confidential (Addressee Only)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{EMPNAME}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{EMPNUM}</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are pleased to advise the Optionee (the “Optionee”) that Analog Devices, Inc., a Massachusetts corporation (the “Company”), has granted to the Optionee an option to purchase that number of shares of Common Stock set forth below (the “Option”) subject to the terms and conditions of the Analog Devices, Inc. 2006 Stock Incentive Plan (the “Plan”), and this Global Non-Qualified Stock Option Agreement, including Appendix A, which includes any applicable country-specific provisions (this agreement, together with Appendix A, the “Agreement”). The grant of this Option reflects the Company’s confidence in the Optionee’s commitment and contributions to the success and continued growth of the Company.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All terms not defined herein shall have the meanings assigned to such terms in the Plan.</w:t>
      </w:r>
    </w:p>
    <w:p>
      <w:pPr>
        <w:spacing w:after="0" w:line="167" w:lineRule="exact"/>
        <w:rPr>
          <w:sz w:val="20"/>
          <w:szCs w:val="20"/>
          <w:color w:val="auto"/>
        </w:rPr>
      </w:pPr>
    </w:p>
    <w:p>
      <w:pPr>
        <w:ind w:left="340" w:right="20" w:hanging="332"/>
        <w:spacing w:after="0" w:line="275"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Subject to the terms and conditions of the Plan and this Agreement, the Company has granted to the Optionee an Option to purchase that number of shares of the Company’s Common Stock (the “Option Shares”) effective on the Date of Grant set forth below:</w:t>
      </w:r>
    </w:p>
    <w:p>
      <w:pPr>
        <w:spacing w:after="0" w:line="119" w:lineRule="exact"/>
        <w:rPr>
          <w:sz w:val="20"/>
          <w:szCs w:val="20"/>
          <w:color w:val="auto"/>
        </w:rPr>
      </w:pPr>
    </w:p>
    <w:p>
      <w:pPr>
        <w:ind w:left="1300"/>
        <w:spacing w:after="0"/>
        <w:tabs>
          <w:tab w:leader="none" w:pos="2380" w:val="left"/>
        </w:tabs>
        <w:rPr>
          <w:sz w:val="20"/>
          <w:szCs w:val="20"/>
          <w:color w:val="auto"/>
        </w:rPr>
      </w:pPr>
      <w:r>
        <w:rPr>
          <w:rFonts w:ascii="Arial" w:cs="Arial" w:eastAsia="Arial" w:hAnsi="Arial"/>
          <w:sz w:val="16"/>
          <w:szCs w:val="16"/>
          <w:color w:val="auto"/>
        </w:rPr>
        <w:t>Date of Grant:</w:t>
        <w:tab/>
        <w:t>{GRANTDATE}</w:t>
      </w:r>
    </w:p>
    <w:p>
      <w:pPr>
        <w:spacing w:after="0" w:line="356" w:lineRule="exact"/>
        <w:rPr>
          <w:sz w:val="20"/>
          <w:szCs w:val="20"/>
          <w:color w:val="auto"/>
        </w:rPr>
      </w:pPr>
    </w:p>
    <w:p>
      <w:pPr>
        <w:ind w:left="1300"/>
        <w:spacing w:after="0"/>
        <w:tabs>
          <w:tab w:leader="none" w:pos="3720" w:val="left"/>
        </w:tabs>
        <w:rPr>
          <w:sz w:val="20"/>
          <w:szCs w:val="20"/>
          <w:color w:val="auto"/>
        </w:rPr>
      </w:pPr>
      <w:r>
        <w:rPr>
          <w:rFonts w:ascii="Arial" w:cs="Arial" w:eastAsia="Arial" w:hAnsi="Arial"/>
          <w:sz w:val="16"/>
          <w:szCs w:val="16"/>
          <w:color w:val="auto"/>
        </w:rPr>
        <w:t>Number of Option Shares Granted:</w:t>
      </w:r>
      <w:r>
        <w:rPr>
          <w:sz w:val="20"/>
          <w:szCs w:val="20"/>
          <w:color w:val="auto"/>
        </w:rPr>
        <w:tab/>
      </w:r>
      <w:r>
        <w:rPr>
          <w:rFonts w:ascii="Arial" w:cs="Arial" w:eastAsia="Arial" w:hAnsi="Arial"/>
          <w:sz w:val="15"/>
          <w:szCs w:val="15"/>
          <w:color w:val="auto"/>
        </w:rPr>
        <w:t>{SOSHARESGRANTED}</w:t>
      </w:r>
    </w:p>
    <w:p>
      <w:pPr>
        <w:spacing w:after="0" w:line="356" w:lineRule="exact"/>
        <w:rPr>
          <w:sz w:val="20"/>
          <w:szCs w:val="20"/>
          <w:color w:val="auto"/>
        </w:rPr>
      </w:pPr>
    </w:p>
    <w:p>
      <w:pPr>
        <w:ind w:left="1300"/>
        <w:spacing w:after="0"/>
        <w:tabs>
          <w:tab w:leader="none" w:pos="3580" w:val="left"/>
        </w:tabs>
        <w:rPr>
          <w:sz w:val="20"/>
          <w:szCs w:val="20"/>
          <w:color w:val="auto"/>
        </w:rPr>
      </w:pPr>
      <w:r>
        <w:rPr>
          <w:rFonts w:ascii="Arial" w:cs="Arial" w:eastAsia="Arial" w:hAnsi="Arial"/>
          <w:sz w:val="16"/>
          <w:szCs w:val="16"/>
          <w:color w:val="auto"/>
        </w:rPr>
        <w:t>Option Exercise Price Per Share:</w:t>
      </w:r>
      <w:r>
        <w:rPr>
          <w:sz w:val="20"/>
          <w:szCs w:val="20"/>
          <w:color w:val="auto"/>
        </w:rPr>
        <w:tab/>
      </w:r>
      <w:r>
        <w:rPr>
          <w:rFonts w:ascii="Arial" w:cs="Arial" w:eastAsia="Arial" w:hAnsi="Arial"/>
          <w:sz w:val="15"/>
          <w:szCs w:val="15"/>
          <w:color w:val="auto"/>
        </w:rPr>
        <w:t>{EXERCISEPRICE}</w:t>
      </w:r>
    </w:p>
    <w:p>
      <w:pPr>
        <w:spacing w:after="0" w:line="167" w:lineRule="exact"/>
        <w:rPr>
          <w:sz w:val="20"/>
          <w:szCs w:val="20"/>
          <w:color w:val="auto"/>
        </w:rPr>
      </w:pPr>
    </w:p>
    <w:p>
      <w:pPr>
        <w:ind w:left="340" w:right="20" w:hanging="332"/>
        <w:spacing w:after="0" w:line="310" w:lineRule="auto"/>
        <w:tabs>
          <w:tab w:leader="none" w:pos="340" w:val="left"/>
        </w:tabs>
        <w:numPr>
          <w:ilvl w:val="0"/>
          <w:numId w:val="25"/>
        </w:numPr>
        <w:rPr>
          <w:rFonts w:ascii="Arial" w:cs="Arial" w:eastAsia="Arial" w:hAnsi="Arial"/>
          <w:sz w:val="15"/>
          <w:szCs w:val="15"/>
          <w:color w:val="auto"/>
        </w:rPr>
      </w:pPr>
      <w:r>
        <w:rPr>
          <w:rFonts w:ascii="Arial" w:cs="Arial" w:eastAsia="Arial" w:hAnsi="Arial"/>
          <w:sz w:val="15"/>
          <w:szCs w:val="15"/>
          <w:u w:val="single" w:color="auto"/>
          <w:color w:val="auto"/>
        </w:rPr>
        <w:t>Vesting and Exercise of Option</w:t>
      </w:r>
      <w:r>
        <w:rPr>
          <w:rFonts w:ascii="Arial" w:cs="Arial" w:eastAsia="Arial" w:hAnsi="Arial"/>
          <w:sz w:val="15"/>
          <w:szCs w:val="15"/>
          <w:color w:val="auto"/>
        </w:rPr>
        <w:t>. Subject to the Optionee’s continued employment with the Company or the Employer (as defined in 3(h) below) and other limitations set forth in this Agreement and the Plan, the Option will vest as to a set number of shares on each of the vesting dates set out in the following schedule:</w:t>
      </w:r>
    </w:p>
    <w:p>
      <w:pPr>
        <w:spacing w:after="0" w:line="95" w:lineRule="exact"/>
        <w:rPr>
          <w:sz w:val="20"/>
          <w:szCs w:val="20"/>
          <w:color w:val="auto"/>
        </w:rPr>
      </w:pPr>
    </w:p>
    <w:p>
      <w:pPr>
        <w:ind w:left="1300"/>
        <w:spacing w:after="0"/>
        <w:tabs>
          <w:tab w:leader="none" w:pos="2680" w:val="left"/>
        </w:tabs>
        <w:rPr>
          <w:sz w:val="20"/>
          <w:szCs w:val="20"/>
          <w:color w:val="auto"/>
        </w:rPr>
      </w:pPr>
      <w:r>
        <w:rPr>
          <w:rFonts w:ascii="Arial" w:cs="Arial" w:eastAsia="Arial" w:hAnsi="Arial"/>
          <w:sz w:val="16"/>
          <w:szCs w:val="16"/>
          <w:u w:val="single" w:color="auto"/>
          <w:color w:val="auto"/>
        </w:rPr>
        <w:t>VEST DATE</w:t>
      </w:r>
      <w:r>
        <w:rPr>
          <w:sz w:val="20"/>
          <w:szCs w:val="20"/>
          <w:color w:val="auto"/>
        </w:rPr>
        <w:tab/>
      </w:r>
      <w:r>
        <w:rPr>
          <w:rFonts w:ascii="Arial" w:cs="Arial" w:eastAsia="Arial" w:hAnsi="Arial"/>
          <w:sz w:val="15"/>
          <w:szCs w:val="15"/>
          <w:u w:val="single" w:color="auto"/>
          <w:color w:val="auto"/>
        </w:rPr>
        <w:t>NUMBER OF SHARES</w:t>
      </w:r>
    </w:p>
    <w:p>
      <w:pPr>
        <w:spacing w:after="0" w:line="167" w:lineRule="exact"/>
        <w:rPr>
          <w:sz w:val="20"/>
          <w:szCs w:val="20"/>
          <w:color w:val="auto"/>
        </w:rPr>
      </w:pPr>
    </w:p>
    <w:p>
      <w:pPr>
        <w:ind w:left="1300"/>
        <w:spacing w:after="0"/>
        <w:tabs>
          <w:tab w:leader="none" w:pos="3200" w:val="left"/>
        </w:tabs>
        <w:rPr>
          <w:sz w:val="20"/>
          <w:szCs w:val="20"/>
          <w:color w:val="auto"/>
        </w:rPr>
      </w:pPr>
      <w:r>
        <w:rPr>
          <w:rFonts w:ascii="Arial" w:cs="Arial" w:eastAsia="Arial" w:hAnsi="Arial"/>
          <w:sz w:val="16"/>
          <w:szCs w:val="16"/>
          <w:color w:val="auto"/>
        </w:rPr>
        <w:t>{SOVESTDATE1}</w:t>
      </w:r>
      <w:r>
        <w:rPr>
          <w:sz w:val="20"/>
          <w:szCs w:val="20"/>
          <w:color w:val="auto"/>
        </w:rPr>
        <w:tab/>
      </w:r>
      <w:r>
        <w:rPr>
          <w:rFonts w:ascii="Arial" w:cs="Arial" w:eastAsia="Arial" w:hAnsi="Arial"/>
          <w:sz w:val="16"/>
          <w:szCs w:val="16"/>
          <w:color w:val="auto"/>
        </w:rPr>
        <w:t>{SHARES1}</w:t>
      </w:r>
    </w:p>
    <w:p>
      <w:pPr>
        <w:spacing w:after="0" w:line="19" w:lineRule="exact"/>
        <w:rPr>
          <w:sz w:val="20"/>
          <w:szCs w:val="20"/>
          <w:color w:val="auto"/>
        </w:rPr>
      </w:pPr>
    </w:p>
    <w:p>
      <w:pPr>
        <w:ind w:left="1300"/>
        <w:spacing w:after="0"/>
        <w:tabs>
          <w:tab w:leader="none" w:pos="3200" w:val="left"/>
        </w:tabs>
        <w:rPr>
          <w:sz w:val="20"/>
          <w:szCs w:val="20"/>
          <w:color w:val="auto"/>
        </w:rPr>
      </w:pPr>
      <w:r>
        <w:rPr>
          <w:rFonts w:ascii="Arial" w:cs="Arial" w:eastAsia="Arial" w:hAnsi="Arial"/>
          <w:sz w:val="16"/>
          <w:szCs w:val="16"/>
          <w:color w:val="auto"/>
        </w:rPr>
        <w:t>{SOVESTDATE2}</w:t>
      </w:r>
      <w:r>
        <w:rPr>
          <w:sz w:val="20"/>
          <w:szCs w:val="20"/>
          <w:color w:val="auto"/>
        </w:rPr>
        <w:tab/>
      </w:r>
      <w:r>
        <w:rPr>
          <w:rFonts w:ascii="Arial" w:cs="Arial" w:eastAsia="Arial" w:hAnsi="Arial"/>
          <w:sz w:val="16"/>
          <w:szCs w:val="16"/>
          <w:color w:val="auto"/>
        </w:rPr>
        <w:t>{SHARES2}</w:t>
      </w:r>
    </w:p>
    <w:p>
      <w:pPr>
        <w:spacing w:after="0" w:line="5" w:lineRule="exact"/>
        <w:rPr>
          <w:sz w:val="20"/>
          <w:szCs w:val="20"/>
          <w:color w:val="auto"/>
        </w:rPr>
      </w:pPr>
    </w:p>
    <w:p>
      <w:pPr>
        <w:ind w:left="1300"/>
        <w:spacing w:after="0"/>
        <w:tabs>
          <w:tab w:leader="none" w:pos="3200" w:val="left"/>
        </w:tabs>
        <w:rPr>
          <w:sz w:val="20"/>
          <w:szCs w:val="20"/>
          <w:color w:val="auto"/>
        </w:rPr>
      </w:pPr>
      <w:r>
        <w:rPr>
          <w:rFonts w:ascii="Arial" w:cs="Arial" w:eastAsia="Arial" w:hAnsi="Arial"/>
          <w:sz w:val="16"/>
          <w:szCs w:val="16"/>
          <w:color w:val="auto"/>
        </w:rPr>
        <w:t>{SOVESTDATE3}</w:t>
      </w:r>
      <w:r>
        <w:rPr>
          <w:sz w:val="20"/>
          <w:szCs w:val="20"/>
          <w:color w:val="auto"/>
        </w:rPr>
        <w:tab/>
      </w:r>
      <w:r>
        <w:rPr>
          <w:rFonts w:ascii="Arial" w:cs="Arial" w:eastAsia="Arial" w:hAnsi="Arial"/>
          <w:sz w:val="16"/>
          <w:szCs w:val="16"/>
          <w:color w:val="auto"/>
        </w:rPr>
        <w:t>{SHARES3}</w:t>
      </w:r>
    </w:p>
    <w:p>
      <w:pPr>
        <w:spacing w:after="0" w:line="5" w:lineRule="exact"/>
        <w:rPr>
          <w:sz w:val="20"/>
          <w:szCs w:val="20"/>
          <w:color w:val="auto"/>
        </w:rPr>
      </w:pPr>
    </w:p>
    <w:p>
      <w:pPr>
        <w:ind w:left="1300"/>
        <w:spacing w:after="0"/>
        <w:tabs>
          <w:tab w:leader="none" w:pos="3200" w:val="left"/>
        </w:tabs>
        <w:rPr>
          <w:sz w:val="20"/>
          <w:szCs w:val="20"/>
          <w:color w:val="auto"/>
        </w:rPr>
      </w:pPr>
      <w:r>
        <w:rPr>
          <w:rFonts w:ascii="Arial" w:cs="Arial" w:eastAsia="Arial" w:hAnsi="Arial"/>
          <w:sz w:val="16"/>
          <w:szCs w:val="16"/>
          <w:color w:val="auto"/>
        </w:rPr>
        <w:t>{SOVESTDATE4}</w:t>
      </w:r>
      <w:r>
        <w:rPr>
          <w:sz w:val="20"/>
          <w:szCs w:val="20"/>
          <w:color w:val="auto"/>
        </w:rPr>
        <w:tab/>
      </w:r>
      <w:r>
        <w:rPr>
          <w:rFonts w:ascii="Arial" w:cs="Arial" w:eastAsia="Arial" w:hAnsi="Arial"/>
          <w:sz w:val="16"/>
          <w:szCs w:val="16"/>
          <w:color w:val="auto"/>
        </w:rPr>
        <w:t>{SHARES4}</w:t>
      </w:r>
    </w:p>
    <w:p>
      <w:pPr>
        <w:spacing w:after="0" w:line="5" w:lineRule="exact"/>
        <w:rPr>
          <w:sz w:val="20"/>
          <w:szCs w:val="20"/>
          <w:color w:val="auto"/>
        </w:rPr>
      </w:pPr>
    </w:p>
    <w:p>
      <w:pPr>
        <w:ind w:left="1300"/>
        <w:spacing w:after="0"/>
        <w:tabs>
          <w:tab w:leader="none" w:pos="3200" w:val="left"/>
        </w:tabs>
        <w:rPr>
          <w:sz w:val="20"/>
          <w:szCs w:val="20"/>
          <w:color w:val="auto"/>
        </w:rPr>
      </w:pPr>
      <w:r>
        <w:rPr>
          <w:rFonts w:ascii="Arial" w:cs="Arial" w:eastAsia="Arial" w:hAnsi="Arial"/>
          <w:sz w:val="16"/>
          <w:szCs w:val="16"/>
          <w:color w:val="auto"/>
        </w:rPr>
        <w:t>{SOVESTDATE5}</w:t>
      </w:r>
      <w:r>
        <w:rPr>
          <w:sz w:val="20"/>
          <w:szCs w:val="20"/>
          <w:color w:val="auto"/>
        </w:rPr>
        <w:tab/>
      </w:r>
      <w:r>
        <w:rPr>
          <w:rFonts w:ascii="Arial" w:cs="Arial" w:eastAsia="Arial" w:hAnsi="Arial"/>
          <w:sz w:val="16"/>
          <w:szCs w:val="16"/>
          <w:color w:val="auto"/>
        </w:rPr>
        <w:t>{SHARES5}</w:t>
      </w:r>
    </w:p>
    <w:p>
      <w:pPr>
        <w:spacing w:after="0" w:line="18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right of exercise is cumulative, so that an Option, once vested, may be exercised, in whole or in part, at any time up to {EXPDATE}, the expiration date, or such earlier date as provided in Section 3 below or in the country-specific provisions in Appendix A.</w:t>
      </w:r>
    </w:p>
    <w:p>
      <w:pPr>
        <w:spacing w:after="0" w:line="11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Term of Option; Termination of Employment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term of the Option is ten (10) years after the Date of Grant, subject, however, to the early termination provisions set forth herein.</w:t>
      </w:r>
    </w:p>
    <w:p>
      <w:pPr>
        <w:spacing w:after="0" w:line="167" w:lineRule="exact"/>
        <w:rPr>
          <w:rFonts w:ascii="Arial" w:cs="Arial" w:eastAsia="Arial" w:hAnsi="Arial"/>
          <w:sz w:val="16"/>
          <w:szCs w:val="16"/>
          <w:color w:val="auto"/>
        </w:rPr>
      </w:pPr>
    </w:p>
    <w:p>
      <w:pPr>
        <w:ind w:left="660" w:hanging="328"/>
        <w:spacing w:after="0" w:line="275"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Except as otherwise provided herein, the Option shall be exercisable by the Optionee (or his/her successor in interest) following the termination of the Optionee’s employment only to the extent that the Option was vested on or prior to the date of such termination.</w:t>
      </w:r>
    </w:p>
    <w:p>
      <w:pPr>
        <w:spacing w:after="0" w:line="118" w:lineRule="exact"/>
        <w:rPr>
          <w:rFonts w:ascii="Arial" w:cs="Arial" w:eastAsia="Arial" w:hAnsi="Arial"/>
          <w:sz w:val="16"/>
          <w:szCs w:val="16"/>
          <w:color w:val="auto"/>
        </w:rPr>
      </w:pPr>
    </w:p>
    <w:p>
      <w:pPr>
        <w:jc w:val="both"/>
        <w:ind w:left="660" w:right="20" w:hanging="328"/>
        <w:spacing w:after="0" w:line="261" w:lineRule="auto"/>
        <w:tabs>
          <w:tab w:leader="none" w:pos="6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 xml:space="preserve">The vesting of the Option shall terminate on the date the Optionee </w:t>
      </w:r>
      <w:r>
        <w:rPr>
          <w:rFonts w:ascii="Arial" w:cs="Arial" w:eastAsia="Arial" w:hAnsi="Arial"/>
          <w:sz w:val="16"/>
          <w:szCs w:val="16"/>
          <w:u w:val="single" w:color="auto"/>
          <w:color w:val="auto"/>
        </w:rPr>
        <w:t>voluntarily terminates</w:t>
      </w:r>
      <w:r>
        <w:rPr>
          <w:rFonts w:ascii="Arial" w:cs="Arial" w:eastAsia="Arial" w:hAnsi="Arial"/>
          <w:sz w:val="16"/>
          <w:szCs w:val="16"/>
          <w:color w:val="auto"/>
        </w:rPr>
        <w:t xml:space="preserve"> employment with the Company or the Employer (as defined in Section 3(h)) (except by reason of retirement after attaining age 60 as provided below) or on the date his/her employment is terminated by the Company or the Employer without “Cause” (as defined in paragraph</w:t>
      </w:r>
    </w:p>
    <w:p>
      <w:pPr>
        <w:spacing w:after="0" w:line="359"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35" w:right="239" w:bottom="1440" w:gutter="0" w:footer="0" w:header="0"/>
        </w:sectPr>
      </w:pPr>
    </w:p>
    <w:bookmarkStart w:id="49" w:name="page50"/>
    <w:bookmarkEnd w:id="49"/>
    <w:p>
      <w:pPr>
        <w:ind w:left="652" w:right="20"/>
        <w:spacing w:after="0" w:line="3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d), but any Option Shares that are vested on the date of such termination shall continue to be exercisable for a period of three (3) months following such termination date.</w:t>
      </w:r>
    </w:p>
    <w:p>
      <w:pPr>
        <w:spacing w:after="0" w:line="92" w:lineRule="exact"/>
        <w:rPr>
          <w:sz w:val="20"/>
          <w:szCs w:val="20"/>
          <w:color w:val="auto"/>
        </w:rPr>
      </w:pPr>
    </w:p>
    <w:p>
      <w:pPr>
        <w:jc w:val="both"/>
        <w:ind w:left="652" w:hanging="328"/>
        <w:spacing w:after="0" w:line="261" w:lineRule="auto"/>
        <w:tabs>
          <w:tab w:leader="none" w:pos="652"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the Employer is terminated by the Company or one of its subsidiaries </w:t>
      </w:r>
      <w:r>
        <w:rPr>
          <w:rFonts w:ascii="Arial" w:cs="Arial" w:eastAsia="Arial" w:hAnsi="Arial"/>
          <w:sz w:val="16"/>
          <w:szCs w:val="16"/>
          <w:u w:val="single" w:color="auto"/>
          <w:color w:val="auto"/>
        </w:rPr>
        <w:t>for</w:t>
      </w:r>
      <w:r>
        <w:rPr>
          <w:rFonts w:ascii="Arial" w:cs="Arial" w:eastAsia="Arial" w:hAnsi="Arial"/>
          <w:sz w:val="16"/>
          <w:szCs w:val="16"/>
          <w:color w:val="auto"/>
        </w:rPr>
        <w:t xml:space="preserve"> </w:t>
      </w:r>
      <w:r>
        <w:rPr>
          <w:rFonts w:ascii="Arial" w:cs="Arial" w:eastAsia="Arial" w:hAnsi="Arial"/>
          <w:sz w:val="16"/>
          <w:szCs w:val="16"/>
          <w:u w:val="single" w:color="auto"/>
          <w:color w:val="auto"/>
        </w:rPr>
        <w:t>“Cause</w:t>
      </w:r>
      <w:r>
        <w:rPr>
          <w:rFonts w:ascii="Arial" w:cs="Arial" w:eastAsia="Arial" w:hAnsi="Arial"/>
          <w:sz w:val="16"/>
          <w:szCs w:val="16"/>
          <w:color w:val="auto"/>
        </w:rPr>
        <w:t>”, and all Option Shares that are then vested shall forthwith cease to be exercisable. “Cause” for this purpose means unsatisfactory job performance (as determined by the Company), willful misconduct, fraud, gross negligence, disobedience or dishonesty.</w:t>
      </w:r>
    </w:p>
    <w:p>
      <w:pPr>
        <w:spacing w:after="0" w:line="129" w:lineRule="exact"/>
        <w:rPr>
          <w:rFonts w:ascii="Arial" w:cs="Arial" w:eastAsia="Arial" w:hAnsi="Arial"/>
          <w:sz w:val="16"/>
          <w:szCs w:val="16"/>
          <w:color w:val="auto"/>
        </w:rPr>
      </w:pPr>
    </w:p>
    <w:p>
      <w:pPr>
        <w:ind w:left="652" w:hanging="328"/>
        <w:spacing w:after="0" w:line="275" w:lineRule="auto"/>
        <w:tabs>
          <w:tab w:leader="none" w:pos="652"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the Employer, the Option shall become immediately vested in full as to all shares on the date of death and shall continue to be exercisable (by the Optionee’s successor in interest) over the remaining term of the Option.</w:t>
      </w:r>
    </w:p>
    <w:p>
      <w:pPr>
        <w:spacing w:after="0" w:line="118" w:lineRule="exact"/>
        <w:rPr>
          <w:rFonts w:ascii="Arial" w:cs="Arial" w:eastAsia="Arial" w:hAnsi="Arial"/>
          <w:sz w:val="16"/>
          <w:szCs w:val="16"/>
          <w:color w:val="auto"/>
        </w:rPr>
      </w:pPr>
    </w:p>
    <w:p>
      <w:pPr>
        <w:jc w:val="both"/>
        <w:ind w:left="652" w:hanging="328"/>
        <w:spacing w:after="0" w:line="278" w:lineRule="auto"/>
        <w:tabs>
          <w:tab w:leader="none" w:pos="652" w:val="left"/>
        </w:tabs>
        <w:numPr>
          <w:ilvl w:val="1"/>
          <w:numId w:val="27"/>
        </w:numPr>
        <w:rPr>
          <w:rFonts w:ascii="Arial" w:cs="Arial" w:eastAsia="Arial" w:hAnsi="Arial"/>
          <w:sz w:val="15"/>
          <w:szCs w:val="15"/>
          <w:color w:val="auto"/>
        </w:rPr>
      </w:pPr>
      <w:r>
        <w:rPr>
          <w:rFonts w:ascii="Arial" w:cs="Arial" w:eastAsia="Arial" w:hAnsi="Arial"/>
          <w:sz w:val="15"/>
          <w:szCs w:val="15"/>
          <w:color w:val="auto"/>
        </w:rPr>
        <w:t>If the Optionee’s employment with the Company or the Employer terminates by reason of the retirement of the Optionee after attaining age 60, the vesting of the Option shall terminate on the date of such retirement, but any Option Shares that are vested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the Employer (as determined in the sole discretion of the Company).</w:t>
      </w:r>
    </w:p>
    <w:p>
      <w:pPr>
        <w:spacing w:after="0" w:line="119" w:lineRule="exact"/>
        <w:rPr>
          <w:rFonts w:ascii="Arial" w:cs="Arial" w:eastAsia="Arial" w:hAnsi="Arial"/>
          <w:sz w:val="15"/>
          <w:szCs w:val="15"/>
          <w:color w:val="auto"/>
        </w:rPr>
      </w:pPr>
    </w:p>
    <w:p>
      <w:pPr>
        <w:jc w:val="both"/>
        <w:ind w:left="652" w:hanging="328"/>
        <w:spacing w:after="0" w:line="272" w:lineRule="auto"/>
        <w:tabs>
          <w:tab w:leader="none" w:pos="652" w:val="left"/>
        </w:tabs>
        <w:numPr>
          <w:ilvl w:val="1"/>
          <w:numId w:val="27"/>
        </w:numPr>
        <w:rPr>
          <w:rFonts w:ascii="Arial" w:cs="Arial" w:eastAsia="Arial" w:hAnsi="Arial"/>
          <w:sz w:val="15"/>
          <w:szCs w:val="15"/>
          <w:color w:val="auto"/>
        </w:rPr>
      </w:pPr>
      <w:r>
        <w:rPr>
          <w:rFonts w:ascii="Arial" w:cs="Arial" w:eastAsia="Arial" w:hAnsi="Arial"/>
          <w:sz w:val="15"/>
          <w:szCs w:val="15"/>
          <w:color w:val="auto"/>
        </w:rPr>
        <w:t xml:space="preserve">If the Optionee becomes Disabled (as defined below), </w:t>
      </w:r>
      <w:r>
        <w:rPr>
          <w:rFonts w:ascii="Arial" w:cs="Arial" w:eastAsia="Arial" w:hAnsi="Arial"/>
          <w:sz w:val="15"/>
          <w:szCs w:val="15"/>
          <w:u w:val="single" w:color="auto"/>
          <w:color w:val="auto"/>
        </w:rPr>
        <w:t>regardless of whether Optionee terminates employment with the Company or the Employer</w:t>
      </w:r>
      <w:r>
        <w:rPr>
          <w:rFonts w:ascii="Arial" w:cs="Arial" w:eastAsia="Arial" w:hAnsi="Arial"/>
          <w:sz w:val="15"/>
          <w:szCs w:val="15"/>
          <w:color w:val="auto"/>
        </w:rPr>
        <w:t>, the Option Shares that are not vested as of the date of disability shall vest on the date or dates (over the remaining term of the Option) that they otherwise would have vested if the Optionee had not become Disabled. Any Option Shares that are vested upon disability prior to giving effect to this provision shall continue to be vested over the remaining term of the Option. For the purpose of this Agreement, “</w:t>
      </w:r>
      <w:r>
        <w:rPr>
          <w:rFonts w:ascii="Arial" w:cs="Arial" w:eastAsia="Arial" w:hAnsi="Arial"/>
          <w:sz w:val="15"/>
          <w:szCs w:val="15"/>
          <w:u w:val="single" w:color="auto"/>
          <w:color w:val="auto"/>
        </w:rPr>
        <w:t>Disabled</w:t>
      </w:r>
      <w:r>
        <w:rPr>
          <w:rFonts w:ascii="Arial" w:cs="Arial" w:eastAsia="Arial" w:hAnsi="Arial"/>
          <w:sz w:val="15"/>
          <w:szCs w:val="15"/>
          <w:color w:val="auto"/>
        </w:rPr>
        <w:t>” is defined pursuant to Internal Revenue Code Section 22(e)(3) and means the Optionee's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123" w:lineRule="exact"/>
        <w:rPr>
          <w:rFonts w:ascii="Arial" w:cs="Arial" w:eastAsia="Arial" w:hAnsi="Arial"/>
          <w:sz w:val="15"/>
          <w:szCs w:val="15"/>
          <w:color w:val="auto"/>
        </w:rPr>
      </w:pPr>
    </w:p>
    <w:p>
      <w:pPr>
        <w:jc w:val="both"/>
        <w:ind w:left="652" w:hanging="328"/>
        <w:spacing w:after="0" w:line="253" w:lineRule="auto"/>
        <w:tabs>
          <w:tab w:leader="none" w:pos="652"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an Optionee transfer employment to become a director, consultant or advisor to the Company or the Employer following the Date of Grant, he or she will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37" w:lineRule="exact"/>
        <w:rPr>
          <w:rFonts w:ascii="Arial" w:cs="Arial" w:eastAsia="Arial" w:hAnsi="Arial"/>
          <w:sz w:val="16"/>
          <w:szCs w:val="16"/>
          <w:color w:val="auto"/>
        </w:rPr>
      </w:pPr>
    </w:p>
    <w:p>
      <w:pPr>
        <w:jc w:val="both"/>
        <w:ind w:left="652" w:right="20" w:hanging="328"/>
        <w:spacing w:after="0" w:line="261" w:lineRule="auto"/>
        <w:tabs>
          <w:tab w:leader="none" w:pos="652"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the provisions in this Section 3, if the Company or the Employer develops a good faith belief that any provision in this Section 3 may be found to be unlawful, discriminatory or against public policy in any relevant jurisdiction, then the Company in its sole discretion may choose not to apply such provision to this Option, nor any Option grant in the Optionee’s jurisdiction.</w:t>
      </w:r>
    </w:p>
    <w:p>
      <w:pPr>
        <w:spacing w:after="0" w:line="129" w:lineRule="exact"/>
        <w:rPr>
          <w:rFonts w:ascii="Arial" w:cs="Arial" w:eastAsia="Arial" w:hAnsi="Arial"/>
          <w:sz w:val="16"/>
          <w:szCs w:val="16"/>
          <w:color w:val="auto"/>
        </w:rPr>
      </w:pPr>
    </w:p>
    <w:p>
      <w:pPr>
        <w:ind w:left="332" w:hanging="332"/>
        <w:spacing w:after="0"/>
        <w:tabs>
          <w:tab w:leader="none" w:pos="3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following payment methods may be used to purchase Option Shares:</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 cashless exercise in a manner described in Section 5(f)(2) of the Plan.</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Cash or check payable to the Company.</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28"/>
        </w:numPr>
        <w:rPr>
          <w:rFonts w:ascii="Arial" w:cs="Arial" w:eastAsia="Arial" w:hAnsi="Arial"/>
          <w:sz w:val="14"/>
          <w:szCs w:val="14"/>
          <w:color w:val="auto"/>
        </w:rPr>
      </w:pPr>
      <w:r>
        <w:rPr>
          <w:rFonts w:ascii="Arial" w:cs="Arial" w:eastAsia="Arial" w:hAnsi="Arial"/>
          <w:sz w:val="14"/>
          <w:szCs w:val="14"/>
          <w:color w:val="auto"/>
        </w:rPr>
        <w:t>Delivery by the Optionee of shares of Common Stock of the Company owned by the Optionee and subject to such other terms and conditions contained in the Plan.</w:t>
      </w:r>
    </w:p>
    <w:p>
      <w:pPr>
        <w:spacing w:after="0" w:line="190" w:lineRule="exact"/>
        <w:rPr>
          <w:rFonts w:ascii="Arial" w:cs="Arial" w:eastAsia="Arial" w:hAnsi="Arial"/>
          <w:sz w:val="14"/>
          <w:szCs w:val="14"/>
          <w:color w:val="auto"/>
        </w:rPr>
      </w:pPr>
    </w:p>
    <w:p>
      <w:pPr>
        <w:ind w:left="652" w:hanging="328"/>
        <w:spacing w:after="0"/>
        <w:tabs>
          <w:tab w:leader="none" w:pos="6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Any combination of the above methods.</w:t>
      </w:r>
    </w:p>
    <w:p>
      <w:pPr>
        <w:spacing w:after="0" w:line="167" w:lineRule="exact"/>
        <w:rPr>
          <w:rFonts w:ascii="Arial" w:cs="Arial" w:eastAsia="Arial" w:hAnsi="Arial"/>
          <w:sz w:val="16"/>
          <w:szCs w:val="16"/>
          <w:color w:val="auto"/>
        </w:rPr>
      </w:pPr>
    </w:p>
    <w:p>
      <w:pPr>
        <w:jc w:val="both"/>
        <w:ind w:left="332" w:hanging="332"/>
        <w:spacing w:after="0" w:line="261" w:lineRule="auto"/>
        <w:tabs>
          <w:tab w:leader="none" w:pos="3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Non-Transferability of Option</w:t>
      </w:r>
      <w:r>
        <w:rPr>
          <w:rFonts w:ascii="Arial" w:cs="Arial" w:eastAsia="Arial" w:hAnsi="Arial"/>
          <w:sz w:val="16"/>
          <w:szCs w:val="16"/>
          <w:color w:val="auto"/>
        </w:rPr>
        <w:t>. Except in the event of death (whether by beneficiary designation or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29" w:lineRule="exact"/>
        <w:rPr>
          <w:rFonts w:ascii="Arial" w:cs="Arial" w:eastAsia="Arial" w:hAnsi="Arial"/>
          <w:sz w:val="16"/>
          <w:szCs w:val="16"/>
          <w:color w:val="auto"/>
        </w:rPr>
      </w:pPr>
    </w:p>
    <w:p>
      <w:pPr>
        <w:ind w:left="332" w:hanging="332"/>
        <w:spacing w:after="0" w:line="275" w:lineRule="auto"/>
        <w:tabs>
          <w:tab w:leader="none" w:pos="332"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Adjustment</w:t>
      </w:r>
      <w:r>
        <w:rPr>
          <w:rFonts w:ascii="Arial" w:cs="Arial" w:eastAsia="Arial" w:hAnsi="Arial"/>
          <w:sz w:val="16"/>
          <w:szCs w:val="16"/>
          <w:color w:val="auto"/>
        </w:rPr>
        <w: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348" w:lineRule="exact"/>
        <w:rPr>
          <w:sz w:val="20"/>
          <w:szCs w:val="20"/>
          <w:color w:val="auto"/>
        </w:rPr>
      </w:pPr>
    </w:p>
    <w:p>
      <w:pPr>
        <w:ind w:left="4532"/>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12"/>
          </w:cols>
          <w:pgMar w:left="248" w:top="1426" w:right="239" w:bottom="1440" w:gutter="0" w:footer="0" w:header="0"/>
        </w:sectPr>
      </w:pPr>
    </w:p>
    <w:bookmarkStart w:id="50" w:name="page51"/>
    <w:bookmarkEnd w:id="50"/>
    <w:p>
      <w:pPr>
        <w:jc w:val="both"/>
        <w:ind w:left="332" w:hanging="332"/>
        <w:spacing w:after="0" w:line="249" w:lineRule="auto"/>
        <w:tabs>
          <w:tab w:leader="none" w:pos="33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Withholding Taxes</w:t>
      </w:r>
      <w:r>
        <w:rPr>
          <w:rFonts w:ascii="Arial" w:cs="Arial" w:eastAsia="Arial" w:hAnsi="Arial"/>
          <w:sz w:val="16"/>
          <w:szCs w:val="16"/>
          <w:color w:val="auto"/>
        </w:rPr>
        <w:t>. Regardless of any action the Company or the Employer, if different, takes with respect to any or all income tax, social insurance, payroll tax, payment on account or other tax related items related to the Optionee’s participation in the Plan and legally applicable to the Optionee (“Tax-Related Items”), the Optionee acknowledges that the ultimate liability for all Tax-Related Items is and remains the Optionee’s responsibility and may exceed the amount actually withheld by the Company or the Employer. The Optionee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Option Shares acquired pursuant to such exercise and the receipt of any dividends; and (ii) do not commit to and are under no obligation to structure the terms of the grant or any aspect of the Option to reduce or eliminate the Optionee’s liability for Tax-Related Items or achieve any particular tax result. Further, if the Optionee has become subject to tax in more than one jurisdiction between the Date of Grant and the date of any relevant taxable or tax withholding event, as applicable, the Optionee acknowledges that the Company and/or the Employer (or former employer, as applicable) may be required to withhold or account for Tax-Related Items in more than one jurisdiction.</w:t>
      </w:r>
    </w:p>
    <w:p>
      <w:pPr>
        <w:spacing w:after="0" w:line="143" w:lineRule="exact"/>
        <w:rPr>
          <w:rFonts w:ascii="Arial" w:cs="Arial" w:eastAsia="Arial" w:hAnsi="Arial"/>
          <w:sz w:val="16"/>
          <w:szCs w:val="16"/>
          <w:color w:val="auto"/>
        </w:rPr>
      </w:pPr>
    </w:p>
    <w:p>
      <w:pPr>
        <w:jc w:val="both"/>
        <w:ind w:left="332"/>
        <w:spacing w:after="0" w:line="250" w:lineRule="auto"/>
        <w:rPr>
          <w:rFonts w:ascii="Arial" w:cs="Arial" w:eastAsia="Arial" w:hAnsi="Arial"/>
          <w:sz w:val="16"/>
          <w:szCs w:val="16"/>
          <w:color w:val="auto"/>
        </w:rPr>
      </w:pPr>
      <w:r>
        <w:rPr>
          <w:rFonts w:ascii="Arial" w:cs="Arial" w:eastAsia="Arial" w:hAnsi="Arial"/>
          <w:sz w:val="16"/>
          <w:szCs w:val="16"/>
          <w:color w:val="auto"/>
        </w:rPr>
        <w:t>Prior to the relevant taxable or tax withholding event, as applicable, the Optionee will pay or make adequate arrangements satisfactory to the Company and/or the Employer to satisfy all Tax-Related Items. In this regard, the Optionee authorizes the Company and/or the Employer, or their respective agents, at their discretion, to satisfy the obligations with regard to all Tax-Related Items by one or a combination of the following: (i) withholding from the Optionee’s wages or other cash compensation paid to the Optionee by the Company and/or the Employer; or (ii) withholding from proceeds of the sale of Option Shares acquired at exercise of the Option either through a voluntary sale or through a mandatory sale arranged by the Company (on the Optionee’s behalf pursuant to this authorization); or (iii) withholding a sufficient number of whole Option Shares otherwise issuable upon the exercise of the Option that have an aggregate Fair Market Value (as defined under the Plan) sufficient to pay the minimum Tax-Related Items required to be withheld with respect to the exercised Option. The cash equivalent of the Option Shares withheld will be used to settle the obligation to withhold the Tax-Related Items (determined by reference to the closing price of the Common Stock on the NASDAQ Global Select Market on the applicable exercise date).</w:t>
      </w:r>
    </w:p>
    <w:p>
      <w:pPr>
        <w:spacing w:after="0" w:line="138" w:lineRule="exact"/>
        <w:rPr>
          <w:rFonts w:ascii="Arial" w:cs="Arial" w:eastAsia="Arial" w:hAnsi="Arial"/>
          <w:sz w:val="16"/>
          <w:szCs w:val="16"/>
          <w:color w:val="auto"/>
        </w:rPr>
      </w:pPr>
    </w:p>
    <w:p>
      <w:pPr>
        <w:jc w:val="both"/>
        <w:ind w:left="332"/>
        <w:spacing w:after="0" w:line="253" w:lineRule="auto"/>
        <w:rPr>
          <w:rFonts w:ascii="Arial" w:cs="Arial" w:eastAsia="Arial" w:hAnsi="Arial"/>
          <w:sz w:val="16"/>
          <w:szCs w:val="16"/>
          <w:color w:val="auto"/>
        </w:rPr>
      </w:pPr>
      <w:r>
        <w:rPr>
          <w:rFonts w:ascii="Arial" w:cs="Arial" w:eastAsia="Arial" w:hAnsi="Arial"/>
          <w:sz w:val="16"/>
          <w:szCs w:val="16"/>
          <w:color w:val="auto"/>
        </w:rPr>
        <w:t>To avoid any negative accounting treatment, the Company may withhold or account for Tax-Related Items by considering applicable minimum statutory withholding amounts or other applicable withholding rates. If the obligation for Tax-Related Items is satisfied by withholding in whole Option Shares, for tax purposes, the Optionee is deemed to have been issued the full number of Option Shares subject to the exercised Options, notwithstanding that a number of the Option Shares are held back solely for the purpose of paying the Tax-Related Items due as a result of any aspect of the Optionee’s participation in the Plan. No fractional Option Shares will be withheld or issued pursuant to the grant of the Option and the issuance of Option Shares hereunder.</w:t>
      </w:r>
    </w:p>
    <w:p>
      <w:pPr>
        <w:spacing w:after="0" w:line="137" w:lineRule="exact"/>
        <w:rPr>
          <w:rFonts w:ascii="Arial" w:cs="Arial" w:eastAsia="Arial" w:hAnsi="Arial"/>
          <w:sz w:val="16"/>
          <w:szCs w:val="16"/>
          <w:color w:val="auto"/>
        </w:rPr>
      </w:pPr>
    </w:p>
    <w:p>
      <w:pPr>
        <w:jc w:val="both"/>
        <w:ind w:left="332" w:right="20"/>
        <w:spacing w:after="0" w:line="315" w:lineRule="auto"/>
        <w:rPr>
          <w:rFonts w:ascii="Arial" w:cs="Arial" w:eastAsia="Arial" w:hAnsi="Arial"/>
          <w:sz w:val="16"/>
          <w:szCs w:val="16"/>
          <w:color w:val="auto"/>
        </w:rPr>
      </w:pPr>
      <w:r>
        <w:rPr>
          <w:rFonts w:ascii="Arial" w:cs="Arial" w:eastAsia="Arial" w:hAnsi="Arial"/>
          <w:sz w:val="14"/>
          <w:szCs w:val="14"/>
          <w:color w:val="auto"/>
        </w:rPr>
        <w:t>Finally, the Optionee shall pay to the Company or the Employer any amount of Tax-Related Items that the Company or the Employer may be required to withhold or account for as a result of the Optionee’s participation in the Plan that cannot be satisfied by the means previously described. The Company may refuse to issue or deliver the shares or the proceeds of the sale of Option Shares, if the Optionee fails to comply with the Optionee’s obligations in connection with the Tax-Related Items.</w:t>
      </w:r>
    </w:p>
    <w:p>
      <w:pPr>
        <w:spacing w:after="0" w:line="95" w:lineRule="exact"/>
        <w:rPr>
          <w:rFonts w:ascii="Arial" w:cs="Arial" w:eastAsia="Arial" w:hAnsi="Arial"/>
          <w:sz w:val="16"/>
          <w:szCs w:val="16"/>
          <w:color w:val="auto"/>
        </w:rPr>
      </w:pPr>
    </w:p>
    <w:p>
      <w:pPr>
        <w:ind w:left="332" w:hanging="332"/>
        <w:spacing w:after="0"/>
        <w:tabs>
          <w:tab w:leader="none" w:pos="33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In accepting the Option, the Optionee acknowledges, understands and agrees that:</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29"/>
        </w:numPr>
        <w:rPr>
          <w:rFonts w:ascii="Arial" w:cs="Arial" w:eastAsia="Arial" w:hAnsi="Arial"/>
          <w:sz w:val="15"/>
          <w:szCs w:val="15"/>
          <w:color w:val="auto"/>
        </w:rPr>
      </w:pPr>
      <w:r>
        <w:rPr>
          <w:rFonts w:ascii="Arial" w:cs="Arial" w:eastAsia="Arial" w:hAnsi="Arial"/>
          <w:sz w:val="15"/>
          <w:szCs w:val="15"/>
          <w:color w:val="auto"/>
        </w:rPr>
        <w:t>the Plan is established voluntarily by the Company, it is discretionary in nature, and may be amended, suspended or terminated by the Company at any time;</w:t>
      </w:r>
    </w:p>
    <w:p>
      <w:pPr>
        <w:spacing w:after="0" w:line="178" w:lineRule="exact"/>
        <w:rPr>
          <w:rFonts w:ascii="Arial" w:cs="Arial" w:eastAsia="Arial" w:hAnsi="Arial"/>
          <w:sz w:val="15"/>
          <w:szCs w:val="15"/>
          <w:color w:val="auto"/>
        </w:rPr>
      </w:pPr>
    </w:p>
    <w:p>
      <w:pPr>
        <w:ind w:left="652" w:hanging="328"/>
        <w:spacing w:after="0" w:line="275" w:lineRule="auto"/>
        <w:tabs>
          <w:tab w:leader="none" w:pos="652"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grant of the Option is voluntary and occasional and does not create any contractual or other right to receive future grants of options, or benefits in lieu of options, even if options have been granted repeatedly in the past;</w:t>
      </w:r>
    </w:p>
    <w:p>
      <w:pPr>
        <w:spacing w:after="0" w:line="118" w:lineRule="exact"/>
        <w:rPr>
          <w:rFonts w:ascii="Arial" w:cs="Arial" w:eastAsia="Arial" w:hAnsi="Arial"/>
          <w:sz w:val="16"/>
          <w:szCs w:val="16"/>
          <w:color w:val="auto"/>
        </w:rPr>
      </w:pPr>
    </w:p>
    <w:p>
      <w:pPr>
        <w:ind w:left="652" w:hanging="328"/>
        <w:spacing w:after="0"/>
        <w:tabs>
          <w:tab w:leader="none" w:pos="652"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decisions with respect to future option grants, if any, will be at the sole discretion of the Company;</w:t>
      </w:r>
    </w:p>
    <w:p>
      <w:pPr>
        <w:spacing w:after="0" w:line="167" w:lineRule="exact"/>
        <w:rPr>
          <w:rFonts w:ascii="Arial" w:cs="Arial" w:eastAsia="Arial" w:hAnsi="Arial"/>
          <w:sz w:val="16"/>
          <w:szCs w:val="16"/>
          <w:color w:val="auto"/>
        </w:rPr>
      </w:pPr>
    </w:p>
    <w:p>
      <w:pPr>
        <w:ind w:left="652" w:hanging="328"/>
        <w:spacing w:after="0" w:line="275" w:lineRule="auto"/>
        <w:tabs>
          <w:tab w:leader="none" w:pos="652"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Optionee’s participation in the Plan shall not create a right to further employment with the Employer and shall not interfere with the ability of the Employer to terminate the Optionee’s employment or service relationship (if any) at any time;</w:t>
      </w:r>
    </w:p>
    <w:p>
      <w:pPr>
        <w:spacing w:after="0" w:line="118" w:lineRule="exact"/>
        <w:rPr>
          <w:rFonts w:ascii="Arial" w:cs="Arial" w:eastAsia="Arial" w:hAnsi="Arial"/>
          <w:sz w:val="16"/>
          <w:szCs w:val="16"/>
          <w:color w:val="auto"/>
        </w:rPr>
      </w:pPr>
    </w:p>
    <w:p>
      <w:pPr>
        <w:ind w:left="652" w:hanging="328"/>
        <w:spacing w:after="0"/>
        <w:tabs>
          <w:tab w:leader="none" w:pos="652"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Optionee is voluntarily participating in the Plan;</w:t>
      </w:r>
    </w:p>
    <w:p>
      <w:pPr>
        <w:spacing w:after="0" w:line="167" w:lineRule="exact"/>
        <w:rPr>
          <w:rFonts w:ascii="Arial" w:cs="Arial" w:eastAsia="Arial" w:hAnsi="Arial"/>
          <w:sz w:val="16"/>
          <w:szCs w:val="16"/>
          <w:color w:val="auto"/>
        </w:rPr>
      </w:pPr>
    </w:p>
    <w:p>
      <w:pPr>
        <w:jc w:val="both"/>
        <w:ind w:left="652" w:hanging="328"/>
        <w:spacing w:after="0" w:line="315" w:lineRule="auto"/>
        <w:tabs>
          <w:tab w:leader="none" w:pos="652" w:val="left"/>
        </w:tabs>
        <w:numPr>
          <w:ilvl w:val="1"/>
          <w:numId w:val="29"/>
        </w:numPr>
        <w:rPr>
          <w:rFonts w:ascii="Arial" w:cs="Arial" w:eastAsia="Arial" w:hAnsi="Arial"/>
          <w:sz w:val="14"/>
          <w:szCs w:val="14"/>
          <w:color w:val="auto"/>
        </w:rPr>
      </w:pPr>
      <w:r>
        <w:rPr>
          <w:rFonts w:ascii="Arial" w:cs="Arial" w:eastAsia="Arial" w:hAnsi="Arial"/>
          <w:sz w:val="14"/>
          <w:szCs w:val="14"/>
          <w:color w:val="auto"/>
        </w:rPr>
        <w:t>the Option and any Option Shares acquired under the Plan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or the Employer;</w:t>
      </w:r>
    </w:p>
    <w:p>
      <w:pPr>
        <w:spacing w:after="0" w:line="325" w:lineRule="exact"/>
        <w:rPr>
          <w:sz w:val="20"/>
          <w:szCs w:val="20"/>
          <w:color w:val="auto"/>
        </w:rPr>
      </w:pPr>
    </w:p>
    <w:p>
      <w:pPr>
        <w:ind w:left="4532"/>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12"/>
          </w:cols>
          <w:pgMar w:left="248" w:top="1399" w:right="239" w:bottom="1440" w:gutter="0" w:footer="0" w:header="0"/>
        </w:sectPr>
      </w:pPr>
    </w:p>
    <w:bookmarkStart w:id="51" w:name="page52"/>
    <w:bookmarkEnd w:id="51"/>
    <w:p>
      <w:pPr>
        <w:ind w:left="652" w:hanging="328"/>
        <w:spacing w:after="0" w:line="275" w:lineRule="auto"/>
        <w:tabs>
          <w:tab w:leader="none" w:pos="652" w:val="left"/>
        </w:tabs>
        <w:numPr>
          <w:ilvl w:val="1"/>
          <w:numId w:val="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the Option grant and the Optionee’s participation in the Plan will not be interpreted to form an employment or service contract or relationship with the Company or the Employer;</w:t>
      </w:r>
    </w:p>
    <w:p>
      <w:pPr>
        <w:spacing w:after="0" w:line="118" w:lineRule="exact"/>
        <w:rPr>
          <w:rFonts w:ascii="Arial" w:cs="Arial" w:eastAsia="Arial" w:hAnsi="Arial"/>
          <w:sz w:val="16"/>
          <w:szCs w:val="16"/>
          <w:color w:val="auto"/>
        </w:rPr>
      </w:pPr>
    </w:p>
    <w:p>
      <w:pPr>
        <w:ind w:left="652" w:hanging="328"/>
        <w:spacing w:after="0"/>
        <w:tabs>
          <w:tab w:leader="none" w:pos="652"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future value of the Option Shares underlying the Option is unknown and cannot be predicted with certainty;</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the underlying Option Shares do not increase in value, the Option will have no value;</w:t>
      </w:r>
    </w:p>
    <w:p>
      <w:pPr>
        <w:spacing w:after="0" w:line="167" w:lineRule="exact"/>
        <w:rPr>
          <w:rFonts w:ascii="Arial" w:cs="Arial" w:eastAsia="Arial" w:hAnsi="Arial"/>
          <w:sz w:val="16"/>
          <w:szCs w:val="16"/>
          <w:color w:val="auto"/>
        </w:rPr>
      </w:pPr>
    </w:p>
    <w:p>
      <w:pPr>
        <w:ind w:left="652" w:hanging="328"/>
        <w:spacing w:after="0"/>
        <w:tabs>
          <w:tab w:leader="none" w:pos="652" w:val="left"/>
        </w:tabs>
        <w:numPr>
          <w:ilvl w:val="1"/>
          <w:numId w:val="30"/>
        </w:numPr>
        <w:rPr>
          <w:rFonts w:ascii="Arial" w:cs="Arial" w:eastAsia="Arial" w:hAnsi="Arial"/>
          <w:sz w:val="14"/>
          <w:szCs w:val="14"/>
          <w:color w:val="auto"/>
        </w:rPr>
      </w:pPr>
      <w:r>
        <w:rPr>
          <w:rFonts w:ascii="Arial" w:cs="Arial" w:eastAsia="Arial" w:hAnsi="Arial"/>
          <w:sz w:val="14"/>
          <w:szCs w:val="14"/>
          <w:color w:val="auto"/>
        </w:rPr>
        <w:t>if the Optionee exercises the Option and acquires Option Shares, the value of such Option Shares may increase or decrease in value, even below the Exercise Price;</w:t>
      </w:r>
    </w:p>
    <w:p>
      <w:pPr>
        <w:spacing w:after="0" w:line="190" w:lineRule="exact"/>
        <w:rPr>
          <w:rFonts w:ascii="Arial" w:cs="Arial" w:eastAsia="Arial" w:hAnsi="Arial"/>
          <w:sz w:val="14"/>
          <w:szCs w:val="14"/>
          <w:color w:val="auto"/>
        </w:rPr>
      </w:pPr>
    </w:p>
    <w:p>
      <w:pPr>
        <w:ind w:left="652" w:hanging="328"/>
        <w:spacing w:after="0"/>
        <w:tabs>
          <w:tab w:leader="none" w:pos="652" w:val="left"/>
        </w:tabs>
        <w:numPr>
          <w:ilvl w:val="1"/>
          <w:numId w:val="30"/>
        </w:numPr>
        <w:rPr>
          <w:rFonts w:ascii="Arial" w:cs="Arial" w:eastAsia="Arial" w:hAnsi="Arial"/>
          <w:sz w:val="16"/>
          <w:szCs w:val="16"/>
          <w:color w:val="auto"/>
        </w:rPr>
      </w:pPr>
      <w:r>
        <w:rPr>
          <w:rFonts w:ascii="Arial" w:cs="Arial" w:eastAsia="Arial" w:hAnsi="Arial"/>
          <w:sz w:val="16"/>
          <w:szCs w:val="16"/>
          <w:color w:val="auto"/>
        </w:rPr>
        <w:t>for Optionees who reside outside the U.S., the following additional provisions shall apply:</w:t>
      </w:r>
    </w:p>
    <w:p>
      <w:pPr>
        <w:spacing w:after="0" w:line="167" w:lineRule="exact"/>
        <w:rPr>
          <w:rFonts w:ascii="Arial" w:cs="Arial" w:eastAsia="Arial" w:hAnsi="Arial"/>
          <w:sz w:val="16"/>
          <w:szCs w:val="16"/>
          <w:color w:val="auto"/>
        </w:rPr>
      </w:pPr>
    </w:p>
    <w:p>
      <w:pPr>
        <w:ind w:left="1292" w:hanging="320"/>
        <w:spacing w:after="0"/>
        <w:tabs>
          <w:tab w:leader="none" w:pos="1292"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Option and any Option Shares acquired under the Plan are not intended to replace any pension rights or compensation;</w:t>
      </w:r>
    </w:p>
    <w:p>
      <w:pPr>
        <w:spacing w:after="0" w:line="167" w:lineRule="exact"/>
        <w:rPr>
          <w:rFonts w:ascii="Arial" w:cs="Arial" w:eastAsia="Arial" w:hAnsi="Arial"/>
          <w:sz w:val="16"/>
          <w:szCs w:val="16"/>
          <w:color w:val="auto"/>
        </w:rPr>
      </w:pPr>
    </w:p>
    <w:p>
      <w:pPr>
        <w:ind w:left="1292" w:hanging="320"/>
        <w:spacing w:after="0" w:line="275" w:lineRule="auto"/>
        <w:tabs>
          <w:tab w:leader="none" w:pos="1292"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Option and any Option Shares acquired under the Plan are extraordinary items that do not constitute compensation of any kind for services of any kind rendered to the Company or the Employer, and which is outside the scope of the Optionee’s employment or service contract, if any;</w:t>
      </w:r>
    </w:p>
    <w:p>
      <w:pPr>
        <w:spacing w:after="0" w:line="118" w:lineRule="exact"/>
        <w:rPr>
          <w:rFonts w:ascii="Arial" w:cs="Arial" w:eastAsia="Arial" w:hAnsi="Arial"/>
          <w:sz w:val="16"/>
          <w:szCs w:val="16"/>
          <w:color w:val="auto"/>
        </w:rPr>
      </w:pPr>
    </w:p>
    <w:p>
      <w:pPr>
        <w:jc w:val="both"/>
        <w:ind w:left="1292" w:hanging="320"/>
        <w:spacing w:after="0" w:line="261" w:lineRule="auto"/>
        <w:tabs>
          <w:tab w:leader="none" w:pos="1292" w:val="left"/>
        </w:tabs>
        <w:numPr>
          <w:ilvl w:val="2"/>
          <w:numId w:val="30"/>
        </w:numPr>
        <w:rPr>
          <w:rFonts w:ascii="Arial" w:cs="Arial" w:eastAsia="Arial" w:hAnsi="Arial"/>
          <w:sz w:val="16"/>
          <w:szCs w:val="16"/>
          <w:color w:val="auto"/>
        </w:rPr>
      </w:pPr>
      <w:r>
        <w:rPr>
          <w:rFonts w:ascii="Arial" w:cs="Arial" w:eastAsia="Arial" w:hAnsi="Arial"/>
          <w:sz w:val="16"/>
          <w:szCs w:val="16"/>
          <w:color w:val="auto"/>
        </w:rPr>
        <w:t>the Optionee acknowledges and agrees that neither the Company nor the Employer shall be liable for any foreign exchange rate fluctuation between the Optionee’s local currency and the United States Dollar that may affect the value of the Option or of any amounts due to the Optionee pursuant to the exercise of the Option or the subsequent sale of any Option Shares acquired upon exercise; and</w:t>
      </w:r>
    </w:p>
    <w:p>
      <w:pPr>
        <w:spacing w:after="0" w:line="129" w:lineRule="exact"/>
        <w:rPr>
          <w:rFonts w:ascii="Arial" w:cs="Arial" w:eastAsia="Arial" w:hAnsi="Arial"/>
          <w:sz w:val="16"/>
          <w:szCs w:val="16"/>
          <w:color w:val="auto"/>
        </w:rPr>
      </w:pPr>
    </w:p>
    <w:p>
      <w:pPr>
        <w:jc w:val="both"/>
        <w:ind w:left="1292" w:hanging="320"/>
        <w:spacing w:after="0" w:line="272" w:lineRule="auto"/>
        <w:tabs>
          <w:tab w:leader="none" w:pos="1292" w:val="left"/>
        </w:tabs>
        <w:numPr>
          <w:ilvl w:val="2"/>
          <w:numId w:val="30"/>
        </w:numPr>
        <w:rPr>
          <w:rFonts w:ascii="Arial" w:cs="Arial" w:eastAsia="Arial" w:hAnsi="Arial"/>
          <w:sz w:val="15"/>
          <w:szCs w:val="15"/>
          <w:color w:val="auto"/>
        </w:rPr>
      </w:pPr>
      <w:r>
        <w:rPr>
          <w:rFonts w:ascii="Arial" w:cs="Arial" w:eastAsia="Arial" w:hAnsi="Arial"/>
          <w:sz w:val="15"/>
          <w:szCs w:val="15"/>
          <w:color w:val="auto"/>
        </w:rPr>
        <w:t>no claim or entitlement to compensation or damages shall arise from forfeiture of the Option resulting from termination of the Optionee’s employment by the Company or the Employer (for any reason whatsoever and whether or not in breach of local labor laws) and in consideration of the grant of the Option to which the Optionee is otherwise not entitled, the Optionee irrevocably agrees never to institute any claim against the Company or the Employer, waive his or her ability, if any, to bring any such claim, and release the Company and the Employer from any such claim; if, notwithstanding the foregoing, any such claim is allowed by a court of competent jurisdiction, then, by participating in the Plan, the Optionee shall be deemed irrevocably to have agreed not to pursue such claim and agree to execute any and all documents necessary to request dismissal or withdrawal of such claims.</w:t>
      </w:r>
    </w:p>
    <w:p>
      <w:pPr>
        <w:spacing w:after="0" w:line="123" w:lineRule="exact"/>
        <w:rPr>
          <w:rFonts w:ascii="Arial" w:cs="Arial" w:eastAsia="Arial" w:hAnsi="Arial"/>
          <w:sz w:val="15"/>
          <w:szCs w:val="15"/>
          <w:color w:val="auto"/>
        </w:rPr>
      </w:pPr>
    </w:p>
    <w:p>
      <w:pPr>
        <w:jc w:val="both"/>
        <w:ind w:left="332" w:hanging="332"/>
        <w:spacing w:after="0" w:line="261" w:lineRule="auto"/>
        <w:tabs>
          <w:tab w:leader="none" w:pos="332"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 Advice Regarding Grant</w:t>
      </w:r>
      <w:r>
        <w:rPr>
          <w:rFonts w:ascii="Arial" w:cs="Arial" w:eastAsia="Arial" w:hAnsi="Arial"/>
          <w:sz w:val="16"/>
          <w:szCs w:val="16"/>
          <w:color w:val="auto"/>
        </w:rPr>
        <w:t>. The Company is not providing any tax, legal or financial advice, nor is the Company making any recommendations regarding the Optionee’s participation in the Plan, or the Optionee’s acquisition or sale of the underlying Option Shares. The Optionee is hereby advised to consult with his or her own personal tax, legal and financial advisors regarding his or her participation in the Plan before taking any action related to the Plan.</w:t>
      </w:r>
    </w:p>
    <w:p>
      <w:pPr>
        <w:spacing w:after="0" w:line="129" w:lineRule="exact"/>
        <w:rPr>
          <w:rFonts w:ascii="Arial" w:cs="Arial" w:eastAsia="Arial" w:hAnsi="Arial"/>
          <w:sz w:val="16"/>
          <w:szCs w:val="16"/>
          <w:color w:val="auto"/>
        </w:rPr>
      </w:pPr>
    </w:p>
    <w:p>
      <w:pPr>
        <w:jc w:val="both"/>
        <w:ind w:left="332" w:hanging="332"/>
        <w:spacing w:after="0" w:line="286" w:lineRule="auto"/>
        <w:tabs>
          <w:tab w:leader="none" w:pos="332" w:val="left"/>
        </w:tabs>
        <w:numPr>
          <w:ilvl w:val="0"/>
          <w:numId w:val="31"/>
        </w:numPr>
        <w:rPr>
          <w:rFonts w:ascii="Arial" w:cs="Arial" w:eastAsia="Arial" w:hAnsi="Arial"/>
          <w:sz w:val="15"/>
          <w:szCs w:val="15"/>
          <w:color w:val="auto"/>
        </w:rPr>
      </w:pPr>
      <w:r>
        <w:rPr>
          <w:rFonts w:ascii="Arial" w:cs="Arial" w:eastAsia="Arial" w:hAnsi="Arial"/>
          <w:sz w:val="15"/>
          <w:szCs w:val="15"/>
          <w:i w:val="1"/>
          <w:iCs w:val="1"/>
          <w:u w:val="single" w:color="auto"/>
          <w:color w:val="auto"/>
        </w:rPr>
        <w:t>Data Privacy</w:t>
      </w:r>
      <w:r>
        <w:rPr>
          <w:rFonts w:ascii="Arial" w:cs="Arial" w:eastAsia="Arial" w:hAnsi="Arial"/>
          <w:sz w:val="15"/>
          <w:szCs w:val="15"/>
          <w:i w:val="1"/>
          <w:iCs w:val="1"/>
          <w:color w:val="auto"/>
        </w:rPr>
        <w:t>. This Section 10 applies if the Optionee resides outside the U.S.: The Optionee hereby explicitly and unambiguously consents to the collection, use and transfer, in electronic or other form, of the Optionee’s personal data as described in this Agreement and any other Option grant materials by and among, as applicable, the Employer, the Company and its subsidiaries for the exclusive purpose of implementing, administering and managing the Optionee’s participation in the Plan.</w:t>
      </w:r>
    </w:p>
    <w:p>
      <w:pPr>
        <w:spacing w:after="0" w:line="112" w:lineRule="exact"/>
        <w:rPr>
          <w:rFonts w:ascii="Arial" w:cs="Arial" w:eastAsia="Arial" w:hAnsi="Arial"/>
          <w:sz w:val="15"/>
          <w:szCs w:val="15"/>
          <w:color w:val="auto"/>
        </w:rPr>
      </w:pPr>
    </w:p>
    <w:p>
      <w:pPr>
        <w:jc w:val="both"/>
        <w:ind w:left="332"/>
        <w:spacing w:after="0" w:line="256" w:lineRule="auto"/>
        <w:rPr>
          <w:rFonts w:ascii="Arial" w:cs="Arial" w:eastAsia="Arial" w:hAnsi="Arial"/>
          <w:sz w:val="15"/>
          <w:szCs w:val="15"/>
          <w:color w:val="auto"/>
        </w:rPr>
      </w:pPr>
      <w:r>
        <w:rPr>
          <w:rFonts w:ascii="Arial" w:cs="Arial" w:eastAsia="Arial" w:hAnsi="Arial"/>
          <w:sz w:val="16"/>
          <w:szCs w:val="16"/>
          <w:i w:val="1"/>
          <w:iCs w:val="1"/>
          <w:color w:val="auto"/>
        </w:rPr>
        <w:t>The Optionee understands that the Company and the Employer may hold certain personal information about the Optionee, including, but not limited to, the Optionee’s name, home address and telephone number, date of birth, social insurance number or other identification number, salary, nationality, job title, any shares of stock or directorships held in the Company, details of all Options or any other entitlement to shares of stock awarded, canceled, exercised, vested, unvested or outstanding in the Optionee’s favor, for the exclusive purpose of implementing, administering and managing the Plan (“Data”).</w:t>
      </w:r>
    </w:p>
    <w:p>
      <w:pPr>
        <w:spacing w:after="0" w:line="133" w:lineRule="exact"/>
        <w:rPr>
          <w:rFonts w:ascii="Arial" w:cs="Arial" w:eastAsia="Arial" w:hAnsi="Arial"/>
          <w:sz w:val="15"/>
          <w:szCs w:val="15"/>
          <w:color w:val="auto"/>
        </w:rPr>
      </w:pPr>
    </w:p>
    <w:p>
      <w:pPr>
        <w:jc w:val="both"/>
        <w:ind w:left="332"/>
        <w:spacing w:after="0" w:line="250" w:lineRule="auto"/>
        <w:rPr>
          <w:rFonts w:ascii="Arial" w:cs="Arial" w:eastAsia="Arial" w:hAnsi="Arial"/>
          <w:sz w:val="15"/>
          <w:szCs w:val="15"/>
          <w:color w:val="auto"/>
        </w:rPr>
      </w:pPr>
      <w:r>
        <w:rPr>
          <w:rFonts w:ascii="Arial" w:cs="Arial" w:eastAsia="Arial" w:hAnsi="Arial"/>
          <w:sz w:val="16"/>
          <w:szCs w:val="16"/>
          <w:i w:val="1"/>
          <w:iCs w:val="1"/>
          <w:color w:val="auto"/>
        </w:rPr>
        <w:t>The Optionee understands that Data will be transferred to such other stock plan service provider as may be selected by the Company that assists the Company with the implementation, administration and management of the Plan. The Optionee understands that the recipients of the Data may be located in the United States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the Optionee’s local human resources representative. The Optionee authorizes the Company, the stock plan service provider,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his or her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w:t>
      </w:r>
    </w:p>
    <w:p>
      <w:pPr>
        <w:spacing w:after="0" w:line="368" w:lineRule="exact"/>
        <w:rPr>
          <w:sz w:val="20"/>
          <w:szCs w:val="20"/>
          <w:color w:val="auto"/>
        </w:rPr>
      </w:pPr>
    </w:p>
    <w:p>
      <w:pPr>
        <w:ind w:left="4532"/>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12"/>
          </w:cols>
          <w:pgMar w:left="248" w:top="1399" w:right="239" w:bottom="1440" w:gutter="0" w:footer="0" w:header="0"/>
        </w:sectPr>
      </w:pPr>
    </w:p>
    <w:bookmarkStart w:id="52" w:name="page53"/>
    <w:bookmarkEnd w:id="52"/>
    <w:p>
      <w:pPr>
        <w:jc w:val="both"/>
        <w:ind w:left="340"/>
        <w:spacing w:after="0" w:line="256"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Data, require any necessary amendments to Data or refuse or withdraw the consents herein, in any case without cost, by contacting in writing his or her local human resources representative. The Optionee understands, however,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133" w:lineRule="exact"/>
        <w:rPr>
          <w:sz w:val="20"/>
          <w:szCs w:val="20"/>
          <w:color w:val="auto"/>
        </w:rPr>
      </w:pPr>
    </w:p>
    <w:p>
      <w:pPr>
        <w:ind w:left="340" w:right="20" w:hanging="332"/>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Compliance with Law</w:t>
      </w:r>
      <w:r>
        <w:rPr>
          <w:rFonts w:ascii="Arial" w:cs="Arial" w:eastAsia="Arial" w:hAnsi="Arial"/>
          <w:sz w:val="16"/>
          <w:szCs w:val="16"/>
          <w:color w:val="auto"/>
        </w:rPr>
        <w:t>. Notwithstanding any other provision of the Plan or this Agreement, unless there is an available exemption from any registration, qualification or other legal requirement applicable to the Option Shares, the Company shall not be required to deliver any shares issuable upon exercise of the Option prior to the completion of any registration or qualification of the Option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Option Shares with the SEC or any state or foreign securities commission or to seek approval or clearance from any governmental authority for the issuance or sale of the Option Shares. Further, the Optionee agrees that the Company shall have unilateral authority to amend the Plan and this Agreement without the Optionee’s consent to the extent necessary to comply with securities or other laws applicable to issuance of Option Shares.</w:t>
      </w:r>
    </w:p>
    <w:p>
      <w:pPr>
        <w:spacing w:after="0" w:line="138" w:lineRule="exact"/>
        <w:rPr>
          <w:rFonts w:ascii="Arial" w:cs="Arial" w:eastAsia="Arial" w:hAnsi="Arial"/>
          <w:sz w:val="16"/>
          <w:szCs w:val="16"/>
          <w:color w:val="auto"/>
        </w:rPr>
      </w:pPr>
    </w:p>
    <w:p>
      <w:pPr>
        <w:jc w:val="both"/>
        <w:ind w:left="340" w:hanging="332"/>
        <w:spacing w:after="0" w:line="26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Electronic Delivery</w:t>
      </w:r>
      <w:r>
        <w:rPr>
          <w:rFonts w:ascii="Arial" w:cs="Arial" w:eastAsia="Arial" w:hAnsi="Arial"/>
          <w:sz w:val="16"/>
          <w:szCs w:val="16"/>
          <w:color w:val="auto"/>
        </w:rPr>
        <w:t>. 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or electronic system established and maintained by the Company or a third party designated by the Company.</w:t>
      </w:r>
    </w:p>
    <w:p>
      <w:pPr>
        <w:spacing w:after="0" w:line="129" w:lineRule="exact"/>
        <w:rPr>
          <w:rFonts w:ascii="Arial" w:cs="Arial" w:eastAsia="Arial" w:hAnsi="Arial"/>
          <w:sz w:val="16"/>
          <w:szCs w:val="16"/>
          <w:color w:val="auto"/>
        </w:rPr>
      </w:pPr>
    </w:p>
    <w:p>
      <w:pPr>
        <w:ind w:left="340" w:hanging="332"/>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Language</w:t>
      </w:r>
      <w:r>
        <w:rPr>
          <w:rFonts w:ascii="Arial" w:cs="Arial" w:eastAsia="Arial" w:hAnsi="Arial"/>
          <w:sz w:val="16"/>
          <w:szCs w:val="16"/>
          <w:color w:val="auto"/>
        </w:rPr>
        <w:t>. If the Optionee has received this Agreement, or any other document related to the Option and/or the Plan translated into a language other than English and if the meaning of the translated version is different than the English version, the English version will control.</w:t>
      </w:r>
    </w:p>
    <w:p>
      <w:pPr>
        <w:spacing w:after="0" w:line="118" w:lineRule="exact"/>
        <w:rPr>
          <w:rFonts w:ascii="Arial" w:cs="Arial" w:eastAsia="Arial" w:hAnsi="Arial"/>
          <w:sz w:val="16"/>
          <w:szCs w:val="16"/>
          <w:color w:val="auto"/>
        </w:rPr>
      </w:pPr>
    </w:p>
    <w:p>
      <w:pPr>
        <w:ind w:left="340" w:right="20" w:hanging="332"/>
        <w:spacing w:after="0" w:line="275"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18" w:lineRule="exact"/>
        <w:rPr>
          <w:rFonts w:ascii="Arial" w:cs="Arial" w:eastAsia="Arial" w:hAnsi="Arial"/>
          <w:sz w:val="16"/>
          <w:szCs w:val="16"/>
          <w:color w:val="auto"/>
        </w:rPr>
      </w:pPr>
    </w:p>
    <w:p>
      <w:pPr>
        <w:jc w:val="both"/>
        <w:ind w:left="340" w:hanging="332"/>
        <w:spacing w:after="0" w:line="256"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Appendix</w:t>
      </w:r>
      <w:r>
        <w:rPr>
          <w:rFonts w:ascii="Arial" w:cs="Arial" w:eastAsia="Arial" w:hAnsi="Arial"/>
          <w:sz w:val="16"/>
          <w:szCs w:val="16"/>
          <w:color w:val="auto"/>
        </w:rPr>
        <w:t>. The Option shall be subject to any special provisions set forth in the Appendix for the Optionee’s country of residence, if any. If the Optionee relocates to one of the countries included in the Appendix during the life of the Option, the special provisions for such country shall apply to the Optionee, to the extent the Company determines that the application of such provisions is necessary or advisable in order to comply with local law or facilitate the administration of the Plan. The Appendix constitutes part of this Agreement.</w:t>
      </w:r>
    </w:p>
    <w:p>
      <w:pPr>
        <w:spacing w:after="0" w:line="133" w:lineRule="exact"/>
        <w:rPr>
          <w:rFonts w:ascii="Arial" w:cs="Arial" w:eastAsia="Arial" w:hAnsi="Arial"/>
          <w:sz w:val="16"/>
          <w:szCs w:val="16"/>
          <w:color w:val="auto"/>
        </w:rPr>
      </w:pPr>
    </w:p>
    <w:p>
      <w:pPr>
        <w:jc w:val="both"/>
        <w:ind w:left="340" w:right="20" w:hanging="332"/>
        <w:spacing w:after="0" w:line="261"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Option and the Option Shares purchased upon exercise of the Option, to the extent the Company determines it is necessary or advisable in order to comply with local laws or facilitate the administration of the Plan, and to require the Optionee to sign any additional agreements or undertakings that may be necessary to accomplish the foregoing.</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 copy of the Plan prospectus is available on the Company’s Intranet at http://signals.corpnt.analog.com/default.aspx. (From Signals home page, click Knowledge Centers, HR, Employee Stock Programs. The related documents can be found in the right-hand column.) If the Optionee is unable to access this information via the Intranet, ADI’s or the Optionee’s regional stock plan administrator can provide the Optionee with copies.</w:t>
      </w:r>
    </w:p>
    <w:p>
      <w:pPr>
        <w:sectPr>
          <w:pgSz w:w="11900" w:h="16838" w:orient="portrait"/>
          <w:cols w:equalWidth="0" w:num="1">
            <w:col w:w="11420"/>
          </w:cols>
          <w:pgMar w:left="240" w:top="1399" w:right="23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Ray Stata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Vincent T. Roche</w:t>
      </w:r>
    </w:p>
    <w:p>
      <w:pPr>
        <w:spacing w:after="0" w:line="109" w:lineRule="exact"/>
        <w:rPr>
          <w:sz w:val="20"/>
          <w:szCs w:val="20"/>
          <w:color w:val="auto"/>
        </w:rPr>
      </w:pPr>
    </w:p>
    <w:p>
      <w:pPr>
        <w:sectPr>
          <w:pgSz w:w="11900" w:h="16838" w:orient="portrait"/>
          <w:cols w:equalWidth="0" w:num="2">
            <w:col w:w="6620" w:space="720"/>
            <w:col w:w="4080"/>
          </w:cols>
          <w:pgMar w:left="240" w:top="1399"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ectPr>
          <w:pgSz w:w="11900" w:h="16838" w:orient="portrait"/>
          <w:cols w:equalWidth="0" w:num="2">
            <w:col w:w="6620" w:space="720"/>
            <w:col w:w="4080"/>
          </w:cols>
          <w:pgMar w:left="240" w:top="139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1399" w:right="239" w:bottom="1440" w:gutter="0" w:footer="0" w:header="0"/>
          <w:type w:val="continuous"/>
        </w:sectPr>
      </w:pPr>
    </w:p>
    <w:bookmarkStart w:id="53" w:name="page54"/>
    <w:bookmarkEnd w:id="53"/>
    <w:p>
      <w:pPr>
        <w:jc w:val="center"/>
        <w:ind w:right="3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221"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NON-QUALIFIED STOCK OPTION AGREEMENT</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Appendix A includes additional terms and conditions that govern the Options granted to the Optionee if the Optionee resides in one of the countries listed herein. These terms and conditions are in addition to, or, if so indicated, in place of, the terms and conditions set forth in the Agreement. Capitalized terms used but not defined shall have the same meanings as set forth in the Plan and/or the Agreement.</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Appendix A also includes certain issues of which the Optionee should be aware with respect to his or her participation in the Plan. The information is based on the securities, exchange control, income tax and other laws in effect in the respective countries as of January 2012. Such laws are often complex and change frequently. As a result, the Company strongly recommends that the Optionee not rely on the information noted herein as the only source of information relating to the consequences of participation in the Plan because the information may be out of date when the Optionee exercises the Options or when the Option Shares purchased under the Plan are subsequently sold.</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Optionee’s particular situation, and the Company is not in a position to assure the Optionee of any particular result. Therefore, the Optionee is advised to seek appropriate professional advice as to how the relevant laws in the Optionee’s country may apply to his or her situation.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Finally, the Optionee understands that if he or she is a citizen or resident of a country other than the one in which the Optionee is currently working, transfers employment after the Date of Grant, or is considered a resident of another country for local law purposes, the information contained herein may not apply to the Optionee, and the Company shall, in its discretion, determine to what extent the terms and conditions contained herein shall apply.</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AUSTRIA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BELGIUM</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Taxation of Option</w:t>
      </w:r>
      <w:r>
        <w:rPr>
          <w:rFonts w:ascii="Arial" w:cs="Arial" w:eastAsia="Arial" w:hAnsi="Arial"/>
          <w:sz w:val="16"/>
          <w:szCs w:val="16"/>
          <w:color w:val="auto"/>
        </w:rPr>
        <w:t>. The Option must be accepted in writing either (i) within 60 days of the offer (for tax at offer), or (ii) after 60 days of the offer (for tax at exercise). The Optionee has received a separate offer letter, acceptance form and undertaking form in addition to the Agreement. The Optionee should refer to the offer letter for a more detailed description of the tax consequences of choosing to accept the Option. The Optionee should consult with his or her personal tax advisor regarding completion of the additional forms.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Section 10 of the Agreement: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Optionee hereby authorizes the Company and the Company’s representatives to discuss with and obtain all relevant information from all personnel, professional or not, involved in the administration and operation of the Plan. The Optionee further authorizes the Company and the administrator of the Plan to disclose and discuss the Plan with their advisors. The Optionee further authorizes the Company and the Employer to record such information and to keep such information in the Optionee’s employee file.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Payment of Exercise Price and Withholding Taxes</w:t>
      </w:r>
      <w:r>
        <w:rPr>
          <w:rFonts w:ascii="Arial" w:cs="Arial" w:eastAsia="Arial" w:hAnsi="Arial"/>
          <w:sz w:val="16"/>
          <w:szCs w:val="16"/>
          <w:color w:val="auto"/>
        </w:rPr>
        <w:t>. Notwithstanding anything in the Agreement or the Plan, the Optionee agrees to pay the Exercise Price and any Tax-Related Items solely by means of (i) cash, which may be paid by check, or other instrument acceptable to the Company or (ii) a broker-assisted cashless exercise, whereby the broker sells some or all of the Option Shares to be issued upon exercise to pay the Exercise Price, brokerage fees and any applicable Tax-Related Items. To the extent that tax regulatory requirements change, the Company reserves the right to permit the Optionee to exercise the Option and pay the Exercise Price and any applicable Tax-Related Items in Option Shares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080"/>
          </w:cols>
          <w:pgMar w:left="580" w:top="1395"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CHINA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The following supplements Section 4 of the Agreement:</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Due to regulatory requirements in the PRC, the Optionee will be required to exercise the Option using a broker assisted cashless sell-all exercise method pursuant to which all Option Shares subject to the exercised Option will be sold immediately upon exercise and the proceeds of sale, less any broker’s fees or commissions, will be remitted to the Optionee. The Optionee will not be permitted to hold Option Shares after exercise. The Optionee understands and agrees that the Tax-Related Items with respect to the exercise of the Options may be taken by Employer from the Optionee’s salary or other cash compensation. The Optionee acknowledges that the Company’s designated broker is under no obligation to arrange for the sale of the Option Shares pursuant to the cashless sell-all exercise method at any particular price. The Company reserves the right to provide additional methods of exercise depending on the development of local law.</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if the Optionee is a PRC national he or she will be required to repatriate the proceeds from the cashless sell-all exercise to the PRC. The Optionee understands and agrees that such cash proceeds must be repatriated to the PRC through a special exchange control account established by the Company, the Employer, or a subsidiary of the Company, and the Optionee hereby consents and agrees that any proceeds from the sale of Option Shares may be transferred to such special account prior to being delivered to the Optionee.</w:t>
      </w:r>
    </w:p>
    <w:p>
      <w:pPr>
        <w:spacing w:after="0" w:line="160"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Further, notwithstanding Section 3(e) or Section (g) of the Agreement, if the Optionee terminates employment with the Company or the Employer due to death or disability, the vesting of the Option shall terminate on the date of such termination, and the Option Shares that are vested on the date of such termination shall continue to be exercisable for a period of three (3) months following such termination date. If the Optionee or the Optionee’s heirs do not exercise the Option within three (3) months of the Optionee’s termination due to death or disability, the Option will be forfeited and the Optionee or the Optionee’s heirs will not be able to exercise the Option.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Optionee understands and agrees that there will be a delay between the date the Option Shares are sold and the date the cash proceeds are distributed to the Optionee. The Optionee also understands and agrees that the Company is not responsible for any currency fluctuation that may occur between the date the Option Shares are sold and the date the cash proceeds are distributed to the Optionee. The Optionee further agrees to comply with any other requirements that may be imposed by the Company in the future to facilitate compliance with exchange control requirements in the PRC.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DENMARK</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By participating in the Plan, the Optionee acknowledges that he or she received an Employer Statement translated into Danish, which is being provided to comply with the Danish Stock Option Act. To the extent more favorable to the Optionee, the terms set forth in the Employer Statement will apply to the Optionee’s participation in the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of Grant</w:t>
      </w:r>
      <w:r>
        <w:rPr>
          <w:rFonts w:ascii="Arial" w:cs="Arial" w:eastAsia="Arial" w:hAnsi="Arial"/>
          <w:sz w:val="16"/>
          <w:szCs w:val="16"/>
          <w:color w:val="auto"/>
        </w:rPr>
        <w:t>. This provision supplements Section 8 in the Agreement:</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Option, the Optionee acknowledges, understands and agrees that this grant relates to future services to be performed and is not a bonus or compensation for past services.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FRANCE</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4"/>
          <w:szCs w:val="14"/>
          <w:u w:val="single" w:color="auto"/>
          <w:color w:val="auto"/>
        </w:rPr>
        <w:t>French Qualified Option</w:t>
      </w:r>
      <w:r>
        <w:rPr>
          <w:rFonts w:ascii="Arial" w:cs="Arial" w:eastAsia="Arial" w:hAnsi="Arial"/>
          <w:sz w:val="14"/>
          <w:szCs w:val="14"/>
          <w:color w:val="auto"/>
        </w:rPr>
        <w:t>. This Option is intended to qualify for favorable tax and social security treatment applicable to stock options granted under Section L.225-177 to L.225-186-1 of the French Commercial Code, as amended and in accordance with the relevant provisions set forth by the French tax and social security laws and the French tax and social security administrations. The Company does not undertake to maintain the qualified status of this Option. The Optionee understands and agrees that he or she will be responsible for paying personal income tax and the Optionee’s portion of social security contributions resulting from the exercise of this Option in the event this Option loses its qualified status and the Optionee will not be entitled to any damages if the Option no longer qualifies as French-qualified Option.</w:t>
      </w:r>
    </w:p>
    <w:p>
      <w:pPr>
        <w:spacing w:after="0" w:line="33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1080"/>
          </w:cols>
          <w:pgMar w:left="580" w:top="1395" w:right="239" w:bottom="1440" w:gutter="0" w:footer="0" w:header="0"/>
        </w:sectPr>
      </w:pPr>
    </w:p>
    <w:bookmarkStart w:id="55" w:name="page56"/>
    <w:bookmarkEnd w:id="55"/>
    <w:p>
      <w:pPr>
        <w:jc w:val="both"/>
        <w:spacing w:after="0" w:line="26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Plan Terms</w:t>
      </w:r>
      <w:r>
        <w:rPr>
          <w:rFonts w:ascii="Arial" w:cs="Arial" w:eastAsia="Arial" w:hAnsi="Arial"/>
          <w:sz w:val="16"/>
          <w:szCs w:val="16"/>
          <w:color w:val="auto"/>
        </w:rPr>
        <w:t>. The Options are subject to the terms and conditions of the Plan and the Rules of the Analog Devices, Inc. 2006 Stock Incentive Plan for Grants of Options to Optionees in France (the “French Sub-plan”). To the extent that any term is defined in both the Plan and the French Sub-plan, for purposes of this grant of a French-qualified Option, the definitions in the French Sub-plan shall prevail.</w:t>
      </w:r>
    </w:p>
    <w:p>
      <w:pPr>
        <w:spacing w:after="0" w:line="129" w:lineRule="exact"/>
        <w:rPr>
          <w:sz w:val="20"/>
          <w:szCs w:val="20"/>
          <w:color w:val="auto"/>
        </w:rPr>
      </w:pPr>
    </w:p>
    <w:p>
      <w:pPr>
        <w:jc w:val="both"/>
        <w:spacing w:after="0" w:line="349" w:lineRule="auto"/>
        <w:rPr>
          <w:sz w:val="20"/>
          <w:szCs w:val="20"/>
          <w:color w:val="auto"/>
        </w:rPr>
      </w:pPr>
      <w:r>
        <w:rPr>
          <w:rFonts w:ascii="Arial" w:cs="Arial" w:eastAsia="Arial" w:hAnsi="Arial"/>
          <w:sz w:val="14"/>
          <w:szCs w:val="14"/>
          <w:u w:val="single" w:color="auto"/>
          <w:color w:val="auto"/>
        </w:rPr>
        <w:t>Option Exercise Price Per Share</w:t>
      </w:r>
      <w:r>
        <w:rPr>
          <w:rFonts w:ascii="Arial" w:cs="Arial" w:eastAsia="Arial" w:hAnsi="Arial"/>
          <w:sz w:val="14"/>
          <w:szCs w:val="14"/>
          <w:color w:val="auto"/>
        </w:rPr>
        <w:t>. With respect to Section 1 of the Agreement, the Date of Grant shall be the Effective Grant Date set forth in the French Sub-plan and the Option Exercise Price Per Share as of the Effective Grant Date shall be no less than the minimum amount required under French law as set forth in the French Sub-plan.</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Exercise of the Option</w:t>
      </w:r>
      <w:r>
        <w:rPr>
          <w:rFonts w:ascii="Arial" w:cs="Arial" w:eastAsia="Arial" w:hAnsi="Arial"/>
          <w:sz w:val="16"/>
          <w:szCs w:val="16"/>
          <w:color w:val="auto"/>
        </w:rPr>
        <w:t>. This provision replaces Section 2 of the Agreement:</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Subject to the Optionee’s continued employment, the Option will vest and become exercisable with respect to 100% of the Option Shares on the fourth anniversary of the Effective Grant Date.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Expiration</w:t>
      </w:r>
      <w:r>
        <w:rPr>
          <w:rFonts w:ascii="Arial" w:cs="Arial" w:eastAsia="Arial" w:hAnsi="Arial"/>
          <w:sz w:val="16"/>
          <w:szCs w:val="16"/>
          <w:color w:val="auto"/>
        </w:rPr>
        <w:t>. This provision replaces Section 3(c) of the Agreement: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Notwithstanding Section 3(a) of the Agreement, the Option will expire 9½ years after the Effective Grant Date ({FRENCHEXPDATE}), as defined in the French Sub-plan.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Termination Upon Death</w:t>
      </w:r>
      <w:r>
        <w:rPr>
          <w:rFonts w:ascii="Arial" w:cs="Arial" w:eastAsia="Arial" w:hAnsi="Arial"/>
          <w:sz w:val="16"/>
          <w:szCs w:val="16"/>
          <w:color w:val="auto"/>
        </w:rPr>
        <w:t>. This provision replaces Section 3(e) of the Agreement:</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If the Optionee’s employment is terminated because of death, the Optionee’s the unvested portion of Optionee’s Option will immediately vest and become exercisable by the Optionee’s estate or heirs on the termination date for a period of six (6) months following the Optionee’s death. If the Optionee’s heirs do not exercise the Option within six (6) months of the Optionee’s death, the Option will be forfeited and the Optionee’s heirs will not be able to exercise the Option.</w:t>
      </w:r>
    </w:p>
    <w:p>
      <w:pPr>
        <w:spacing w:after="0" w:line="167" w:lineRule="exact"/>
        <w:rPr>
          <w:sz w:val="20"/>
          <w:szCs w:val="20"/>
          <w:color w:val="auto"/>
        </w:rPr>
      </w:pPr>
    </w:p>
    <w:p>
      <w:pPr>
        <w:jc w:val="both"/>
        <w:spacing w:after="0" w:line="310" w:lineRule="auto"/>
        <w:rPr>
          <w:sz w:val="20"/>
          <w:szCs w:val="20"/>
          <w:color w:val="auto"/>
        </w:rPr>
      </w:pPr>
      <w:r>
        <w:rPr>
          <w:rFonts w:ascii="Arial" w:cs="Arial" w:eastAsia="Arial" w:hAnsi="Arial"/>
          <w:sz w:val="15"/>
          <w:szCs w:val="15"/>
          <w:u w:val="single" w:color="auto"/>
          <w:color w:val="auto"/>
        </w:rPr>
        <w:t>Language Consent</w:t>
      </w:r>
      <w:r>
        <w:rPr>
          <w:rFonts w:ascii="Arial" w:cs="Arial" w:eastAsia="Arial" w:hAnsi="Arial"/>
          <w:sz w:val="15"/>
          <w:szCs w:val="15"/>
          <w:color w:val="auto"/>
        </w:rPr>
        <w:t>. By accepting this Option, the Optionee confirms having read and understood the documents relating to this Option (e.g., the Plan, the French Sub-plan, and the Agreement, including Appendix A) which were provided in the English language. The Optionee accordingly accepts the terms of those documents.</w:t>
      </w:r>
    </w:p>
    <w:p>
      <w:pPr>
        <w:spacing w:after="0" w:line="14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u w:val="single" w:color="auto"/>
          <w:color w:val="auto"/>
        </w:rPr>
        <w:t>Consentement a la Langue</w:t>
      </w:r>
      <w:r>
        <w:rPr>
          <w:rFonts w:ascii="Arial" w:cs="Arial" w:eastAsia="Arial" w:hAnsi="Arial"/>
          <w:sz w:val="16"/>
          <w:szCs w:val="16"/>
          <w:color w:val="auto"/>
        </w:rPr>
        <w:t>. En signant et renvoyant cet Accord, ou par acceptant autrement l’Accord, le Titulaire de l’Option confirme ainsi avoir lu et compris les</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relatifs à l’Option, (c’est-à-dire, Le Plan, Le Plan pour la France et cet Accord) qui ont été fournis en langue anglaise. Le Titulaire de l’Option accepte les termes de ces documents en connaissance de cause.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HONG KONG</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Warning: The Options and Option Shares acquired upon exercise of the Options do not constitute a public offering of securities under Hong Kong law and are available only to employees of the Company. The Agreement, including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Options are intended only for the personal use of each eligible employee of the Company and may not be distributed to any other person. If the Optionee is in any doubt about any of the contents of the Agreement, including Appendix A or the Plan, the Optionee should obtain independent professional advice.</w:t>
      </w:r>
    </w:p>
    <w:p>
      <w:pPr>
        <w:spacing w:after="0" w:line="164" w:lineRule="exact"/>
        <w:rPr>
          <w:sz w:val="20"/>
          <w:szCs w:val="20"/>
          <w:color w:val="auto"/>
        </w:rPr>
      </w:pPr>
    </w:p>
    <w:p>
      <w:pPr>
        <w:jc w:val="both"/>
        <w:spacing w:after="0" w:line="349" w:lineRule="auto"/>
        <w:rPr>
          <w:sz w:val="20"/>
          <w:szCs w:val="20"/>
          <w:color w:val="auto"/>
        </w:rPr>
      </w:pPr>
      <w:r>
        <w:rPr>
          <w:rFonts w:ascii="Arial" w:cs="Arial" w:eastAsia="Arial" w:hAnsi="Arial"/>
          <w:sz w:val="14"/>
          <w:szCs w:val="14"/>
          <w:u w:val="single" w:color="auto"/>
          <w:color w:val="auto"/>
        </w:rPr>
        <w:t>Securities Law Information</w:t>
      </w:r>
      <w:r>
        <w:rPr>
          <w:rFonts w:ascii="Arial" w:cs="Arial" w:eastAsia="Arial" w:hAnsi="Arial"/>
          <w:sz w:val="14"/>
          <w:szCs w:val="14"/>
          <w:color w:val="auto"/>
        </w:rPr>
        <w:t>. To facilitate compliance with securities laws in Hong Kong, in the event the Optionee’s Options vest and become exercisable within six (6) months of the Date of Grant, the Optionee agrees not to sell the Option Shares issued upon exercise of the Options prior to the six-month anniversary of the Date of Grant.</w:t>
      </w:r>
    </w:p>
    <w:p>
      <w:pPr>
        <w:spacing w:after="0" w:line="9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Nature of Scheme</w:t>
      </w:r>
      <w:r>
        <w:rPr>
          <w:rFonts w:ascii="Arial" w:cs="Arial" w:eastAsia="Arial" w:hAnsi="Arial"/>
          <w:sz w:val="16"/>
          <w:szCs w:val="16"/>
          <w:color w:val="auto"/>
        </w:rPr>
        <w:t>. The Company specifically intends that the Plan will not be an occupational retirement scheme for purposes of the Occupational Retirement Schemes Ordinance (“ORSO”). Notwithstanding the foregoing, if the Plan is deemed to constitute an occupational retirement scheme for the purposes of ORSO, then the Optionee’s grant shall be void.</w:t>
      </w:r>
    </w:p>
    <w:p>
      <w:pPr>
        <w:spacing w:after="0" w:line="386"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1080"/>
          </w:cols>
          <w:pgMar w:left="580" w:top="1399" w:right="2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INDIA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This provision supplements Section 4 of the Agreement:</w:t>
      </w:r>
    </w:p>
    <w:p>
      <w:pPr>
        <w:spacing w:after="0" w:line="194"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Notwithstanding anything to the contrary in the Agreement, due to legal restrictions in India, the Optionee will not be permitted to pay the Exercise Price by (i) delivery of shares of Common Stock (as set forth in Section 4(c) of the Agreement) or (ii) a broker assisted partial cashless exercise such that a certain number of Option Shares subject to the exercised Option are sold immediately upon exercise and the proceeds of the sale remitted to the Company to cover the aggregate Exercise Price and any Tax-Related Items. However, payment of the Exercise Price may be made by any of the other methods of payment set forth in Section 4 of the Agreement. The Company reserves the right to provide the Optionee with this method of payment depending on the development of local law.</w:t>
      </w:r>
    </w:p>
    <w:p>
      <w:pPr>
        <w:spacing w:after="0" w:line="150"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Exchange Control Notification</w:t>
      </w:r>
      <w:r>
        <w:rPr>
          <w:rFonts w:ascii="Arial" w:cs="Arial" w:eastAsia="Arial" w:hAnsi="Arial"/>
          <w:sz w:val="15"/>
          <w:szCs w:val="15"/>
          <w:color w:val="auto"/>
        </w:rPr>
        <w:t>. If the Optionee remits funds out of India to purchase Option Shares, it is the Optionee’s responsibility to comply with applicable exchange control laws. Regardless of the method of exercise used to purchase the Option Shares, the Optionee understands that he or she must repatriate any proceeds from the sale of Option Shares acquired under the Plan and any dividends received in relation to the Option Shares to India and convert the funds into local currency within ninety (90) days of receipt. The Optionee must obtain a foreign inward remittance certificate (“FIRC”) from the bank where the Optionee deposits the foreign currency and maintains the FIRC as evidence of the repatriation of funds in the event the Reserve Bank of India or the Employer requests proof of repatriation.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IRELAND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Labor Law Acknowledgment</w:t>
      </w:r>
      <w:r>
        <w:rPr>
          <w:rFonts w:ascii="Arial" w:cs="Arial" w:eastAsia="Arial" w:hAnsi="Arial"/>
          <w:sz w:val="16"/>
          <w:szCs w:val="16"/>
          <w:color w:val="auto"/>
        </w:rPr>
        <w:t>. This provision supplements Section 8 of the Agreement:</w:t>
      </w:r>
    </w:p>
    <w:p>
      <w:pPr>
        <w:spacing w:after="0" w:line="16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By accepting the Option, the Optionee acknowledges, understands, and agrees that the benefits received under the Plan will not be taken into account for any redundancy or unfair dismissal claim.</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Optionee is a director, shadow director or secretary of an Irish subsidiary of the Company, the Optionee is subject to certain notification requirements under Section 53 of the Companies Act, 1990. Among these requirements is an obligation to notify the Irish affiliate in writing within five (5) business days when the Optionee receives an interest (e.g., Options, Option Shares) in the Company and the number and class of shares or rights to which the interest relates. In addition, the Optionee must notify the Irish subsidiary within five (5) business days when the Optionee sells Option Shares acquired under the Plan. This notification requirement also applies to any rights or Option Shares acquired by the Optionee’s spouse or children (under the age of 18).</w:t>
      </w:r>
    </w:p>
    <w:p>
      <w:pPr>
        <w:spacing w:after="0" w:line="177"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u w:val="single" w:color="auto"/>
          <w:color w:val="auto"/>
        </w:rPr>
        <w:t>Restriction on Type of Shares Issued to Directors</w:t>
      </w:r>
      <w:r>
        <w:rPr>
          <w:rFonts w:ascii="Arial" w:cs="Arial" w:eastAsia="Arial" w:hAnsi="Arial"/>
          <w:sz w:val="15"/>
          <w:szCs w:val="15"/>
          <w:color w:val="auto"/>
        </w:rPr>
        <w:t>. If the Optionee is a director of an Irish subsidiary of the Company, the Option will be granted over newly issued shares only. In no event will treasury shares be issued pursuant to the exercise of the Option. This restriction also applies to a shadow director of an Irish subsidiary.</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ISRAEL</w:t>
      </w:r>
    </w:p>
    <w:p>
      <w:pPr>
        <w:spacing w:after="0" w:line="19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u w:val="single" w:color="auto"/>
          <w:color w:val="auto"/>
        </w:rPr>
        <w:t>Trust Arrangement</w:t>
      </w:r>
      <w:r>
        <w:rPr>
          <w:rFonts w:ascii="Arial" w:cs="Arial" w:eastAsia="Arial" w:hAnsi="Arial"/>
          <w:sz w:val="15"/>
          <w:szCs w:val="15"/>
          <w:color w:val="auto"/>
        </w:rPr>
        <w:t>. The Optionee understands and agrees that the Options are offered subject to and in accordance with the terms of the Israeli Sub-Plan (the “Sub-Plan”) under the 102 Capital Gains Track (as defined in the Sub-Plan), the Trust Agreement among the trustee appointed by Analog Devices (Israel) Ltd. and Analog Development (Israel) 1996 Ltd., and the Agreement. This includes the option exercise price per share and any other requirements set out in the Sub-plan. In the event of any inconsistencies among the Sub-Plan, the Agreement and/or the Plan, the Sub-Plan will govern the Options granted to the Optionee in Israel.</w:t>
      </w:r>
    </w:p>
    <w:p>
      <w:pPr>
        <w:spacing w:after="0" w:line="14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If the Optionee resides in Israel and has not already executed an Israeli Appendix in connection with grants made under the Plan, then the Optionee must print, sign &amp; deliver the signed copy of the Israeli Appendix within 90 days to: Stock Plan Administrator, Treasury Department, Analog Devices, Inc., Norwood, Massachusetts, 02062 USA. If Analog Devices, (Israel) Ltd. or Analog Devices, Inc. does not receive the signed Israeli Appendix within 90 days, the Options shall terminate and will become null and void.</w:t>
      </w:r>
    </w:p>
    <w:p>
      <w:pPr>
        <w:spacing w:after="0" w:line="39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- 4</w:t>
      </w:r>
    </w:p>
    <w:p>
      <w:pPr>
        <w:sectPr>
          <w:pgSz w:w="11900" w:h="16838" w:orient="portrait"/>
          <w:cols w:equalWidth="0" w:num="1">
            <w:col w:w="11080"/>
          </w:cols>
          <w:pgMar w:left="580" w:top="1395" w:right="239" w:bottom="1440" w:gutter="0" w:footer="0" w:header="0"/>
        </w:sectPr>
      </w:pPr>
    </w:p>
    <w:bookmarkStart w:id="57" w:name="page58"/>
    <w:bookmarkEnd w:id="57"/>
    <w:p>
      <w:pPr>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Payment of Exercise Price</w:t>
      </w:r>
      <w:r>
        <w:rPr>
          <w:rFonts w:ascii="Arial" w:cs="Arial" w:eastAsia="Arial" w:hAnsi="Arial"/>
          <w:sz w:val="16"/>
          <w:szCs w:val="16"/>
          <w:color w:val="auto"/>
        </w:rPr>
        <w:t>. This provision supplements Section 4 of the Agreement: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ITALY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This provision supplements Section 4 of the Agreement: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Due to regulatory requirements and notwithstanding any terms or conditions of the Plan or the Agreement to the contrary, the Optionee will be restricted to a broker assisted cashless sell-all method of exercise with respect to the Options. To complete a cashless sell-all exercise, the Optionee should instruct the broker to: (i) sell all of the Option Shares issued upon exercise; (ii) use the proceeds to pay the Exercise Price, brokerage fees and any Tax-Related Items; and (iii) remit the balance in cash to the Optionee. In the event of changes in regulatory requirements, the Company reserves the right to eliminate the cashless sell-all method of exercise requirement and, in its sole discretion, to permit cash exercise or cashless sell-to-cover exercise.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Section 10 of the Agreement:</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The Optionee understands that the Employer, the Company and any subsidiary as a data processor of the Company may hold certain personal information about the Optionee, including, but not limited to, the Optionee’s name, home address and telephone number, date of birth, social insurance or other identification number, salary, nationality, job title, any Option Shares or directorships held in the Company or any subsidiary, details of all Options, or any other entitlement to Option Shares awarded, canceled, exercised, vested, unvested or outstanding in the Optionee’s favor, and that the Company and the Employer will process said data and other data lawfully received from third party (“Data”) for the exclusive purpose of implementing, managing and administering the Plan and complying with applicable laws, regulations and community legislation.</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The Optionee also understands that providing the Company with Data is mandatory for compliance with laws and is necessary for the performance of the Plan and that the Optionee’s refusal to provide such Data would make it impossible for the Company to perform its contractual obligations and may affect the Optionee’s ability to participate in the Plan. The Controller of personal data processing is Analog Devices, Inc., with registered offices at Analog Devices, Inc., Three Technology Way, Norwood, Massachusetts, 02062 U.S.A. and, pursuant to Legislative Decree no. 196/2003, its Representative in Italy for privacy purposes is Analog Devices SRL with its registered offices at Centro Direzionale Milano 2, Palazzo Bernini 20090 Segrate, Milan, Italy.</w:t>
      </w:r>
    </w:p>
    <w:p>
      <w:pPr>
        <w:spacing w:after="0" w:line="123" w:lineRule="exact"/>
        <w:rPr>
          <w:sz w:val="20"/>
          <w:szCs w:val="20"/>
          <w:color w:val="auto"/>
        </w:rPr>
      </w:pPr>
    </w:p>
    <w:p>
      <w:pPr>
        <w:jc w:val="both"/>
        <w:spacing w:after="0" w:line="287" w:lineRule="auto"/>
        <w:rPr>
          <w:sz w:val="20"/>
          <w:szCs w:val="20"/>
          <w:color w:val="auto"/>
        </w:rPr>
      </w:pPr>
      <w:r>
        <w:rPr>
          <w:rFonts w:ascii="Arial" w:cs="Arial" w:eastAsia="Arial" w:hAnsi="Arial"/>
          <w:sz w:val="14"/>
          <w:szCs w:val="14"/>
          <w:b w:val="1"/>
          <w:bCs w:val="1"/>
          <w:i w:val="1"/>
          <w:iCs w:val="1"/>
          <w:color w:val="auto"/>
        </w:rPr>
        <w:t>The Optionee understands that Data will not be publicized, but it may be accessible by the Employer as the data processor of the Company and within the Employer’s organization by its internal and external personnel in charge of processing. Furthermore, Data may be transferred to banks, other financial institutions, or brokers involved in the management and administration of the Plan. The Optionee understands that Data may also be transferred to the independent registered public accounting firm engaged by the Company, and also to the legitimate addresses under applicable laws. The Optionee further understands that the Company and/or any subsidiary will transfer Data among themselves as necessary for the purpose of implementing, administering and managing the Optionee’s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the Optionee may elect to deposit any Option Shares acquired at exercise of the Option. Such recipients may receive, possess, use, retain, and transfer Data in electronic or other form, for the purposes of implementing, administering, and managing the Optionee’s participation in the Plan. The Optionee understand that these recipients may be acting as controllers, processors, or persons in charge of processing, as the case may be, according to applicable privacy laws, and that they may be located in or outside the European Economic Area, such as in Japan or the United States or elsewhere, in countries that do not provide an adequate level of data protection as intended under Italian privacy law.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34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- 5</w:t>
      </w:r>
    </w:p>
    <w:p>
      <w:pPr>
        <w:sectPr>
          <w:pgSz w:w="11900" w:h="16838" w:orient="portrait"/>
          <w:cols w:equalWidth="0" w:num="1">
            <w:col w:w="11080"/>
          </w:cols>
          <w:pgMar w:left="580" w:top="1399" w:right="239" w:bottom="1440" w:gutter="0" w:footer="0" w:header="0"/>
        </w:sectPr>
      </w:pPr>
    </w:p>
    <w:bookmarkStart w:id="58" w:name="page59"/>
    <w:bookmarkEnd w:id="58"/>
    <w:p>
      <w:pPr>
        <w:jc w:val="both"/>
        <w:spacing w:after="0" w:line="26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The Optionee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4"/>
          <w:szCs w:val="14"/>
          <w:b w:val="1"/>
          <w:bCs w:val="1"/>
          <w:i w:val="1"/>
          <w:iCs w:val="1"/>
          <w:color w:val="auto"/>
        </w:rPr>
        <w:t>The processing activity, including communication, the transfer of Data abroad, including outside of the European Economic Area, as herein specified and pursuant to applicable laws and regulations, does not require the Optionee’s consent thereto, as the processing is necessary to performance of law and contractual obligations related to implementation, administration, and management of the Plan. The Optionee understands that, pursuant to Section 7 of the Legislative Decree no. 196/2003, the Optionee has the right at any moment to, including but not limited to, obtain confirmation that Data exist or not, access, verify their content, origin and accuracy, delete, update, integrate, correct, block or terminate, for legitimate reason, the Data processing. To exercise privacy rights the Optionee should address the Employer.</w:t>
      </w:r>
    </w:p>
    <w:p>
      <w:pPr>
        <w:spacing w:after="0" w:line="10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Furthermore, the Optionee is aware that Data will not be used for direct-marketing purposes. In addition, Data provided can be reviewed and questions or complaints can be addressed by contacting the Optionee’s local human resources representative.</w:t>
      </w:r>
    </w:p>
    <w:p>
      <w:pPr>
        <w:spacing w:after="0" w:line="119" w:lineRule="exact"/>
        <w:rPr>
          <w:sz w:val="20"/>
          <w:szCs w:val="20"/>
          <w:color w:val="auto"/>
        </w:rPr>
      </w:pPr>
    </w:p>
    <w:p>
      <w:pPr>
        <w:jc w:val="both"/>
        <w:spacing w:after="0" w:line="349" w:lineRule="auto"/>
        <w:rPr>
          <w:sz w:val="20"/>
          <w:szCs w:val="20"/>
          <w:color w:val="auto"/>
        </w:rPr>
      </w:pPr>
      <w:r>
        <w:rPr>
          <w:rFonts w:ascii="Arial" w:cs="Arial" w:eastAsia="Arial" w:hAnsi="Arial"/>
          <w:sz w:val="14"/>
          <w:szCs w:val="14"/>
          <w:u w:val="single" w:color="auto"/>
          <w:color w:val="auto"/>
        </w:rPr>
        <w:t>Plan Document Acknowledgment</w:t>
      </w:r>
      <w:r>
        <w:rPr>
          <w:rFonts w:ascii="Arial" w:cs="Arial" w:eastAsia="Arial" w:hAnsi="Arial"/>
          <w:sz w:val="14"/>
          <w:szCs w:val="14"/>
          <w:color w:val="auto"/>
        </w:rPr>
        <w:t>. In accepting the Option, the Optionee acknowledges a copy of the Plan was made available to the Optionee, and that the Optionee has reviewed the Plan and the Agreement, including Appendix A, in their entirety and fully understand and accept all provisions of the Plan, the Agreement and Appendix A.</w:t>
      </w:r>
    </w:p>
    <w:p>
      <w:pPr>
        <w:spacing w:after="0" w:line="126"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Optionee further acknowledges that he or she has read and specifically and expressly approves the following provision in the Agreement: Term of Option; Termination of Employment; Withholding Taxes; Nature of Grant; Imposition of Other Requirement; and the Data Privacy provision in this Appendix A.</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JAPAN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KOREA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MALAYSIA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Optionee is a director of a subsidiary or other related company in Malaysia, then the Optionee is subject to certain notification requirements under the Malaysian Companies Act, 1965. Among these requirements is an obligation to notify the Malaysian subsidiary in writing when the Optionee receives an interest (e.g., Options, Option Shares) in the Company or any related companies. In addition, the Optionee must notify the Malaysian subsidiary when he or she sells Shares of the Company or any related company (including when the Optionee sells Option Shares acquired under the Plan). These notifications must be made within fourteen (14) days of acquiring or disposing of any interest in the Company or any related company.</w:t>
      </w:r>
    </w:p>
    <w:p>
      <w:pPr>
        <w:spacing w:after="0" w:line="19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Malaysian insider-trading rules may impact the acquisition or disposal of Option Shares or rights to Option Shares under the Plan. Under such rules, the Optionee is prohibited from acquiring Option Shares or rights to Option Shares (e.g., Options) or selling Option Shares when he or she possesses information that is not generally available and which the Optionee knows or should know will have a material effect on the price of the Option Shares once such information is generally available. By accepting this grant, the Optionee acknowledges that he or she is not in possession of any material, non-publicly disclosed information regarding the Company at the time of grant and will not acquire or sell Option Shares when in possession of any material, non-publicly disclosed information regarding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NETHERLANDS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Nature of Grant</w:t>
      </w:r>
      <w:r>
        <w:rPr>
          <w:rFonts w:ascii="Arial" w:cs="Arial" w:eastAsia="Arial" w:hAnsi="Arial"/>
          <w:sz w:val="16"/>
          <w:szCs w:val="16"/>
          <w:color w:val="auto"/>
        </w:rPr>
        <w:t>. This provision supplements Section 8 of the Agreement:</w:t>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Option, the Optionee acknowledges that the Option is intended as an incentive for the Optionee to remain employed with the Employer and is not intended as remuneration for labor performed.</w:t>
      </w:r>
    </w:p>
    <w:p>
      <w:pPr>
        <w:spacing w:after="0" w:line="200" w:lineRule="exact"/>
        <w:rPr>
          <w:sz w:val="20"/>
          <w:szCs w:val="20"/>
          <w:color w:val="auto"/>
        </w:rPr>
      </w:pPr>
    </w:p>
    <w:p>
      <w:pPr>
        <w:spacing w:after="0" w:line="202"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- 6</w:t>
      </w:r>
    </w:p>
    <w:p>
      <w:pPr>
        <w:sectPr>
          <w:pgSz w:w="11900" w:h="16838" w:orient="portrait"/>
          <w:cols w:equalWidth="0" w:num="1">
            <w:col w:w="11080"/>
          </w:cols>
          <w:pgMar w:left="580" w:top="1399" w:right="239" w:bottom="1440" w:gutter="0" w:footer="0" w:header="0"/>
        </w:sectPr>
      </w:pPr>
    </w:p>
    <w:bookmarkStart w:id="59" w:name="page60"/>
    <w:bookmarkEnd w:id="59"/>
    <w:p>
      <w:pPr>
        <w:jc w:val="both"/>
        <w:spacing w:after="0" w:line="310" w:lineRule="auto"/>
        <w:rPr>
          <w:sz w:val="20"/>
          <w:szCs w:val="20"/>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Securities Law Acknowledgment</w:t>
      </w:r>
      <w:r>
        <w:rPr>
          <w:rFonts w:ascii="Arial" w:cs="Arial" w:eastAsia="Arial" w:hAnsi="Arial"/>
          <w:sz w:val="15"/>
          <w:szCs w:val="15"/>
          <w:color w:val="auto"/>
        </w:rPr>
        <w:t>. The Optionee should be aware of the Dutch insider-trading rules, which may impact the sale of Option Shares issued upon exercise of the Option. In particular, the Optionee may be prohibited from effectuating certain transactions if he or she has inside information about the Company.</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Article 5:56 of the Dutch Financial Supervision Act, anyone who has “insider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any subsidiary in the Netherlands who has inside information as described herein.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Given the broad scope of the definition of inside information, certain employees working at a subsidiary in the Netherlands may have inside information and, thus, would be prohibited from effectuating a transaction in securities in the Netherlands at a time when the employee has such inside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the Optionee is uncertain whether the insider-trading rules apply to him or her, then the Optionee should consult with his or her personal legal advisor.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PHILIPPINES</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xml:space="preserve">. The sale or disposal of Option Shares acquired under the Plan may be subject to certain restrictions under Philippines securities laws. Those restrictions should not apply if the offer and resale of Option Shares takes place outside of the Philippines through the facilities of a stock exchange on which the Option Shares are listed. The Option Shares are currently listed on the NASDAQ Global Select Market (“NASDAQ”). The Company’s designated broker should be able to assist the Optionee in the sale of Option Shares on NASDAQ. </w:t>
      </w:r>
      <w:r>
        <w:rPr>
          <w:rFonts w:ascii="Arial" w:cs="Arial" w:eastAsia="Arial" w:hAnsi="Arial"/>
          <w:sz w:val="15"/>
          <w:szCs w:val="15"/>
          <w:i w:val="1"/>
          <w:iCs w:val="1"/>
          <w:color w:val="auto"/>
        </w:rPr>
        <w:t>If the Optionee has questions with regard to the application of Philippines securities laws to the disposal or</w:t>
      </w:r>
      <w:r>
        <w:rPr>
          <w:rFonts w:ascii="Arial" w:cs="Arial" w:eastAsia="Arial" w:hAnsi="Arial"/>
          <w:sz w:val="15"/>
          <w:szCs w:val="15"/>
          <w:color w:val="auto"/>
        </w:rPr>
        <w:t xml:space="preserve"> </w:t>
      </w:r>
      <w:r>
        <w:rPr>
          <w:rFonts w:ascii="Arial" w:cs="Arial" w:eastAsia="Arial" w:hAnsi="Arial"/>
          <w:sz w:val="15"/>
          <w:szCs w:val="15"/>
          <w:i w:val="1"/>
          <w:iCs w:val="1"/>
          <w:color w:val="auto"/>
        </w:rPr>
        <w:t>sale of Option Shares acquired under the Plan the Optionee should consult with his or her legal advisor.</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Options were granted to the Optionee pursuant to the “Qualifying Person” exemption under section 273(1)(f) of the Singapore Securities and Futures Act (Chapter 289, 2006 Ed.) (“SFA”). The Agreement and the Plan have not been lodged or registered as a prospectus with the Monetary Authority of Singapore. The Optionee should note that the Optionee’s Options are subject to section 257 of the SFA and the Optionee will not be able to make any subsequent sale in Singapore, or any offer of such subsequent sale of the Option Shares unless such sale or offer in Singapore is made pursuant to the exemptions under Part XIII Division (1) Subdivision (4) (other than section 280) of the SFA (Chapter 289, 2006 Ed.).</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Optionee is a director, associate director or shadow director of a subsidiary or other related company in Singapore, the Optionee is subject to certain notification requirements under the Singapore Companies Act. Among these requirements is an obligation to notify the Singapore subsidiary in writing when the Optionee receives an interest (e.g., Options, Option Shares) in the Company or any related company. In addition, the Optionee must notify the Singapore subsidiary when the Optionee sells Option Shares of the Company or any related company (including when the Optionee sells Option Shares acquired under the Plan). These notifications must be made within two (2) business days of acquiring or disposing of any interest in the Company or any related company. In addition, a notification must be made of the Optionee’s interests in the Company or any related company within two (2) business days of becoming a director.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SLOVAKIA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00" w:lineRule="exact"/>
        <w:rPr>
          <w:sz w:val="20"/>
          <w:szCs w:val="20"/>
          <w:color w:val="auto"/>
        </w:rPr>
      </w:pPr>
    </w:p>
    <w:p>
      <w:pPr>
        <w:spacing w:after="0" w:line="224"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- 7</w:t>
      </w:r>
    </w:p>
    <w:p>
      <w:pPr>
        <w:sectPr>
          <w:pgSz w:w="11900" w:h="16838" w:orient="portrait"/>
          <w:cols w:equalWidth="0" w:num="1">
            <w:col w:w="11080"/>
          </w:cols>
          <w:pgMar w:left="580" w:top="1399" w:right="239" w:bottom="1440" w:gutter="0" w:footer="0" w:header="0"/>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SPAIN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u w:val="single" w:color="auto"/>
          <w:color w:val="auto"/>
        </w:rPr>
        <w:t>No Entitlement for Claims or Compensation</w:t>
      </w:r>
      <w:r>
        <w:rPr>
          <w:rFonts w:ascii="Arial" w:cs="Arial" w:eastAsia="Arial" w:hAnsi="Arial"/>
          <w:sz w:val="15"/>
          <w:szCs w:val="15"/>
          <w:color w:val="auto"/>
        </w:rPr>
        <w:t>. In accepting the Options, the Optionee acknowledges that he or she consents to participation in the Plan and has received a copy of the Plan. The Optionee understands that the Company has unilaterally, gratuitously and in its sole discretion decided to grant Options under the Plan to individuals who may be employees of the Company or its subsidiaries throughout the world. The decision is a limited decision that is entered into upon the express assumption and condition that any Options will not economically or otherwise bind the Company or any of its subsidiaries on an ongoing basis. Consequently, the Optionee understands that the Options are granted on the assumption and condition that the Options and the underlying Option Shares acquired upon exercise shall not become a part of any employment contract (either with the Company or any of its subsidiaries) and shall not be considered a mandatory benefit, salary for any purposes (including severance compensation) or any other right whatsoever. In addition, the Optionee understands that the Option would not have been granted to the Optionee but for the assumptions and conditions referred to above; thus, the Optionee acknowledges and freely accepts that should any or all of the assumptions be mistaken or should any of the conditions not be met for any reason, then any Options shall be null and void.</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Further, the vesting of the Option is expressly conditioned on the Optionee’s continued rendering of service, such that if the Optionee’s employment terminates for any reason whatsoever, the Award may cease vesting immediately, in whole or in part, effective on the date of the Optionee’s termination of employment (unless otherwise specifically provided in Section 3 of the Agreement). This will be the case, for example, even if (1) the Optionee is considered to be unfairly dismissed without Cause; (2) the Optionee is dismissed for disciplinary or objective reasons or due to a collective dismissal; (3) the Optionee terminates service due to a change of work location, duties or any other employment or contractual condition; (4) the Optionee terminates service due to a unilateral breach of contract by the Company or the Employer; or (5) the Optionee’s employment terminates for any other reason whatsoever. Consequently, upon termination of the Optionee’s employment for any of the above reasons, the Optionee may automatically lose any rights to Options that were not vested on the date of the Optionee’s termination of employment, as described in the Plan and the Agreement.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Optionee acknowledges that he or she has read and specifically accepts the conditions referred to in Section 3 of the Agreement.</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The grant of Options and the Option Shares issued upon exercise of the Option are considered a private placement outside of the scope of Spanish laws on public offerings and issuances of securities.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SWEDEN</w:t>
      </w:r>
    </w:p>
    <w:p>
      <w:pPr>
        <w:spacing w:after="0" w:line="225"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u w:val="single" w:color="auto"/>
          <w:color w:val="auto"/>
        </w:rPr>
        <w:t>Automatic Cashless Exercise and Sale</w:t>
      </w:r>
      <w:r>
        <w:rPr>
          <w:rFonts w:ascii="Arial" w:cs="Arial" w:eastAsia="Arial" w:hAnsi="Arial"/>
          <w:sz w:val="15"/>
          <w:szCs w:val="15"/>
          <w:color w:val="auto"/>
        </w:rPr>
        <w:t>. This Option grant is conditioned upon the Optionee’s consent to the automatic cashless exercise, which the Company will provide to the Optionee. If the Company does not receive the Optionee’s signed consent, then the Option will terminate and will become null and void.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TAIWAN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u w:val="single" w:color="auto"/>
          <w:color w:val="auto"/>
        </w:rPr>
        <w:t>Joint Election</w:t>
      </w:r>
      <w:r>
        <w:rPr>
          <w:rFonts w:ascii="Arial" w:cs="Arial" w:eastAsia="Arial" w:hAnsi="Arial"/>
          <w:sz w:val="15"/>
          <w:szCs w:val="15"/>
          <w:color w:val="auto"/>
        </w:rPr>
        <w:t>. As a condition of the Optionee’s participation in the Plan and the exercise of the Option, the Optionee agrees to accept any liability for secondary Class 1 National Insurance contributions which may be payable by the Company and/or the Employer in connection with the Option and any event giving rise to Tax-Related Items (the “Employer’s Liability”). Without prejudice to the foregoing, the Optionee agrees to enter into a joint election with the Company, the form of such joint election being formally approved by HMRC (the “Joint Election”), and any other required consent or elections. The Optionee further agrees to enter into such other Joint Elections as may be required between the Optionee and any successor to the Company and/or the Employer. The Optionee further agrees that the Company and/or the Employer may collect the Employer’s Liability from the Optionee by any of the means set forth in Section 7 of the Agreement.</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the Optionee does not enter into the Joint Election prior to the exercise of the Option, the Optionee will forfeit the Option and any Option Shares that have been issued will be returned to the Company at no cost to the Company, without any liability to the Company and/or the Employer.</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If the Optionee has signed a Joint Election in the past with respect to Options granted to him or her by the Company and that Joint Election applies to all grants made under the Plan, the Optionee need not sign another Joint Election in connection with this Option grant.</w:t>
      </w:r>
    </w:p>
    <w:p>
      <w:pPr>
        <w:spacing w:after="0" w:line="34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APPENDIX A - 8</w:t>
      </w:r>
    </w:p>
    <w:p>
      <w:pPr>
        <w:sectPr>
          <w:pgSz w:w="11900" w:h="16838" w:orient="portrait"/>
          <w:cols w:equalWidth="0" w:num="1">
            <w:col w:w="11080"/>
          </w:cols>
          <w:pgMar w:left="580" w:top="139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EXHIBIT 10.3</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2006 STOCK INCENTIVE PLAN</w:t>
      </w:r>
    </w:p>
    <w:p>
      <w:pPr>
        <w:spacing w:after="0" w:line="5"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176" w:lineRule="exact"/>
        <w:rPr>
          <w:sz w:val="20"/>
          <w:szCs w:val="20"/>
          <w:color w:val="auto"/>
        </w:rPr>
      </w:pPr>
    </w:p>
    <w:p>
      <w:pPr>
        <w:jc w:val="center"/>
        <w:ind w:right="-7"/>
        <w:spacing w:after="0"/>
        <w:rPr>
          <w:sz w:val="20"/>
          <w:szCs w:val="20"/>
          <w:color w:val="auto"/>
        </w:rPr>
      </w:pPr>
      <w:r>
        <w:rPr>
          <w:rFonts w:ascii="Arial" w:cs="Arial" w:eastAsia="Arial" w:hAnsi="Arial"/>
          <w:sz w:val="16"/>
          <w:szCs w:val="16"/>
          <w:b w:val="1"/>
          <w:bCs w:val="1"/>
          <w:color w:val="auto"/>
        </w:rPr>
        <w:t>Private &amp; Confidential (Addressee Only)</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6"/>
          <w:szCs w:val="16"/>
          <w:color w:val="auto"/>
        </w:rPr>
        <w:t>{EMPNAME}</w:t>
      </w:r>
    </w:p>
    <w:p>
      <w:pPr>
        <w:spacing w:after="0" w:line="194" w:lineRule="exact"/>
        <w:rPr>
          <w:sz w:val="20"/>
          <w:szCs w:val="20"/>
          <w:color w:val="auto"/>
        </w:rPr>
      </w:pPr>
    </w:p>
    <w:p>
      <w:pPr>
        <w:ind w:left="8"/>
        <w:spacing w:after="0"/>
        <w:rPr>
          <w:sz w:val="20"/>
          <w:szCs w:val="20"/>
          <w:color w:val="auto"/>
        </w:rPr>
      </w:pPr>
      <w:r>
        <w:rPr>
          <w:rFonts w:ascii="Arial" w:cs="Arial" w:eastAsia="Arial" w:hAnsi="Arial"/>
          <w:sz w:val="16"/>
          <w:szCs w:val="16"/>
          <w:color w:val="auto"/>
        </w:rPr>
        <w:t>{EMPNUM}</w:t>
      </w:r>
    </w:p>
    <w:p>
      <w:pPr>
        <w:spacing w:after="0" w:line="113" w:lineRule="exact"/>
        <w:rPr>
          <w:sz w:val="20"/>
          <w:szCs w:val="20"/>
          <w:color w:val="auto"/>
        </w:rPr>
      </w:pPr>
    </w:p>
    <w:p>
      <w:pPr>
        <w:jc w:val="both"/>
        <w:ind w:left="8"/>
        <w:spacing w:after="0" w:line="253" w:lineRule="auto"/>
        <w:rPr>
          <w:sz w:val="20"/>
          <w:szCs w:val="20"/>
          <w:color w:val="auto"/>
        </w:rPr>
      </w:pPr>
      <w:r>
        <w:rPr>
          <w:rFonts w:ascii="Arial" w:cs="Arial" w:eastAsia="Arial" w:hAnsi="Arial"/>
          <w:sz w:val="16"/>
          <w:szCs w:val="16"/>
          <w:color w:val="auto"/>
        </w:rPr>
        <w:t>We are pleased to advise you (the “Participant”) that Analog Devices, Inc., a Massachusetts corporation (the “Company”), has granted to the Participant that number of Restricted Stock Units (“RSUs”) set forth below, subject to the terms and conditions of the Analog Devices, Inc. 2006 Stock Incentive Plan (the “Plan”) and this Global Restricted Stock Unit Agreement, including Appendix A, which includes any applicable country-specific provisions (this agreement, together with Appendix A, the “Agreement”). The grant of RSUs reflects the Company’s confidence in the Participant’s commitment and contributions to the success and continued growth of the Company. All terms not defined in this Agreement shall have the meaning set forth in the Plan.</w:t>
      </w:r>
    </w:p>
    <w:p>
      <w:pPr>
        <w:spacing w:after="0" w:line="138" w:lineRule="exact"/>
        <w:rPr>
          <w:sz w:val="20"/>
          <w:szCs w:val="20"/>
          <w:color w:val="auto"/>
        </w:rPr>
      </w:pPr>
    </w:p>
    <w:p>
      <w:pPr>
        <w:ind w:left="328" w:hanging="328"/>
        <w:spacing w:after="0"/>
        <w:tabs>
          <w:tab w:leader="none" w:pos="328"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Restricted Stock Unit</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328" w:right="20"/>
        <w:spacing w:after="0" w:line="275" w:lineRule="auto"/>
        <w:rPr>
          <w:rFonts w:ascii="Arial" w:cs="Arial" w:eastAsia="Arial" w:hAnsi="Arial"/>
          <w:sz w:val="16"/>
          <w:szCs w:val="16"/>
          <w:color w:val="auto"/>
        </w:rPr>
      </w:pPr>
      <w:r>
        <w:rPr>
          <w:rFonts w:ascii="Arial" w:cs="Arial" w:eastAsia="Arial" w:hAnsi="Arial"/>
          <w:sz w:val="16"/>
          <w:szCs w:val="16"/>
          <w:color w:val="auto"/>
        </w:rPr>
        <w:t>Subject to the terms and conditions of the Plan and this Agreement, the Company has granted to the Participant that number of RSUs (the “Award”) effective on the Date of Grant set forth below:</w:t>
      </w:r>
    </w:p>
    <w:p>
      <w:pPr>
        <w:spacing w:after="0" w:line="118"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color w:val="auto"/>
        </w:rPr>
        <w:t>Date of Grant:   {GRANTDATE}</w:t>
      </w:r>
    </w:p>
    <w:p>
      <w:pPr>
        <w:spacing w:after="0" w:line="19"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color w:val="auto"/>
        </w:rPr>
        <w:t>Number of RSUs:   {RSSHARESGRANTED}</w:t>
      </w:r>
    </w:p>
    <w:p>
      <w:pPr>
        <w:spacing w:after="0" w:line="5" w:lineRule="exact"/>
        <w:rPr>
          <w:rFonts w:ascii="Arial" w:cs="Arial" w:eastAsia="Arial" w:hAnsi="Arial"/>
          <w:sz w:val="16"/>
          <w:szCs w:val="16"/>
          <w:color w:val="auto"/>
        </w:rPr>
      </w:pPr>
    </w:p>
    <w:p>
      <w:pPr>
        <w:ind w:left="328"/>
        <w:spacing w:after="0"/>
        <w:rPr>
          <w:rFonts w:ascii="Arial" w:cs="Arial" w:eastAsia="Arial" w:hAnsi="Arial"/>
          <w:sz w:val="16"/>
          <w:szCs w:val="16"/>
          <w:color w:val="auto"/>
        </w:rPr>
      </w:pPr>
      <w:r>
        <w:rPr>
          <w:rFonts w:ascii="Arial" w:cs="Arial" w:eastAsia="Arial" w:hAnsi="Arial"/>
          <w:sz w:val="16"/>
          <w:szCs w:val="16"/>
          <w:color w:val="auto"/>
        </w:rPr>
        <w:t>Vesting Schedule:   {RSVESTSCHED}</w:t>
      </w:r>
    </w:p>
    <w:p>
      <w:pPr>
        <w:spacing w:after="0" w:line="207" w:lineRule="exact"/>
        <w:rPr>
          <w:rFonts w:ascii="Arial" w:cs="Arial" w:eastAsia="Arial" w:hAnsi="Arial"/>
          <w:sz w:val="16"/>
          <w:szCs w:val="16"/>
          <w:color w:val="auto"/>
        </w:rPr>
      </w:pPr>
    </w:p>
    <w:p>
      <w:pPr>
        <w:jc w:val="both"/>
        <w:ind w:left="328"/>
        <w:spacing w:after="0" w:line="256" w:lineRule="auto"/>
        <w:rPr>
          <w:rFonts w:ascii="Arial" w:cs="Arial" w:eastAsia="Arial" w:hAnsi="Arial"/>
          <w:sz w:val="16"/>
          <w:szCs w:val="16"/>
          <w:color w:val="auto"/>
        </w:rPr>
      </w:pPr>
      <w:r>
        <w:rPr>
          <w:rFonts w:ascii="Arial" w:cs="Arial" w:eastAsia="Arial" w:hAnsi="Arial"/>
          <w:sz w:val="16"/>
          <w:szCs w:val="16"/>
          <w:color w:val="auto"/>
        </w:rPr>
        <w:t>Each one (1) RSU shall, if and when it vests in accordance with this Agreement,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6 and to any special terms and conditions for countries outside the U.S. set forth in Appendix A.</w:t>
      </w:r>
    </w:p>
    <w:p>
      <w:pPr>
        <w:spacing w:after="0" w:line="133" w:lineRule="exact"/>
        <w:rPr>
          <w:rFonts w:ascii="Arial" w:cs="Arial" w:eastAsia="Arial" w:hAnsi="Arial"/>
          <w:sz w:val="16"/>
          <w:szCs w:val="16"/>
          <w:color w:val="auto"/>
        </w:rPr>
      </w:pPr>
    </w:p>
    <w:p>
      <w:pPr>
        <w:ind w:left="328" w:hanging="328"/>
        <w:spacing w:after="0"/>
        <w:tabs>
          <w:tab w:leader="none" w:pos="328"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Vesting and Conversion</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68" w:lineRule="auto"/>
        <w:tabs>
          <w:tab w:leader="none" w:pos="648" w:val="left"/>
        </w:tabs>
        <w:numPr>
          <w:ilvl w:val="1"/>
          <w:numId w:val="33"/>
        </w:numPr>
        <w:rPr>
          <w:rFonts w:ascii="Arial" w:cs="Arial" w:eastAsia="Arial" w:hAnsi="Arial"/>
          <w:sz w:val="15"/>
          <w:szCs w:val="15"/>
          <w:color w:val="auto"/>
        </w:rPr>
      </w:pPr>
      <w:r>
        <w:rPr>
          <w:rFonts w:ascii="Arial" w:cs="Arial" w:eastAsia="Arial" w:hAnsi="Arial"/>
          <w:sz w:val="15"/>
          <w:szCs w:val="15"/>
          <w:color w:val="auto"/>
        </w:rPr>
        <w:t>Subject to the terms of the Plan and this Agreement, the RSUs shall vest in accordance with the schedule set forth in Section 1. For purposes of this Agreement, RSUs that have not vested as of any particular time in accordance with this Section 2(a) are referred to as “Unvested RSUs.” The shares of Common Stock that are issuable upon the vesting and conversion of the RSUs are referred to in this Agreement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30" w:lineRule="exact"/>
        <w:rPr>
          <w:rFonts w:ascii="Arial" w:cs="Arial" w:eastAsia="Arial" w:hAnsi="Arial"/>
          <w:sz w:val="15"/>
          <w:szCs w:val="15"/>
          <w:color w:val="auto"/>
        </w:rPr>
      </w:pPr>
    </w:p>
    <w:p>
      <w:pPr>
        <w:jc w:val="both"/>
        <w:ind w:left="648" w:hanging="324"/>
        <w:spacing w:after="0" w:line="256" w:lineRule="auto"/>
        <w:tabs>
          <w:tab w:leader="none" w:pos="6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(as defined in Section 2(e)) is terminated either by the Participant, the Company, or the Employer for any reason or no reason (other than due to death or Disability or as otherwise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33" w:lineRule="exact"/>
        <w:rPr>
          <w:rFonts w:ascii="Arial" w:cs="Arial" w:eastAsia="Arial" w:hAnsi="Arial"/>
          <w:sz w:val="16"/>
          <w:szCs w:val="16"/>
          <w:color w:val="auto"/>
        </w:rPr>
      </w:pPr>
    </w:p>
    <w:p>
      <w:pPr>
        <w:ind w:left="648" w:hanging="324"/>
        <w:spacing w:after="0" w:line="275" w:lineRule="auto"/>
        <w:tabs>
          <w:tab w:leader="none" w:pos="6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In the event the Participant’s employment with the Company or the Employer is terminated by reason of the Participant’s </w:t>
      </w:r>
      <w:r>
        <w:rPr>
          <w:rFonts w:ascii="Arial" w:cs="Arial" w:eastAsia="Arial" w:hAnsi="Arial"/>
          <w:sz w:val="16"/>
          <w:szCs w:val="16"/>
          <w:u w:val="single" w:color="auto"/>
          <w:color w:val="auto"/>
        </w:rPr>
        <w:t>death</w:t>
      </w:r>
      <w:r>
        <w:rPr>
          <w:rFonts w:ascii="Arial" w:cs="Arial" w:eastAsia="Arial" w:hAnsi="Arial"/>
          <w:sz w:val="16"/>
          <w:szCs w:val="16"/>
          <w:color w:val="auto"/>
        </w:rPr>
        <w:t>, all Unvested RSUs shall vest in full as of the date of the Participant’s death.</w:t>
      </w:r>
    </w:p>
    <w:p>
      <w:pPr>
        <w:spacing w:after="0" w:line="118" w:lineRule="exact"/>
        <w:rPr>
          <w:rFonts w:ascii="Arial" w:cs="Arial" w:eastAsia="Arial" w:hAnsi="Arial"/>
          <w:sz w:val="16"/>
          <w:szCs w:val="16"/>
          <w:color w:val="auto"/>
        </w:rPr>
      </w:pPr>
    </w:p>
    <w:p>
      <w:pPr>
        <w:jc w:val="both"/>
        <w:ind w:left="648" w:hanging="324"/>
        <w:spacing w:after="0" w:line="261" w:lineRule="auto"/>
        <w:tabs>
          <w:tab w:leader="none" w:pos="6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 event the Participant’s employment with the Company or the Employer terminates by reason of Disability (as defined below), the Unvested RSUs as of the date of the Participant’s termination shall vest in full as of the date of the termination. For the purpose of this Agreement, “</w:t>
      </w:r>
      <w:r>
        <w:rPr>
          <w:rFonts w:ascii="Arial" w:cs="Arial" w:eastAsia="Arial" w:hAnsi="Arial"/>
          <w:sz w:val="16"/>
          <w:szCs w:val="16"/>
          <w:u w:val="single" w:color="auto"/>
          <w:color w:val="auto"/>
        </w:rPr>
        <w:t>Disability</w:t>
      </w:r>
      <w:r>
        <w:rPr>
          <w:rFonts w:ascii="Arial" w:cs="Arial" w:eastAsia="Arial" w:hAnsi="Arial"/>
          <w:sz w:val="16"/>
          <w:szCs w:val="16"/>
          <w:color w:val="auto"/>
        </w:rPr>
        <w:t>” means (i) the Participant’s inability to</w:t>
      </w:r>
    </w:p>
    <w:p>
      <w:pPr>
        <w:spacing w:after="0" w:line="359"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088"/>
          </w:cols>
          <w:pgMar w:left="572" w:top="1017" w:right="239" w:bottom="1440" w:gutter="0" w:footer="0" w:header="0"/>
        </w:sectPr>
      </w:pPr>
    </w:p>
    <w:bookmarkStart w:id="62" w:name="page63"/>
    <w:bookmarkEnd w:id="62"/>
    <w:p>
      <w:pPr>
        <w:ind w:left="648" w:right="20"/>
        <w:spacing w:after="0" w:line="3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92" w:lineRule="exact"/>
        <w:rPr>
          <w:sz w:val="20"/>
          <w:szCs w:val="20"/>
          <w:color w:val="auto"/>
        </w:rPr>
      </w:pPr>
    </w:p>
    <w:p>
      <w:pPr>
        <w:jc w:val="both"/>
        <w:ind w:left="648" w:hanging="324"/>
        <w:spacing w:after="0" w:line="274" w:lineRule="auto"/>
        <w:tabs>
          <w:tab w:leader="none" w:pos="648" w:val="left"/>
        </w:tabs>
        <w:numPr>
          <w:ilvl w:val="1"/>
          <w:numId w:val="34"/>
        </w:numPr>
        <w:rPr>
          <w:rFonts w:ascii="Arial" w:cs="Arial" w:eastAsia="Arial" w:hAnsi="Arial"/>
          <w:sz w:val="15"/>
          <w:szCs w:val="15"/>
          <w:color w:val="auto"/>
        </w:rPr>
      </w:pPr>
      <w:r>
        <w:rPr>
          <w:rFonts w:ascii="Arial" w:cs="Arial" w:eastAsia="Arial" w:hAnsi="Arial"/>
          <w:sz w:val="15"/>
          <w:szCs w:val="15"/>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22" w:lineRule="exact"/>
        <w:rPr>
          <w:rFonts w:ascii="Arial" w:cs="Arial" w:eastAsia="Arial" w:hAnsi="Arial"/>
          <w:sz w:val="15"/>
          <w:szCs w:val="15"/>
          <w:color w:val="auto"/>
        </w:rPr>
      </w:pPr>
    </w:p>
    <w:p>
      <w:pPr>
        <w:ind w:left="328" w:hanging="328"/>
        <w:spacing w:after="0"/>
        <w:tabs>
          <w:tab w:leader="none" w:pos="32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left="648" w:hanging="324"/>
        <w:spacing w:after="0"/>
        <w:tabs>
          <w:tab w:leader="none" w:pos="648"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Participant shall not sell, assign, transfer, pledge or otherwise encumber any RSUs, either voluntarily or by operation of law.</w:t>
      </w:r>
    </w:p>
    <w:p>
      <w:pPr>
        <w:spacing w:after="0" w:line="167" w:lineRule="exact"/>
        <w:rPr>
          <w:rFonts w:ascii="Arial" w:cs="Arial" w:eastAsia="Arial" w:hAnsi="Arial"/>
          <w:sz w:val="16"/>
          <w:szCs w:val="16"/>
          <w:color w:val="auto"/>
        </w:rPr>
      </w:pPr>
    </w:p>
    <w:p>
      <w:pPr>
        <w:ind w:left="648" w:right="20" w:hanging="324"/>
        <w:spacing w:after="0" w:line="349" w:lineRule="auto"/>
        <w:tabs>
          <w:tab w:leader="none" w:pos="648" w:val="left"/>
        </w:tabs>
        <w:numPr>
          <w:ilvl w:val="1"/>
          <w:numId w:val="35"/>
        </w:numPr>
        <w:rPr>
          <w:rFonts w:ascii="Arial" w:cs="Arial" w:eastAsia="Arial" w:hAnsi="Arial"/>
          <w:sz w:val="14"/>
          <w:szCs w:val="14"/>
          <w:color w:val="auto"/>
        </w:rPr>
      </w:pPr>
      <w:r>
        <w:rPr>
          <w:rFonts w:ascii="Arial" w:cs="Arial" w:eastAsia="Arial" w:hAnsi="Arial"/>
          <w:sz w:val="14"/>
          <w:szCs w:val="14"/>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71" w:lineRule="exact"/>
        <w:rPr>
          <w:rFonts w:ascii="Arial" w:cs="Arial" w:eastAsia="Arial" w:hAnsi="Arial"/>
          <w:sz w:val="14"/>
          <w:szCs w:val="14"/>
          <w:color w:val="auto"/>
        </w:rPr>
      </w:pPr>
    </w:p>
    <w:p>
      <w:pPr>
        <w:jc w:val="both"/>
        <w:ind w:left="328" w:hanging="328"/>
        <w:spacing w:after="0" w:line="278" w:lineRule="auto"/>
        <w:tabs>
          <w:tab w:leader="none" w:pos="328" w:val="left"/>
        </w:tabs>
        <w:numPr>
          <w:ilvl w:val="0"/>
          <w:numId w:val="35"/>
        </w:numPr>
        <w:rPr>
          <w:rFonts w:ascii="Arial" w:cs="Arial" w:eastAsia="Arial" w:hAnsi="Arial"/>
          <w:sz w:val="15"/>
          <w:szCs w:val="15"/>
          <w:color w:val="auto"/>
        </w:rPr>
      </w:pPr>
      <w:r>
        <w:rPr>
          <w:rFonts w:ascii="Arial" w:cs="Arial" w:eastAsia="Arial" w:hAnsi="Arial"/>
          <w:sz w:val="15"/>
          <w:szCs w:val="15"/>
          <w:u w:val="single" w:color="auto"/>
          <w:color w:val="auto"/>
        </w:rPr>
        <w:t>Not a Shareholder</w:t>
      </w:r>
      <w:r>
        <w:rPr>
          <w:rFonts w:ascii="Arial" w:cs="Arial" w:eastAsia="Arial" w:hAnsi="Arial"/>
          <w:sz w:val="15"/>
          <w:szCs w:val="15"/>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19" w:lineRule="exact"/>
        <w:rPr>
          <w:rFonts w:ascii="Arial" w:cs="Arial" w:eastAsia="Arial" w:hAnsi="Arial"/>
          <w:sz w:val="15"/>
          <w:szCs w:val="15"/>
          <w:color w:val="auto"/>
        </w:rPr>
      </w:pPr>
    </w:p>
    <w:p>
      <w:pPr>
        <w:jc w:val="both"/>
        <w:ind w:left="328" w:right="20" w:hanging="328"/>
        <w:spacing w:after="0" w:line="261" w:lineRule="auto"/>
        <w:tabs>
          <w:tab w:leader="none" w:pos="32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Provisions of the Plan</w:t>
      </w:r>
      <w:r>
        <w:rPr>
          <w:rFonts w:ascii="Arial" w:cs="Arial" w:eastAsia="Arial" w:hAnsi="Arial"/>
          <w:sz w:val="16"/>
          <w:szCs w:val="16"/>
          <w:color w:val="auto"/>
        </w:rPr>
        <w:t>. The RSUs and Shares, including the grant and issuance thereof, are subject to the provisions of the Plan. A copy of the Plan prospectus is available on the Company’s Intranet at http://signals.corpnt.analog.com/default.aspx. (From Signals home page, click Knowledge Centers, HR, Employee Stock Programs. The related documents can be found in the right-hand column).</w:t>
      </w:r>
    </w:p>
    <w:p>
      <w:pPr>
        <w:spacing w:after="0" w:line="129" w:lineRule="exact"/>
        <w:rPr>
          <w:rFonts w:ascii="Arial" w:cs="Arial" w:eastAsia="Arial" w:hAnsi="Arial"/>
          <w:sz w:val="16"/>
          <w:szCs w:val="16"/>
          <w:color w:val="auto"/>
        </w:rPr>
      </w:pPr>
    </w:p>
    <w:p>
      <w:pPr>
        <w:ind w:left="328" w:hanging="328"/>
        <w:spacing w:after="0"/>
        <w:tabs>
          <w:tab w:leader="none" w:pos="328"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Withholding Taxes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49" w:lineRule="auto"/>
        <w:tabs>
          <w:tab w:leader="none" w:pos="648" w:val="left"/>
        </w:tabs>
        <w:numPr>
          <w:ilvl w:val="1"/>
          <w:numId w:val="35"/>
        </w:numPr>
        <w:rPr>
          <w:rFonts w:ascii="Arial" w:cs="Arial" w:eastAsia="Arial" w:hAnsi="Arial"/>
          <w:sz w:val="16"/>
          <w:szCs w:val="16"/>
          <w:color w:val="auto"/>
        </w:rPr>
      </w:pPr>
      <w:r>
        <w:rPr>
          <w:rFonts w:ascii="Arial" w:cs="Arial" w:eastAsia="Arial" w:hAnsi="Arial"/>
          <w:sz w:val="16"/>
          <w:szCs w:val="16"/>
          <w:color w:val="auto"/>
        </w:rPr>
        <w:t>Regardless of any action the Company and/or the Employer, if different, takes with respect to any or all income tax (including U.S. federal, state and local taxes and/or non-U.S. taxes), social insurance, payroll tax, payment on account or other tax-related withholding (“Tax-Related Items”), the Participant acknowledges that the ultimate liability for all Tax-Related Items legally applicable to the Participant is and remains the Participant’s responsibility and may exceed the amount actually withheld by the Company or the Employer. The Participant further acknowledges that the Company and the Employer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 or achieve any particular tax result. Further, if the Participant becomes subject to tax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43" w:lineRule="exact"/>
        <w:rPr>
          <w:rFonts w:ascii="Arial" w:cs="Arial" w:eastAsia="Arial" w:hAnsi="Arial"/>
          <w:sz w:val="16"/>
          <w:szCs w:val="16"/>
          <w:color w:val="auto"/>
        </w:rPr>
      </w:pPr>
    </w:p>
    <w:p>
      <w:pPr>
        <w:jc w:val="both"/>
        <w:ind w:left="648" w:hanging="324"/>
        <w:spacing w:after="0" w:line="261" w:lineRule="auto"/>
        <w:tabs>
          <w:tab w:leader="none" w:pos="648" w:val="left"/>
        </w:tabs>
        <w:numPr>
          <w:ilvl w:val="1"/>
          <w:numId w:val="35"/>
        </w:numPr>
        <w:rPr>
          <w:rFonts w:ascii="Arial" w:cs="Arial" w:eastAsia="Arial" w:hAnsi="Arial"/>
          <w:sz w:val="16"/>
          <w:szCs w:val="16"/>
          <w:color w:val="auto"/>
        </w:rPr>
      </w:pPr>
      <w:r>
        <w:rPr>
          <w:rFonts w:ascii="Arial" w:cs="Arial" w:eastAsia="Arial" w:hAnsi="Arial"/>
          <w:sz w:val="16"/>
          <w:szCs w:val="16"/>
          <w:color w:val="auto"/>
        </w:rPr>
        <w:t>Prior to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with regard to all Tax-Related Items by one or a combination of the methods set forth below:</w:t>
      </w:r>
    </w:p>
    <w:p>
      <w:pPr>
        <w:spacing w:after="0" w:line="129" w:lineRule="exact"/>
        <w:rPr>
          <w:rFonts w:ascii="Arial" w:cs="Arial" w:eastAsia="Arial" w:hAnsi="Arial"/>
          <w:sz w:val="16"/>
          <w:szCs w:val="16"/>
          <w:color w:val="auto"/>
        </w:rPr>
      </w:pPr>
    </w:p>
    <w:p>
      <w:pPr>
        <w:ind w:left="1288" w:hanging="640"/>
        <w:spacing w:after="0" w:line="256" w:lineRule="auto"/>
        <w:tabs>
          <w:tab w:leader="none" w:pos="964" w:val="left"/>
        </w:tabs>
        <w:numPr>
          <w:ilvl w:val="2"/>
          <w:numId w:val="35"/>
        </w:numPr>
        <w:rPr>
          <w:rFonts w:ascii="Arial" w:cs="Arial" w:eastAsia="Arial" w:hAnsi="Arial"/>
          <w:sz w:val="16"/>
          <w:szCs w:val="16"/>
          <w:color w:val="auto"/>
        </w:rPr>
      </w:pPr>
      <w:r>
        <w:rPr>
          <w:rFonts w:ascii="Arial" w:cs="Arial" w:eastAsia="Arial" w:hAnsi="Arial"/>
          <w:sz w:val="16"/>
          <w:szCs w:val="16"/>
          <w:color w:val="auto"/>
        </w:rPr>
        <w:t>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w:t>
      </w:r>
    </w:p>
    <w:p>
      <w:pPr>
        <w:spacing w:after="0" w:line="363"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088"/>
          </w:cols>
          <w:pgMar w:left="572" w:top="1048" w:right="239" w:bottom="1440" w:gutter="0" w:footer="0" w:header="0"/>
        </w:sectPr>
      </w:pPr>
    </w:p>
    <w:bookmarkStart w:id="63" w:name="page64"/>
    <w:bookmarkEnd w:id="63"/>
    <w:p>
      <w:pPr>
        <w:ind w:left="1288" w:hanging="640"/>
        <w:spacing w:after="0" w:line="275" w:lineRule="auto"/>
        <w:tabs>
          <w:tab w:leader="none" w:pos="964"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the Company may, in its discretion, withhold any amount necessary to pay the Tax-Related Items from the Participant’s salary or other amounts payable to the Participant; or</w:t>
      </w:r>
    </w:p>
    <w:p>
      <w:pPr>
        <w:spacing w:after="0" w:line="118" w:lineRule="exact"/>
        <w:rPr>
          <w:rFonts w:ascii="Arial" w:cs="Arial" w:eastAsia="Arial" w:hAnsi="Arial"/>
          <w:sz w:val="16"/>
          <w:szCs w:val="16"/>
          <w:color w:val="auto"/>
        </w:rPr>
      </w:pPr>
    </w:p>
    <w:p>
      <w:pPr>
        <w:ind w:left="1288" w:hanging="640"/>
        <w:spacing w:after="0" w:line="275" w:lineRule="auto"/>
        <w:tabs>
          <w:tab w:leader="none" w:pos="964"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9" w:lineRule="exact"/>
        <w:rPr>
          <w:sz w:val="20"/>
          <w:szCs w:val="20"/>
          <w:color w:val="auto"/>
        </w:rPr>
      </w:pPr>
    </w:p>
    <w:p>
      <w:pPr>
        <w:jc w:val="both"/>
        <w:ind w:left="968"/>
        <w:spacing w:after="0" w:line="251" w:lineRule="auto"/>
        <w:rPr>
          <w:sz w:val="20"/>
          <w:szCs w:val="20"/>
          <w:color w:val="auto"/>
        </w:rPr>
      </w:pPr>
      <w:r>
        <w:rPr>
          <w:rFonts w:ascii="Arial" w:cs="Arial" w:eastAsia="Arial" w:hAnsi="Arial"/>
          <w:sz w:val="16"/>
          <w:szCs w:val="16"/>
          <w:color w:val="auto"/>
        </w:rPr>
        <w:t>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of Directors) have been made by the Participant with respect to the payment of any Tax-Related Items which the Company and/or the Employer determine, in each of its sole discretion, must be withheld or collected with respect to such RSUs. No fractional Shares will be withheld or issued pursuant to the grant of the RSUs and the issuance of Shares hereunder.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39" w:lineRule="exact"/>
        <w:rPr>
          <w:sz w:val="20"/>
          <w:szCs w:val="20"/>
          <w:color w:val="auto"/>
        </w:rPr>
      </w:pPr>
    </w:p>
    <w:p>
      <w:pPr>
        <w:jc w:val="both"/>
        <w:ind w:left="328" w:hanging="328"/>
        <w:spacing w:after="0" w:line="192" w:lineRule="exact"/>
        <w:tabs>
          <w:tab w:leader="none" w:pos="32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Option of Company to Deliver Cash</w:t>
      </w:r>
      <w:r>
        <w:rPr>
          <w:rFonts w:ascii="Arial" w:cs="Arial" w:eastAsia="Arial" w:hAnsi="Arial"/>
          <w:sz w:val="16"/>
          <w:szCs w:val="16"/>
          <w:color w:val="auto"/>
        </w:rPr>
        <w:t>. Notwithstanding any of the other provisions of this Agreement, and except as set forth in Appendix A, where share settlement is otherwise prohibited under local law or may present adverse tax consequences to the Participant, at the time the RSUs vest, the Company may elect, in the sole discretion of the Compensation Committee of the Board of Directors,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w:t>
      </w:r>
      <w:r>
        <w:rPr>
          <w:rFonts w:ascii="MS PGothic" w:cs="MS PGothic" w:eastAsia="MS PGothic" w:hAnsi="MS PGothic"/>
          <w:sz w:val="16"/>
          <w:szCs w:val="16"/>
          <w:color w:val="auto"/>
        </w:rPr>
        <w:t>‑</w:t>
      </w:r>
      <w:r>
        <w:rPr>
          <w:rFonts w:ascii="Arial" w:cs="Arial" w:eastAsia="Arial" w:hAnsi="Arial"/>
          <w:sz w:val="16"/>
          <w:szCs w:val="16"/>
          <w:color w:val="auto"/>
        </w:rPr>
        <w:t>Related Items withholding obligations of the Company pursuant to Section 6 herein.</w:t>
      </w:r>
    </w:p>
    <w:p>
      <w:pPr>
        <w:spacing w:after="0" w:line="146" w:lineRule="exact"/>
        <w:rPr>
          <w:rFonts w:ascii="Arial" w:cs="Arial" w:eastAsia="Arial" w:hAnsi="Arial"/>
          <w:sz w:val="16"/>
          <w:szCs w:val="16"/>
          <w:color w:val="auto"/>
        </w:rPr>
      </w:pPr>
    </w:p>
    <w:p>
      <w:pPr>
        <w:jc w:val="both"/>
        <w:ind w:left="328" w:hanging="328"/>
        <w:spacing w:after="0" w:line="272" w:lineRule="auto"/>
        <w:tabs>
          <w:tab w:leader="none" w:pos="328" w:val="left"/>
        </w:tabs>
        <w:numPr>
          <w:ilvl w:val="0"/>
          <w:numId w:val="37"/>
        </w:numPr>
        <w:rPr>
          <w:rFonts w:ascii="Arial" w:cs="Arial" w:eastAsia="Arial" w:hAnsi="Arial"/>
          <w:sz w:val="15"/>
          <w:szCs w:val="15"/>
          <w:color w:val="auto"/>
        </w:rPr>
      </w:pPr>
      <w:r>
        <w:rPr>
          <w:rFonts w:ascii="Arial" w:cs="Arial" w:eastAsia="Arial" w:hAnsi="Arial"/>
          <w:sz w:val="15"/>
          <w:szCs w:val="15"/>
          <w:i w:val="1"/>
          <w:iCs w:val="1"/>
          <w:u w:val="single" w:color="auto"/>
          <w:color w:val="auto"/>
        </w:rPr>
        <w:t>Data Privacy</w:t>
      </w:r>
      <w:r>
        <w:rPr>
          <w:rFonts w:ascii="Arial" w:cs="Arial" w:eastAsia="Arial" w:hAnsi="Arial"/>
          <w:sz w:val="15"/>
          <w:szCs w:val="15"/>
          <w:i w:val="1"/>
          <w:iCs w:val="1"/>
          <w:color w:val="auto"/>
        </w:rPr>
        <w:t>. This Section 8 applies if the Participant resides outside the U.S.: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123" w:lineRule="exact"/>
        <w:rPr>
          <w:rFonts w:ascii="Arial" w:cs="Arial" w:eastAsia="Arial" w:hAnsi="Arial"/>
          <w:sz w:val="15"/>
          <w:szCs w:val="15"/>
          <w:color w:val="auto"/>
        </w:rPr>
      </w:pPr>
    </w:p>
    <w:p>
      <w:pPr>
        <w:jc w:val="both"/>
        <w:ind w:left="328"/>
        <w:spacing w:after="0" w:line="249" w:lineRule="auto"/>
        <w:rPr>
          <w:rFonts w:ascii="Arial" w:cs="Arial" w:eastAsia="Arial" w:hAnsi="Arial"/>
          <w:sz w:val="15"/>
          <w:szCs w:val="15"/>
          <w:color w:val="auto"/>
        </w:rPr>
      </w:pPr>
      <w:r>
        <w:rPr>
          <w:rFonts w:ascii="Arial" w:cs="Arial" w:eastAsia="Arial" w:hAnsi="Arial"/>
          <w:sz w:val="16"/>
          <w:szCs w:val="16"/>
          <w:i w:val="1"/>
          <w:iCs w:val="1"/>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143" w:lineRule="exact"/>
        <w:rPr>
          <w:rFonts w:ascii="Arial" w:cs="Arial" w:eastAsia="Arial" w:hAnsi="Arial"/>
          <w:sz w:val="15"/>
          <w:szCs w:val="15"/>
          <w:color w:val="auto"/>
        </w:rPr>
      </w:pPr>
    </w:p>
    <w:p>
      <w:pPr>
        <w:jc w:val="both"/>
        <w:ind w:left="328"/>
        <w:spacing w:after="0" w:line="251" w:lineRule="auto"/>
        <w:rPr>
          <w:rFonts w:ascii="Arial" w:cs="Arial" w:eastAsia="Arial" w:hAnsi="Arial"/>
          <w:sz w:val="15"/>
          <w:szCs w:val="15"/>
          <w:color w:val="auto"/>
        </w:rPr>
      </w:pPr>
      <w:r>
        <w:rPr>
          <w:rFonts w:ascii="Arial" w:cs="Arial" w:eastAsia="Arial" w:hAnsi="Arial"/>
          <w:sz w:val="16"/>
          <w:szCs w:val="16"/>
          <w:i w:val="1"/>
          <w:iCs w:val="1"/>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United States, the European Economic Area,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138" w:lineRule="exact"/>
        <w:rPr>
          <w:rFonts w:ascii="Arial" w:cs="Arial" w:eastAsia="Arial" w:hAnsi="Arial"/>
          <w:sz w:val="15"/>
          <w:szCs w:val="15"/>
          <w:color w:val="auto"/>
        </w:rPr>
      </w:pPr>
    </w:p>
    <w:p>
      <w:pPr>
        <w:ind w:left="328"/>
        <w:spacing w:after="0" w:line="275" w:lineRule="auto"/>
        <w:rPr>
          <w:rFonts w:ascii="Arial" w:cs="Arial" w:eastAsia="Arial" w:hAnsi="Arial"/>
          <w:sz w:val="15"/>
          <w:szCs w:val="15"/>
          <w:color w:val="auto"/>
        </w:rPr>
      </w:pPr>
      <w:r>
        <w:rPr>
          <w:rFonts w:ascii="Arial" w:cs="Arial" w:eastAsia="Arial" w:hAnsi="Arial"/>
          <w:sz w:val="16"/>
          <w:szCs w:val="16"/>
          <w:color w:val="auto"/>
        </w:rPr>
        <w:t>The Participant may, at any time, exercise the Participant’s rights provided under applicable personal data protection laws, which may include the right to (a) obtain confirmation as to the existence of the Data, (b) verify the content,</w:t>
      </w:r>
    </w:p>
    <w:p>
      <w:pPr>
        <w:spacing w:after="0" w:line="348"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088"/>
          </w:cols>
          <w:pgMar w:left="572" w:top="1021" w:right="239" w:bottom="1440" w:gutter="0" w:footer="0" w:header="0"/>
        </w:sectPr>
      </w:pPr>
    </w:p>
    <w:bookmarkStart w:id="64" w:name="page65"/>
    <w:bookmarkEnd w:id="64"/>
    <w:p>
      <w:pPr>
        <w:jc w:val="both"/>
        <w:ind w:left="328"/>
        <w:spacing w:after="0" w:line="315"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95" w:lineRule="exact"/>
        <w:rPr>
          <w:sz w:val="20"/>
          <w:szCs w:val="20"/>
          <w:color w:val="auto"/>
        </w:rPr>
      </w:pPr>
    </w:p>
    <w:p>
      <w:pPr>
        <w:jc w:val="both"/>
        <w:ind w:left="328" w:hanging="328"/>
        <w:spacing w:after="0" w:line="272" w:lineRule="auto"/>
        <w:tabs>
          <w:tab w:leader="none" w:pos="328"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Repatriation and Other Legal Requirements</w:t>
      </w:r>
      <w:r>
        <w:rPr>
          <w:rFonts w:ascii="Arial" w:cs="Arial" w:eastAsia="Arial" w:hAnsi="Arial"/>
          <w:sz w:val="15"/>
          <w:szCs w:val="15"/>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23" w:lineRule="exact"/>
        <w:rPr>
          <w:rFonts w:ascii="Arial" w:cs="Arial" w:eastAsia="Arial" w:hAnsi="Arial"/>
          <w:sz w:val="15"/>
          <w:szCs w:val="15"/>
          <w:color w:val="auto"/>
        </w:rPr>
      </w:pPr>
    </w:p>
    <w:p>
      <w:pPr>
        <w:ind w:left="328" w:hanging="328"/>
        <w:spacing w:after="0"/>
        <w:tabs>
          <w:tab w:leader="none" w:pos="328"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648" w:hanging="324"/>
        <w:spacing w:after="0" w:line="256" w:lineRule="auto"/>
        <w:tabs>
          <w:tab w:leader="none" w:pos="648"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No Rights to Employment</w:t>
      </w:r>
      <w:r>
        <w:rPr>
          <w:rFonts w:ascii="Arial" w:cs="Arial" w:eastAsia="Arial" w:hAnsi="Arial"/>
          <w:sz w:val="16"/>
          <w:szCs w:val="16"/>
          <w:color w:val="auto"/>
        </w:rPr>
        <w:t>. The grant of the RSUs shall not confer upon the Participant any right to continue in the employ of the Company or the Employer, nor limit in any way the right of the Company or the Employer to terminate the Participant’s employment at any time. The vesting of the RSUs pursuant to Section 2 hereof is earned only by satisfaction of the performance conditions, if any, and continuing service as an employee at the will of the Company or the Employer (not through the act of being hired or engaged or being granted the RSUs hereunder).</w:t>
      </w:r>
    </w:p>
    <w:p>
      <w:pPr>
        <w:spacing w:after="0" w:line="133" w:lineRule="exact"/>
        <w:rPr>
          <w:rFonts w:ascii="Arial" w:cs="Arial" w:eastAsia="Arial" w:hAnsi="Arial"/>
          <w:sz w:val="16"/>
          <w:szCs w:val="16"/>
          <w:color w:val="auto"/>
        </w:rPr>
      </w:pPr>
    </w:p>
    <w:p>
      <w:pPr>
        <w:jc w:val="both"/>
        <w:ind w:left="648" w:hanging="324"/>
        <w:spacing w:after="0" w:line="293" w:lineRule="auto"/>
        <w:tabs>
          <w:tab w:leader="none" w:pos="648" w:val="left"/>
        </w:tabs>
        <w:numPr>
          <w:ilvl w:val="1"/>
          <w:numId w:val="38"/>
        </w:numPr>
        <w:rPr>
          <w:rFonts w:ascii="Arial" w:cs="Arial" w:eastAsia="Arial" w:hAnsi="Arial"/>
          <w:sz w:val="14"/>
          <w:szCs w:val="14"/>
          <w:color w:val="auto"/>
        </w:rPr>
      </w:pPr>
      <w:r>
        <w:rPr>
          <w:rFonts w:ascii="Arial" w:cs="Arial" w:eastAsia="Arial" w:hAnsi="Arial"/>
          <w:sz w:val="14"/>
          <w:szCs w:val="14"/>
          <w:u w:val="single" w:color="auto"/>
          <w:color w:val="auto"/>
        </w:rPr>
        <w:t>Discretionary Nature</w:t>
      </w:r>
      <w:r>
        <w:rPr>
          <w:rFonts w:ascii="Arial" w:cs="Arial" w:eastAsia="Arial" w:hAnsi="Arial"/>
          <w:sz w:val="14"/>
          <w:szCs w:val="14"/>
          <w:color w:val="auto"/>
        </w:rPr>
        <w:t>. The Participant acknowledges and agrees that the Plan is discretionary in nature and may be amended, cancelled, or terminated by the Company, in its sole discretion, at any time. The Participant’s participation in the Plan is voluntary.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RSUs and income from such RSUs shall not be included in any calculation of severance, resignation, redundancy, end of service payments, bonuses, long-service awards, pension, or retirement benefits or similar payments.</w:t>
      </w:r>
    </w:p>
    <w:p>
      <w:pPr>
        <w:spacing w:after="0" w:line="109" w:lineRule="exact"/>
        <w:rPr>
          <w:rFonts w:ascii="Arial" w:cs="Arial" w:eastAsia="Arial" w:hAnsi="Arial"/>
          <w:sz w:val="14"/>
          <w:szCs w:val="14"/>
          <w:color w:val="auto"/>
        </w:rPr>
      </w:pPr>
    </w:p>
    <w:p>
      <w:pPr>
        <w:jc w:val="both"/>
        <w:ind w:left="648" w:hanging="324"/>
        <w:spacing w:after="0" w:line="256" w:lineRule="auto"/>
        <w:tabs>
          <w:tab w:leader="none" w:pos="648"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Section 10(c) applies if the Participant resides outside the U.S.: The value of the RSUs and any other awards granted under the Plan is an extraordinary item of compensation outside the scope of the Participant’s employment with the Company or the Employer (and the Participant’s employment contract, if any). Any grant under the Plan, including the grant of the RSUs, is not part of normal or expected compensation. Further, the RSUs and the Shares are not intended to replace any pension rights or compensation.</w:t>
      </w:r>
    </w:p>
    <w:p>
      <w:pPr>
        <w:spacing w:after="0" w:line="133" w:lineRule="exact"/>
        <w:rPr>
          <w:rFonts w:ascii="Arial" w:cs="Arial" w:eastAsia="Arial" w:hAnsi="Arial"/>
          <w:sz w:val="16"/>
          <w:szCs w:val="16"/>
          <w:color w:val="auto"/>
        </w:rPr>
      </w:pPr>
    </w:p>
    <w:p>
      <w:pPr>
        <w:jc w:val="both"/>
        <w:ind w:left="648" w:hanging="324"/>
        <w:spacing w:after="0" w:line="253" w:lineRule="auto"/>
        <w:tabs>
          <w:tab w:leader="none" w:pos="648"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Section 10(d) applies if the Participant resides outside the U.S.: In consideration of the grant of RSUs, no claim or entitlement to compensation or damages shall arise from forfeiture of the RSUs resulting from termination of the Participant’s employment with the Company or the Employer (for any reason whatsoever and whether or not in breach of local labor laws),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37" w:lineRule="exact"/>
        <w:rPr>
          <w:rFonts w:ascii="Arial" w:cs="Arial" w:eastAsia="Arial" w:hAnsi="Arial"/>
          <w:sz w:val="16"/>
          <w:szCs w:val="16"/>
          <w:color w:val="auto"/>
        </w:rPr>
      </w:pPr>
    </w:p>
    <w:p>
      <w:pPr>
        <w:jc w:val="both"/>
        <w:ind w:left="648" w:right="20" w:hanging="324"/>
        <w:spacing w:after="0" w:line="315" w:lineRule="auto"/>
        <w:tabs>
          <w:tab w:leader="none" w:pos="648" w:val="left"/>
        </w:tabs>
        <w:numPr>
          <w:ilvl w:val="1"/>
          <w:numId w:val="38"/>
        </w:numPr>
        <w:rPr>
          <w:rFonts w:ascii="Arial" w:cs="Arial" w:eastAsia="Arial" w:hAnsi="Arial"/>
          <w:sz w:val="14"/>
          <w:szCs w:val="14"/>
          <w:color w:val="auto"/>
        </w:rPr>
      </w:pPr>
      <w:r>
        <w:rPr>
          <w:rFonts w:ascii="Arial" w:cs="Arial" w:eastAsia="Arial" w:hAnsi="Arial"/>
          <w:sz w:val="14"/>
          <w:szCs w:val="14"/>
          <w:u w:val="single" w:color="auto"/>
          <w:color w:val="auto"/>
        </w:rPr>
        <w:t>Exchange Rates</w:t>
      </w:r>
      <w:r>
        <w:rPr>
          <w:rFonts w:ascii="Arial" w:cs="Arial" w:eastAsia="Arial" w:hAnsi="Arial"/>
          <w:sz w:val="14"/>
          <w:szCs w:val="14"/>
          <w:color w:val="auto"/>
        </w:rPr>
        <w:t>. This Section 10(e)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RSUs or of any amounts due to the Participant pursuant to the vesting and settlement of the RSUs or the subsequent sale of any Shares.</w:t>
      </w:r>
    </w:p>
    <w:p>
      <w:pPr>
        <w:spacing w:after="0" w:line="95" w:lineRule="exact"/>
        <w:rPr>
          <w:rFonts w:ascii="Arial" w:cs="Arial" w:eastAsia="Arial" w:hAnsi="Arial"/>
          <w:sz w:val="14"/>
          <w:szCs w:val="14"/>
          <w:color w:val="auto"/>
        </w:rPr>
      </w:pPr>
    </w:p>
    <w:p>
      <w:pPr>
        <w:ind w:left="648" w:right="20" w:hanging="324"/>
        <w:spacing w:after="0" w:line="275" w:lineRule="auto"/>
        <w:tabs>
          <w:tab w:leader="none" w:pos="648"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348"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088"/>
          </w:cols>
          <w:pgMar w:left="572" w:top="1021" w:right="239" w:bottom="1440" w:gutter="0" w:footer="0" w:header="0"/>
        </w:sectPr>
      </w:pPr>
    </w:p>
    <w:bookmarkStart w:id="65" w:name="page66"/>
    <w:bookmarkEnd w:id="65"/>
    <w:p>
      <w:pPr>
        <w:ind w:left="324" w:hanging="324"/>
        <w:spacing w:after="0" w:line="310" w:lineRule="auto"/>
        <w:tabs>
          <w:tab w:leader="none" w:pos="324"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Binding Effect</w:t>
      </w:r>
      <w:r>
        <w:rPr>
          <w:rFonts w:ascii="Arial" w:cs="Arial" w:eastAsia="Arial" w:hAnsi="Arial"/>
          <w:sz w:val="15"/>
          <w:szCs w:val="15"/>
          <w:color w:val="auto"/>
        </w:rPr>
        <w:t>. This Agreement shall be binding upon and inure to the benefit of the Company and the Participant and their respective heirs, executors, administrators, legal representatives, successors and assigns, subject to the restrictions on transfer set forth in Section 3 of this Agreement.</w:t>
      </w:r>
    </w:p>
    <w:p>
      <w:pPr>
        <w:spacing w:after="0" w:line="94" w:lineRule="exact"/>
        <w:rPr>
          <w:rFonts w:ascii="Arial" w:cs="Arial" w:eastAsia="Arial" w:hAnsi="Arial"/>
          <w:sz w:val="15"/>
          <w:szCs w:val="15"/>
          <w:color w:val="auto"/>
        </w:rPr>
      </w:pPr>
    </w:p>
    <w:p>
      <w:pPr>
        <w:jc w:val="both"/>
        <w:ind w:left="324" w:hanging="324"/>
        <w:spacing w:after="0" w:line="253"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Three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137" w:lineRule="exact"/>
        <w:rPr>
          <w:rFonts w:ascii="Arial" w:cs="Arial" w:eastAsia="Arial" w:hAnsi="Arial"/>
          <w:sz w:val="16"/>
          <w:szCs w:val="16"/>
          <w:color w:val="auto"/>
        </w:rPr>
      </w:pPr>
    </w:p>
    <w:p>
      <w:pPr>
        <w:ind w:left="324" w:right="20" w:hanging="324"/>
        <w:spacing w:after="0" w:line="275"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Pronouns</w:t>
      </w:r>
      <w:r>
        <w:rPr>
          <w:rFonts w:ascii="Arial" w:cs="Arial" w:eastAsia="Arial" w:hAnsi="Arial"/>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8" w:lineRule="exact"/>
        <w:rPr>
          <w:rFonts w:ascii="Arial" w:cs="Arial" w:eastAsia="Arial" w:hAnsi="Arial"/>
          <w:sz w:val="16"/>
          <w:szCs w:val="16"/>
          <w:color w:val="auto"/>
        </w:rPr>
      </w:pPr>
    </w:p>
    <w:p>
      <w:pPr>
        <w:ind w:left="324" w:hanging="324"/>
        <w:spacing w:after="0" w:line="275"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Plan constitute the entire understanding between the parties, and supersede all prior agreements and understandings, relating to the subject matter of these documents.</w:t>
      </w:r>
    </w:p>
    <w:p>
      <w:pPr>
        <w:spacing w:after="0" w:line="118" w:lineRule="exact"/>
        <w:rPr>
          <w:rFonts w:ascii="Arial" w:cs="Arial" w:eastAsia="Arial" w:hAnsi="Arial"/>
          <w:sz w:val="16"/>
          <w:szCs w:val="16"/>
          <w:color w:val="auto"/>
        </w:rPr>
      </w:pPr>
    </w:p>
    <w:p>
      <w:pPr>
        <w:ind w:left="324" w:hanging="324"/>
        <w:spacing w:after="0" w:line="275"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interpreted and enforced in accordance with the internal laws of the Commonwealth of Massachusetts without regard to any applicable conflicts of laws.</w:t>
      </w:r>
    </w:p>
    <w:p>
      <w:pPr>
        <w:spacing w:after="0" w:line="118" w:lineRule="exact"/>
        <w:rPr>
          <w:rFonts w:ascii="Arial" w:cs="Arial" w:eastAsia="Arial" w:hAnsi="Arial"/>
          <w:sz w:val="16"/>
          <w:szCs w:val="16"/>
          <w:color w:val="auto"/>
        </w:rPr>
      </w:pPr>
    </w:p>
    <w:p>
      <w:pPr>
        <w:jc w:val="both"/>
        <w:ind w:left="324" w:hanging="324"/>
        <w:spacing w:after="0" w:line="268" w:lineRule="auto"/>
        <w:tabs>
          <w:tab w:leader="none" w:pos="324"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Compliance with Laws</w:t>
      </w:r>
      <w:r>
        <w:rPr>
          <w:rFonts w:ascii="Arial" w:cs="Arial" w:eastAsia="Arial" w:hAnsi="Arial"/>
          <w:sz w:val="15"/>
          <w:szCs w:val="15"/>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Participant understands that the Company is under no obligation to register or qualify the Shares with the SEC or any state or foreign securities commission or to seek approval or clearance from any governmental authority for the issuance or sale of the Shares.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30" w:lineRule="exact"/>
        <w:rPr>
          <w:rFonts w:ascii="Arial" w:cs="Arial" w:eastAsia="Arial" w:hAnsi="Arial"/>
          <w:sz w:val="15"/>
          <w:szCs w:val="15"/>
          <w:color w:val="auto"/>
        </w:rPr>
      </w:pPr>
    </w:p>
    <w:p>
      <w:pPr>
        <w:ind w:left="324" w:hanging="324"/>
        <w:spacing w:after="0" w:line="275"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interpretation and construction of any terms or conditions of this Agreement or the Plan, or other matters related to the Plan, by the Compensation Committee of the Board of Directors of the Company shall be final and conclusive.</w:t>
      </w:r>
    </w:p>
    <w:p>
      <w:pPr>
        <w:spacing w:after="0" w:line="118" w:lineRule="exact"/>
        <w:rPr>
          <w:rFonts w:ascii="Arial" w:cs="Arial" w:eastAsia="Arial" w:hAnsi="Arial"/>
          <w:sz w:val="16"/>
          <w:szCs w:val="16"/>
          <w:color w:val="auto"/>
        </w:rPr>
      </w:pPr>
    </w:p>
    <w:p>
      <w:pPr>
        <w:jc w:val="both"/>
        <w:ind w:left="324" w:hanging="324"/>
        <w:spacing w:after="0" w:line="261"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Participant’s Acceptance</w:t>
      </w:r>
      <w:r>
        <w:rPr>
          <w:rFonts w:ascii="Arial" w:cs="Arial" w:eastAsia="Arial" w:hAnsi="Arial"/>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29" w:lineRule="exact"/>
        <w:rPr>
          <w:rFonts w:ascii="Arial" w:cs="Arial" w:eastAsia="Arial" w:hAnsi="Arial"/>
          <w:sz w:val="16"/>
          <w:szCs w:val="16"/>
          <w:color w:val="auto"/>
        </w:rPr>
      </w:pPr>
    </w:p>
    <w:p>
      <w:pPr>
        <w:jc w:val="both"/>
        <w:ind w:left="324" w:hanging="324"/>
        <w:spacing w:after="0" w:line="286" w:lineRule="auto"/>
        <w:tabs>
          <w:tab w:leader="none" w:pos="324" w:val="left"/>
        </w:tabs>
        <w:numPr>
          <w:ilvl w:val="0"/>
          <w:numId w:val="39"/>
        </w:numPr>
        <w:rPr>
          <w:rFonts w:ascii="Arial" w:cs="Arial" w:eastAsia="Arial" w:hAnsi="Arial"/>
          <w:sz w:val="15"/>
          <w:szCs w:val="15"/>
          <w:color w:val="auto"/>
        </w:rPr>
      </w:pPr>
      <w:r>
        <w:rPr>
          <w:rFonts w:ascii="Arial" w:cs="Arial" w:eastAsia="Arial" w:hAnsi="Arial"/>
          <w:sz w:val="15"/>
          <w:szCs w:val="15"/>
          <w:u w:val="single" w:color="auto"/>
          <w:color w:val="auto"/>
        </w:rPr>
        <w:t>Electronic Delivery</w:t>
      </w:r>
      <w:r>
        <w:rPr>
          <w:rFonts w:ascii="Arial" w:cs="Arial" w:eastAsia="Arial" w:hAnsi="Arial"/>
          <w:sz w:val="15"/>
          <w:szCs w:val="15"/>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2" w:lineRule="exact"/>
        <w:rPr>
          <w:rFonts w:ascii="Arial" w:cs="Arial" w:eastAsia="Arial" w:hAnsi="Arial"/>
          <w:sz w:val="15"/>
          <w:szCs w:val="15"/>
          <w:color w:val="auto"/>
        </w:rPr>
      </w:pPr>
    </w:p>
    <w:p>
      <w:pPr>
        <w:jc w:val="both"/>
        <w:ind w:left="324" w:hanging="324"/>
        <w:spacing w:after="0" w:line="256"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English Language</w:t>
      </w:r>
      <w:r>
        <w:rPr>
          <w:rFonts w:ascii="Arial" w:cs="Arial" w:eastAsia="Arial" w:hAnsi="Arial"/>
          <w:sz w:val="16"/>
          <w:szCs w:val="16"/>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33" w:lineRule="exact"/>
        <w:rPr>
          <w:rFonts w:ascii="Arial" w:cs="Arial" w:eastAsia="Arial" w:hAnsi="Arial"/>
          <w:sz w:val="16"/>
          <w:szCs w:val="16"/>
          <w:color w:val="auto"/>
        </w:rPr>
      </w:pPr>
    </w:p>
    <w:p>
      <w:pPr>
        <w:jc w:val="both"/>
        <w:ind w:left="324" w:hanging="324"/>
        <w:spacing w:after="0" w:line="256" w:lineRule="auto"/>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Appendix A</w:t>
      </w:r>
      <w:r>
        <w:rPr>
          <w:rFonts w:ascii="Arial" w:cs="Arial" w:eastAsia="Arial" w:hAnsi="Arial"/>
          <w:sz w:val="16"/>
          <w:szCs w:val="16"/>
          <w:color w:val="auto"/>
        </w:rPr>
        <w:t>. Notwithstanding any provisions herein to the contrary, if the Participant transfers the Participant’s residence and/or employment to a country other than the United States, the RSUs shall be subject to any special terms and conditions for such country as may be set forth in Appendix A to this Agreement. Moreover, if the Participant relocates to one of the countries included in Appendix A, the special terms and conditions for such country will apply to the Participant, to the extent the Company determines that the application of such terms</w:t>
      </w:r>
    </w:p>
    <w:p>
      <w:pPr>
        <w:spacing w:after="0" w:line="363" w:lineRule="exact"/>
        <w:rPr>
          <w:sz w:val="20"/>
          <w:szCs w:val="20"/>
          <w:color w:val="auto"/>
        </w:rPr>
      </w:pPr>
    </w:p>
    <w:p>
      <w:pPr>
        <w:ind w:left="4224"/>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764"/>
          </w:cols>
          <w:pgMar w:left="896" w:top="1021" w:right="239" w:bottom="1440" w:gutter="0" w:footer="0" w:header="0"/>
        </w:sectPr>
      </w:pPr>
    </w:p>
    <w:bookmarkStart w:id="66" w:name="page67"/>
    <w:bookmarkEnd w:id="66"/>
    <w:p>
      <w:pPr>
        <w:ind w:left="940"/>
        <w:spacing w:after="0" w:line="3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and conditions is necessary or advisable in order to comply with local law or facilitate the administration of the Plan. Appendix A constitutes part of this Agreement.</w:t>
      </w:r>
    </w:p>
    <w:p>
      <w:pPr>
        <w:spacing w:after="0" w:line="92" w:lineRule="exact"/>
        <w:rPr>
          <w:sz w:val="20"/>
          <w:szCs w:val="20"/>
          <w:color w:val="auto"/>
        </w:rPr>
      </w:pPr>
    </w:p>
    <w:p>
      <w:pPr>
        <w:jc w:val="both"/>
        <w:ind w:left="940" w:hanging="324"/>
        <w:spacing w:after="0" w:line="256" w:lineRule="auto"/>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in order to comply with local law or to facilitate the administration of the Plan. Such requirements may include (but are not limited to) requiring the Participant to sign any agreements or undertakings that may be necessary to accomplish the foregoing.</w:t>
      </w:r>
    </w:p>
    <w:p>
      <w:pPr>
        <w:spacing w:after="0" w:line="133" w:lineRule="exact"/>
        <w:rPr>
          <w:rFonts w:ascii="Arial" w:cs="Arial" w:eastAsia="Arial" w:hAnsi="Arial"/>
          <w:sz w:val="16"/>
          <w:szCs w:val="16"/>
          <w:color w:val="auto"/>
        </w:rPr>
      </w:pPr>
    </w:p>
    <w:p>
      <w:pPr>
        <w:jc w:val="both"/>
        <w:ind w:left="940" w:hanging="324"/>
        <w:spacing w:after="0" w:line="256" w:lineRule="auto"/>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Company has submitted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33" w:lineRule="exact"/>
        <w:rPr>
          <w:rFonts w:ascii="Arial" w:cs="Arial" w:eastAsia="Arial" w:hAnsi="Arial"/>
          <w:sz w:val="16"/>
          <w:szCs w:val="16"/>
          <w:color w:val="auto"/>
        </w:rPr>
      </w:pPr>
    </w:p>
    <w:p>
      <w:pPr>
        <w:jc w:val="both"/>
        <w:ind w:left="940" w:hanging="324"/>
        <w:spacing w:after="0" w:line="256" w:lineRule="auto"/>
        <w:tabs>
          <w:tab w:leader="none" w:pos="9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Directors of the Company.</w:t>
      </w:r>
    </w:p>
    <w:p>
      <w:pPr>
        <w:spacing w:after="0" w:line="133" w:lineRule="exact"/>
        <w:rPr>
          <w:rFonts w:ascii="Arial" w:cs="Arial" w:eastAsia="Arial" w:hAnsi="Arial"/>
          <w:sz w:val="16"/>
          <w:szCs w:val="16"/>
          <w:color w:val="auto"/>
        </w:rPr>
      </w:pPr>
    </w:p>
    <w:p>
      <w:pPr>
        <w:jc w:val="both"/>
        <w:ind w:left="940" w:hanging="324"/>
        <w:spacing w:after="0" w:line="286" w:lineRule="auto"/>
        <w:tabs>
          <w:tab w:leader="none" w:pos="940" w:val="left"/>
        </w:tabs>
        <w:numPr>
          <w:ilvl w:val="0"/>
          <w:numId w:val="40"/>
        </w:numPr>
        <w:rPr>
          <w:rFonts w:ascii="Arial" w:cs="Arial" w:eastAsia="Arial" w:hAnsi="Arial"/>
          <w:sz w:val="15"/>
          <w:szCs w:val="15"/>
          <w:color w:val="auto"/>
        </w:rPr>
      </w:pPr>
      <w:r>
        <w:rPr>
          <w:rFonts w:ascii="Arial" w:cs="Arial" w:eastAsia="Arial" w:hAnsi="Arial"/>
          <w:sz w:val="15"/>
          <w:szCs w:val="15"/>
          <w:u w:val="single" w:color="auto"/>
          <w:color w:val="auto"/>
        </w:rPr>
        <w:t>No Advice Regarding Grant</w:t>
      </w:r>
      <w:r>
        <w:rPr>
          <w:rFonts w:ascii="Arial" w:cs="Arial" w:eastAsia="Arial" w:hAnsi="Arial"/>
          <w:sz w:val="15"/>
          <w:szCs w:val="15"/>
          <w:color w:val="auto"/>
        </w:rPr>
        <w:t>. The Company is not providing any tax, legal or financial advice, nor is the Company making any recommendations regarding the Participant’s participation in the Plan, or the Participant’s acquisition or sale of Shares. The Participant is hereby advised to consult with his or her own personal tax, legal and financial advisors regarding his or her participation in the Plan before taking any action related to the Plan.</w:t>
      </w:r>
    </w:p>
    <w:p>
      <w:pPr>
        <w:sectPr>
          <w:pgSz w:w="11900" w:h="16838" w:orient="portrait"/>
          <w:cols w:equalWidth="0" w:num="1">
            <w:col w:w="11380"/>
          </w:cols>
          <w:pgMar w:left="280" w:top="1048" w:right="23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Ray Stata</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color w:val="auto"/>
        </w:rPr>
        <w:t>Vincent T. Roche</w:t>
      </w:r>
    </w:p>
    <w:p>
      <w:pPr>
        <w:spacing w:after="0" w:line="109" w:lineRule="exact"/>
        <w:rPr>
          <w:sz w:val="20"/>
          <w:szCs w:val="20"/>
          <w:color w:val="auto"/>
        </w:rPr>
      </w:pPr>
    </w:p>
    <w:p>
      <w:pPr>
        <w:sectPr>
          <w:pgSz w:w="11900" w:h="16838" w:orient="portrait"/>
          <w:cols w:equalWidth="0" w:num="2">
            <w:col w:w="6580" w:space="720"/>
            <w:col w:w="4080"/>
          </w:cols>
          <w:pgMar w:left="280" w:top="1048" w:right="239" w:bottom="1440" w:gutter="0" w:footer="0" w:header="0"/>
          <w:type w:val="continuous"/>
        </w:sectPr>
      </w:pPr>
    </w:p>
    <w:p>
      <w:pPr>
        <w:spacing w:after="0"/>
        <w:rPr>
          <w:sz w:val="20"/>
          <w:szCs w:val="20"/>
          <w:color w:val="auto"/>
        </w:rPr>
      </w:pPr>
      <w:r>
        <w:rPr>
          <w:rFonts w:ascii="Arial" w:cs="Arial" w:eastAsia="Arial" w:hAnsi="Arial"/>
          <w:sz w:val="14"/>
          <w:szCs w:val="14"/>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President and Chief Executive Officer</w:t>
      </w:r>
    </w:p>
    <w:p>
      <w:pPr>
        <w:spacing w:after="0" w:line="200" w:lineRule="exact"/>
        <w:rPr>
          <w:sz w:val="20"/>
          <w:szCs w:val="20"/>
          <w:color w:val="auto"/>
        </w:rPr>
      </w:pPr>
    </w:p>
    <w:p>
      <w:pPr>
        <w:sectPr>
          <w:pgSz w:w="11900" w:h="16838" w:orient="portrait"/>
          <w:cols w:equalWidth="0" w:num="2">
            <w:col w:w="6580" w:space="720"/>
            <w:col w:w="4080"/>
          </w:cols>
          <w:pgMar w:left="280" w:top="1048"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4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80" w:top="1048" w:right="239" w:bottom="1440" w:gutter="0" w:footer="0" w:header="0"/>
          <w:type w:val="continuous"/>
        </w:sectPr>
      </w:pPr>
    </w:p>
    <w:bookmarkStart w:id="67" w:name="page68"/>
    <w:bookmarkEnd w:id="67"/>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Appendix A includes additional terms and conditions that govern the RSUs granted to the Participant if the Participant resides in one of the countries listed herein. These terms and conditions are in addition to, or, if so indicated, in place of, the terms and conditions set forth in the Agreement. Capitalized terms used but not defined in this Appendix A shall have the meanings set forth in the Plan and/or the Agreement.</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This Appendix A also includes certain issues of which the Participant should be aware with respect to his or her participation in the Plan. The information is based on the securities, exchange control, income tax and other laws in effect in the respective countries as of February 2012.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RSUs vest or Shares acquired under the Plan subsequently are sold.</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the information is general in nature and may not apply to the Participant’s particular situation, and the Company is not in a position to assure the Participant of any particular result. Therefore, the Participant is advised to seek appropriate professional advice as to how the relevant laws in the Participant’s country may apply to his or her situation.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Finally, the Participant understands that if he or she is a citizen or resident of a country other than the one in which the Participant is currently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AUSTRALIA</w:t>
      </w:r>
    </w:p>
    <w:p>
      <w:pPr>
        <w:spacing w:after="0" w:line="198" w:lineRule="exact"/>
        <w:rPr>
          <w:sz w:val="20"/>
          <w:szCs w:val="20"/>
          <w:color w:val="auto"/>
        </w:rPr>
      </w:pPr>
    </w:p>
    <w:p>
      <w:pPr>
        <w:jc w:val="both"/>
        <w:spacing w:after="0" w:line="315" w:lineRule="auto"/>
        <w:rPr>
          <w:sz w:val="20"/>
          <w:szCs w:val="20"/>
          <w:color w:val="auto"/>
        </w:rPr>
      </w:pPr>
      <w:r>
        <w:rPr>
          <w:rFonts w:ascii="Arial" w:cs="Arial" w:eastAsia="Arial" w:hAnsi="Arial"/>
          <w:sz w:val="14"/>
          <w:szCs w:val="14"/>
          <w:u w:val="single" w:color="auto"/>
          <w:color w:val="auto"/>
        </w:rPr>
        <w:t>Additional Documents Pertaining to RSUs</w:t>
      </w:r>
      <w:r>
        <w:rPr>
          <w:rFonts w:ascii="Arial" w:cs="Arial" w:eastAsia="Arial" w:hAnsi="Arial"/>
          <w:sz w:val="14"/>
          <w:szCs w:val="14"/>
          <w:color w:val="auto"/>
        </w:rPr>
        <w:t>. In addition to the Agreement and the Plan, the Participant must review the Australian Offer Document dated {GRANTDATE} and the Australian Addendum to the Plan for additional information pertaining to the RSUs. This document can be accessed via the Company's intranet site at http://signals.corpnt.analog.com/default.aspx, and by accepting the RSUs, the Participant acknowledges and confirms that the Participant has reviewed these documents.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AUSTRIA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BELGIUM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CANADA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supplements Section 8 of the Agreement:</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CHINA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following provision applies if the Participant is a People’s Republic of China (“PRC”) national residing in the PRC:</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Exchange Control Requirements</w:t>
      </w:r>
      <w:r>
        <w:rPr>
          <w:rFonts w:ascii="Arial" w:cs="Arial" w:eastAsia="Arial" w:hAnsi="Arial"/>
          <w:sz w:val="16"/>
          <w:szCs w:val="16"/>
          <w:color w:val="auto"/>
        </w:rPr>
        <w:t>. Due to exchange control laws in the PRC, Shares acquired through RSU vestings must be maintained in the Fidelity (or any successor broker designated by the Company) brokerage account until the Shares</w:t>
      </w:r>
    </w:p>
    <w:p>
      <w:pPr>
        <w:spacing w:after="0" w:line="200"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- 1</w:t>
      </w:r>
    </w:p>
    <w:p>
      <w:pPr>
        <w:sectPr>
          <w:pgSz w:w="11900" w:h="16838" w:orient="portrait"/>
          <w:cols w:equalWidth="0" w:num="1">
            <w:col w:w="11080"/>
          </w:cols>
          <w:pgMar w:left="580" w:top="936" w:right="239" w:bottom="1440" w:gutter="0" w:footer="0" w:header="0"/>
        </w:sectPr>
      </w:pPr>
    </w:p>
    <w:bookmarkStart w:id="68" w:name="page69"/>
    <w:bookmarkEnd w:id="68"/>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90 calendar days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Participant further is required to repatriate to the PRC any dividends or dividend equivalents paid to the Participant in relation to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Tax Liability</w:t>
      </w:r>
      <w:r>
        <w:rPr>
          <w:rFonts w:ascii="Arial" w:cs="Arial" w:eastAsia="Arial" w:hAnsi="Arial"/>
          <w:sz w:val="16"/>
          <w:szCs w:val="16"/>
          <w:color w:val="auto"/>
        </w:rPr>
        <w:t>. Taxes are due at the time of vesting of the RSUs. The Participant understands and agrees that Tax-Related Items may be taken by the Employer from the Participant’s salary or other cash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DENMARK</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By participating in the Plan, the Participant acknowledges that he or she received an Employer Statement translated into Danish, which is being provided to comply with the Danish Stock Option Act. To the extent more favorable to the Participant, the terms set forth in the Employer Statement will apply to the Participant’s participation in the Plan.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10(c) in the Agreement:</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RSUs, the Participant acknowledges that he/she understands and agrees that this grant relates to future services to be performed and is not a bonus or compensation for past services.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FINLAND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FRANCE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French-Qualified RSUs</w:t>
      </w:r>
      <w:r>
        <w:rPr>
          <w:rFonts w:ascii="Arial" w:cs="Arial" w:eastAsia="Arial" w:hAnsi="Arial"/>
          <w:sz w:val="16"/>
          <w:szCs w:val="16"/>
          <w:color w:val="auto"/>
        </w:rPr>
        <w:t>. The RSUs are intended to qualify for the favorable tax and social security regime in France under Section L. 225-197-1 to L. 225-197-6-1 of the French Commercial Code, as amended. Certain events may affect the status of the RSUs as French-qualified RSUs, and the French-qualified RSUs may be disqualified in the future. The Company does not make any undertaking or representation to maintain the qualified status of the RSUs. If the RSUs no longer qualify as French-qualified RSUs, the favorable tax and social security treatment will not apply, and the Participant will be required to pay his or her portion of social security contributions resulting from the RSUs (as well as any income tax that is due).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Plan Terms</w:t>
      </w:r>
      <w:r>
        <w:rPr>
          <w:rFonts w:ascii="Arial" w:cs="Arial" w:eastAsia="Arial" w:hAnsi="Arial"/>
          <w:sz w:val="16"/>
          <w:szCs w:val="16"/>
          <w:color w:val="auto"/>
        </w:rPr>
        <w:t>. The RSUs are subject to the terms and conditions of the Plan and the Rules of the Analog Devices, Inc. 2006 Stock Incentive Plan for Grants to Participant in France (the “French Sub-plan”). To the extent that any term is defined in both the Plan and the French Sub-plan, for purposes of this grant of a French-qualified RSUs, the definitions in the French Sub-plan shall prevail.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 in the Agreement:</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Except in the event of the Participant’s death or Disability (as defined in the French Sub-plan and Section 2(d) of the Agreement) to benefit from the favorable tax and social security regime, no vesting shall occur prior to the second anniversary of the Date of Grant, or such other minimum period as required for the vesting period applicable to French-</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- 2</w:t>
      </w:r>
    </w:p>
    <w:p>
      <w:pPr>
        <w:sectPr>
          <w:pgSz w:w="11900" w:h="16838" w:orient="portrait"/>
          <w:cols w:equalWidth="0" w:num="1">
            <w:col w:w="11080"/>
          </w:cols>
          <w:pgMar w:left="580" w:top="936" w:right="239" w:bottom="1440" w:gutter="0" w:footer="0" w:header="0"/>
        </w:sectPr>
      </w:pPr>
    </w:p>
    <w:bookmarkStart w:id="69" w:name="page70"/>
    <w:bookmarkEnd w:id="69"/>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qualified RSUs under Section L.225-197-1 of the French Commercial Code, as amended, or relevant Sections of the French Tax Code or the French Social Security Code, as amended.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This provision supplements Section 2(d) in the Agreement:</w:t>
      </w:r>
    </w:p>
    <w:p>
      <w:pPr>
        <w:spacing w:after="0" w:line="194"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the event the Participant’s employment with the Company or the Employer terminates by reason of Disability (as defined in the French Sub-plan and Section 2(d) of the Agreement), the Unvested RSUs as of the date of the Participant’s termination shall vest in full as of the date of the termination.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Restriction on Transfer and Sale of Shares</w:t>
      </w:r>
      <w:r>
        <w:rPr>
          <w:rFonts w:ascii="Arial" w:cs="Arial" w:eastAsia="Arial" w:hAnsi="Arial"/>
          <w:sz w:val="16"/>
          <w:szCs w:val="16"/>
          <w:color w:val="auto"/>
        </w:rPr>
        <w:t>. This provision supplements Section 3 in the Agreement:</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Participant may not sell or transfer the Shares issued at vesting of the RSUs prior to the second anniversary of each of the respective vesting date, or such other period as is required to comply with the minimum mandatory holding period applicable to French-qualified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Further, as long as the RSUs and the Shares acquired at vesting of the RSUs maintain their French-qualified status, the Shares cannot be sold during certain “Closed Periods” as provided for by Section L. 225-197-1 of the French Commercial Code, as amended, and as interpreted by the French administrative guidelines, so long as these Closed Periods are applicable to Shares issued pursuant to French-qualified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This provision supplements Section 10(t) in the Agreement: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Certain adjustments may disqualify the RSUs, in which case they may no longer benefit from favorable tax and social security treatment in France.</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Language Consent</w:t>
      </w:r>
      <w:r>
        <w:rPr>
          <w:rFonts w:ascii="Arial" w:cs="Arial" w:eastAsia="Arial" w:hAnsi="Arial"/>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u w:val="single" w:color="auto"/>
          <w:color w:val="auto"/>
        </w:rPr>
        <w:t>Consentement a la Langue</w:t>
      </w:r>
      <w:r>
        <w:rPr>
          <w:rFonts w:ascii="Arial" w:cs="Arial" w:eastAsia="Arial" w:hAnsi="Arial"/>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GERMANY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HONG KONG</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Warning: The RSUs and Shares do not constitute a public offering of securities under Hong Kong law and are available only to employees of the Company. The Agreement, including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w:t>
      </w:r>
    </w:p>
    <w:p>
      <w:pPr>
        <w:spacing w:after="0" w:line="180"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- 3</w:t>
      </w:r>
    </w:p>
    <w:p>
      <w:pPr>
        <w:sectPr>
          <w:pgSz w:w="11900" w:h="16838" w:orient="portrait"/>
          <w:cols w:equalWidth="0" w:num="1">
            <w:col w:w="11080"/>
          </w:cols>
          <w:pgMar w:left="580" w:top="936" w:right="239" w:bottom="1440" w:gutter="0" w:footer="0" w:header="0"/>
        </w:sectPr>
      </w:pPr>
    </w:p>
    <w:bookmarkStart w:id="70" w:name="page71"/>
    <w:bookmarkEnd w:id="70"/>
    <w:p>
      <w:pPr>
        <w:ind w:left="4748"/>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8"/>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12"/>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jc w:val="both"/>
        <w:ind w:left="8"/>
        <w:spacing w:after="0" w:line="261" w:lineRule="auto"/>
        <w:rPr>
          <w:sz w:val="20"/>
          <w:szCs w:val="20"/>
          <w:color w:val="auto"/>
        </w:rPr>
      </w:pPr>
      <w:r>
        <w:rPr>
          <w:rFonts w:ascii="Arial" w:cs="Arial" w:eastAsia="Arial" w:hAnsi="Arial"/>
          <w:sz w:val="16"/>
          <w:szCs w:val="16"/>
          <w:i w:val="1"/>
          <w:iCs w:val="1"/>
          <w:color w:val="auto"/>
        </w:rPr>
        <w:t>regulatory authority in Hong Kong. The RSUs are intended only for the personal use of each eligible employee of the Company and may not be distributed to any other person. If the Participant is in any doubt about any of the contents of the Agreement, including Appendix A or the Plan, the Participant should obtain independent professional advice.</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194" w:lineRule="exact"/>
        <w:rPr>
          <w:sz w:val="20"/>
          <w:szCs w:val="20"/>
          <w:color w:val="auto"/>
        </w:rPr>
      </w:pPr>
    </w:p>
    <w:p>
      <w:pPr>
        <w:jc w:val="both"/>
        <w:ind w:left="8"/>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46" w:lineRule="exact"/>
        <w:rPr>
          <w:sz w:val="20"/>
          <w:szCs w:val="20"/>
          <w:color w:val="auto"/>
        </w:rPr>
      </w:pPr>
    </w:p>
    <w:p>
      <w:pPr>
        <w:jc w:val="both"/>
        <w:ind w:left="8"/>
        <w:spacing w:after="0" w:line="261"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To facilitate compliance with securities laws in Hong Kong, in the event the Participant’s RSUs vest and Shares are issued to the Participant within six (6) months of the Date of Grant, the Participant agrees that he or she will not dispose of any Shares acquired prior to the six-month anniversary of the Date of Grant.</w:t>
      </w:r>
    </w:p>
    <w:p>
      <w:pPr>
        <w:spacing w:after="0" w:line="156" w:lineRule="exact"/>
        <w:rPr>
          <w:sz w:val="20"/>
          <w:szCs w:val="20"/>
          <w:color w:val="auto"/>
        </w:rPr>
      </w:pPr>
    </w:p>
    <w:p>
      <w:pPr>
        <w:jc w:val="both"/>
        <w:ind w:left="8"/>
        <w:spacing w:after="0" w:line="261" w:lineRule="auto"/>
        <w:rPr>
          <w:sz w:val="20"/>
          <w:szCs w:val="20"/>
          <w:color w:val="auto"/>
        </w:rPr>
      </w:pPr>
      <w:r>
        <w:rPr>
          <w:rFonts w:ascii="Arial" w:cs="Arial" w:eastAsia="Arial" w:hAnsi="Arial"/>
          <w:sz w:val="16"/>
          <w:szCs w:val="16"/>
          <w:u w:val="single" w:color="auto"/>
          <w:color w:val="auto"/>
        </w:rPr>
        <w:t>Nature of Scheme</w:t>
      </w:r>
      <w:r>
        <w:rPr>
          <w:rFonts w:ascii="Arial" w:cs="Arial" w:eastAsia="Arial" w:hAnsi="Arial"/>
          <w:sz w:val="16"/>
          <w:szCs w:val="16"/>
          <w:color w:val="auto"/>
        </w:rPr>
        <w:t>. The Company specifically intends that the Plan will not be an occupational retirement scheme for purposes of the Occupational Retirement Schemes Ordinance (“ORSO”). Notwithstanding the foregoing, if the Plan is deemed to constitute an occupational retirement scheme for the purposes of ORSO, then the Participant's grant shall be void.</w:t>
      </w:r>
    </w:p>
    <w:p>
      <w:pPr>
        <w:spacing w:after="0" w:line="152"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INDIA</w:t>
      </w:r>
    </w:p>
    <w:p>
      <w:pPr>
        <w:spacing w:after="0" w:line="198" w:lineRule="exact"/>
        <w:rPr>
          <w:sz w:val="20"/>
          <w:szCs w:val="20"/>
          <w:color w:val="auto"/>
        </w:rPr>
      </w:pPr>
    </w:p>
    <w:p>
      <w:pPr>
        <w:jc w:val="both"/>
        <w:ind w:left="8"/>
        <w:spacing w:after="0" w:line="256" w:lineRule="auto"/>
        <w:rPr>
          <w:sz w:val="20"/>
          <w:szCs w:val="20"/>
          <w:color w:val="auto"/>
        </w:rPr>
      </w:pPr>
      <w:r>
        <w:rPr>
          <w:rFonts w:ascii="Arial" w:cs="Arial" w:eastAsia="Arial" w:hAnsi="Arial"/>
          <w:sz w:val="16"/>
          <w:szCs w:val="16"/>
          <w:u w:val="single" w:color="auto"/>
          <w:color w:val="auto"/>
        </w:rPr>
        <w:t>Exchange Control Notification</w:t>
      </w:r>
      <w:r>
        <w:rPr>
          <w:rFonts w:ascii="Arial" w:cs="Arial" w:eastAsia="Arial" w:hAnsi="Arial"/>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IRELAND</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194" w:lineRule="exact"/>
        <w:rPr>
          <w:sz w:val="20"/>
          <w:szCs w:val="20"/>
          <w:color w:val="auto"/>
        </w:rPr>
      </w:pPr>
    </w:p>
    <w:p>
      <w:pPr>
        <w:jc w:val="both"/>
        <w:ind w:left="8"/>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6"/>
          <w:szCs w:val="16"/>
          <w:u w:val="single" w:color="auto"/>
          <w:color w:val="auto"/>
        </w:rPr>
        <w:t>Exclusion from Termination Indemnities and Other Benefits</w:t>
      </w:r>
      <w:r>
        <w:rPr>
          <w:rFonts w:ascii="Arial" w:cs="Arial" w:eastAsia="Arial" w:hAnsi="Arial"/>
          <w:sz w:val="16"/>
          <w:szCs w:val="16"/>
          <w:color w:val="auto"/>
        </w:rPr>
        <w:t>. This provision supplements Section 10(c) of the Agreement:</w:t>
      </w:r>
    </w:p>
    <w:p>
      <w:pPr>
        <w:spacing w:after="0" w:line="167" w:lineRule="exact"/>
        <w:rPr>
          <w:sz w:val="20"/>
          <w:szCs w:val="20"/>
          <w:color w:val="auto"/>
        </w:rPr>
      </w:pPr>
    </w:p>
    <w:p>
      <w:pPr>
        <w:jc w:val="both"/>
        <w:ind w:left="8"/>
        <w:spacing w:after="0" w:line="275" w:lineRule="auto"/>
        <w:rPr>
          <w:sz w:val="20"/>
          <w:szCs w:val="20"/>
          <w:color w:val="auto"/>
        </w:rPr>
      </w:pPr>
      <w:r>
        <w:rPr>
          <w:rFonts w:ascii="Arial" w:cs="Arial" w:eastAsia="Arial" w:hAnsi="Arial"/>
          <w:sz w:val="16"/>
          <w:szCs w:val="16"/>
          <w:color w:val="auto"/>
        </w:rPr>
        <w:t>By accepting the RSUs, the Participant acknowledges, understands, and agrees that the benefits received under the Plan will not be taken into account for any redundancy or unfair dismissal claim.</w:t>
      </w:r>
    </w:p>
    <w:p>
      <w:pPr>
        <w:spacing w:after="0" w:line="146" w:lineRule="exact"/>
        <w:rPr>
          <w:sz w:val="20"/>
          <w:szCs w:val="20"/>
          <w:color w:val="auto"/>
        </w:rPr>
      </w:pPr>
    </w:p>
    <w:p>
      <w:pPr>
        <w:jc w:val="both"/>
        <w:ind w:left="8"/>
        <w:spacing w:after="0" w:line="253"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Participant is a director, shadow director or secretary of an Irish subsidiary of the Company, the Participant is subject to certain notification requirements under Section 53 of the Companies Act, 1990. Among these requirements is an obligation to notify the Irish affiliate in writing within five (5) business days when the Participant receives an interest (e.g., RSUs, Shares) in the Company and the number and class of shares or rights to which the interest relates. In addition, the Participant must notify the Irish subsidiary within five (5) business days when the Participant sells Shares acquired under the Plan. This notification requirement also applies to any rights or Shares acquired by the Participant's spouse or children (under the age of 18).</w:t>
      </w:r>
    </w:p>
    <w:p>
      <w:pPr>
        <w:spacing w:after="0" w:line="161" w:lineRule="exact"/>
        <w:rPr>
          <w:sz w:val="20"/>
          <w:szCs w:val="20"/>
          <w:color w:val="auto"/>
        </w:rPr>
      </w:pPr>
    </w:p>
    <w:p>
      <w:pPr>
        <w:ind w:left="8"/>
        <w:spacing w:after="0"/>
        <w:rPr>
          <w:sz w:val="20"/>
          <w:szCs w:val="20"/>
          <w:color w:val="auto"/>
        </w:rPr>
      </w:pPr>
      <w:r>
        <w:rPr>
          <w:rFonts w:ascii="Arial" w:cs="Arial" w:eastAsia="Arial" w:hAnsi="Arial"/>
          <w:sz w:val="16"/>
          <w:szCs w:val="16"/>
          <w:b w:val="1"/>
          <w:bCs w:val="1"/>
          <w:u w:val="single" w:color="auto"/>
          <w:color w:val="auto"/>
        </w:rPr>
        <w:t>ISRAEL</w:t>
      </w:r>
    </w:p>
    <w:p>
      <w:pPr>
        <w:spacing w:after="0" w:line="198" w:lineRule="exact"/>
        <w:rPr>
          <w:sz w:val="20"/>
          <w:szCs w:val="20"/>
          <w:color w:val="auto"/>
        </w:rPr>
      </w:pPr>
    </w:p>
    <w:p>
      <w:pPr>
        <w:jc w:val="both"/>
        <w:ind w:left="8"/>
        <w:spacing w:after="0" w:line="256" w:lineRule="auto"/>
        <w:rPr>
          <w:sz w:val="20"/>
          <w:szCs w:val="20"/>
          <w:color w:val="auto"/>
        </w:rPr>
      </w:pPr>
      <w:r>
        <w:rPr>
          <w:rFonts w:ascii="Arial" w:cs="Arial" w:eastAsia="Arial" w:hAnsi="Arial"/>
          <w:sz w:val="16"/>
          <w:szCs w:val="16"/>
          <w:u w:val="single" w:color="auto"/>
          <w:color w:val="auto"/>
        </w:rPr>
        <w:t>Trust Arrangement</w:t>
      </w:r>
      <w:r>
        <w:rPr>
          <w:rFonts w:ascii="Arial" w:cs="Arial" w:eastAsia="Arial" w:hAnsi="Arial"/>
          <w:sz w:val="16"/>
          <w:szCs w:val="16"/>
          <w:color w:val="auto"/>
        </w:rPr>
        <w:t>. The Participant hereby understands and agrees that the RSUs are offered subject to and in accordance with the terms of the Israeli Sub-Plan (the “Sub-Plan”) under the 102 Capital Gains Track (as defined in the Sub-Plan), the Trust Agreement between the trustee appointed by Analog Devices, (Israel) Ltd. (the “Trustee”), the Agreement, and the Plan. In the event of any inconsistencies among the Sub-Plan, the Agreement and/or the Plan, the Participant agrees that the Sub-Plan will govern the RSUs granted to the Participant in Israel.</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5"/>
          <w:szCs w:val="15"/>
          <w:i w:val="1"/>
          <w:iCs w:val="1"/>
          <w:color w:val="auto"/>
        </w:rPr>
        <w:t>If the Participant resides in Israel and has not already executed an Israeli Appendix in connection with grants made under the Plan, then the Participant must print, sign</w:t>
      </w:r>
    </w:p>
    <w:p>
      <w:pPr>
        <w:spacing w:after="0" w:line="31" w:lineRule="exact"/>
        <w:rPr>
          <w:sz w:val="20"/>
          <w:szCs w:val="20"/>
          <w:color w:val="auto"/>
        </w:rPr>
      </w:pPr>
    </w:p>
    <w:p>
      <w:pPr>
        <w:ind w:left="8" w:right="20" w:hanging="8"/>
        <w:spacing w:after="0" w:line="257" w:lineRule="auto"/>
        <w:tabs>
          <w:tab w:leader="none" w:pos="191"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deliver the signed copy of the Israeli Appendix within 90 days to: Stock Plan Administrator, Treasury Department, Analog Devices, Inc., Norwood, Massachusetts, 02062 USA. If Analog Devices,</w:t>
      </w:r>
    </w:p>
    <w:p>
      <w:pPr>
        <w:spacing w:after="0" w:line="200" w:lineRule="exact"/>
        <w:rPr>
          <w:sz w:val="20"/>
          <w:szCs w:val="20"/>
          <w:color w:val="auto"/>
        </w:rPr>
      </w:pPr>
    </w:p>
    <w:p>
      <w:pPr>
        <w:ind w:left="4548"/>
        <w:spacing w:after="0"/>
        <w:rPr>
          <w:sz w:val="20"/>
          <w:szCs w:val="20"/>
          <w:color w:val="auto"/>
        </w:rPr>
      </w:pPr>
      <w:r>
        <w:rPr>
          <w:rFonts w:ascii="Arial" w:cs="Arial" w:eastAsia="Arial" w:hAnsi="Arial"/>
          <w:sz w:val="16"/>
          <w:szCs w:val="16"/>
          <w:color w:val="auto"/>
        </w:rPr>
        <w:t>APPENDIX A - 4</w:t>
      </w:r>
    </w:p>
    <w:p>
      <w:pPr>
        <w:sectPr>
          <w:pgSz w:w="11900" w:h="16838" w:orient="portrait"/>
          <w:cols w:equalWidth="0" w:num="1">
            <w:col w:w="11088"/>
          </w:cols>
          <w:pgMar w:left="572" w:top="936" w:right="239" w:bottom="1440" w:gutter="0" w:footer="0" w:header="0"/>
        </w:sectPr>
      </w:pPr>
    </w:p>
    <w:bookmarkStart w:id="71" w:name="page72"/>
    <w:bookmarkEnd w:id="71"/>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(Israel) Ltd. or Analog Devices, Inc. does not receive the signed Israeli Appendix within 90 days, the RSUs shall terminate and will become null and void.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Vesting</w:t>
      </w:r>
      <w:r>
        <w:rPr>
          <w:rFonts w:ascii="Arial" w:cs="Arial" w:eastAsia="Arial" w:hAnsi="Arial"/>
          <w:sz w:val="16"/>
          <w:szCs w:val="16"/>
          <w:color w:val="auto"/>
        </w:rPr>
        <w:t>. This provision supplements Section 2(a) in the Agreement:</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The Shares issued upon vesting of the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This provision supplements Section 3(a) in the Agreement:</w:t>
      </w:r>
    </w:p>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Trustee shall not alienate, sale, exchange, transfer, assign, pledge, or otherwise encumber the RSUs or the Shares for the Participant, except as permitted under the Sub-Plan and the terms of Section 102 (as defined in the Sub-Plan), or in the case of death, the Participant’s heirs, except by will or by the laws of descent and distribution.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ITALY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Data Privacy</w:t>
      </w:r>
      <w:r>
        <w:rPr>
          <w:rFonts w:ascii="Arial" w:cs="Arial" w:eastAsia="Arial" w:hAnsi="Arial"/>
          <w:sz w:val="16"/>
          <w:szCs w:val="16"/>
          <w:color w:val="auto"/>
        </w:rPr>
        <w:t>. This provision replaces in its entirety Section 8 of the Agreement:</w:t>
      </w:r>
    </w:p>
    <w:p>
      <w:pPr>
        <w:spacing w:after="0" w:line="1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The Participant understands that the Employer, the Company and any subsidiary as a data processor of the Company may hold certain personal information about the Participant, including, but not limited to, the Participant's name, home address and telephone number, date of birth, social insurance or other identification number, salary, nationality, job title, any Shares or directorships held in the Company or any subsidiary, details of all RSUs, or any other entitlement to Shares awarded, canceled, exercised, vested, unvested or outstanding in the Participant's favor, and that the Company and the Employer will process said data and other data lawfully received from third party (“Data”) for the exclusive purpose of implementing, managing and administering the Plan and complying with applicable laws, regulations and community legislation.</w:t>
      </w:r>
    </w:p>
    <w:p>
      <w:pPr>
        <w:spacing w:after="0" w:line="137" w:lineRule="exact"/>
        <w:rPr>
          <w:sz w:val="20"/>
          <w:szCs w:val="20"/>
          <w:color w:val="auto"/>
        </w:rPr>
      </w:pPr>
    </w:p>
    <w:p>
      <w:pPr>
        <w:jc w:val="both"/>
        <w:spacing w:after="0" w:line="274" w:lineRule="auto"/>
        <w:rPr>
          <w:sz w:val="20"/>
          <w:szCs w:val="20"/>
          <w:color w:val="auto"/>
        </w:rPr>
      </w:pPr>
      <w:r>
        <w:rPr>
          <w:rFonts w:ascii="Arial" w:cs="Arial" w:eastAsia="Arial" w:hAnsi="Arial"/>
          <w:sz w:val="15"/>
          <w:szCs w:val="15"/>
          <w:b w:val="1"/>
          <w:bCs w:val="1"/>
          <w:i w:val="1"/>
          <w:iCs w:val="1"/>
          <w:color w:val="auto"/>
        </w:rPr>
        <w:t>The Participant also understands that providing the Company with Data is mandatory for compliance with laws and is necessary for the performance of the Plan and that the Participant's refusal to provide such Data would make it impossible for the Company to perform its contractual obligations and may affect the Participant's ability to participate in the Plan. The Controller of personal data processing is Analog Devices, Inc., with registered offices at Analog Devices, Inc., Three Technology Way, Norwood, Massachusetts, 02062 U.S.A. and, pursuant to Legislative Decree no. 196/2003, its Representative in Italy for privacy purposes is Analog Devices SRL with its registered offices at Centro Direzionale Milano 2, Palazzo Bernini 20090 Segrate, Milan, Italy.</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i w:val="1"/>
          <w:iCs w:val="1"/>
          <w:color w:val="auto"/>
        </w:rPr>
        <w:t>The Participant understands that Data will not be publicized, but it may be accessible by the Employer as the data processor of the Company and within the Employer’s organization by its internal and external personnel in charge of processing. Furthermore, Data may be transferred to banks, other financial institutions, or brokers involved in the management and administration of the Plan. The Participant understands that Data may also be transferred to the independent registered public accounting firm engaged by the Company, and also to the legitimate addresses under applicable laws. The Participant further understands that the Company and/or any subsidiary will transfer Data among themselves as necessary for the purpose of implementing, administering and managing the Participant's participation in the Plan, and that the Company and/or any subsidiary may each further transfer Data to third parties assisting the Company in the implementation, administration, and management of the Plan, including any requisite transfer of Data to a broker or other third party with whom the Participant may elect to deposit any Shares acquired at vesting of the RSU. Such recipients may receive, possess, use, retain, and transfer Data in electronic or other form, for the purposes of implementing, administering, and managing the Participant's participation in the Plan. The Participant understands that these recipients may be acting as controllers, processors, or persons in charge of processing, as the case may be, according to applicable privacy laws, and that they may be located in or outside the European Economic Area, such</w:t>
      </w:r>
    </w:p>
    <w:p>
      <w:pPr>
        <w:spacing w:after="0" w:line="361"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- 5</w:t>
      </w:r>
    </w:p>
    <w:p>
      <w:pPr>
        <w:sectPr>
          <w:pgSz w:w="11900" w:h="16838" w:orient="portrait"/>
          <w:cols w:equalWidth="0" w:num="1">
            <w:col w:w="11080"/>
          </w:cols>
          <w:pgMar w:left="580" w:top="936" w:right="239" w:bottom="1440" w:gutter="0" w:footer="0" w:header="0"/>
        </w:sectPr>
      </w:pPr>
    </w:p>
    <w:bookmarkStart w:id="72" w:name="page73"/>
    <w:bookmarkEnd w:id="72"/>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5"/>
          <w:szCs w:val="15"/>
          <w:b w:val="1"/>
          <w:bCs w:val="1"/>
          <w:i w:val="1"/>
          <w:iCs w:val="1"/>
          <w:color w:val="auto"/>
        </w:rPr>
        <w:t>as in the United States or elsewhere, in countries that do not provide an adequate level of data protection as intended under Italian privacy law. Should the Company exercise its discretion in suspending all necessary legal obligations connected with the management and administration of the Plan, it will delete Data as soon as it has completed all the necessary legal obligations connected with the management and administration of the Plan.</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The Participant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The processing activity, including communication, the transfer of Data abroad, including outside of the European Economic Area, as herein specified and pursuant to applicable laws and regulations, does not require the Participant's consent thereto, as the processing is necessary to performance of law and contractual obligations related to implementation, administration, and management of the Plan. The Participant understands that, pursuant to Section 7 of the Legislative Decree no. 196/2003, the Participant has the right at any moment to, including but not limited to, obtain confirmation that Data exist or not, access, verify their content, origin and accuracy, delete, update, integrate, correct, block or terminate, for legitimate reason, the Data processing. To exercise privacy rights the Participant should address the Employer.</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Furthermore, the Participant is aware that Data will not be used for direct-marketing purposes. In addition, Data provided can be reviewed and questions or complaints can be addressed by contacting the Participant's local human resources representative.</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Plan Document Acknowledgment</w:t>
      </w:r>
      <w:r>
        <w:rPr>
          <w:rFonts w:ascii="Arial" w:cs="Arial" w:eastAsia="Arial" w:hAnsi="Arial"/>
          <w:sz w:val="16"/>
          <w:szCs w:val="16"/>
          <w:color w:val="auto"/>
        </w:rPr>
        <w:t>. In accepting the RSU, the Participant acknowledges that a copy of the Plan was made available to the Participant, and that the Participant has reviewed the Plan and the Agreement, including Appendix A, in their entirety and fully understand and accept all provisions of the Plan, the Agreement and Appendix A.</w:t>
      </w:r>
    </w:p>
    <w:p>
      <w:pPr>
        <w:spacing w:after="0" w:line="18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Participant further acknowledges that he or she has read and specifically and expressly approves the following provision in the Agreement: Vesting and Conversion, Withholding Taxes, Miscellaneous, and the Data Privacy provision set forth in this Appendix A.</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JAPAN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KOREA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200" w:lineRule="exact"/>
        <w:rPr>
          <w:sz w:val="20"/>
          <w:szCs w:val="20"/>
          <w:color w:val="auto"/>
        </w:rPr>
      </w:pPr>
    </w:p>
    <w:p>
      <w:pPr>
        <w:spacing w:after="0" w:line="22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- 6</w:t>
      </w:r>
    </w:p>
    <w:p>
      <w:pPr>
        <w:sectPr>
          <w:pgSz w:w="11900" w:h="16838" w:orient="portrait"/>
          <w:cols w:equalWidth="0" w:num="1">
            <w:col w:w="11080"/>
          </w:cols>
          <w:pgMar w:left="580" w:top="936" w:right="239" w:bottom="1440" w:gutter="0" w:footer="0" w:header="0"/>
        </w:sectPr>
      </w:pPr>
    </w:p>
    <w:bookmarkStart w:id="73" w:name="page74"/>
    <w:bookmarkEnd w:id="73"/>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MALAYSIA</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Director Notification</w:t>
      </w:r>
      <w:r>
        <w:rPr>
          <w:rFonts w:ascii="Arial" w:cs="Arial" w:eastAsia="Arial" w:hAnsi="Arial"/>
          <w:sz w:val="16"/>
          <w:szCs w:val="16"/>
          <w:color w:val="auto"/>
        </w:rPr>
        <w:t>. If the Participant is a director of a subsidiary or other related company in Malaysia, then the Participant is subject to certain notification requirements under the Malaysian Companies Act, 1965. Among these requirements is an obligation to notify the Malaysian subsidiary in writing when the Participant receives an interest (e.g.,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19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u w:val="single" w:color="auto"/>
          <w:color w:val="auto"/>
        </w:rPr>
        <w:t>Securities Law Information</w:t>
      </w:r>
      <w:r>
        <w:rPr>
          <w:rFonts w:ascii="Arial" w:cs="Arial" w:eastAsia="Arial" w:hAnsi="Arial"/>
          <w:sz w:val="15"/>
          <w:szCs w:val="15"/>
          <w:color w:val="auto"/>
        </w:rPr>
        <w:t>. Malaysian insider-trading rules may impact the acquisition or disposal of Shares or rights to Shares under the Plan. Under such rules, the Participant is prohibited from acquiring Shares or rights to Shares (e.g., RSUs) or selling Shares when he or she possesses information that is not generally available and which the Participant knows or should know will have a material effect on the price of the Shares once such information is generally available. By accepting this grant, the Participant acknowledges that he or she is not in possession of any material, non-publicly disclosed information regarding the Company at the time of grant and will not acquire or sell Shares when in possession of any material, non-publicly disclosed information regarding the Company.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NETHERLANDS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10(d) of the Agreement:</w:t>
      </w:r>
    </w:p>
    <w:p>
      <w:pPr>
        <w:spacing w:after="0" w:line="1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By accepting the RSU, the Participant acknowledges that the RSU is intended as an incentive for the Participant to remain employed with the Employer and is not intended as remuneration for labor performed.</w:t>
      </w:r>
    </w:p>
    <w:p>
      <w:pPr>
        <w:spacing w:after="0" w:line="17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u w:val="single" w:color="auto"/>
          <w:color w:val="auto"/>
        </w:rPr>
        <w:t>Securities Law Acknowledgment</w:t>
      </w:r>
      <w:r>
        <w:rPr>
          <w:rFonts w:ascii="Arial" w:cs="Arial" w:eastAsia="Arial" w:hAnsi="Arial"/>
          <w:sz w:val="15"/>
          <w:szCs w:val="15"/>
          <w:color w:val="auto"/>
        </w:rPr>
        <w:t>. The Participant should be aware of the Dutch insider-trading rules, which may impact the sale of Shares issued upon vesting of the RSU. In particular, the Participant may be prohibited from effectuating certain transactions if he or she has inside information about the Company.</w:t>
      </w:r>
    </w:p>
    <w:p>
      <w:pPr>
        <w:spacing w:after="0" w:line="14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Under Article 5:56 of the Dutch Financial Supervision Act, anyone who has "insider information" related to an issuing company is prohibited from effectuating a transaction in securities in or from the Netherlands. "Inside information" is defined as knowledge of specific information concerning the issuing company to which the securities relate or the trade in securities issued by such company, which has not been made public and which, if published, would reasonably be expected to affect the share price, regardless of the development of the price. The insider could be any employee of any subsidiary in the Netherlands who has inside information as described herein.</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Given the broad scope of the definition of inside information, certain employees working at a subsidiary in the Netherlands may have inside information and, thus, would be prohibited from effectuating a transaction in securities in the Netherlands at a time when the employee has such inside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If the Participant is uncertain whether the insider-trading rules apply to him or her, then the Participant should consult with his or her personal legal advisor.</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PHILIPPINES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xml:space="preserve">.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the NASDAQ Global Select Market (“NASDAQ”). The Company’s designated broker should be able to assist the Participant in the sale of Shares on NASDAQ. </w:t>
      </w:r>
      <w:r>
        <w:rPr>
          <w:rFonts w:ascii="Arial" w:cs="Arial" w:eastAsia="Arial" w:hAnsi="Arial"/>
          <w:sz w:val="16"/>
          <w:szCs w:val="16"/>
          <w:i w:val="1"/>
          <w:iCs w:val="1"/>
          <w:color w:val="auto"/>
        </w:rPr>
        <w:t>If the Participant has questions with regard to the application of Philippines securities laws to the disposal or sale of Shares acquired under the</w:t>
      </w:r>
      <w:r>
        <w:rPr>
          <w:rFonts w:ascii="Arial" w:cs="Arial" w:eastAsia="Arial" w:hAnsi="Arial"/>
          <w:sz w:val="16"/>
          <w:szCs w:val="16"/>
          <w:color w:val="auto"/>
        </w:rPr>
        <w:t xml:space="preserve"> </w:t>
      </w:r>
      <w:r>
        <w:rPr>
          <w:rFonts w:ascii="Arial" w:cs="Arial" w:eastAsia="Arial" w:hAnsi="Arial"/>
          <w:sz w:val="16"/>
          <w:szCs w:val="16"/>
          <w:i w:val="1"/>
          <w:iCs w:val="1"/>
          <w:color w:val="auto"/>
        </w:rPr>
        <w:t>Plan the Participant should consult with his or her legal advisor.</w:t>
      </w:r>
    </w:p>
    <w:p>
      <w:pPr>
        <w:spacing w:after="0" w:line="394"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- 7</w:t>
      </w:r>
    </w:p>
    <w:p>
      <w:pPr>
        <w:sectPr>
          <w:pgSz w:w="11900" w:h="16838" w:orient="portrait"/>
          <w:cols w:equalWidth="0" w:num="1">
            <w:col w:w="11080"/>
          </w:cols>
          <w:pgMar w:left="580" w:top="936" w:right="239" w:bottom="1440" w:gutter="0" w:footer="0" w:header="0"/>
        </w:sectPr>
      </w:pPr>
    </w:p>
    <w:bookmarkStart w:id="74" w:name="page75"/>
    <w:bookmarkEnd w:id="74"/>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SINGAPORE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u w:val="single" w:color="auto"/>
          <w:color w:val="auto"/>
        </w:rPr>
        <w:t>Securities Law Information</w:t>
      </w:r>
      <w:r>
        <w:rPr>
          <w:rFonts w:ascii="Arial" w:cs="Arial" w:eastAsia="Arial" w:hAnsi="Arial"/>
          <w:sz w:val="16"/>
          <w:szCs w:val="16"/>
          <w:color w:val="auto"/>
        </w:rPr>
        <w:t>. The RSUs were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(Chapter 289, 2006 Ed.).</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5"/>
          <w:szCs w:val="15"/>
          <w:u w:val="single" w:color="auto"/>
          <w:color w:val="auto"/>
        </w:rPr>
        <w:t>Director Notification</w:t>
      </w:r>
      <w:r>
        <w:rPr>
          <w:rFonts w:ascii="Arial" w:cs="Arial" w:eastAsia="Arial" w:hAnsi="Arial"/>
          <w:sz w:val="15"/>
          <w:szCs w:val="15"/>
          <w:color w:val="auto"/>
        </w:rPr>
        <w:t>. If the Participant is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acquiring or disposing of any interest in the Company or any related company. In addition, a notification must be made of the Participant’s interests in the Company or any related company within two (2) business days of becoming a director.</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SLOVAKIA</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SPAIN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 Entitlement</w:t>
      </w:r>
      <w:r>
        <w:rPr>
          <w:rFonts w:ascii="Arial" w:cs="Arial" w:eastAsia="Arial" w:hAnsi="Arial"/>
          <w:sz w:val="16"/>
          <w:szCs w:val="16"/>
          <w:color w:val="auto"/>
        </w:rPr>
        <w:t>. This provision supplements Section 10(d) of the Agreement:</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4"/>
          <w:szCs w:val="14"/>
          <w:color w:val="auto"/>
        </w:rPr>
        <w:t>In accepting the RSUs, the Participant acknowledges that he or she consents to participation in the Plan and has received a copy of the Plan. The Participant understands that the Company has unilaterally, gratuitously and in its sole discretion decided to grant RSUs under the Plan to individuals who may be employees of the Company or its subsidiaries throughout the world. The decision is a limited decision that is entered into upon the express assumption and condition that any RSUs will not economically or otherwise bind the Company or any of its subsidiaries on an ongoing basis. Consequently, the Participant understands that the RSUs are granted on the assumption and condition that the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RSUs shall be null and void.</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Further, the vesting of the RSUs is expressly conditioned on the Participant’s continued rendering of service, such that if the Participant’s employment terminates for any reason whatsoever, the RSUs may cease vesting immediately, in whole or in part, effective on the date of the Participant’s termination of employment (unless otherwise specifically provided in Section 2 of the Agreement in the event of death or Disability). This will be the case, for example, even if (1) the Participant is considered to be unfairly dismissed without good cause; (2) the Participant is dismissed for disciplinary or objective reasons or due to a collective dismissal; (3) 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may automatically lose any rights to RSUs that were not vested on the date of the Participant’s termination of employment, as described in the Plan and the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acknowledges that he or she has read and specifically accepts the conditions referred to in Section 2 of the Agreement.</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Securities Law Notification</w:t>
      </w:r>
      <w:r>
        <w:rPr>
          <w:rFonts w:ascii="Arial" w:cs="Arial" w:eastAsia="Arial" w:hAnsi="Arial"/>
          <w:sz w:val="16"/>
          <w:szCs w:val="16"/>
          <w:color w:val="auto"/>
        </w:rPr>
        <w:t>. The grant of RSUs and the Shares issued upon vesting of the RSUs are considered a private placement outside of the scope of Spanish laws on public offerings and issuances of securities.</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- 8</w:t>
      </w:r>
    </w:p>
    <w:p>
      <w:pPr>
        <w:sectPr>
          <w:pgSz w:w="11900" w:h="16838" w:orient="portrait"/>
          <w:cols w:equalWidth="0" w:num="1">
            <w:col w:w="11080"/>
          </w:cols>
          <w:pgMar w:left="580" w:top="936" w:right="239" w:bottom="1440" w:gutter="0" w:footer="0" w:header="0"/>
        </w:sectPr>
      </w:pPr>
    </w:p>
    <w:bookmarkStart w:id="75" w:name="page76"/>
    <w:bookmarkEnd w:id="75"/>
    <w:p>
      <w:pPr>
        <w:ind w:left="47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APPENDIX A TO</w:t>
      </w:r>
    </w:p>
    <w:p>
      <w:pPr>
        <w:spacing w:after="0" w:line="167"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2006 STOCK INCENTIVE PLAN</w:t>
      </w:r>
    </w:p>
    <w:p>
      <w:pPr>
        <w:spacing w:after="0" w:line="23"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auto"/>
        </w:rPr>
        <w:t>GLOBAL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SWEDEN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TAIWAN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There are no country-specific provisions.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UNITED KINGDOM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Manner of Payment</w:t>
      </w:r>
      <w:r>
        <w:rPr>
          <w:rFonts w:ascii="Arial" w:cs="Arial" w:eastAsia="Arial" w:hAnsi="Arial"/>
          <w:sz w:val="16"/>
          <w:szCs w:val="16"/>
          <w:color w:val="auto"/>
        </w:rPr>
        <w:t>. This provision replaces Section 7 of the Agreement:</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Notwithstanding any discretion in the Plan or the Agreement to the contrary, upon vesting of the RSUs, Shares will be issued to the Participant. In no event will the Award be paid to Participant in the form of cash.</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Furthermore, notwithstanding any provision of the Plan or the Agreement to the contrary, the Participant will not be entitled to receive any Shares pursuant to the vesting of the RSUs unless and until the Participant has executed a Joint Election (as defined below) in connection with the RSUs.</w:t>
      </w:r>
    </w:p>
    <w:p>
      <w:pPr>
        <w:spacing w:after="0" w:line="1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u w:val="single" w:color="auto"/>
          <w:color w:val="auto"/>
        </w:rPr>
        <w:t>Joint Election</w:t>
      </w:r>
      <w:r>
        <w:rPr>
          <w:rFonts w:ascii="Arial" w:cs="Arial" w:eastAsia="Arial" w:hAnsi="Arial"/>
          <w:sz w:val="16"/>
          <w:szCs w:val="16"/>
          <w:color w:val="auto"/>
        </w:rPr>
        <w:t>. As a condition of the grant of RSUs, the Participant agrees to accept any liability for secondary Class 1 National Insurance contributions (the “Employer NICs”) which may be payable by the Company or the Employer with respect to the vesting of the RSUs or otherwise payable with respect to a benefit derived in connection with the RSUs.</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375" w:lineRule="exact"/>
        <w:rPr>
          <w:sz w:val="20"/>
          <w:szCs w:val="20"/>
          <w:color w:val="auto"/>
        </w:rPr>
      </w:pPr>
    </w:p>
    <w:p>
      <w:pPr>
        <w:ind w:left="4540"/>
        <w:spacing w:after="0"/>
        <w:rPr>
          <w:sz w:val="20"/>
          <w:szCs w:val="20"/>
          <w:color w:val="auto"/>
        </w:rPr>
      </w:pPr>
      <w:r>
        <w:rPr>
          <w:rFonts w:ascii="Arial" w:cs="Arial" w:eastAsia="Arial" w:hAnsi="Arial"/>
          <w:sz w:val="16"/>
          <w:szCs w:val="16"/>
          <w:color w:val="auto"/>
        </w:rPr>
        <w:t>APPENDIX A - 9</w:t>
      </w:r>
    </w:p>
    <w:p>
      <w:pPr>
        <w:sectPr>
          <w:pgSz w:w="11900" w:h="16838" w:orient="portrait"/>
          <w:cols w:equalWidth="0" w:num="1">
            <w:col w:w="11080"/>
          </w:cols>
          <w:pgMar w:left="580" w:top="936"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EXHIBIT 10.4</w:t>
      </w:r>
    </w:p>
    <w:p>
      <w:pPr>
        <w:spacing w:after="0" w:line="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2006 STOCK INCENTIVE PLAN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2006 Stock Incentive Plan: Director Version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ABC 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Norwood, MA</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pleased to advise you that you have been granted an option to purchase that number of shares of Analog Devices, Inc. Common Stock set forth below subject to the terms and conditions of the Analog Devices, Inc. 2006 Stock Incentive Plan (the “Plan”) and this Non-Qualified Stock Option Agreement (the “Option”). The grant of this Option reflects Analog’s confidence in your commitment and contributions to the success and continued growth of Analog Devices, Inc. (the “Company”).</w:t>
      </w:r>
    </w:p>
    <w:p>
      <w:pPr>
        <w:spacing w:after="0" w:line="133" w:lineRule="exact"/>
        <w:rPr>
          <w:sz w:val="20"/>
          <w:szCs w:val="20"/>
          <w:color w:val="auto"/>
        </w:rPr>
      </w:pPr>
    </w:p>
    <w:p>
      <w:pPr>
        <w:jc w:val="both"/>
        <w:ind w:firstLine="741"/>
        <w:spacing w:after="0" w:line="342" w:lineRule="auto"/>
        <w:rPr>
          <w:sz w:val="20"/>
          <w:szCs w:val="20"/>
          <w:color w:val="auto"/>
        </w:rPr>
      </w:pPr>
      <w:r>
        <w:rPr>
          <w:rFonts w:ascii="Arial" w:cs="Arial" w:eastAsia="Arial" w:hAnsi="Arial"/>
          <w:sz w:val="16"/>
          <w:szCs w:val="16"/>
          <w:color w:val="auto"/>
        </w:rPr>
        <w:t>GRANT OF OPTION: This Agreement confirms that, subject to the terms and conditions of the Plan, the Company has granted to you (the “Optionee”), effective on the Date of Grant set forth below, an option to purchase shares of the Company’s Common Stock (the “Option Shares”) as follows:</w:t>
      </w:r>
    </w:p>
    <w:p>
      <w:pPr>
        <w:sectPr>
          <w:pgSz w:w="11900" w:h="16838" w:orient="portrait"/>
          <w:cols w:equalWidth="0" w:num="1">
            <w:col w:w="11420"/>
          </w:cols>
          <w:pgMar w:left="240" w:top="1218" w:right="239" w:bottom="1440" w:gutter="0" w:footer="0" w:header="0"/>
        </w:sectPr>
      </w:pP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[xxxx]</w:t>
      </w:r>
    </w:p>
    <w:p>
      <w:pPr>
        <w:spacing w:after="0" w:line="23" w:lineRule="exact"/>
        <w:rPr>
          <w:sz w:val="20"/>
          <w:szCs w:val="20"/>
          <w:color w:val="auto"/>
        </w:rPr>
      </w:pPr>
    </w:p>
    <w:p>
      <w:pPr>
        <w:sectPr>
          <w:pgSz w:w="11900" w:h="16838" w:orient="portrait"/>
          <w:cols w:equalWidth="0" w:num="2">
            <w:col w:w="2760" w:space="720"/>
            <w:col w:w="7940"/>
          </w:cols>
          <w:pgMar w:left="240" w:top="1218"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Option Shares Granted: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Exercise Price Per Share:</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color w:val="auto"/>
        </w:rPr>
        <w:t>[xx]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$[xx]</w:t>
      </w:r>
    </w:p>
    <w:p>
      <w:pPr>
        <w:spacing w:after="0" w:line="200" w:lineRule="exact"/>
        <w:rPr>
          <w:sz w:val="20"/>
          <w:szCs w:val="20"/>
          <w:color w:val="auto"/>
        </w:rPr>
      </w:pPr>
    </w:p>
    <w:p>
      <w:pPr>
        <w:sectPr>
          <w:pgSz w:w="11900" w:h="16838" w:orient="portrait"/>
          <w:cols w:equalWidth="0" w:num="2">
            <w:col w:w="3720" w:space="720"/>
            <w:col w:w="6980"/>
          </w:cols>
          <w:pgMar w:left="240" w:top="1218"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EXERCISE OF OPTION: The Option is exercisable in full on the earlier of March xx, 20[xx] or the date of the Company’s next annual meeting of shareholders.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TERM OF OPTION; TERMINATION OF SERVICE:</w:t>
      </w:r>
    </w:p>
    <w:p>
      <w:pPr>
        <w:spacing w:after="0" w:line="171" w:lineRule="exact"/>
        <w:rPr>
          <w:sz w:val="20"/>
          <w:szCs w:val="20"/>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Except as otherwise provided below, (a) unless earlier exercised, the Option shall terminate on, and shall not be exercisable after, three (3) months after the Optionee ceases to be a Director of the Company and (b) the Option shall be exercisable by the Optionee (or his or her successor in interest) only to the extent that such Option was exercisable on or prior to the date of such termination.</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the Optionee </w:t>
      </w:r>
      <w:r>
        <w:rPr>
          <w:rFonts w:ascii="Arial" w:cs="Arial" w:eastAsia="Arial" w:hAnsi="Arial"/>
          <w:sz w:val="18"/>
          <w:szCs w:val="18"/>
          <w:u w:val="single" w:color="auto"/>
          <w:color w:val="auto"/>
        </w:rPr>
        <w:t>dies</w:t>
      </w:r>
      <w:r>
        <w:rPr>
          <w:rFonts w:ascii="Arial" w:cs="Arial" w:eastAsia="Arial" w:hAnsi="Arial"/>
          <w:sz w:val="18"/>
          <w:szCs w:val="18"/>
          <w:color w:val="auto"/>
        </w:rPr>
        <w:t xml:space="preserve"> while a Director of the Company, the Option shall become exercisable in full on the date of death and shall continue to be exercisable (by the Optionee’s successor in interest) until the date that is ten (10) years after the Date of Grant, at which time the Option shall terminate.</w:t>
      </w:r>
    </w:p>
    <w:p>
      <w:pPr>
        <w:spacing w:after="0" w:line="12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the Optionee ceases to be a Director by reason of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as a Director, this Option shall cease vesting at the time the Optionee ceases to be a Director, and any Option Shares that are vested on the date of such retirement shall continue to be exercisable until the date that is ten (10) years after the Date of Grant. For purposes of this provision, “retirement” shall mean any mutually agreed departure from the Board after a Director has reached the age of 60.</w:t>
      </w:r>
    </w:p>
    <w:p>
      <w:pPr>
        <w:spacing w:after="0" w:line="13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If the Optionee ceases to be a Director by reason of the Director’s </w:t>
      </w:r>
      <w:r>
        <w:rPr>
          <w:rFonts w:ascii="Arial" w:cs="Arial" w:eastAsia="Arial" w:hAnsi="Arial"/>
          <w:sz w:val="17"/>
          <w:szCs w:val="17"/>
          <w:u w:val="single" w:color="auto"/>
          <w:color w:val="auto"/>
        </w:rPr>
        <w:t>removal under Section 2.7 of the Company’s Bylaws</w:t>
      </w:r>
      <w:r>
        <w:rPr>
          <w:rFonts w:ascii="Arial" w:cs="Arial" w:eastAsia="Arial" w:hAnsi="Arial"/>
          <w:sz w:val="17"/>
          <w:szCs w:val="17"/>
          <w:color w:val="auto"/>
        </w:rPr>
        <w:t>, this Option shall, at the time the Optionee ceases to be a Director, terminate and all Option Shares that are then vested shall forthwith cease to be exercisable.</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If the Optionee ceases to be a Director by reason of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which are not exercisable as of the date of disability shall become exercisable on the date that they</w:t>
      </w:r>
    </w:p>
    <w:p>
      <w:pPr>
        <w:spacing w:after="0" w:line="200" w:lineRule="exact"/>
        <w:rPr>
          <w:sz w:val="20"/>
          <w:szCs w:val="20"/>
          <w:color w:val="auto"/>
        </w:rPr>
      </w:pPr>
    </w:p>
    <w:p>
      <w:pPr>
        <w:spacing w:after="0" w:line="38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218" w:right="239" w:bottom="1440" w:gutter="0" w:footer="0" w:header="0"/>
          <w:type w:val="continuous"/>
        </w:sectPr>
      </w:pPr>
    </w:p>
    <w:bookmarkStart w:id="77" w:name="page78"/>
    <w:bookmarkEnd w:id="77"/>
    <w:p>
      <w:pPr>
        <w:ind w:left="660"/>
        <w:spacing w:after="0" w:line="395" w:lineRule="auto"/>
        <w:rPr>
          <w:sz w:val="20"/>
          <w:szCs w:val="20"/>
          <w:color w:val="auto"/>
        </w:rPr>
      </w:pPr>
      <w:r>
        <w:rPr>
          <w:rFonts w:ascii="Arial" w:cs="Arial" w:eastAsia="Arial" w:hAnsi="Arial"/>
          <w:sz w:val="16"/>
          <w:szCs w:val="16"/>
          <w:color w:val="auto"/>
        </w:rPr>
        <w:t>otherwise would have become exercisable if the Optionee’s service as a Director had not been terminated due to disability. Any Option Shares that are exercisable shall continue to be exercisable until the date that is ten (10) years after the Date of Grant, at which time the Option shall terminate.</w:t>
      </w:r>
    </w:p>
    <w:p>
      <w:pPr>
        <w:spacing w:after="0" w:line="43" w:lineRule="exact"/>
        <w:rPr>
          <w:sz w:val="20"/>
          <w:szCs w:val="20"/>
          <w:color w:val="auto"/>
        </w:rPr>
      </w:pPr>
    </w:p>
    <w:p>
      <w:pPr>
        <w:jc w:val="both"/>
        <w:ind w:left="660" w:hanging="328"/>
        <w:spacing w:after="0" w:line="30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If the Optionee becomes an </w:t>
      </w:r>
      <w:r>
        <w:rPr>
          <w:rFonts w:ascii="Arial" w:cs="Arial" w:eastAsia="Arial" w:hAnsi="Arial"/>
          <w:sz w:val="16"/>
          <w:szCs w:val="16"/>
          <w:u w:val="single" w:color="auto"/>
          <w:color w:val="auto"/>
        </w:rPr>
        <w:t>employee</w:t>
      </w:r>
      <w:r>
        <w:rPr>
          <w:rFonts w:ascii="Arial" w:cs="Arial" w:eastAsia="Arial" w:hAnsi="Arial"/>
          <w:sz w:val="16"/>
          <w:szCs w:val="16"/>
          <w:color w:val="auto"/>
        </w:rPr>
        <w:t xml:space="preserve"> of the Company and in connection with such employment ceases to serve as a Director, this Option shall continue to vest in accordance with the terms hereof until the date that the Optionee’s employment with the Company is terminated, and any Option Shares that are exercisable on the date of such termination shall continue to be exercisable for a period of three (3) months following such termination date, provided that in no event shall the Option be exercisable later than the date that is ten (10) years after the Date of Grant.</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PAYMENT OF PURCHASE PRICE: The following payment methods may be used to purchase Option Shares in accordance with the terms of the Plan:</w:t>
      </w:r>
    </w:p>
    <w:p>
      <w:pPr>
        <w:spacing w:after="0" w:line="183"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cashless exercise in a manner described in Section 5(f)(2) of the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owned by the Optionee and subject to such other terms and conditions contained in the Plan.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71" w:lineRule="exact"/>
        <w:rPr>
          <w:sz w:val="20"/>
          <w:szCs w:val="20"/>
          <w:color w:val="auto"/>
        </w:rPr>
      </w:pPr>
    </w:p>
    <w:p>
      <w:pPr>
        <w:jc w:val="both"/>
        <w:ind w:firstLine="496"/>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or as permitted by the Plan,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127" w:lineRule="exact"/>
        <w:rPr>
          <w:sz w:val="20"/>
          <w:szCs w:val="20"/>
          <w:color w:val="auto"/>
        </w:rPr>
      </w:pPr>
    </w:p>
    <w:p>
      <w:pPr>
        <w:jc w:val="both"/>
        <w:ind w:firstLine="497"/>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70" w:lineRule="exact"/>
        <w:rPr>
          <w:sz w:val="20"/>
          <w:szCs w:val="20"/>
          <w:color w:val="auto"/>
        </w:rPr>
      </w:pPr>
    </w:p>
    <w:p>
      <w:pPr>
        <w:jc w:val="both"/>
        <w:ind w:firstLine="527"/>
        <w:spacing w:after="0" w:line="264" w:lineRule="auto"/>
        <w:rPr>
          <w:sz w:val="20"/>
          <w:szCs w:val="20"/>
          <w:color w:val="auto"/>
        </w:rPr>
      </w:pPr>
      <w:r>
        <w:rPr>
          <w:rFonts w:ascii="Arial" w:cs="Arial" w:eastAsia="Arial" w:hAnsi="Arial"/>
          <w:sz w:val="18"/>
          <w:szCs w:val="18"/>
          <w:color w:val="auto"/>
        </w:rPr>
        <w:t>CHANGE IN CONTROL: Upon the occurrence of a Change in Control Event (as defined in Section 11(b) of the Plan), this Option shall vest and be exercisable in full, whether or not then exercisable in accordance with its terms, and shall continue to be exercisable until the date that is ten (10) years after the Date of Grant.</w:t>
      </w:r>
    </w:p>
    <w:p>
      <w:pPr>
        <w:spacing w:after="0" w:line="127" w:lineRule="exact"/>
        <w:rPr>
          <w:sz w:val="20"/>
          <w:szCs w:val="20"/>
          <w:color w:val="auto"/>
        </w:rPr>
      </w:pPr>
    </w:p>
    <w:p>
      <w:pPr>
        <w:jc w:val="both"/>
        <w:ind w:firstLine="602"/>
        <w:spacing w:after="0" w:line="264" w:lineRule="auto"/>
        <w:rPr>
          <w:sz w:val="20"/>
          <w:szCs w:val="20"/>
          <w:color w:val="auto"/>
        </w:rPr>
      </w:pPr>
      <w:r>
        <w:rPr>
          <w:rFonts w:ascii="Arial" w:cs="Arial" w:eastAsia="Arial" w:hAnsi="Arial"/>
          <w:sz w:val="18"/>
          <w:szCs w:val="18"/>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 in accordance with Section 12(e) of the Plan.</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copy of the Plan prospectus is available from the Stock Plan Administrator, Stock_Plan_Admin@Analog.com. If you have any questions regarding your stock option, please contact the Stock Plan Administrator or Fran Sarro, Assistant Treasurer, at (781) 461-3907 or email Fran.Sarro@Analog.com.</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Arial" w:cs="Arial" w:eastAsia="Arial" w:hAnsi="Arial"/>
          <w:sz w:val="15"/>
          <w:szCs w:val="15"/>
          <w:color w:val="auto"/>
        </w:rPr>
        <w:t>Ray Stata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Vincent T. Roche</w:t>
      </w:r>
    </w:p>
    <w:p>
      <w:pPr>
        <w:spacing w:after="0" w:line="86" w:lineRule="exact"/>
        <w:rPr>
          <w:sz w:val="20"/>
          <w:szCs w:val="20"/>
          <w:color w:val="auto"/>
        </w:rPr>
      </w:pPr>
    </w:p>
    <w:p>
      <w:pPr>
        <w:sectPr>
          <w:pgSz w:w="11900" w:h="16838" w:orient="portrait"/>
          <w:cols w:equalWidth="0" w:num="2">
            <w:col w:w="6620" w:space="720"/>
            <w:col w:w="4080"/>
          </w:cols>
          <w:pgMar w:left="240" w:top="39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6620" w:space="720"/>
            <w:col w:w="4080"/>
          </w:cols>
          <w:pgMar w:left="240" w:top="395" w:right="239" w:bottom="1440" w:gutter="0" w:footer="0" w:header="0"/>
          <w:type w:val="continuous"/>
        </w:sectPr>
      </w:pPr>
    </w:p>
    <w:p>
      <w:pPr>
        <w:spacing w:after="0" w:line="309"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395" w:right="239" w:bottom="1440" w:gutter="0" w:footer="0" w:header="0"/>
          <w:type w:val="continuous"/>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EXHIBIT 10.5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AGREEMENT</w:t>
      </w:r>
    </w:p>
    <w:p>
      <w:pPr>
        <w:jc w:val="center"/>
        <w:spacing w:after="0"/>
        <w:rPr>
          <w:sz w:val="20"/>
          <w:szCs w:val="20"/>
          <w:color w:val="auto"/>
        </w:rPr>
      </w:pPr>
      <w:r>
        <w:rPr>
          <w:rFonts w:ascii="Arial" w:cs="Arial" w:eastAsia="Arial" w:hAnsi="Arial"/>
          <w:sz w:val="20"/>
          <w:szCs w:val="20"/>
          <w:b w:val="1"/>
          <w:bCs w:val="1"/>
          <w:color w:val="auto"/>
        </w:rPr>
        <w:t>GRANT OF RESTRICTED STOCK UNIT</w:t>
      </w:r>
    </w:p>
    <w:p>
      <w:pPr>
        <w:jc w:val="center"/>
        <w:spacing w:after="0"/>
        <w:rPr>
          <w:sz w:val="20"/>
          <w:szCs w:val="20"/>
          <w:color w:val="auto"/>
        </w:rPr>
      </w:pPr>
      <w:r>
        <w:rPr>
          <w:rFonts w:ascii="Arial" w:cs="Arial" w:eastAsia="Arial" w:hAnsi="Arial"/>
          <w:sz w:val="20"/>
          <w:szCs w:val="20"/>
          <w:b w:val="1"/>
          <w:bCs w:val="1"/>
          <w:color w:val="auto"/>
        </w:rPr>
        <w:t>Private &amp; Confidential (Addressee Only)</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color w:val="auto"/>
        </w:rPr>
        <w:t>{DIRNAME}</w:t>
      </w:r>
    </w:p>
    <w:p>
      <w:pPr>
        <w:spacing w:after="0" w:line="216" w:lineRule="exact"/>
        <w:rPr>
          <w:sz w:val="20"/>
          <w:szCs w:val="20"/>
          <w:color w:val="auto"/>
        </w:rPr>
      </w:pPr>
    </w:p>
    <w:p>
      <w:pPr>
        <w:jc w:val="both"/>
        <w:spacing w:after="0" w:line="314" w:lineRule="auto"/>
        <w:rPr>
          <w:sz w:val="20"/>
          <w:szCs w:val="20"/>
          <w:color w:val="auto"/>
        </w:rPr>
      </w:pPr>
      <w:r>
        <w:rPr>
          <w:rFonts w:ascii="Arial" w:cs="Arial" w:eastAsia="Arial" w:hAnsi="Arial"/>
          <w:sz w:val="19"/>
          <w:szCs w:val="19"/>
          <w:color w:val="auto"/>
        </w:rPr>
        <w:t>We are pleased to advise the Participant that Analog Devices, Inc., a Massachusetts corporation (the "Company"), has granted to the Participant Restricted Stock Units ("RSUs") on the terms and conditions set forth below (the "Award"). This Award reflects the Company's confidence in the Participant's commitment and contributions to the success and continued growth of the Company.</w:t>
      </w:r>
    </w:p>
    <w:p>
      <w:pPr>
        <w:spacing w:after="0" w:line="128"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Restricted Stock Unit</w:t>
      </w:r>
      <w:r>
        <w:rPr>
          <w:rFonts w:ascii="Arial" w:cs="Arial" w:eastAsia="Arial" w:hAnsi="Arial"/>
          <w:sz w:val="20"/>
          <w:szCs w:val="20"/>
          <w:color w:val="auto"/>
        </w:rPr>
        <w:t>.</w:t>
      </w:r>
    </w:p>
    <w:p>
      <w:pPr>
        <w:spacing w:after="0" w:line="216" w:lineRule="exact"/>
        <w:rPr>
          <w:sz w:val="20"/>
          <w:szCs w:val="20"/>
          <w:color w:val="auto"/>
        </w:rPr>
      </w:pPr>
    </w:p>
    <w:p>
      <w:pPr>
        <w:jc w:val="both"/>
        <w:ind w:left="340"/>
        <w:spacing w:after="0" w:line="292" w:lineRule="auto"/>
        <w:rPr>
          <w:sz w:val="20"/>
          <w:szCs w:val="20"/>
          <w:color w:val="auto"/>
        </w:rPr>
      </w:pPr>
      <w:r>
        <w:rPr>
          <w:rFonts w:ascii="Arial" w:cs="Arial" w:eastAsia="Arial" w:hAnsi="Arial"/>
          <w:sz w:val="20"/>
          <w:szCs w:val="20"/>
          <w:color w:val="auto"/>
        </w:rPr>
        <w:t>This agreement confirms that, subject to the terms and conditions of the Analog Devices, Inc. 2006 Stock Incentive Plan (the "Plan"), the Company has granted to the Participant (the "Participant"), effective on the Date of Grant set forth below, that number of RSUs set forth below:</w:t>
      </w:r>
    </w:p>
    <w:p>
      <w:pPr>
        <w:spacing w:after="0" w:line="11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0"/>
          <w:szCs w:val="20"/>
          <w:color w:val="auto"/>
        </w:rPr>
        <w:t>Date of Grant:</w:t>
      </w:r>
      <w:r>
        <w:rPr>
          <w:sz w:val="20"/>
          <w:szCs w:val="20"/>
          <w:color w:val="auto"/>
        </w:rPr>
        <w:tab/>
      </w:r>
      <w:r>
        <w:rPr>
          <w:rFonts w:ascii="Arial" w:cs="Arial" w:eastAsia="Arial" w:hAnsi="Arial"/>
          <w:sz w:val="20"/>
          <w:szCs w:val="20"/>
          <w:color w:val="auto"/>
        </w:rPr>
        <w:t>{GRANTDATE}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Number of RSUs Granted:{RSSHARESGRANTED}</w:t>
      </w:r>
    </w:p>
    <w:p>
      <w:pPr>
        <w:sectPr>
          <w:pgSz w:w="11900" w:h="16838" w:orient="portrait"/>
          <w:cols w:equalWidth="0" w:num="1">
            <w:col w:w="11420"/>
          </w:cols>
          <w:pgMar w:left="240" w:top="1183" w:right="239" w:bottom="1440" w:gutter="0" w:footer="0" w:header="0"/>
        </w:sect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3760"/>
        <w:spacing w:after="0" w:line="316" w:lineRule="auto"/>
        <w:rPr>
          <w:sz w:val="20"/>
          <w:szCs w:val="20"/>
          <w:color w:val="auto"/>
        </w:rPr>
      </w:pPr>
      <w:r>
        <w:rPr>
          <w:rFonts w:ascii="Arial" w:cs="Arial" w:eastAsia="Arial" w:hAnsi="Arial"/>
          <w:sz w:val="18"/>
          <w:szCs w:val="18"/>
          <w:color w:val="auto"/>
        </w:rPr>
        <w:t>The RSUs shall vest on the earlier of {GRANTDATE+1} or the date of the Company’s next annual meeting of shareholders</w:t>
      </w:r>
    </w:p>
    <w:p>
      <w:pPr>
        <w:spacing w:after="0" w:line="171" w:lineRule="exact"/>
        <w:rPr>
          <w:sz w:val="20"/>
          <w:szCs w:val="20"/>
          <w:color w:val="auto"/>
        </w:rPr>
      </w:pPr>
    </w:p>
    <w:p>
      <w:pPr>
        <w:sectPr>
          <w:pgSz w:w="11900" w:h="16838" w:orient="portrait"/>
          <w:cols w:equalWidth="0" w:num="2">
            <w:col w:w="2080" w:space="520"/>
            <w:col w:w="8820"/>
          </w:cols>
          <w:pgMar w:left="240" w:top="1183" w:right="239" w:bottom="1440" w:gutter="0" w:footer="0" w:header="0"/>
          <w:type w:val="continuous"/>
        </w:sectPr>
      </w:pPr>
    </w:p>
    <w:p>
      <w:pPr>
        <w:jc w:val="both"/>
        <w:ind w:left="340"/>
        <w:spacing w:after="0" w:line="288" w:lineRule="auto"/>
        <w:rPr>
          <w:sz w:val="20"/>
          <w:szCs w:val="20"/>
          <w:color w:val="auto"/>
        </w:rPr>
      </w:pPr>
      <w:r>
        <w:rPr>
          <w:rFonts w:ascii="Arial" w:cs="Arial" w:eastAsia="Arial" w:hAnsi="Arial"/>
          <w:sz w:val="20"/>
          <w:szCs w:val="20"/>
          <w:color w:val="auto"/>
        </w:rPr>
        <w:t>Each one (1) RSU shall, if and when it vests in accordance with this Award, automatically convert into one (1) share of common stock, US$0.16 2/3 par value, of the Company ("Common Stock") issuable as provided below. The RSUs are subject to the vesting provisions set forth in Section 2, the restrictions on transfer set forth in Section 3 and the right of the Company to retain Shares (as defined below) pursuant to Section 7.</w:t>
      </w:r>
    </w:p>
    <w:p>
      <w:pPr>
        <w:spacing w:after="0" w:line="152"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Vesting and Conversion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363" w:lineRule="auto"/>
        <w:tabs>
          <w:tab w:leader="none" w:pos="6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Subject to the terms of the Plan and this Award, the RSUs shall vest in accordance with the schedule set forth in Section 1. For purposes of this Award, RSUs that have not vested as of any particular time in accordance with this Section 2(a) are referred to as "Unvested RSUs." The shares of Common Stock that are issuable upon the vesting and conversion of the RSUs are referred to in this Award as "Shares." As soon as administratively practicable after the issuance of any Shares upon the vesting and conversion of RSUs, and subject to the terms and conditions set forth herein,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Notwithstanding the foregoing, the Company shall not be obligated to issue Shares to or in the name of the Participant upon the vesting and conversion of any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1183" w:right="239" w:bottom="1440" w:gutter="0" w:footer="0" w:header="0"/>
          <w:type w:val="continuous"/>
        </w:sectPr>
      </w:pPr>
    </w:p>
    <w:bookmarkStart w:id="79" w:name="page80"/>
    <w:bookmarkEnd w:id="79"/>
    <w:p>
      <w:pPr>
        <w:jc w:val="both"/>
        <w:ind w:left="660" w:hanging="328"/>
        <w:spacing w:after="0" w:line="338"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In the event the Participant ceases to be a Director for any reason or no reason (other than due to death, Disability or otherwise as provided in the Plan or below), then in each such case, all of the Unvested RSUs as of the date of termination shall terminate and be cancelled immediately and automatically and the Participant shall have no further rights with respect to such Unvested RSUs.</w:t>
      </w:r>
    </w:p>
    <w:p>
      <w:pPr>
        <w:spacing w:after="0" w:line="111" w:lineRule="exact"/>
        <w:rPr>
          <w:rFonts w:ascii="Arial" w:cs="Arial" w:eastAsia="Arial" w:hAnsi="Arial"/>
          <w:sz w:val="18"/>
          <w:szCs w:val="18"/>
          <w:color w:val="auto"/>
        </w:rPr>
      </w:pPr>
    </w:p>
    <w:p>
      <w:pPr>
        <w:ind w:left="660" w:right="20" w:hanging="328"/>
        <w:spacing w:after="0" w:line="303" w:lineRule="auto"/>
        <w:tabs>
          <w:tab w:leader="none" w:pos="6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In the event the Participant </w:t>
      </w:r>
      <w:r>
        <w:rPr>
          <w:rFonts w:ascii="Arial" w:cs="Arial" w:eastAsia="Arial" w:hAnsi="Arial"/>
          <w:sz w:val="20"/>
          <w:szCs w:val="20"/>
          <w:u w:val="single" w:color="auto"/>
          <w:color w:val="auto"/>
        </w:rPr>
        <w:t>dies</w:t>
      </w:r>
      <w:r>
        <w:rPr>
          <w:rFonts w:ascii="Arial" w:cs="Arial" w:eastAsia="Arial" w:hAnsi="Arial"/>
          <w:sz w:val="20"/>
          <w:szCs w:val="20"/>
          <w:color w:val="auto"/>
        </w:rPr>
        <w:t xml:space="preserve"> while a Director of the Company, all Unvested RSUs shall vest in full as of the date of the Participant's death.</w:t>
      </w:r>
    </w:p>
    <w:p>
      <w:pPr>
        <w:spacing w:after="0" w:line="135" w:lineRule="exact"/>
        <w:rPr>
          <w:rFonts w:ascii="Arial" w:cs="Arial" w:eastAsia="Arial" w:hAnsi="Arial"/>
          <w:sz w:val="20"/>
          <w:szCs w:val="20"/>
          <w:color w:val="auto"/>
        </w:rPr>
      </w:pPr>
    </w:p>
    <w:p>
      <w:pPr>
        <w:jc w:val="both"/>
        <w:ind w:left="660" w:hanging="328"/>
        <w:spacing w:after="0" w:line="287" w:lineRule="auto"/>
        <w:tabs>
          <w:tab w:leader="none" w:pos="6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In the event the Participant ceases to be a Director by reason of a </w:t>
      </w:r>
      <w:r>
        <w:rPr>
          <w:rFonts w:ascii="Arial" w:cs="Arial" w:eastAsia="Arial" w:hAnsi="Arial"/>
          <w:sz w:val="20"/>
          <w:szCs w:val="20"/>
          <w:u w:val="single" w:color="auto"/>
          <w:color w:val="auto"/>
        </w:rPr>
        <w:t>Disability</w:t>
      </w:r>
      <w:r>
        <w:rPr>
          <w:rFonts w:ascii="Arial" w:cs="Arial" w:eastAsia="Arial" w:hAnsi="Arial"/>
          <w:sz w:val="20"/>
          <w:szCs w:val="20"/>
          <w:color w:val="auto"/>
        </w:rPr>
        <w:t xml:space="preserve"> (as defined below), the Unvested RSUs as of the date of the Participant cease to be a Director shall vest in full as of such date. For the purpose of this Award, "Disability" means (i) the Participant's inability to engage in any substantial gainful activity by reason of any medically determinable physical or mental impairment that can be expected to result in death or can be expected to last for a continuous period of not less than 12 months, as determined by the Company.</w:t>
      </w:r>
    </w:p>
    <w:p>
      <w:pPr>
        <w:spacing w:after="0" w:line="151" w:lineRule="exact"/>
        <w:rPr>
          <w:rFonts w:ascii="Arial" w:cs="Arial" w:eastAsia="Arial" w:hAnsi="Arial"/>
          <w:sz w:val="20"/>
          <w:szCs w:val="20"/>
          <w:color w:val="auto"/>
        </w:rPr>
      </w:pPr>
    </w:p>
    <w:p>
      <w:pPr>
        <w:jc w:val="both"/>
        <w:ind w:left="660" w:hanging="328"/>
        <w:spacing w:after="0" w:line="292" w:lineRule="auto"/>
        <w:tabs>
          <w:tab w:leader="none" w:pos="6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 xml:space="preserve">If the Participant becomes an </w:t>
      </w:r>
      <w:r>
        <w:rPr>
          <w:rFonts w:ascii="Arial" w:cs="Arial" w:eastAsia="Arial" w:hAnsi="Arial"/>
          <w:sz w:val="20"/>
          <w:szCs w:val="20"/>
          <w:u w:val="single" w:color="auto"/>
          <w:color w:val="auto"/>
        </w:rPr>
        <w:t>employee</w:t>
      </w:r>
      <w:r>
        <w:rPr>
          <w:rFonts w:ascii="Arial" w:cs="Arial" w:eastAsia="Arial" w:hAnsi="Arial"/>
          <w:sz w:val="20"/>
          <w:szCs w:val="20"/>
          <w:color w:val="auto"/>
        </w:rPr>
        <w:t xml:space="preserve"> of the Company and, in connection with such employment, ceases to serve as a Director of the Company, Unvested RSUs shall vest in accordance with the terms hereof until the date that the Participant's employment with the Company is terminated.</w:t>
      </w:r>
    </w:p>
    <w:p>
      <w:pPr>
        <w:spacing w:after="0" w:line="146" w:lineRule="exact"/>
        <w:rPr>
          <w:rFonts w:ascii="Arial" w:cs="Arial" w:eastAsia="Arial" w:hAnsi="Arial"/>
          <w:sz w:val="20"/>
          <w:szCs w:val="20"/>
          <w:color w:val="auto"/>
        </w:rPr>
      </w:pPr>
    </w:p>
    <w:p>
      <w:pPr>
        <w:ind w:left="660" w:hanging="328"/>
        <w:spacing w:after="0" w:line="303" w:lineRule="auto"/>
        <w:tabs>
          <w:tab w:leader="none" w:pos="660" w:val="left"/>
        </w:tabs>
        <w:numPr>
          <w:ilvl w:val="1"/>
          <w:numId w:val="47"/>
        </w:numPr>
        <w:rPr>
          <w:rFonts w:ascii="Arial" w:cs="Arial" w:eastAsia="Arial" w:hAnsi="Arial"/>
          <w:sz w:val="20"/>
          <w:szCs w:val="20"/>
          <w:color w:val="auto"/>
        </w:rPr>
      </w:pPr>
      <w:r>
        <w:rPr>
          <w:rFonts w:ascii="Arial" w:cs="Arial" w:eastAsia="Arial" w:hAnsi="Arial"/>
          <w:sz w:val="20"/>
          <w:szCs w:val="20"/>
          <w:color w:val="auto"/>
        </w:rPr>
        <w:t>Notwithstanding anything in the Plan or herein, all Unvested RSUs shall vest in full as of a Change in Control Event (as defined in the Plan).</w:t>
      </w:r>
    </w:p>
    <w:p>
      <w:pPr>
        <w:spacing w:after="0" w:line="135" w:lineRule="exact"/>
        <w:rPr>
          <w:rFonts w:ascii="Arial" w:cs="Arial" w:eastAsia="Arial" w:hAnsi="Arial"/>
          <w:sz w:val="20"/>
          <w:szCs w:val="20"/>
          <w:color w:val="auto"/>
        </w:rPr>
      </w:pPr>
    </w:p>
    <w:p>
      <w:pPr>
        <w:ind w:left="660" w:hanging="328"/>
        <w:spacing w:after="0" w:line="363" w:lineRule="auto"/>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For purposes of this Award, employment with the Company shall include being an employee, consultant or advisor with any direct or indirect parent or subsidiary of the Company, or any successor to the Company or any such parent or subsidiary of the Company.</w:t>
      </w:r>
    </w:p>
    <w:p>
      <w:pPr>
        <w:spacing w:after="0" w:line="89"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Participant shall not sell, assign, transfer, pledge or otherwise encumber any RSUs, either voluntarily or by operation of law.</w:t>
      </w:r>
    </w:p>
    <w:p>
      <w:pPr>
        <w:spacing w:after="0" w:line="238" w:lineRule="exact"/>
        <w:rPr>
          <w:rFonts w:ascii="Arial" w:cs="Arial" w:eastAsia="Arial" w:hAnsi="Arial"/>
          <w:sz w:val="18"/>
          <w:szCs w:val="18"/>
          <w:color w:val="auto"/>
        </w:rPr>
      </w:pPr>
    </w:p>
    <w:p>
      <w:pPr>
        <w:jc w:val="both"/>
        <w:ind w:left="660" w:hanging="328"/>
        <w:spacing w:after="0" w:line="292" w:lineRule="auto"/>
        <w:tabs>
          <w:tab w:leader="none" w:pos="660" w:val="left"/>
        </w:tabs>
        <w:numPr>
          <w:ilvl w:val="1"/>
          <w:numId w:val="48"/>
        </w:numPr>
        <w:rPr>
          <w:rFonts w:ascii="Arial" w:cs="Arial" w:eastAsia="Arial" w:hAnsi="Arial"/>
          <w:sz w:val="20"/>
          <w:szCs w:val="20"/>
          <w:color w:val="auto"/>
        </w:rPr>
      </w:pPr>
      <w:r>
        <w:rPr>
          <w:rFonts w:ascii="Arial" w:cs="Arial" w:eastAsia="Arial" w:hAnsi="Arial"/>
          <w:sz w:val="20"/>
          <w:szCs w:val="20"/>
          <w:color w:val="auto"/>
        </w:rPr>
        <w:t>The Company shall not be required (i) to transfer on its books any of the RSUs which have been transferred in violation of any of the provisions set forth herein or (ii) to treat as the owner of such RSUs any transferee to whom such RSUs have been transferred in violation of any of the provisions contained herein.</w:t>
      </w:r>
    </w:p>
    <w:p>
      <w:pPr>
        <w:spacing w:after="0" w:line="146" w:lineRule="exact"/>
        <w:rPr>
          <w:rFonts w:ascii="Arial" w:cs="Arial" w:eastAsia="Arial" w:hAnsi="Arial"/>
          <w:sz w:val="20"/>
          <w:szCs w:val="20"/>
          <w:color w:val="auto"/>
        </w:rPr>
      </w:pPr>
    </w:p>
    <w:p>
      <w:pPr>
        <w:jc w:val="both"/>
        <w:ind w:left="340" w:hanging="332"/>
        <w:spacing w:after="0" w:line="287" w:lineRule="auto"/>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Not a Shareholder</w:t>
      </w:r>
      <w:r>
        <w:rPr>
          <w:rFonts w:ascii="Arial" w:cs="Arial" w:eastAsia="Arial" w:hAnsi="Arial"/>
          <w:sz w:val="20"/>
          <w:szCs w:val="20"/>
          <w:color w:val="auto"/>
        </w:rPr>
        <w:t>. The RSUs represent an unfunded, unsecured promise by the Company to deliver Shares upon vesting and conversion of the RSUs, and until vesting of the RSUs and issuance of the Shares, the Participant shall not have any of the rights of a shareholder with respect to the Shares underlying the RSUs. For the avoidance of doubt, the Participant shall have no right to receive any dividends and shall have no voting rights with respect to the Shares underlying the RSUs for which the record date is on or before the date on which the Shares underlying the RSUs are issued to the Participant.</w:t>
      </w:r>
    </w:p>
    <w:p>
      <w:pPr>
        <w:spacing w:after="0" w:line="151" w:lineRule="exact"/>
        <w:rPr>
          <w:rFonts w:ascii="Arial" w:cs="Arial" w:eastAsia="Arial" w:hAnsi="Arial"/>
          <w:sz w:val="20"/>
          <w:szCs w:val="20"/>
          <w:color w:val="auto"/>
        </w:rPr>
      </w:pPr>
    </w:p>
    <w:p>
      <w:pPr>
        <w:ind w:left="340" w:hanging="332"/>
        <w:spacing w:after="0" w:line="303" w:lineRule="auto"/>
        <w:tabs>
          <w:tab w:leader="none" w:pos="34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Provisions of the Plan</w:t>
      </w:r>
      <w:r>
        <w:rPr>
          <w:rFonts w:ascii="Arial" w:cs="Arial" w:eastAsia="Arial" w:hAnsi="Arial"/>
          <w:sz w:val="20"/>
          <w:szCs w:val="20"/>
          <w:color w:val="auto"/>
        </w:rPr>
        <w:t>. The RSUs and Shares, including the grant and issuance thereof, are subject to the provisions of the Plan. A copy of the Plan prospectus is available on the Company's Intranet at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1217" w:right="239" w:bottom="1440" w:gutter="0" w:footer="0" w:header="0"/>
        </w:sectPr>
      </w:pPr>
    </w:p>
    <w:bookmarkStart w:id="80" w:name="page81"/>
    <w:bookmarkEnd w:id="80"/>
    <w:p>
      <w:pPr>
        <w:ind w:left="340"/>
        <w:spacing w:after="0" w:line="331"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www.analog.com/employee (from Signals home page, click Knowledge Centers, HR, Employee Stock Programs. The related documents can be found in the right-hand column).</w:t>
      </w:r>
    </w:p>
    <w:p>
      <w:pPr>
        <w:spacing w:after="0" w:line="122" w:lineRule="exact"/>
        <w:rPr>
          <w:sz w:val="20"/>
          <w:szCs w:val="20"/>
          <w:color w:val="auto"/>
        </w:rPr>
      </w:pPr>
    </w:p>
    <w:p>
      <w:pPr>
        <w:jc w:val="both"/>
        <w:ind w:left="340" w:hanging="332"/>
        <w:spacing w:after="0" w:line="292" w:lineRule="auto"/>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Consideration</w:t>
      </w:r>
      <w:r>
        <w:rPr>
          <w:rFonts w:ascii="Arial" w:cs="Arial" w:eastAsia="Arial" w:hAnsi="Arial"/>
          <w:sz w:val="20"/>
          <w:szCs w:val="20"/>
          <w:color w:val="auto"/>
        </w:rPr>
        <w:t>. Any Shares that are issued and any cash payment that is delivered, in either case upon settlement of the RSUs pursuant to this Award, will be in consideration of the Participant's service as a member of the Board of Directors of the Company and/or his continued employment with the Company, which consideration is deemed sufficient.</w:t>
      </w:r>
    </w:p>
    <w:p>
      <w:pPr>
        <w:spacing w:after="0" w:line="146" w:lineRule="exact"/>
        <w:rPr>
          <w:rFonts w:ascii="Arial" w:cs="Arial" w:eastAsia="Arial" w:hAnsi="Arial"/>
          <w:sz w:val="20"/>
          <w:szCs w:val="20"/>
          <w:color w:val="auto"/>
        </w:rPr>
      </w:pPr>
    </w:p>
    <w:p>
      <w:pPr>
        <w:ind w:left="340" w:hanging="332"/>
        <w:spacing w:after="0"/>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Withholding Taxes</w:t>
      </w:r>
      <w:r>
        <w:rPr>
          <w:rFonts w:ascii="Arial" w:cs="Arial" w:eastAsia="Arial" w:hAnsi="Arial"/>
          <w:sz w:val="20"/>
          <w:szCs w:val="20"/>
          <w:color w:val="auto"/>
        </w:rPr>
        <w:t>.</w:t>
      </w:r>
    </w:p>
    <w:p>
      <w:pPr>
        <w:spacing w:after="0" w:line="310" w:lineRule="exact"/>
        <w:rPr>
          <w:rFonts w:ascii="Arial" w:cs="Arial" w:eastAsia="Arial" w:hAnsi="Arial"/>
          <w:sz w:val="20"/>
          <w:szCs w:val="20"/>
          <w:color w:val="auto"/>
        </w:rPr>
      </w:pPr>
    </w:p>
    <w:p>
      <w:pPr>
        <w:jc w:val="both"/>
        <w:ind w:left="660" w:hanging="328"/>
        <w:spacing w:after="0" w:line="302" w:lineRule="auto"/>
        <w:tabs>
          <w:tab w:leader="none" w:pos="660" w:val="left"/>
        </w:tabs>
        <w:numPr>
          <w:ilvl w:val="1"/>
          <w:numId w:val="49"/>
        </w:numPr>
        <w:rPr>
          <w:rFonts w:ascii="Arial" w:cs="Arial" w:eastAsia="Arial" w:hAnsi="Arial"/>
          <w:sz w:val="19"/>
          <w:szCs w:val="19"/>
          <w:color w:val="auto"/>
        </w:rPr>
      </w:pPr>
      <w:r>
        <w:rPr>
          <w:rFonts w:ascii="Arial" w:cs="Arial" w:eastAsia="Arial" w:hAnsi="Arial"/>
          <w:sz w:val="19"/>
          <w:szCs w:val="19"/>
          <w:color w:val="auto"/>
        </w:rPr>
        <w:t>Regardless of any action the Company takes with respect to any or all income tax (including U.S. federal, state and local taxes and/or non-U.S. taxes), social insurance, payroll tax, payment on account or other tax-related withholding ("Tax-Related Items"), the Participant acknowledges that the ultimate liability for all Tax-Related Items legally due by the Participant is and remains the Participant's responsibility, and that the Company (i) make no representations or undertakings regarding the treatment of any Tax-Related Items in connection with any aspect of the RSUs, including the grant of the RSUs, the vesting of the RSUs, the subsequent sale of any Shares acquired pursuant to the RSUs and the receipt of any dividends; and (ii) do not commit to structure the terms of the grant or any aspect of the RSUs to reduce or eliminate the Participant's liability for Tax-Related Items.</w:t>
      </w:r>
    </w:p>
    <w:p>
      <w:pPr>
        <w:spacing w:after="0" w:line="141" w:lineRule="exact"/>
        <w:rPr>
          <w:rFonts w:ascii="Arial" w:cs="Arial" w:eastAsia="Arial" w:hAnsi="Arial"/>
          <w:sz w:val="19"/>
          <w:szCs w:val="19"/>
          <w:color w:val="auto"/>
        </w:rPr>
      </w:pPr>
    </w:p>
    <w:p>
      <w:pPr>
        <w:jc w:val="both"/>
        <w:ind w:left="660" w:hanging="328"/>
        <w:spacing w:after="0" w:line="317" w:lineRule="auto"/>
        <w:tabs>
          <w:tab w:leader="none" w:pos="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Prior to the delivery of Shares upon the vesting of the RSUs, if any taxing jurisdiction requires withholding of Tax-Related Items, the Company may withhold a sufficient number of whole Shares otherwise issuable upon the vesting of the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No fractional Shares will be withheld or issued pursuant to the grant of the RSUs and the issuance of Shares hereunder. Alternatively, the Company may, in its discretion, withhold any amount necessary to pay the Tax-Related Items from the Participant's salary or other amounts payable to the Participant, with no withholding in Shares. In the event the withholding requirements are not satisfied through the withholding of Shares or through the Participant's salary or other amounts payable to the Participant, no Shares will be issued upon vesting of the RSUs unless and until satisfactory arrangements (as determined by the Compensation Committee of the Board of Directors) have been made by the Participant with respect to the payment of any Tax-Related Items which the Company determines, in its sole discretion, must be withheld or collected with respect to such RSUs. By accepting this grant of RSUs, the Participant expressly consents to the withholding of Shares and/or cash as provided for hereunder. All other Tax-Related Items related to the RSUs and any Shares delivered in payment thereof are the Participant's sole responsibility.</w:t>
      </w:r>
    </w:p>
    <w:p>
      <w:pPr>
        <w:spacing w:after="0" w:line="129" w:lineRule="exact"/>
        <w:rPr>
          <w:rFonts w:ascii="Arial" w:cs="Arial" w:eastAsia="Arial" w:hAnsi="Arial"/>
          <w:sz w:val="18"/>
          <w:szCs w:val="18"/>
          <w:color w:val="auto"/>
        </w:rPr>
      </w:pPr>
    </w:p>
    <w:p>
      <w:pPr>
        <w:jc w:val="both"/>
        <w:ind w:left="340" w:hanging="332"/>
        <w:spacing w:after="0" w:line="292" w:lineRule="auto"/>
        <w:tabs>
          <w:tab w:leader="none" w:pos="34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Option of Company to Deliver Cash</w:t>
      </w:r>
      <w:r>
        <w:rPr>
          <w:rFonts w:ascii="Arial" w:cs="Arial" w:eastAsia="Arial" w:hAnsi="Arial"/>
          <w:sz w:val="20"/>
          <w:szCs w:val="20"/>
          <w:color w:val="auto"/>
        </w:rPr>
        <w:t>. Notwithstanding any of the other provisions of this Award, where share settlement is otherwise prohibited under local law or may present adverse tax consequences to the Participant, at the time the RSUs vest, the Company may elect, in the sole discretion of the Compensation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1230" w:right="239" w:bottom="1440" w:gutter="0" w:footer="0" w:header="0"/>
        </w:sectPr>
      </w:pPr>
    </w:p>
    <w:bookmarkStart w:id="81" w:name="page82"/>
    <w:bookmarkEnd w:id="81"/>
    <w:p>
      <w:pPr>
        <w:jc w:val="both"/>
        <w:ind w:left="340"/>
        <w:spacing w:after="0" w:line="338"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Committee of the Board of Directors,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 withholding obligations of the Company pursuant to Section 7 herein.</w:t>
      </w:r>
    </w:p>
    <w:p>
      <w:pPr>
        <w:spacing w:after="0" w:line="120" w:lineRule="exact"/>
        <w:rPr>
          <w:sz w:val="20"/>
          <w:szCs w:val="20"/>
          <w:color w:val="auto"/>
        </w:rPr>
      </w:pPr>
    </w:p>
    <w:p>
      <w:pPr>
        <w:jc w:val="both"/>
        <w:ind w:left="340" w:hanging="332"/>
        <w:spacing w:after="0" w:line="285" w:lineRule="auto"/>
        <w:tabs>
          <w:tab w:leader="none" w:pos="34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Company hereby notifies the Participant of the following in relation to the Participant's personal data and the collection, processing and transfer of such data in relation to the grant of the RSUs and the Participant's participation in the Plan, pursuant to applicable personal data protection laws. The collection, processing and transfer of the Participant's personal data is necessary for the Company's administration of the Plan and the Participant's participation in the Plan, and the Participant's denial and/or objection to the collection, processing and transfer of personal data may affect the Participant's ability to participate in the Plan. As such, the Participant voluntarily acknowledges, consents and agrees (where required under applicable law) to the collection, use, processing and transfer of personal data as described herein.</w:t>
      </w:r>
    </w:p>
    <w:p>
      <w:pPr>
        <w:spacing w:after="0" w:line="154" w:lineRule="exact"/>
        <w:rPr>
          <w:rFonts w:ascii="Arial" w:cs="Arial" w:eastAsia="Arial" w:hAnsi="Arial"/>
          <w:sz w:val="20"/>
          <w:szCs w:val="20"/>
          <w:color w:val="auto"/>
        </w:rPr>
      </w:pPr>
    </w:p>
    <w:p>
      <w:pPr>
        <w:jc w:val="both"/>
        <w:ind w:left="340"/>
        <w:spacing w:after="0" w:line="318" w:lineRule="auto"/>
        <w:rPr>
          <w:rFonts w:ascii="Arial" w:cs="Arial" w:eastAsia="Arial" w:hAnsi="Arial"/>
          <w:sz w:val="20"/>
          <w:szCs w:val="20"/>
          <w:color w:val="auto"/>
        </w:rPr>
      </w:pPr>
      <w:r>
        <w:rPr>
          <w:rFonts w:ascii="Arial" w:cs="Arial" w:eastAsia="Arial" w:hAnsi="Arial"/>
          <w:sz w:val="18"/>
          <w:szCs w:val="18"/>
          <w:color w:val="auto"/>
        </w:rPr>
        <w:t>The Company holds certain personal information about the Participant, including the Participant's name, home address and telephone number, date of birth, social security number or other employee identification number, salary, nationality, job title, any Shares or directorships held in the Company, details of all RSUs or any other entitlement to Shares awarded, canceled, purchased, vested, unvested or outstanding in the Participant's favor, for the purpose of managing and administering the Plan ("Data"). The Data may be provided by the Participant or collected, where lawful, from third parties, and the Company will process the Data for the exclusive purpose of implementing, administering and managing the Participant's participation in the Plan. The data processing will take place through electronic and non-electronic means according to logistics and procedures strictly correlated to the purposes for which the Data is collected and with confidentiality and security provisions as set forth by applicable laws and regulations in the Participant's country of residence. Data processing operations will be performed minimizing the use of personal and identification data when such operations are unnecessary for the processing purposes sought. The Data will be accessible within the Company's organization only by those persons requiring access for purposes of the implementation, administration and operation of the Plan and for the Participant's participation in the Plan.</w:t>
      </w:r>
    </w:p>
    <w:p>
      <w:pPr>
        <w:spacing w:after="0" w:line="129" w:lineRule="exact"/>
        <w:rPr>
          <w:rFonts w:ascii="Arial" w:cs="Arial" w:eastAsia="Arial" w:hAnsi="Arial"/>
          <w:sz w:val="20"/>
          <w:szCs w:val="20"/>
          <w:color w:val="auto"/>
        </w:rPr>
      </w:pPr>
    </w:p>
    <w:p>
      <w:pPr>
        <w:jc w:val="both"/>
        <w:ind w:left="340"/>
        <w:spacing w:after="0" w:line="301" w:lineRule="auto"/>
        <w:rPr>
          <w:rFonts w:ascii="Arial" w:cs="Arial" w:eastAsia="Arial" w:hAnsi="Arial"/>
          <w:sz w:val="20"/>
          <w:szCs w:val="20"/>
          <w:color w:val="auto"/>
        </w:rPr>
      </w:pPr>
      <w:r>
        <w:rPr>
          <w:rFonts w:ascii="Arial" w:cs="Arial" w:eastAsia="Arial" w:hAnsi="Arial"/>
          <w:sz w:val="19"/>
          <w:szCs w:val="19"/>
          <w:color w:val="auto"/>
        </w:rPr>
        <w:t>The Company will transfer Data as necessary for the purpose of implementation, administration and management of the Participant's participation in the Plan, and the Company may further transfer Data to any third parties assisting the Company in the implementation, administration and management of the Plan. These recipients may be located in the European Economic Area, the United States or elsewhere throughout the world. The Participant hereby authorizes (where required under applicable law) the recipients to receive, possess, use, retain and transfer the Data, in electronic or other form, for purposes of implementing, administering and managing the Participant's participation in the Plan, including any requisite transfer of such Data as may be required for the administration of the Plan and/or the subsequent holding of Shares on the Participant's behalf to a broker or other third party with whom the Participant may elect to deposit any Shares acquired pursuant to the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1230" w:right="239" w:bottom="1440" w:gutter="0" w:footer="0" w:header="0"/>
        </w:sectPr>
      </w:pPr>
    </w:p>
    <w:bookmarkStart w:id="82" w:name="page83"/>
    <w:bookmarkEnd w:id="82"/>
    <w:p>
      <w:pPr>
        <w:jc w:val="both"/>
        <w:ind w:left="340"/>
        <w:spacing w:after="0" w:line="28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The Participant may, at any time, exercise the Participant's rights provided under applicable personal data protection laws, which may include the right to (a) obtain confirmation as to the existence of the Data, (b) verify the content, origin and accuracy of the Data, (c) request the integration, update, amendment, deletion, or blockage (for breach of applicable laws) of the Data, and (d) to oppose, for legal reasons, the collection, processing or transfer of the Data which is not necessary or required for the implementation, administration and/or operation of the Plan and the Participant's participation in the Plan. The Participant may seek to exercise these rights by contacting the Participant's local HR manager.</w:t>
      </w:r>
    </w:p>
    <w:p>
      <w:pPr>
        <w:spacing w:after="0" w:line="152" w:lineRule="exact"/>
        <w:rPr>
          <w:sz w:val="20"/>
          <w:szCs w:val="20"/>
          <w:color w:val="auto"/>
        </w:rPr>
      </w:pPr>
    </w:p>
    <w:p>
      <w:pPr>
        <w:jc w:val="both"/>
        <w:ind w:left="340" w:hanging="332"/>
        <w:spacing w:after="0" w:line="302" w:lineRule="auto"/>
        <w:tabs>
          <w:tab w:leader="none" w:pos="3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Repatriation: Compliance with Laws</w:t>
      </w:r>
      <w:r>
        <w:rPr>
          <w:rFonts w:ascii="Arial" w:cs="Arial" w:eastAsia="Arial" w:hAnsi="Arial"/>
          <w:sz w:val="19"/>
          <w:szCs w:val="19"/>
          <w:color w:val="auto"/>
        </w:rPr>
        <w:t>. The Participant agrees, as a condition of the grant of the RSUs, as applicable, to repatriate all payments attributable to the Shares and/or cash acquired under the Plan (including, but not limited to, dividends and any proceeds derived from the sale of the Shares acquired pursuant to the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41" w:lineRule="exact"/>
        <w:rPr>
          <w:rFonts w:ascii="Arial" w:cs="Arial" w:eastAsia="Arial" w:hAnsi="Arial"/>
          <w:sz w:val="19"/>
          <w:szCs w:val="19"/>
          <w:color w:val="auto"/>
        </w:rPr>
      </w:pPr>
    </w:p>
    <w:p>
      <w:pPr>
        <w:ind w:left="340" w:hanging="332"/>
        <w:spacing w:after="0"/>
        <w:tabs>
          <w:tab w:leader="none" w:pos="34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hanging="328"/>
        <w:spacing w:after="0" w:line="325"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No Rights to Board Service</w:t>
      </w:r>
      <w:r>
        <w:rPr>
          <w:rFonts w:ascii="Arial" w:cs="Arial" w:eastAsia="Arial" w:hAnsi="Arial"/>
          <w:sz w:val="18"/>
          <w:szCs w:val="18"/>
          <w:color w:val="auto"/>
        </w:rPr>
        <w:t>. The grant of the RSUs shall not confer upon the Participant any right to continue to serve on the Board of Directors of the Company or, if applicable, as an employee of the Company or its subsidiaries, nor limit in any way the terms of the Participant's service on the Board of Directors, including for removal therefrom. The vesting of the RSUs pursuant to Section 2 hereof is earned only by satisfaction of the performance conditions, if any, and continuing service on the Board of Directors or as otherwise set forth in Section 2 (not through the act of being elected, hired or engaged or being granted the RSUs hereunder).</w:t>
      </w:r>
    </w:p>
    <w:p>
      <w:pPr>
        <w:spacing w:after="0" w:line="124" w:lineRule="exact"/>
        <w:rPr>
          <w:rFonts w:ascii="Arial" w:cs="Arial" w:eastAsia="Arial" w:hAnsi="Arial"/>
          <w:sz w:val="18"/>
          <w:szCs w:val="18"/>
          <w:color w:val="auto"/>
        </w:rPr>
      </w:pPr>
    </w:p>
    <w:p>
      <w:pPr>
        <w:jc w:val="both"/>
        <w:ind w:left="660" w:hanging="328"/>
        <w:spacing w:after="0" w:line="32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Discretionary Nature</w:t>
      </w:r>
      <w:r>
        <w:rPr>
          <w:rFonts w:ascii="Arial" w:cs="Arial" w:eastAsia="Arial" w:hAnsi="Arial"/>
          <w:sz w:val="18"/>
          <w:szCs w:val="18"/>
          <w:color w:val="auto"/>
        </w:rPr>
        <w:t>. The Participant acknowledges and agrees that the Plan is discretionary in nature and may be amended, cancelled, or terminated by the Company, in its sole discretion, at any time. The grant of the RSUs under the Plan is a one-time benefit and does not create any contractual or other right to receive a grant of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w:t>
      </w:r>
    </w:p>
    <w:p>
      <w:pPr>
        <w:spacing w:after="0" w:line="124" w:lineRule="exact"/>
        <w:rPr>
          <w:rFonts w:ascii="Arial" w:cs="Arial" w:eastAsia="Arial" w:hAnsi="Arial"/>
          <w:sz w:val="18"/>
          <w:szCs w:val="18"/>
          <w:color w:val="auto"/>
        </w:rPr>
      </w:pPr>
    </w:p>
    <w:p>
      <w:pPr>
        <w:jc w:val="both"/>
        <w:ind w:left="660" w:hanging="328"/>
        <w:spacing w:after="0" w:line="308" w:lineRule="auto"/>
        <w:tabs>
          <w:tab w:leader="none" w:pos="660" w:val="left"/>
        </w:tabs>
        <w:numPr>
          <w:ilvl w:val="1"/>
          <w:numId w:val="51"/>
        </w:numPr>
        <w:rPr>
          <w:rFonts w:ascii="Arial" w:cs="Arial" w:eastAsia="Arial" w:hAnsi="Arial"/>
          <w:sz w:val="19"/>
          <w:szCs w:val="19"/>
          <w:color w:val="auto"/>
        </w:rPr>
      </w:pPr>
      <w:r>
        <w:rPr>
          <w:rFonts w:ascii="Arial" w:cs="Arial" w:eastAsia="Arial" w:hAnsi="Arial"/>
          <w:sz w:val="19"/>
          <w:szCs w:val="19"/>
          <w:u w:val="single" w:color="auto"/>
          <w:color w:val="auto"/>
        </w:rPr>
        <w:t>Exclusion from Termination Indemnities and Other Benefits</w:t>
      </w:r>
      <w:r>
        <w:rPr>
          <w:rFonts w:ascii="Arial" w:cs="Arial" w:eastAsia="Arial" w:hAnsi="Arial"/>
          <w:sz w:val="19"/>
          <w:szCs w:val="19"/>
          <w:color w:val="auto"/>
        </w:rPr>
        <w:t>. The Participant's participation in the Plan is voluntary. The value of the RSUs and any other awards granted under the Plan is an extraordinary item of compensation outside the scope of the Participant's service on the Board of Directors of the Company. Any grant under the Plan, including the grant of the RSUs, is not part of normal or expected compensation for purposes of calculating any severance, resignation, redundancy,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1217" w:right="239" w:bottom="1440" w:gutter="0" w:footer="0" w:header="0"/>
        </w:sectPr>
      </w:pPr>
    </w:p>
    <w:bookmarkStart w:id="83" w:name="page84"/>
    <w:bookmarkEnd w:id="83"/>
    <w:p>
      <w:pPr>
        <w:ind w:left="328"/>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end of service payments, bonuses, long-service awards, pension, or retirement benefits or similar payments.</w:t>
      </w:r>
    </w:p>
    <w:p>
      <w:pPr>
        <w:spacing w:after="0" w:line="229" w:lineRule="exact"/>
        <w:rPr>
          <w:sz w:val="20"/>
          <w:szCs w:val="20"/>
          <w:color w:val="auto"/>
        </w:rPr>
      </w:pPr>
    </w:p>
    <w:p>
      <w:pPr>
        <w:ind w:left="328" w:hanging="328"/>
        <w:spacing w:after="0" w:line="363"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Award shall not affect the validity or enforceability of any other provision of this Award, and each other provision of this Award shall be severable and enforceable to the extent permitted by law.</w:t>
      </w:r>
    </w:p>
    <w:p>
      <w:pPr>
        <w:spacing w:after="0" w:line="89" w:lineRule="exact"/>
        <w:rPr>
          <w:rFonts w:ascii="Arial" w:cs="Arial" w:eastAsia="Arial" w:hAnsi="Arial"/>
          <w:sz w:val="18"/>
          <w:szCs w:val="18"/>
          <w:color w:val="auto"/>
        </w:rPr>
      </w:pPr>
    </w:p>
    <w:p>
      <w:pPr>
        <w:jc w:val="both"/>
        <w:ind w:left="328" w:hanging="328"/>
        <w:spacing w:after="0" w:line="292" w:lineRule="auto"/>
        <w:tabs>
          <w:tab w:leader="none" w:pos="328"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Award shall be binding upon and inure to the benefit of the Company and the Participant and their respective heirs, executors, administrators, legal representatives, successors and assigns, subject to the restrictions on transfer set forth in Section 3 of this Award.</w:t>
      </w:r>
    </w:p>
    <w:p>
      <w:pPr>
        <w:spacing w:after="0" w:line="146" w:lineRule="exact"/>
        <w:rPr>
          <w:rFonts w:ascii="Arial" w:cs="Arial" w:eastAsia="Arial" w:hAnsi="Arial"/>
          <w:sz w:val="20"/>
          <w:szCs w:val="20"/>
          <w:color w:val="auto"/>
        </w:rPr>
      </w:pPr>
    </w:p>
    <w:p>
      <w:pPr>
        <w:jc w:val="both"/>
        <w:ind w:left="328" w:hanging="328"/>
        <w:spacing w:after="0" w:line="325" w:lineRule="auto"/>
        <w:tabs>
          <w:tab w:leader="none" w:pos="328"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Three Technology Way, Norwood, Massachusetts, 02062, Attention: Chief Financial Officer. Each notice to the Participant shall be addressed to the Participant at the Participant's last known mailing or email address, as applicable, on the records of the Company.</w:t>
      </w:r>
    </w:p>
    <w:p>
      <w:pPr>
        <w:spacing w:after="0" w:line="124" w:lineRule="exact"/>
        <w:rPr>
          <w:rFonts w:ascii="Arial" w:cs="Arial" w:eastAsia="Arial" w:hAnsi="Arial"/>
          <w:sz w:val="18"/>
          <w:szCs w:val="18"/>
          <w:color w:val="auto"/>
        </w:rPr>
      </w:pPr>
    </w:p>
    <w:p>
      <w:pPr>
        <w:ind w:left="328" w:hanging="328"/>
        <w:spacing w:after="0" w:line="331" w:lineRule="auto"/>
        <w:tabs>
          <w:tab w:leader="none" w:pos="32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Pronouns</w:t>
      </w:r>
      <w:r>
        <w:rPr>
          <w:rFonts w:ascii="Arial" w:cs="Arial" w:eastAsia="Arial" w:hAnsi="Arial"/>
          <w:sz w:val="19"/>
          <w:szCs w:val="19"/>
          <w:color w:val="auto"/>
        </w:rPr>
        <w:t>. Whenever the context may require, any pronouns used in this Award shall include the corresponding masculine, feminine or neuter forms, and the singular form of nouns and pronouns shall include the plural, and vice versa.</w:t>
      </w:r>
    </w:p>
    <w:p>
      <w:pPr>
        <w:spacing w:after="0" w:line="113" w:lineRule="exact"/>
        <w:rPr>
          <w:rFonts w:ascii="Arial" w:cs="Arial" w:eastAsia="Arial" w:hAnsi="Arial"/>
          <w:sz w:val="19"/>
          <w:szCs w:val="19"/>
          <w:color w:val="auto"/>
        </w:rPr>
      </w:pPr>
    </w:p>
    <w:p>
      <w:pPr>
        <w:ind w:left="328" w:hanging="328"/>
        <w:spacing w:after="0" w:line="303" w:lineRule="auto"/>
        <w:tabs>
          <w:tab w:leader="none" w:pos="328"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Entire Agreement</w:t>
      </w:r>
      <w:r>
        <w:rPr>
          <w:rFonts w:ascii="Arial" w:cs="Arial" w:eastAsia="Arial" w:hAnsi="Arial"/>
          <w:sz w:val="20"/>
          <w:szCs w:val="20"/>
          <w:color w:val="auto"/>
        </w:rPr>
        <w:t>. This Award and the Plan constitute the entire understanding between the parties, and supersede all prior agreements and understandings, relating to the subject matter of these documents.</w:t>
      </w:r>
    </w:p>
    <w:p>
      <w:pPr>
        <w:spacing w:after="0" w:line="135" w:lineRule="exact"/>
        <w:rPr>
          <w:rFonts w:ascii="Arial" w:cs="Arial" w:eastAsia="Arial" w:hAnsi="Arial"/>
          <w:sz w:val="20"/>
          <w:szCs w:val="20"/>
          <w:color w:val="auto"/>
        </w:rPr>
      </w:pPr>
    </w:p>
    <w:p>
      <w:pPr>
        <w:ind w:left="328" w:hanging="328"/>
        <w:spacing w:after="0" w:line="303" w:lineRule="auto"/>
        <w:tabs>
          <w:tab w:leader="none" w:pos="328"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Award shall be construed, interpreted and enforced in accordance with the internal laws of the Commonwealth of Massachusetts without regard to any applicable conflicts of laws.</w:t>
      </w:r>
    </w:p>
    <w:p>
      <w:pPr>
        <w:spacing w:after="0" w:line="135" w:lineRule="exact"/>
        <w:rPr>
          <w:rFonts w:ascii="Arial" w:cs="Arial" w:eastAsia="Arial" w:hAnsi="Arial"/>
          <w:sz w:val="20"/>
          <w:szCs w:val="20"/>
          <w:color w:val="auto"/>
        </w:rPr>
      </w:pPr>
    </w:p>
    <w:p>
      <w:pPr>
        <w:ind w:left="328" w:hanging="328"/>
        <w:spacing w:after="0" w:line="331" w:lineRule="auto"/>
        <w:tabs>
          <w:tab w:leader="none" w:pos="328"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The interpretation and construction of any terms or conditions of this Award or the Plan, or other matters related to the Plan, by the Compensation Committee of the Board of Directors of the Company shall be final and conclusive.</w:t>
      </w:r>
    </w:p>
    <w:p>
      <w:pPr>
        <w:spacing w:after="0" w:line="113" w:lineRule="exact"/>
        <w:rPr>
          <w:rFonts w:ascii="Arial" w:cs="Arial" w:eastAsia="Arial" w:hAnsi="Arial"/>
          <w:sz w:val="19"/>
          <w:szCs w:val="19"/>
          <w:color w:val="auto"/>
        </w:rPr>
      </w:pPr>
    </w:p>
    <w:p>
      <w:pPr>
        <w:jc w:val="both"/>
        <w:ind w:left="328" w:hanging="328"/>
        <w:spacing w:after="0" w:line="288" w:lineRule="auto"/>
        <w:tabs>
          <w:tab w:leader="none" w:pos="328"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Participant's Acceptance</w:t>
      </w:r>
      <w:r>
        <w:rPr>
          <w:rFonts w:ascii="Arial" w:cs="Arial" w:eastAsia="Arial" w:hAnsi="Arial"/>
          <w:sz w:val="20"/>
          <w:szCs w:val="20"/>
          <w:color w:val="auto"/>
        </w:rPr>
        <w:t>. The Participant is urged to read this Award carefully and to consult with his or her own legal counsel regarding the terms and consequences of this Award and the legal and binding effect of this Award. By virtue of his or her acceptance of this Award, the Participant is deemed to have accepted and agreed to all of the terms and conditions of this Award and the provisions of the Plan.</w:t>
      </w:r>
    </w:p>
    <w:p>
      <w:pPr>
        <w:spacing w:after="0" w:line="152" w:lineRule="exact"/>
        <w:rPr>
          <w:rFonts w:ascii="Arial" w:cs="Arial" w:eastAsia="Arial" w:hAnsi="Arial"/>
          <w:sz w:val="20"/>
          <w:szCs w:val="20"/>
          <w:color w:val="auto"/>
        </w:rPr>
      </w:pPr>
    </w:p>
    <w:p>
      <w:pPr>
        <w:jc w:val="both"/>
        <w:ind w:left="328" w:hanging="328"/>
        <w:spacing w:after="0" w:line="288" w:lineRule="auto"/>
        <w:tabs>
          <w:tab w:leader="none" w:pos="328"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The Company may, in its sole discretion, decide to deliver any documents related to the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395"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088"/>
          </w:cols>
          <w:pgMar w:left="572" w:top="1230" w:right="239" w:bottom="1440" w:gutter="0" w:footer="0" w:header="0"/>
        </w:sectPr>
      </w:pPr>
    </w:p>
    <w:bookmarkStart w:id="84" w:name="page85"/>
    <w:bookmarkEnd w:id="84"/>
    <w:p>
      <w:pPr>
        <w:jc w:val="both"/>
        <w:ind w:left="620" w:hanging="328"/>
        <w:spacing w:after="0" w:line="329" w:lineRule="auto"/>
        <w:tabs>
          <w:tab w:leader="none" w:pos="63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32080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411480"/>
                    </a:xfrm>
                    <a:prstGeom prst="rect">
                      <a:avLst/>
                    </a:prstGeom>
                    <a:noFill/>
                  </pic:spPr>
                </pic:pic>
              </a:graphicData>
            </a:graphic>
          </wp:anchor>
        </w:drawing>
        <w:t>English Language</w:t>
      </w:r>
      <w:r>
        <w:rPr>
          <w:rFonts w:ascii="Arial" w:cs="Arial" w:eastAsia="Arial" w:hAnsi="Arial"/>
          <w:sz w:val="18"/>
          <w:szCs w:val="18"/>
          <w:color w:val="auto"/>
        </w:rPr>
        <w:t>. The Participant acknowledges and agrees that it is the Participant's express intent that this Agreement, the Plan and all other documents, notices and legal proceedings entered into, given or instituted pursuant to the RSUs, be drawn up in English. If the Participant has received this Agreement, the Plan or any other documents related to the RSUs translated into a language other than English, and if the meaning of the translated version is different than the English version, the English version shall control.</w:t>
      </w:r>
    </w:p>
    <w:p>
      <w:pPr>
        <w:spacing w:after="0" w:line="121" w:lineRule="exact"/>
        <w:rPr>
          <w:rFonts w:ascii="Arial" w:cs="Arial" w:eastAsia="Arial" w:hAnsi="Arial"/>
          <w:sz w:val="18"/>
          <w:szCs w:val="18"/>
          <w:color w:val="auto"/>
        </w:rPr>
      </w:pPr>
    </w:p>
    <w:p>
      <w:pPr>
        <w:jc w:val="both"/>
        <w:ind w:left="620" w:hanging="328"/>
        <w:spacing w:after="0" w:line="323"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Addendum</w:t>
      </w:r>
      <w:r>
        <w:rPr>
          <w:rFonts w:ascii="Arial" w:cs="Arial" w:eastAsia="Arial" w:hAnsi="Arial"/>
          <w:sz w:val="18"/>
          <w:szCs w:val="18"/>
          <w:color w:val="auto"/>
        </w:rPr>
        <w:t>. Notwithstanding any provisions herein to the contrary, the RSUs shall be subject to any special terms and conditions for the Participant's country of residence (and, if any, country of employment, if different), as may be set forth in an addendum to this Agreement (the "Addendum"). Further, if the Participant transfers the Participant's residence and/or employment to another country reflected in an Addendum, the special terms and conditions for such country will apply to the Participant to the extent the Company determines, in its sole discretion, that the application of such terms and conditions is necessary or advisable in order to comply with local law or to facilitate the administration of the Plan. Any Addendum shall constitute part of this Agreement.</w:t>
      </w:r>
    </w:p>
    <w:p>
      <w:pPr>
        <w:spacing w:after="0" w:line="124" w:lineRule="exact"/>
        <w:rPr>
          <w:rFonts w:ascii="Arial" w:cs="Arial" w:eastAsia="Arial" w:hAnsi="Arial"/>
          <w:sz w:val="18"/>
          <w:szCs w:val="18"/>
          <w:color w:val="auto"/>
        </w:rPr>
      </w:pPr>
    </w:p>
    <w:p>
      <w:pPr>
        <w:jc w:val="both"/>
        <w:ind w:left="620" w:hanging="328"/>
        <w:spacing w:after="0" w:line="287" w:lineRule="auto"/>
        <w:tabs>
          <w:tab w:leader="none" w:pos="62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Additional Requirements</w:t>
      </w:r>
      <w:r>
        <w:rPr>
          <w:rFonts w:ascii="Arial" w:cs="Arial" w:eastAsia="Arial" w:hAnsi="Arial"/>
          <w:sz w:val="20"/>
          <w:szCs w:val="20"/>
          <w:color w:val="auto"/>
        </w:rPr>
        <w:t>. The Company reserves the right to impose other requirements on the RSUs, any Shares acquired pursuant to the RSUs, and the Participant's participation in the Plan, to the extent the Company determines, in its sole discretion, that such other requirements are necessary or advisable in order to comply with local law or to facilitate the administration of the Plan. Such requirements may include (but are not limited to) requiring the Participant to sign any agreements or undertakings that may be necessary to accomplish the foregoing.</w:t>
      </w:r>
    </w:p>
    <w:p>
      <w:pPr>
        <w:spacing w:after="0" w:line="151" w:lineRule="exact"/>
        <w:rPr>
          <w:rFonts w:ascii="Arial" w:cs="Arial" w:eastAsia="Arial" w:hAnsi="Arial"/>
          <w:sz w:val="20"/>
          <w:szCs w:val="20"/>
          <w:color w:val="auto"/>
        </w:rPr>
      </w:pPr>
    </w:p>
    <w:p>
      <w:pPr>
        <w:jc w:val="both"/>
        <w:ind w:left="620" w:hanging="328"/>
        <w:spacing w:after="0" w:line="329"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Private Placement</w:t>
      </w:r>
      <w:r>
        <w:rPr>
          <w:rFonts w:ascii="Arial" w:cs="Arial" w:eastAsia="Arial" w:hAnsi="Arial"/>
          <w:sz w:val="18"/>
          <w:szCs w:val="18"/>
          <w:color w:val="auto"/>
        </w:rPr>
        <w:t>. The Company has submitted regulatory filings in the United States in connection with the stock incentive plan under which this Award was made.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21" w:lineRule="exact"/>
        <w:rPr>
          <w:rFonts w:ascii="Arial" w:cs="Arial" w:eastAsia="Arial" w:hAnsi="Arial"/>
          <w:sz w:val="18"/>
          <w:szCs w:val="18"/>
          <w:color w:val="auto"/>
        </w:rPr>
      </w:pPr>
    </w:p>
    <w:p>
      <w:pPr>
        <w:jc w:val="both"/>
        <w:ind w:left="620" w:hanging="328"/>
        <w:spacing w:after="0" w:line="329"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r>
        <w:rPr>
          <w:rFonts w:ascii="Arial" w:cs="Arial" w:eastAsia="Arial" w:hAnsi="Arial"/>
          <w:sz w:val="18"/>
          <w:szCs w:val="18"/>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RSUs, and Shares issuable upon vesting and conversion thereof, shall be appropriately adjusted in such manner as shall be determined by the Compensation Committee of the Board of Directors of the Company.</w:t>
      </w:r>
    </w:p>
    <w:p>
      <w:pPr>
        <w:spacing w:after="0" w:line="121" w:lineRule="exact"/>
        <w:rPr>
          <w:rFonts w:ascii="Arial" w:cs="Arial" w:eastAsia="Arial" w:hAnsi="Arial"/>
          <w:sz w:val="18"/>
          <w:szCs w:val="18"/>
          <w:color w:val="auto"/>
        </w:rPr>
      </w:pPr>
    </w:p>
    <w:p>
      <w:pPr>
        <w:ind w:left="620" w:hanging="328"/>
        <w:spacing w:after="0"/>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Award may be amended or modified only by a written instrument executed by both the Company and the Participant.</w:t>
      </w:r>
    </w:p>
    <w:p>
      <w:pPr>
        <w:sectPr>
          <w:pgSz w:w="11900" w:h="16838" w:orient="portrait"/>
          <w:cols w:equalWidth="0" w:num="1">
            <w:col w:w="11380"/>
          </w:cols>
          <w:pgMar w:left="280" w:top="12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Ray Stata</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color w:val="auto"/>
        </w:rPr>
        <w:t>Vincent T. Roche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6360" w:space="720"/>
            <w:col w:w="4300"/>
          </w:cols>
          <w:pgMar w:left="280" w:top="1217" w:right="239" w:bottom="1440" w:gutter="0" w:footer="0" w:header="0"/>
          <w:type w:val="continuous"/>
        </w:sectPr>
      </w:pPr>
    </w:p>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380"/>
          </w:cols>
          <w:pgMar w:left="280" w:top="1217" w:right="23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Vincent T. Roche, certify that:</w:t>
      </w:r>
    </w:p>
    <w:p>
      <w:pPr>
        <w:spacing w:after="0" w:line="63"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May 21, 2013</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David A. Zinsner, certify that:</w:t>
      </w:r>
    </w:p>
    <w:p>
      <w:pPr>
        <w:spacing w:after="0" w:line="63"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63"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660" w:right="260" w:hanging="328"/>
        <w:spacing w:after="0" w:line="29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280" w:hanging="328"/>
        <w:spacing w:after="0" w:line="26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320"/>
        <w:spacing w:after="0" w:line="317"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320"/>
        <w:spacing w:after="0" w:line="264"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20" w:hanging="320"/>
        <w:spacing w:after="0" w:line="317" w:lineRule="auto"/>
        <w:tabs>
          <w:tab w:leader="none" w:pos="13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20" w:hanging="320"/>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6"/>
          <w:szCs w:val="16"/>
          <w:color w:val="auto"/>
        </w:rPr>
        <w:t>Dated: May 21, 2013</w:t>
      </w:r>
      <w:r>
        <w:rPr>
          <w:sz w:val="20"/>
          <w:szCs w:val="20"/>
          <w:color w:val="auto"/>
        </w:rPr>
        <w:tab/>
      </w:r>
      <w:r>
        <w:rPr>
          <w:rFonts w:ascii="Arial" w:cs="Arial" w:eastAsia="Arial" w:hAnsi="Arial"/>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39370</wp:posOffset>
            </wp:positionV>
            <wp:extent cx="33274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6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Finance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and Chief Financial Officer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4, 2013 as filed with the Securities and Exchange Commission on the date hereof (the “Report”), the undersigned, Vincent T. Roche, Chief Executive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May 21, 2013</w:t>
      </w:r>
      <w:r>
        <w:rPr>
          <w:sz w:val="20"/>
          <w:szCs w:val="20"/>
          <w:color w:val="auto"/>
        </w:rPr>
        <w:tab/>
      </w:r>
      <w:r>
        <w:rPr>
          <w:rFonts w:ascii="Arial" w:cs="Arial" w:eastAsia="Arial" w:hAnsi="Arial"/>
          <w:sz w:val="17"/>
          <w:szCs w:val="17"/>
          <w:color w:val="auto"/>
        </w:rPr>
        <w:t>/S/ V</w:t>
      </w:r>
      <w:r>
        <w:rPr>
          <w:rFonts w:ascii="Arial" w:cs="Arial" w:eastAsia="Arial" w:hAnsi="Arial"/>
          <w:sz w:val="13"/>
          <w:szCs w:val="13"/>
          <w:color w:val="auto"/>
        </w:rPr>
        <w:t>INCENT</w:t>
      </w:r>
      <w:r>
        <w:rPr>
          <w:rFonts w:ascii="Arial" w:cs="Arial" w:eastAsia="Arial" w:hAnsi="Arial"/>
          <w:sz w:val="17"/>
          <w:szCs w:val="17"/>
          <w:color w:val="auto"/>
        </w:rPr>
        <w:t xml:space="preserve"> T. R</w:t>
      </w:r>
      <w:r>
        <w:rPr>
          <w:rFonts w:ascii="Arial" w:cs="Arial" w:eastAsia="Arial" w:hAnsi="Arial"/>
          <w:sz w:val="13"/>
          <w:szCs w:val="13"/>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4, 2013 as filed with the Securities and Exchange Commission on the date hereof (the “Report”), the undersigned, David A. Zinsner, Chief Financial Officer of the Company, hereby certifies, pursuant to 18 U.S.C. Section 1350, that:</w:t>
      </w:r>
    </w:p>
    <w:p>
      <w:pPr>
        <w:spacing w:after="0" w:line="19"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May 21, 2013</w:t>
      </w:r>
      <w:r>
        <w:rPr>
          <w:sz w:val="20"/>
          <w:szCs w:val="20"/>
          <w:color w:val="auto"/>
        </w:rPr>
        <w:tab/>
      </w:r>
      <w:r>
        <w:rPr>
          <w:rFonts w:ascii="Arial" w:cs="Arial" w:eastAsia="Arial" w:hAnsi="Arial"/>
          <w:sz w:val="17"/>
          <w:szCs w:val="17"/>
          <w:color w:val="auto"/>
        </w:rPr>
        <w:t>/S/ D</w:t>
      </w:r>
      <w:r>
        <w:rPr>
          <w:rFonts w:ascii="Arial" w:cs="Arial" w:eastAsia="Arial" w:hAnsi="Arial"/>
          <w:sz w:val="13"/>
          <w:szCs w:val="13"/>
          <w:color w:val="auto"/>
        </w:rPr>
        <w:t>AVID</w:t>
      </w:r>
      <w:r>
        <w:rPr>
          <w:rFonts w:ascii="Arial" w:cs="Arial" w:eastAsia="Arial" w:hAnsi="Arial"/>
          <w:sz w:val="17"/>
          <w:szCs w:val="17"/>
          <w:color w:val="auto"/>
        </w:rPr>
        <w:t xml:space="preserve"> A. Z</w:t>
      </w:r>
      <w:r>
        <w:rPr>
          <w:rFonts w:ascii="Arial" w:cs="Arial" w:eastAsia="Arial" w:hAnsi="Arial"/>
          <w:sz w:val="13"/>
          <w:szCs w:val="13"/>
          <w:color w:val="auto"/>
        </w:rPr>
        <w:t>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decimal"/>
      <w:start w:val="1"/>
    </w:lvl>
  </w:abstractNum>
  <w:abstractNum w:abstractNumId="5">
    <w:nsid w:val="737B8DDC"/>
    <w:multiLevelType w:val="hybridMultilevel"/>
    <w:lvl w:ilvl="0">
      <w:lvlJc w:val="left"/>
      <w:lvlText w:val="(%1)"/>
      <w:numFmt w:val="decimal"/>
      <w:start w:val="1"/>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1)"/>
      <w:numFmt w:val="lowerLetter"/>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lowerRoman"/>
      <w:start w:val="2"/>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lowerLetter"/>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lowerRoman"/>
      <w:start w:val="4"/>
    </w:lvl>
  </w:abstractNum>
  <w:abstractNum w:abstractNumId="18">
    <w:nsid w:val="5C482A97"/>
    <w:multiLevelType w:val="hybridMultilevel"/>
    <w:lvl w:ilvl="0">
      <w:lvlJc w:val="left"/>
      <w:lvlText w:val="%1."/>
      <w:numFmt w:val="upperLetter"/>
      <w:start w:val="9"/>
    </w:lvl>
  </w:abstractNum>
  <w:abstractNum w:abstractNumId="19">
    <w:nsid w:val="2463B9EA"/>
    <w:multiLevelType w:val="hybridMultilevel"/>
    <w:lvl w:ilvl="0">
      <w:lvlJc w:val="left"/>
      <w:lvlText w:val="%1."/>
      <w:numFmt w:val="upperLetter"/>
      <w:start w:val="35"/>
    </w:lvl>
  </w:abstractNum>
  <w:abstractNum w:abstractNumId="20">
    <w:nsid w:val="5E884ADC"/>
    <w:multiLevelType w:val="hybridMultilevel"/>
    <w:lvl w:ilvl="0">
      <w:lvlJc w:val="left"/>
      <w:lvlText w:val="%1."/>
      <w:numFmt w:val="upperLetter"/>
      <w:start w:val="61"/>
    </w:lvl>
    <w:lvl w:ilvl="1">
      <w:lvlJc w:val="left"/>
      <w:lvlText w:val="%2."/>
      <w:numFmt w:val="upperLetter"/>
      <w:start w:val="1"/>
    </w:lvl>
  </w:abstractNum>
  <w:abstractNum w:abstractNumId="21">
    <w:nsid w:val="51EAD36B"/>
    <w:multiLevelType w:val="hybridMultilevel"/>
    <w:lvl w:ilvl="0">
      <w:lvlJc w:val="left"/>
      <w:lvlText w:val="%1"/>
      <w:numFmt w:val="upperLetter"/>
      <w:start w:val="1"/>
    </w:lvl>
    <w:lvl w:ilvl="1">
      <w:lvlJc w:val="left"/>
      <w:lvlText w:val="%2."/>
      <w:numFmt w:val="upperLetter"/>
      <w:start w:val="1"/>
    </w:lvl>
  </w:abstractNum>
  <w:abstractNum w:abstractNumId="22">
    <w:nsid w:val="2D517796"/>
    <w:multiLevelType w:val="hybridMultilevel"/>
    <w:lvl w:ilvl="0">
      <w:lvlJc w:val="left"/>
      <w:lvlText w:val="%1."/>
      <w:numFmt w:val="upperLetter"/>
      <w:start w:val="22"/>
    </w:lvl>
    <w:lvl w:ilvl="1">
      <w:lvlJc w:val="left"/>
      <w:lvlText w:val="%2"/>
      <w:numFmt w:val="upperLetter"/>
      <w:start w:val="1"/>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2"/>
    </w:lvl>
  </w:abstractNum>
  <w:abstractNum w:abstractNumId="25">
    <w:nsid w:val="3855585C"/>
    <w:multiLevelType w:val="hybridMultilevel"/>
    <w:lvl w:ilvl="0">
      <w:lvlJc w:val="left"/>
      <w:lvlText w:val="%1."/>
      <w:numFmt w:val="decimal"/>
      <w:start w:val="3"/>
    </w:lvl>
    <w:lvl w:ilvl="1">
      <w:lvlJc w:val="left"/>
      <w:lvlText w:val="(%2)"/>
      <w:numFmt w:val="lowerLetter"/>
      <w:start w:val="1"/>
    </w:lvl>
  </w:abstractNum>
  <w:abstractNum w:abstractNumId="26">
    <w:nsid w:val="70A64E2A"/>
    <w:multiLevelType w:val="hybridMultilevel"/>
    <w:lvl w:ilvl="0">
      <w:lvlJc w:val="left"/>
      <w:lvlText w:val="%1"/>
      <w:numFmt w:val="decimal"/>
      <w:start w:val="1"/>
    </w:lvl>
    <w:lvl w:ilvl="1">
      <w:lvlJc w:val="left"/>
      <w:lvlText w:val="(%2)"/>
      <w:numFmt w:val="lowerLetter"/>
      <w:start w:val="4"/>
    </w:lvl>
  </w:abstractNum>
  <w:abstractNum w:abstractNumId="27">
    <w:nsid w:val="6A2342EC"/>
    <w:multiLevelType w:val="hybridMultilevel"/>
    <w:lvl w:ilvl="0">
      <w:lvlJc w:val="left"/>
      <w:lvlText w:val="%1."/>
      <w:numFmt w:val="decimal"/>
      <w:start w:val="4"/>
    </w:lvl>
    <w:lvl w:ilvl="1">
      <w:lvlJc w:val="left"/>
      <w:lvlText w:val="(%2)"/>
      <w:numFmt w:val="lowerLetter"/>
      <w:start w:val="1"/>
    </w:lvl>
  </w:abstractNum>
  <w:abstractNum w:abstractNumId="28">
    <w:nsid w:val="2A487CB0"/>
    <w:multiLevelType w:val="hybridMultilevel"/>
    <w:lvl w:ilvl="0">
      <w:lvlJc w:val="left"/>
      <w:lvlText w:val="%1."/>
      <w:numFmt w:val="decimal"/>
      <w:start w:val="7"/>
    </w:lvl>
    <w:lvl w:ilvl="1">
      <w:lvlJc w:val="left"/>
      <w:lvlText w:val="(%2)"/>
      <w:numFmt w:val="lowerLetter"/>
      <w:start w:val="1"/>
    </w:lvl>
  </w:abstractNum>
  <w:abstractNum w:abstractNumId="29">
    <w:nsid w:val="1D4ED43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0">
    <w:nsid w:val="725A06F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31">
    <w:nsid w:val="2CD89A32"/>
    <w:multiLevelType w:val="hybridMultilevel"/>
    <w:lvl w:ilvl="0">
      <w:lvlJc w:val="left"/>
      <w:lvlText w:val="%1."/>
      <w:numFmt w:val="decimal"/>
      <w:start w:val="11"/>
    </w:lvl>
  </w:abstractNum>
  <w:abstractNum w:abstractNumId="32">
    <w:nsid w:val="57E4CCAF"/>
    <w:multiLevelType w:val="hybridMultilevel"/>
    <w:lvl w:ilvl="0">
      <w:lvlJc w:val="left"/>
      <w:lvlText w:val="%1."/>
      <w:numFmt w:val="decimal"/>
      <w:start w:val="1"/>
    </w:lvl>
    <w:lvl w:ilvl="1">
      <w:lvlJc w:val="left"/>
      <w:lvlText w:val="(%2)"/>
      <w:numFmt w:val="lowerLetter"/>
      <w:start w:val="1"/>
    </w:lvl>
  </w:abstractNum>
  <w:abstractNum w:abstractNumId="33">
    <w:nsid w:val="7A6D8D3C"/>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4">
    <w:nsid w:val="4B588F5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5">
    <w:nsid w:val="542289EC"/>
    <w:multiLevelType w:val="hybridMultilevel"/>
    <w:lvl w:ilvl="0">
      <w:lvlJc w:val="left"/>
      <w:lvlText w:val="(%1)"/>
      <w:numFmt w:val="lowerRoman"/>
      <w:start w:val="2"/>
    </w:lvl>
  </w:abstractNum>
  <w:abstractNum w:abstractNumId="36">
    <w:nsid w:val="6DE91B18"/>
    <w:multiLevelType w:val="hybridMultilevel"/>
    <w:lvl w:ilvl="0">
      <w:lvlJc w:val="left"/>
      <w:lvlText w:val="%1."/>
      <w:numFmt w:val="decimal"/>
      <w:start w:val="7"/>
    </w:lvl>
  </w:abstractNum>
  <w:abstractNum w:abstractNumId="37">
    <w:nsid w:val="38437FDB"/>
    <w:multiLevelType w:val="hybridMultilevel"/>
    <w:lvl w:ilvl="0">
      <w:lvlJc w:val="left"/>
      <w:lvlText w:val="%1."/>
      <w:numFmt w:val="decimal"/>
      <w:start w:val="9"/>
    </w:lvl>
    <w:lvl w:ilvl="1">
      <w:lvlJc w:val="left"/>
      <w:lvlText w:val="(%2)"/>
      <w:numFmt w:val="lowerLetter"/>
      <w:start w:val="1"/>
    </w:lvl>
  </w:abstractNum>
  <w:abstractNum w:abstractNumId="38">
    <w:nsid w:val="7644A45C"/>
    <w:multiLevelType w:val="hybridMultilevel"/>
    <w:lvl w:ilvl="0">
      <w:lvlJc w:val="left"/>
      <w:lvlText w:val="(%1)"/>
      <w:numFmt w:val="lowerLetter"/>
      <w:start w:val="7"/>
    </w:lvl>
  </w:abstractNum>
  <w:abstractNum w:abstractNumId="39">
    <w:nsid w:val="32FFF902"/>
    <w:multiLevelType w:val="hybridMultilevel"/>
    <w:lvl w:ilvl="0">
      <w:lvlJc w:val="left"/>
      <w:lvlText w:val="(%1)"/>
      <w:numFmt w:val="lowerLetter"/>
      <w:start w:val="18"/>
    </w:lvl>
  </w:abstractNum>
  <w:abstractNum w:abstractNumId="40">
    <w:nsid w:val="684A481A"/>
    <w:multiLevelType w:val="hybridMultilevel"/>
    <w:lvl w:ilvl="0">
      <w:lvlJc w:val="left"/>
      <w:lvlText w:val="&amp;"/>
      <w:numFmt w:val="bullet"/>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6"/>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decimal"/>
      <w:start w:val="2"/>
    </w:lvl>
    <w:lvl w:ilvl="1">
      <w:lvlJc w:val="left"/>
      <w:lvlText w:val="(%2)"/>
      <w:numFmt w:val="lowerLetter"/>
      <w:start w:val="1"/>
    </w:lvl>
  </w:abstractNum>
  <w:abstractNum w:abstractNumId="46">
    <w:nsid w:val="75C6C33A"/>
    <w:multiLevelType w:val="hybridMultilevel"/>
    <w:lvl w:ilvl="0">
      <w:lvlJc w:val="left"/>
      <w:lvlText w:val="%1"/>
      <w:numFmt w:val="decimal"/>
      <w:start w:val="1"/>
    </w:lvl>
    <w:lvl w:ilvl="1">
      <w:lvlJc w:val="left"/>
      <w:lvlText w:val="(%2)"/>
      <w:numFmt w:val="lowerLetter"/>
      <w:start w:val="2"/>
    </w:lvl>
  </w:abstractNum>
  <w:abstractNum w:abstractNumId="47">
    <w:nsid w:val="12E685FB"/>
    <w:multiLevelType w:val="hybridMultilevel"/>
    <w:lvl w:ilvl="0">
      <w:lvlJc w:val="left"/>
      <w:lvlText w:val="%1."/>
      <w:numFmt w:val="decimal"/>
      <w:start w:val="3"/>
    </w:lvl>
    <w:lvl w:ilvl="1">
      <w:lvlJc w:val="left"/>
      <w:lvlText w:val="(%2)"/>
      <w:numFmt w:val="lowerLetter"/>
      <w:start w:val="1"/>
    </w:lvl>
  </w:abstractNum>
  <w:abstractNum w:abstractNumId="48">
    <w:nsid w:val="70C6A529"/>
    <w:multiLevelType w:val="hybridMultilevel"/>
    <w:lvl w:ilvl="0">
      <w:lvlJc w:val="left"/>
      <w:lvlText w:val="%1."/>
      <w:numFmt w:val="decimal"/>
      <w:start w:val="6"/>
    </w:lvl>
    <w:lvl w:ilvl="1">
      <w:lvlJc w:val="left"/>
      <w:lvlText w:val="(%2)"/>
      <w:numFmt w:val="lowerLetter"/>
      <w:start w:val="1"/>
    </w:lvl>
  </w:abstractNum>
  <w:abstractNum w:abstractNumId="49">
    <w:nsid w:val="520EEDD1"/>
    <w:multiLevelType w:val="hybridMultilevel"/>
    <w:lvl w:ilvl="0">
      <w:lvlJc w:val="left"/>
      <w:lvlText w:val="%1."/>
      <w:numFmt w:val="decimal"/>
      <w:start w:val="9"/>
    </w:lvl>
  </w:abstractNum>
  <w:abstractNum w:abstractNumId="50">
    <w:nsid w:val="374A3FE6"/>
    <w:multiLevelType w:val="hybridMultilevel"/>
    <w:lvl w:ilvl="0">
      <w:lvlJc w:val="left"/>
      <w:lvlText w:val="%1."/>
      <w:numFmt w:val="decimal"/>
      <w:start w:val="10"/>
    </w:lvl>
    <w:lvl w:ilvl="1">
      <w:lvlJc w:val="left"/>
      <w:lvlText w:val="(%2)"/>
      <w:numFmt w:val="lowerLetter"/>
      <w:start w:val="1"/>
    </w:lvl>
  </w:abstractNum>
  <w:abstractNum w:abstractNumId="51">
    <w:nsid w:val="4F4EF005"/>
    <w:multiLevelType w:val="hybridMultilevel"/>
    <w:lvl w:ilvl="0">
      <w:lvlJc w:val="left"/>
      <w:lvlText w:val="(%1)"/>
      <w:numFmt w:val="lowerLetter"/>
      <w:start w:val="4"/>
    </w:lvl>
  </w:abstractNum>
  <w:abstractNum w:abstractNumId="52">
    <w:nsid w:val="23F9C13C"/>
    <w:multiLevelType w:val="hybridMultilevel"/>
    <w:lvl w:ilvl="0">
      <w:lvlJc w:val="left"/>
      <w:lvlText w:val="(%1)"/>
      <w:numFmt w:val="lowerLetter"/>
      <w:start w:val="13"/>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2019-12-05T03:36:46Z</dcterms:created>
  <dcterms:modified xsi:type="dcterms:W3CDTF">2019-12-05T03:36:46Z</dcterms:modified>
</cp:coreProperties>
</file>