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9364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936434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MCDONOUGH JOSEPH E</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THREE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11/25/2003</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192"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292"/>
        <w:spacing w:after="0"/>
        <w:rPr>
          <w:sz w:val="20"/>
          <w:szCs w:val="20"/>
          <w:color w:val="auto"/>
        </w:rPr>
      </w:pPr>
      <w:r>
        <w:rPr>
          <w:rFonts w:ascii="Arial" w:cs="Arial" w:eastAsia="Arial" w:hAnsi="Arial"/>
          <w:sz w:val="16"/>
          <w:szCs w:val="16"/>
          <w:color w:val="0000FF"/>
        </w:rPr>
        <w:t>VP, CHIEF FINAN OFCR - FINANCE</w:t>
      </w:r>
    </w:p>
    <w:p>
      <w:pPr>
        <w:spacing w:after="0" w:line="407" w:lineRule="exact"/>
        <w:rPr>
          <w:sz w:val="24"/>
          <w:szCs w:val="24"/>
          <w:color w:val="auto"/>
        </w:rPr>
      </w:pPr>
    </w:p>
    <w:p>
      <w:pPr>
        <w:sectPr>
          <w:pgSz w:w="11900" w:h="16838" w:orient="portrait"/>
          <w:cols w:equalWidth="0" w:num="3">
            <w:col w:w="3340" w:space="720"/>
            <w:col w:w="3268" w:space="720"/>
            <w:col w:w="3472"/>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382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5"/>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700" w:type="dxa"/>
            <w:vAlign w:val="bottom"/>
            <w:gridSpan w:val="5"/>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spacing w:after="0"/>
              <w:rPr>
                <w:sz w:val="20"/>
                <w:szCs w:val="20"/>
                <w:color w:val="auto"/>
              </w:rPr>
            </w:pPr>
            <w:r>
              <w:rPr>
                <w:rFonts w:ascii="Arial" w:cs="Arial" w:eastAsia="Arial" w:hAnsi="Arial"/>
                <w:sz w:val="17"/>
                <w:szCs w:val="17"/>
                <w:color w:val="0000FF"/>
              </w:rPr>
              <w:t>NORWOOD</w:t>
            </w:r>
          </w:p>
        </w:tc>
        <w:tc>
          <w:tcPr>
            <w:tcW w:w="1040" w:type="dxa"/>
            <w:vAlign w:val="bottom"/>
            <w:vMerge w:val="restart"/>
          </w:tcPr>
          <w:p>
            <w:pPr>
              <w:ind w:left="180"/>
              <w:spacing w:after="0"/>
              <w:rPr>
                <w:sz w:val="20"/>
                <w:szCs w:val="20"/>
                <w:color w:val="auto"/>
              </w:rPr>
            </w:pPr>
            <w:r>
              <w:rPr>
                <w:rFonts w:ascii="Arial" w:cs="Arial" w:eastAsia="Arial" w:hAnsi="Arial"/>
                <w:sz w:val="17"/>
                <w:szCs w:val="17"/>
                <w:color w:val="0000FF"/>
              </w:rPr>
              <w:t>MA</w:t>
            </w:r>
          </w:p>
        </w:tc>
        <w:tc>
          <w:tcPr>
            <w:tcW w:w="1660" w:type="dxa"/>
            <w:vAlign w:val="bottom"/>
            <w:vMerge w:val="restart"/>
          </w:tcPr>
          <w:p>
            <w:pPr>
              <w:ind w:left="420"/>
              <w:spacing w:after="0"/>
              <w:rPr>
                <w:sz w:val="20"/>
                <w:szCs w:val="20"/>
                <w:color w:val="auto"/>
              </w:rPr>
            </w:pPr>
            <w:r>
              <w:rPr>
                <w:rFonts w:ascii="Arial" w:cs="Arial" w:eastAsia="Arial" w:hAnsi="Arial"/>
                <w:sz w:val="17"/>
                <w:szCs w:val="17"/>
                <w:color w:val="0000FF"/>
              </w:rPr>
              <w:t>020629106</w:t>
            </w: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0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96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040" w:type="dxa"/>
            <w:vAlign w:val="bottom"/>
            <w:vMerge w:val="restart"/>
          </w:tcPr>
          <w:p>
            <w:pPr>
              <w:ind w:left="180"/>
              <w:spacing w:after="0"/>
              <w:rPr>
                <w:sz w:val="20"/>
                <w:szCs w:val="20"/>
                <w:color w:val="auto"/>
              </w:rPr>
            </w:pPr>
            <w:r>
              <w:rPr>
                <w:rFonts w:ascii="Arial" w:cs="Arial" w:eastAsia="Arial" w:hAnsi="Arial"/>
                <w:sz w:val="13"/>
                <w:szCs w:val="13"/>
                <w:color w:val="auto"/>
              </w:rPr>
              <w:t>(State)</w:t>
            </w:r>
          </w:p>
        </w:tc>
        <w:tc>
          <w:tcPr>
            <w:tcW w:w="2260" w:type="dxa"/>
            <w:vAlign w:val="bottom"/>
            <w:gridSpan w:val="2"/>
            <w:vMerge w:val="restart"/>
          </w:tcPr>
          <w:p>
            <w:pPr>
              <w:ind w:left="420"/>
              <w:spacing w:after="0"/>
              <w:rPr>
                <w:sz w:val="20"/>
                <w:szCs w:val="20"/>
                <w:color w:val="auto"/>
              </w:rPr>
            </w:pPr>
            <w:r>
              <w:rPr>
                <w:rFonts w:ascii="Arial" w:cs="Arial" w:eastAsia="Arial" w:hAnsi="Arial"/>
                <w:sz w:val="13"/>
                <w:szCs w:val="13"/>
                <w:color w:val="auto"/>
              </w:rPr>
              <w:t>(Zip)</w:t>
            </w: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260" w:type="dxa"/>
            <w:vAlign w:val="bottom"/>
            <w:gridSpan w:val="2"/>
            <w:vMerge w:val="continue"/>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8"/>
          </w:tcPr>
          <w:p>
            <w:pPr>
              <w:ind w:left="2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220" w:type="dxa"/>
            <w:vAlign w:val="bottom"/>
            <w:tcBorders>
              <w:bottom w:val="single" w:sz="8" w:color="2C2C2C"/>
            </w:tcBorders>
            <w:gridSpan w:val="3"/>
          </w:tcPr>
          <w:p>
            <w:pPr>
              <w:spacing w:after="0"/>
              <w:rPr>
                <w:sz w:val="4"/>
                <w:szCs w:val="4"/>
                <w:color w:val="auto"/>
              </w:rPr>
            </w:pPr>
          </w:p>
        </w:tc>
        <w:tc>
          <w:tcPr>
            <w:tcW w:w="22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60" w:type="dxa"/>
            <w:vAlign w:val="bottom"/>
            <w:gridSpan w:val="2"/>
          </w:tcPr>
          <w:p>
            <w:pPr>
              <w:ind w:left="12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60" w:type="dxa"/>
            <w:vAlign w:val="bottom"/>
            <w:gridSpan w:val="2"/>
          </w:tcPr>
          <w:p>
            <w:pPr>
              <w:ind w:left="12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60" w:type="dxa"/>
            <w:vAlign w:val="bottom"/>
            <w:gridSpan w:val="2"/>
          </w:tcPr>
          <w:p>
            <w:pPr>
              <w:ind w:left="122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gridSpan w:val="2"/>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220" w:type="dxa"/>
            <w:vAlign w:val="bottom"/>
            <w:tcBorders>
              <w:bottom w:val="single" w:sz="8" w:color="2C2C2C"/>
            </w:tcBorders>
            <w:gridSpan w:val="3"/>
          </w:tcPr>
          <w:p>
            <w:pPr>
              <w:spacing w:after="0"/>
              <w:rPr>
                <w:sz w:val="4"/>
                <w:szCs w:val="4"/>
                <w:color w:val="auto"/>
              </w:rPr>
            </w:pPr>
          </w:p>
        </w:tc>
        <w:tc>
          <w:tcPr>
            <w:tcW w:w="22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220" w:type="dxa"/>
            <w:vAlign w:val="bottom"/>
            <w:gridSpan w:val="3"/>
          </w:tcPr>
          <w:p>
            <w:pPr>
              <w:ind w:left="60"/>
              <w:spacing w:after="0"/>
              <w:rPr>
                <w:sz w:val="20"/>
                <w:szCs w:val="20"/>
                <w:color w:val="auto"/>
              </w:rPr>
            </w:pPr>
            <w:r>
              <w:rPr>
                <w:rFonts w:ascii="Arial" w:cs="Arial" w:eastAsia="Arial" w:hAnsi="Arial"/>
                <w:sz w:val="17"/>
                <w:szCs w:val="17"/>
                <w:color w:val="0000FF"/>
              </w:rPr>
              <w:t>Comm Stock-$.16-2/3 value</w:t>
            </w:r>
          </w:p>
        </w:tc>
        <w:tc>
          <w:tcPr>
            <w:tcW w:w="2260" w:type="dxa"/>
            <w:vAlign w:val="bottom"/>
            <w:gridSpan w:val="2"/>
          </w:tcPr>
          <w:p>
            <w:pPr>
              <w:jc w:val="right"/>
              <w:ind w:right="94"/>
              <w:spacing w:after="0"/>
              <w:rPr>
                <w:sz w:val="20"/>
                <w:szCs w:val="20"/>
                <w:color w:val="auto"/>
              </w:rPr>
            </w:pPr>
            <w:r>
              <w:rPr>
                <w:rFonts w:ascii="Arial" w:cs="Arial" w:eastAsia="Arial" w:hAnsi="Arial"/>
                <w:sz w:val="17"/>
                <w:szCs w:val="17"/>
                <w:color w:val="0000FF"/>
              </w:rPr>
              <w:t>11/25/2003</w:t>
            </w:r>
          </w:p>
        </w:tc>
        <w:tc>
          <w:tcPr>
            <w:tcW w:w="110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M</w:t>
            </w:r>
          </w:p>
        </w:tc>
        <w:tc>
          <w:tcPr>
            <w:tcW w:w="780" w:type="dxa"/>
            <w:vAlign w:val="bottom"/>
          </w:tcPr>
          <w:p>
            <w:pPr>
              <w:jc w:val="right"/>
              <w:ind w:right="50"/>
              <w:spacing w:after="0"/>
              <w:rPr>
                <w:sz w:val="20"/>
                <w:szCs w:val="20"/>
                <w:color w:val="auto"/>
              </w:rPr>
            </w:pPr>
            <w:r>
              <w:rPr>
                <w:rFonts w:ascii="Arial" w:cs="Arial" w:eastAsia="Arial" w:hAnsi="Arial"/>
                <w:sz w:val="17"/>
                <w:szCs w:val="17"/>
                <w:color w:val="0000FF"/>
              </w:rPr>
              <w:t>10,000</w:t>
            </w:r>
          </w:p>
        </w:tc>
        <w:tc>
          <w:tcPr>
            <w:tcW w:w="540" w:type="dxa"/>
            <w:vAlign w:val="bottom"/>
          </w:tcPr>
          <w:p>
            <w:pPr>
              <w:ind w:left="26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ind w:right="2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7.375</w:t>
            </w:r>
          </w:p>
        </w:tc>
        <w:tc>
          <w:tcPr>
            <w:tcW w:w="1140" w:type="dxa"/>
            <w:vAlign w:val="bottom"/>
          </w:tcPr>
          <w:p>
            <w:pPr>
              <w:jc w:val="center"/>
              <w:spacing w:after="0"/>
              <w:rPr>
                <w:sz w:val="20"/>
                <w:szCs w:val="20"/>
                <w:color w:val="auto"/>
              </w:rPr>
            </w:pPr>
            <w:r>
              <w:rPr>
                <w:rFonts w:ascii="Arial" w:cs="Arial" w:eastAsia="Arial" w:hAnsi="Arial"/>
                <w:sz w:val="17"/>
                <w:szCs w:val="17"/>
                <w:color w:val="0000FF"/>
                <w:w w:val="88"/>
              </w:rPr>
              <w:t>14,418</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220" w:type="dxa"/>
            <w:vAlign w:val="bottom"/>
            <w:tcBorders>
              <w:bottom w:val="single" w:sz="8" w:color="2C2C2C"/>
            </w:tcBorders>
            <w:gridSpan w:val="3"/>
          </w:tcPr>
          <w:p>
            <w:pPr>
              <w:spacing w:after="0"/>
              <w:rPr>
                <w:sz w:val="5"/>
                <w:szCs w:val="5"/>
                <w:color w:val="auto"/>
              </w:rPr>
            </w:pPr>
          </w:p>
        </w:tc>
        <w:tc>
          <w:tcPr>
            <w:tcW w:w="226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220" w:type="dxa"/>
            <w:vAlign w:val="bottom"/>
            <w:gridSpan w:val="3"/>
          </w:tcPr>
          <w:p>
            <w:pPr>
              <w:ind w:left="60"/>
              <w:spacing w:after="0"/>
              <w:rPr>
                <w:sz w:val="20"/>
                <w:szCs w:val="20"/>
                <w:color w:val="auto"/>
              </w:rPr>
            </w:pPr>
            <w:r>
              <w:rPr>
                <w:rFonts w:ascii="Arial" w:cs="Arial" w:eastAsia="Arial" w:hAnsi="Arial"/>
                <w:sz w:val="17"/>
                <w:szCs w:val="17"/>
                <w:color w:val="0000FF"/>
              </w:rPr>
              <w:t>Comm Stock-$.16-2/3 value</w:t>
            </w:r>
          </w:p>
        </w:tc>
        <w:tc>
          <w:tcPr>
            <w:tcW w:w="2260" w:type="dxa"/>
            <w:vAlign w:val="bottom"/>
            <w:gridSpan w:val="2"/>
          </w:tcPr>
          <w:p>
            <w:pPr>
              <w:jc w:val="right"/>
              <w:ind w:right="94"/>
              <w:spacing w:after="0"/>
              <w:rPr>
                <w:sz w:val="20"/>
                <w:szCs w:val="20"/>
                <w:color w:val="auto"/>
              </w:rPr>
            </w:pPr>
            <w:r>
              <w:rPr>
                <w:rFonts w:ascii="Arial" w:cs="Arial" w:eastAsia="Arial" w:hAnsi="Arial"/>
                <w:sz w:val="17"/>
                <w:szCs w:val="17"/>
                <w:color w:val="0000FF"/>
              </w:rPr>
              <w:t>11/25/2003</w:t>
            </w:r>
          </w:p>
        </w:tc>
        <w:tc>
          <w:tcPr>
            <w:tcW w:w="1100" w:type="dxa"/>
            <w:vAlign w:val="bottom"/>
          </w:tcPr>
          <w:p>
            <w:pPr>
              <w:spacing w:after="0"/>
              <w:rPr>
                <w:sz w:val="22"/>
                <w:szCs w:val="22"/>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jc w:val="right"/>
              <w:ind w:right="50"/>
              <w:spacing w:after="0"/>
              <w:rPr>
                <w:sz w:val="20"/>
                <w:szCs w:val="20"/>
                <w:color w:val="auto"/>
              </w:rPr>
            </w:pPr>
            <w:r>
              <w:rPr>
                <w:rFonts w:ascii="Arial" w:cs="Arial" w:eastAsia="Arial" w:hAnsi="Arial"/>
                <w:sz w:val="17"/>
                <w:szCs w:val="17"/>
                <w:color w:val="0000FF"/>
              </w:rPr>
              <w:t>10,000</w:t>
            </w:r>
          </w:p>
        </w:tc>
        <w:tc>
          <w:tcPr>
            <w:tcW w:w="540" w:type="dxa"/>
            <w:vAlign w:val="bottom"/>
          </w:tcPr>
          <w:p>
            <w:pPr>
              <w:ind w:left="260"/>
              <w:spacing w:after="0"/>
              <w:rPr>
                <w:sz w:val="20"/>
                <w:szCs w:val="20"/>
                <w:color w:val="auto"/>
              </w:rPr>
            </w:pPr>
            <w:r>
              <w:rPr>
                <w:rFonts w:ascii="Arial" w:cs="Arial" w:eastAsia="Arial" w:hAnsi="Arial"/>
                <w:sz w:val="17"/>
                <w:szCs w:val="17"/>
                <w:color w:val="0000FF"/>
              </w:rPr>
              <w:t>D</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49.385</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4,418</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2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 Stock-$.16-2/3 value</w:t>
            </w:r>
          </w:p>
        </w:tc>
        <w:tc>
          <w:tcPr>
            <w:tcW w:w="1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925</w:t>
            </w:r>
          </w:p>
        </w:tc>
        <w:tc>
          <w:tcPr>
            <w:tcW w:w="980" w:type="dxa"/>
            <w:vAlign w:val="bottom"/>
            <w:vMerge w:val="restart"/>
          </w:tcPr>
          <w:p>
            <w:pPr>
              <w:jc w:val="center"/>
              <w:ind w:left="6"/>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By</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1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7"/>
                <w:szCs w:val="17"/>
                <w:color w:val="0000FF"/>
              </w:rPr>
              <w:t>Daughter</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By</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220" w:type="dxa"/>
            <w:vAlign w:val="bottom"/>
            <w:gridSpan w:val="3"/>
          </w:tcPr>
          <w:p>
            <w:pPr>
              <w:ind w:left="60"/>
              <w:spacing w:after="0"/>
              <w:rPr>
                <w:sz w:val="20"/>
                <w:szCs w:val="20"/>
                <w:color w:val="auto"/>
              </w:rPr>
            </w:pPr>
            <w:r>
              <w:rPr>
                <w:rFonts w:ascii="Arial" w:cs="Arial" w:eastAsia="Arial" w:hAnsi="Arial"/>
                <w:sz w:val="17"/>
                <w:szCs w:val="17"/>
                <w:color w:val="0000FF"/>
              </w:rPr>
              <w:t>Comm Stock-$.16-2/3 value</w:t>
            </w:r>
          </w:p>
        </w:tc>
        <w:tc>
          <w:tcPr>
            <w:tcW w:w="1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925</w:t>
            </w:r>
          </w:p>
        </w:tc>
        <w:tc>
          <w:tcPr>
            <w:tcW w:w="980" w:type="dxa"/>
            <w:vAlign w:val="bottom"/>
          </w:tcPr>
          <w:p>
            <w:pPr>
              <w:jc w:val="center"/>
              <w:ind w:left="6"/>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Daughter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in ADI's</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gridSpan w:val="5"/>
          </w:tcPr>
          <w:p>
            <w:pPr>
              <w:ind w:left="60"/>
              <w:spacing w:after="0"/>
              <w:rPr>
                <w:sz w:val="20"/>
                <w:szCs w:val="20"/>
                <w:color w:val="auto"/>
              </w:rPr>
            </w:pPr>
            <w:r>
              <w:rPr>
                <w:rFonts w:ascii="Arial" w:cs="Arial" w:eastAsia="Arial" w:hAnsi="Arial"/>
                <w:sz w:val="17"/>
                <w:szCs w:val="17"/>
                <w:color w:val="0000FF"/>
              </w:rPr>
              <w:t>Comm Stock-$.16-2/3 value-401K</w:t>
            </w: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jc w:val="center"/>
              <w:spacing w:after="0" w:line="211" w:lineRule="exact"/>
              <w:rPr>
                <w:sz w:val="20"/>
                <w:szCs w:val="20"/>
                <w:color w:val="auto"/>
              </w:rPr>
            </w:pPr>
            <w:r>
              <w:rPr>
                <w:rFonts w:ascii="Arial" w:cs="Arial" w:eastAsia="Arial" w:hAnsi="Arial"/>
                <w:sz w:val="17"/>
                <w:szCs w:val="17"/>
                <w:color w:val="0000FF"/>
                <w:w w:val="83"/>
              </w:rPr>
              <w:t>5,709</w:t>
            </w:r>
            <w:r>
              <w:rPr>
                <w:rFonts w:ascii="Arial" w:cs="Arial" w:eastAsia="Arial" w:hAnsi="Arial"/>
                <w:sz w:val="21"/>
                <w:szCs w:val="21"/>
                <w:color w:val="008000"/>
                <w:w w:val="83"/>
                <w:vertAlign w:val="superscript"/>
              </w:rPr>
              <w:t>(1)</w:t>
            </w:r>
          </w:p>
        </w:tc>
        <w:tc>
          <w:tcPr>
            <w:tcW w:w="980" w:type="dxa"/>
            <w:vAlign w:val="bottom"/>
          </w:tcPr>
          <w:p>
            <w:pPr>
              <w:jc w:val="center"/>
              <w:ind w:left="6"/>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401K</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Plan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166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88"/>
              </w:rPr>
              <w:t>Comm</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8"/>
              </w:rPr>
              <w:t>10,000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7.375</w:t>
            </w:r>
          </w:p>
        </w:tc>
        <w:tc>
          <w:tcPr>
            <w:tcW w:w="1100" w:type="dxa"/>
            <w:vAlign w:val="bottom"/>
            <w:vMerge w:val="restart"/>
          </w:tcPr>
          <w:p>
            <w:pPr>
              <w:jc w:val="right"/>
              <w:ind w:right="179"/>
              <w:spacing w:after="0" w:line="145" w:lineRule="exact"/>
              <w:rPr>
                <w:sz w:val="20"/>
                <w:szCs w:val="20"/>
                <w:color w:val="auto"/>
              </w:rPr>
            </w:pPr>
            <w:r>
              <w:rPr>
                <w:rFonts w:ascii="Arial" w:cs="Arial" w:eastAsia="Arial" w:hAnsi="Arial"/>
                <w:sz w:val="13"/>
                <w:szCs w:val="13"/>
                <w:color w:val="0000FF"/>
              </w:rPr>
              <w:t>11/25/2003</w:t>
            </w:r>
          </w:p>
        </w:tc>
        <w:tc>
          <w:tcPr>
            <w:tcW w:w="1120" w:type="dxa"/>
            <w:vAlign w:val="bottom"/>
          </w:tcPr>
          <w:p>
            <w:pPr>
              <w:spacing w:after="0"/>
              <w:rPr>
                <w:sz w:val="6"/>
                <w:szCs w:val="6"/>
                <w:color w:val="auto"/>
              </w:rPr>
            </w:pPr>
          </w:p>
        </w:tc>
        <w:tc>
          <w:tcPr>
            <w:tcW w:w="82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M</w:t>
            </w:r>
          </w:p>
        </w:tc>
        <w:tc>
          <w:tcPr>
            <w:tcW w:w="800" w:type="dxa"/>
            <w:vAlign w:val="bottom"/>
            <w:vMerge w:val="restart"/>
          </w:tcPr>
          <w:p>
            <w:pPr>
              <w:ind w:left="380"/>
              <w:spacing w:after="0" w:line="145" w:lineRule="exact"/>
              <w:rPr>
                <w:sz w:val="20"/>
                <w:szCs w:val="20"/>
                <w:color w:val="auto"/>
              </w:rPr>
            </w:pPr>
            <w:r>
              <w:rPr>
                <w:rFonts w:ascii="Arial" w:cs="Arial" w:eastAsia="Arial" w:hAnsi="Arial"/>
                <w:sz w:val="13"/>
                <w:szCs w:val="13"/>
                <w:color w:val="0000FF"/>
              </w:rPr>
              <w:t>10,000</w:t>
            </w:r>
          </w:p>
        </w:tc>
        <w:tc>
          <w:tcPr>
            <w:tcW w:w="800" w:type="dxa"/>
            <w:vAlign w:val="bottom"/>
            <w:vMerge w:val="restart"/>
          </w:tcPr>
          <w:p>
            <w:pPr>
              <w:jc w:val="right"/>
              <w:ind w:right="17"/>
              <w:spacing w:after="0" w:line="145" w:lineRule="exact"/>
              <w:rPr>
                <w:sz w:val="20"/>
                <w:szCs w:val="20"/>
                <w:color w:val="auto"/>
              </w:rPr>
            </w:pPr>
            <w:r>
              <w:rPr>
                <w:rFonts w:ascii="Arial" w:cs="Arial" w:eastAsia="Arial" w:hAnsi="Arial"/>
                <w:sz w:val="13"/>
                <w:szCs w:val="13"/>
                <w:color w:val="0000FF"/>
              </w:rPr>
              <w:t>09/08/2001</w:t>
            </w:r>
          </w:p>
        </w:tc>
        <w:tc>
          <w:tcPr>
            <w:tcW w:w="7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12/16/2007</w:t>
            </w:r>
          </w:p>
        </w:tc>
        <w:tc>
          <w:tcPr>
            <w:tcW w:w="7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3"/>
              </w:rPr>
              <w:t>Stock-$.16-</w:t>
            </w:r>
          </w:p>
        </w:tc>
        <w:tc>
          <w:tcPr>
            <w:tcW w:w="700" w:type="dxa"/>
            <w:vAlign w:val="bottom"/>
            <w:vMerge w:val="continue"/>
          </w:tcPr>
          <w:p>
            <w:pPr>
              <w:spacing w:after="0"/>
              <w:rPr>
                <w:sz w:val="6"/>
                <w:szCs w:val="6"/>
                <w:color w:val="auto"/>
              </w:rPr>
            </w:pPr>
          </w:p>
        </w:tc>
        <w:tc>
          <w:tcPr>
            <w:tcW w:w="700" w:type="dxa"/>
            <w:vAlign w:val="bottom"/>
            <w:vMerge w:val="restart"/>
          </w:tcPr>
          <w:p>
            <w:pPr>
              <w:ind w:left="28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0"/>
              </w:rPr>
              <w:t>35,000</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88"/>
              </w:rPr>
              <w:t>Comm</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9"/>
              </w:rPr>
              <w:t>6,052</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39.06</w:t>
            </w: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vMerge w:val="restart"/>
          </w:tcPr>
          <w:p>
            <w:pPr>
              <w:jc w:val="right"/>
              <w:ind w:right="17"/>
              <w:spacing w:after="0" w:line="145" w:lineRule="exact"/>
              <w:rPr>
                <w:sz w:val="20"/>
                <w:szCs w:val="20"/>
                <w:color w:val="auto"/>
              </w:rPr>
            </w:pPr>
            <w:r>
              <w:rPr>
                <w:rFonts w:ascii="Arial" w:cs="Arial" w:eastAsia="Arial" w:hAnsi="Arial"/>
                <w:sz w:val="13"/>
                <w:szCs w:val="13"/>
                <w:color w:val="0000FF"/>
              </w:rPr>
              <w:t>07/18/2002</w:t>
            </w:r>
          </w:p>
        </w:tc>
        <w:tc>
          <w:tcPr>
            <w:tcW w:w="7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07/18/2011</w:t>
            </w:r>
          </w:p>
        </w:tc>
        <w:tc>
          <w:tcPr>
            <w:tcW w:w="7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3"/>
              </w:rPr>
              <w:t>Stock-$.16-</w:t>
            </w: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6,052</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88"/>
              </w:rPr>
              <w:t>Comm</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8"/>
              </w:rPr>
              <w:t>80,000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41.05</w:t>
            </w: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vMerge w:val="restart"/>
          </w:tcPr>
          <w:p>
            <w:pPr>
              <w:jc w:val="right"/>
              <w:ind w:right="17"/>
              <w:spacing w:after="0" w:line="145" w:lineRule="exact"/>
              <w:rPr>
                <w:sz w:val="20"/>
                <w:szCs w:val="20"/>
                <w:color w:val="auto"/>
              </w:rPr>
            </w:pPr>
            <w:r>
              <w:rPr>
                <w:rFonts w:ascii="Arial" w:cs="Arial" w:eastAsia="Arial" w:hAnsi="Arial"/>
                <w:sz w:val="13"/>
                <w:szCs w:val="13"/>
                <w:color w:val="0000FF"/>
              </w:rPr>
              <w:t>01/22/2005</w:t>
            </w:r>
          </w:p>
        </w:tc>
        <w:tc>
          <w:tcPr>
            <w:tcW w:w="7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01/22/2012</w:t>
            </w:r>
          </w:p>
        </w:tc>
        <w:tc>
          <w:tcPr>
            <w:tcW w:w="7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3"/>
              </w:rPr>
              <w:t>Stock-$.16-</w:t>
            </w: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0"/>
              </w:rPr>
              <w:t>80,000</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88"/>
              </w:rPr>
              <w:t>Comm</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545</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45.9</w:t>
            </w: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vMerge w:val="restart"/>
          </w:tcPr>
          <w:p>
            <w:pPr>
              <w:jc w:val="right"/>
              <w:ind w:right="17"/>
              <w:spacing w:after="0" w:line="145" w:lineRule="exact"/>
              <w:rPr>
                <w:sz w:val="20"/>
                <w:szCs w:val="20"/>
                <w:color w:val="auto"/>
              </w:rPr>
            </w:pPr>
            <w:r>
              <w:rPr>
                <w:rFonts w:ascii="Arial" w:cs="Arial" w:eastAsia="Arial" w:hAnsi="Arial"/>
                <w:sz w:val="13"/>
                <w:szCs w:val="13"/>
                <w:color w:val="0000FF"/>
              </w:rPr>
              <w:t>06/01/2004</w:t>
            </w:r>
          </w:p>
        </w:tc>
        <w:tc>
          <w:tcPr>
            <w:tcW w:w="7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06/01/2011</w:t>
            </w:r>
          </w:p>
        </w:tc>
        <w:tc>
          <w:tcPr>
            <w:tcW w:w="7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3"/>
              </w:rPr>
              <w:t>Stock-$.16-</w:t>
            </w: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545</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88"/>
              </w:rPr>
              <w:t>Comm</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8"/>
              </w:rPr>
              <w:t>80,000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19.89</w:t>
            </w: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vMerge w:val="restart"/>
          </w:tcPr>
          <w:p>
            <w:pPr>
              <w:jc w:val="right"/>
              <w:ind w:right="17"/>
              <w:spacing w:after="0" w:line="145" w:lineRule="exact"/>
              <w:rPr>
                <w:sz w:val="20"/>
                <w:szCs w:val="20"/>
                <w:color w:val="auto"/>
              </w:rPr>
            </w:pPr>
            <w:r>
              <w:rPr>
                <w:rFonts w:ascii="Arial" w:cs="Arial" w:eastAsia="Arial" w:hAnsi="Arial"/>
                <w:sz w:val="13"/>
                <w:szCs w:val="13"/>
                <w:color w:val="0000FF"/>
              </w:rPr>
              <w:t>09/24/2003</w:t>
            </w:r>
          </w:p>
        </w:tc>
        <w:tc>
          <w:tcPr>
            <w:tcW w:w="7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09/24/2012</w:t>
            </w:r>
          </w:p>
        </w:tc>
        <w:tc>
          <w:tcPr>
            <w:tcW w:w="7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3"/>
              </w:rPr>
              <w:t>Stock-$.16-</w:t>
            </w: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0"/>
              </w:rPr>
              <w:t>80,000</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4"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2884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4725" cy="2884170"/>
                    </a:xfrm>
                    <a:prstGeom prst="rect">
                      <a:avLst/>
                    </a:prstGeom>
                    <a:noFill/>
                  </pic:spPr>
                </pic:pic>
              </a:graphicData>
            </a:graphic>
          </wp:anchor>
        </w:drawing>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88"/>
              </w:rPr>
              <w:t>Comm</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jc w:val="right"/>
              <w:ind w:right="12"/>
              <w:spacing w:after="0"/>
              <w:rPr>
                <w:sz w:val="20"/>
                <w:szCs w:val="20"/>
                <w:color w:val="auto"/>
              </w:rPr>
            </w:pPr>
            <w:r>
              <w:rPr>
                <w:rFonts w:ascii="Arial" w:cs="Arial" w:eastAsia="Arial" w:hAnsi="Arial"/>
                <w:sz w:val="17"/>
                <w:szCs w:val="17"/>
                <w:color w:val="0000FF"/>
                <w:w w:val="97"/>
              </w:rPr>
              <w:t>110,000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restart"/>
          </w:tcPr>
          <w:p>
            <w:pPr>
              <w:jc w:val="center"/>
              <w:ind w:right="141"/>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28.75</w:t>
            </w: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vMerge w:val="restart"/>
          </w:tcPr>
          <w:p>
            <w:pPr>
              <w:ind w:left="120"/>
              <w:spacing w:after="0" w:line="145" w:lineRule="exact"/>
              <w:rPr>
                <w:sz w:val="20"/>
                <w:szCs w:val="20"/>
                <w:color w:val="auto"/>
              </w:rPr>
            </w:pPr>
            <w:r>
              <w:rPr>
                <w:rFonts w:ascii="Arial" w:cs="Arial" w:eastAsia="Arial" w:hAnsi="Arial"/>
                <w:sz w:val="13"/>
                <w:szCs w:val="13"/>
                <w:color w:val="0000FF"/>
              </w:rPr>
              <w:t>11/30/2002</w:t>
            </w:r>
          </w:p>
        </w:tc>
        <w:tc>
          <w:tcPr>
            <w:tcW w:w="7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11/30/2009</w:t>
            </w:r>
          </w:p>
        </w:tc>
        <w:tc>
          <w:tcPr>
            <w:tcW w:w="74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w w:val="99"/>
              </w:rPr>
              <w:t>Stock-$.16-</w:t>
            </w: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right"/>
              <w:ind w:right="199"/>
              <w:spacing w:after="0" w:line="145" w:lineRule="exact"/>
              <w:rPr>
                <w:sz w:val="20"/>
                <w:szCs w:val="20"/>
                <w:color w:val="auto"/>
              </w:rPr>
            </w:pPr>
            <w:r>
              <w:rPr>
                <w:rFonts w:ascii="Arial" w:cs="Arial" w:eastAsia="Arial" w:hAnsi="Arial"/>
                <w:sz w:val="13"/>
                <w:szCs w:val="13"/>
                <w:color w:val="0000FF"/>
              </w:rPr>
              <w:t>110,000</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88"/>
              </w:rPr>
              <w:t>Comm</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7"/>
                <w:szCs w:val="17"/>
                <w:color w:val="0000FF"/>
              </w:rPr>
              <w:t>90,000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restart"/>
          </w:tcPr>
          <w:p>
            <w:pPr>
              <w:jc w:val="center"/>
              <w:ind w:right="161"/>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44.5</w:t>
            </w: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vMerge w:val="restart"/>
          </w:tcPr>
          <w:p>
            <w:pPr>
              <w:ind w:left="120"/>
              <w:spacing w:after="0" w:line="145" w:lineRule="exact"/>
              <w:rPr>
                <w:sz w:val="20"/>
                <w:szCs w:val="20"/>
                <w:color w:val="auto"/>
              </w:rPr>
            </w:pPr>
            <w:r>
              <w:rPr>
                <w:rFonts w:ascii="Arial" w:cs="Arial" w:eastAsia="Arial" w:hAnsi="Arial"/>
                <w:sz w:val="13"/>
                <w:szCs w:val="13"/>
                <w:color w:val="0000FF"/>
              </w:rPr>
              <w:t>11/10/2003</w:t>
            </w:r>
          </w:p>
        </w:tc>
        <w:tc>
          <w:tcPr>
            <w:tcW w:w="76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rPr>
              <w:t>11/10/2010</w:t>
            </w:r>
          </w:p>
        </w:tc>
        <w:tc>
          <w:tcPr>
            <w:tcW w:w="74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w w:val="99"/>
              </w:rPr>
              <w:t>Stock-$.16-</w:t>
            </w: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right"/>
              <w:ind w:right="219"/>
              <w:spacing w:after="0" w:line="145" w:lineRule="exact"/>
              <w:rPr>
                <w:sz w:val="20"/>
                <w:szCs w:val="20"/>
                <w:color w:val="auto"/>
              </w:rPr>
            </w:pPr>
            <w:r>
              <w:rPr>
                <w:rFonts w:ascii="Arial" w:cs="Arial" w:eastAsia="Arial" w:hAnsi="Arial"/>
                <w:sz w:val="13"/>
                <w:szCs w:val="13"/>
                <w:color w:val="0000FF"/>
              </w:rPr>
              <w:t>90,000</w:t>
            </w:r>
          </w:p>
        </w:tc>
        <w:tc>
          <w:tcPr>
            <w:tcW w:w="76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1. The number of shares being held in the reporting person's 401K account has been determined by dividing the participant's unit value in the fund by the value of the issuer's stock.</w:t>
      </w:r>
    </w:p>
    <w:p>
      <w:pPr>
        <w:spacing w:after="0" w:line="59"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rPr>
              <w:t>By: WILLIAM A. MARTIN,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11/26/2003</w:t>
            </w:r>
          </w:p>
        </w:tc>
        <w:tc>
          <w:tcPr>
            <w:tcW w:w="0" w:type="dxa"/>
            <w:vAlign w:val="bottom"/>
          </w:tcPr>
          <w:p>
            <w:pPr>
              <w:spacing w:after="0"/>
              <w:rPr>
                <w:sz w:val="1"/>
                <w:szCs w:val="1"/>
                <w:color w:val="auto"/>
              </w:rPr>
            </w:pPr>
          </w:p>
        </w:tc>
      </w:tr>
      <w:tr>
        <w:trPr>
          <w:trHeight w:val="90"/>
        </w:trPr>
        <w:tc>
          <w:tcPr>
            <w:tcW w:w="92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Attny In Fact</w:t>
            </w:r>
          </w:p>
        </w:tc>
        <w:tc>
          <w:tcPr>
            <w:tcW w:w="13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920" w:type="dxa"/>
            <w:vAlign w:val="bottom"/>
            <w:tcBorders>
              <w:bottom w:val="single" w:sz="8" w:color="auto"/>
            </w:tcBorders>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20" w:right="3860" w:firstLine="5"/>
        <w:spacing w:after="0" w:line="315" w:lineRule="auto"/>
        <w:tabs>
          <w:tab w:leader="none" w:pos="15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1870"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2019-12-24T00:19:50Z</dcterms:created>
  <dcterms:modified xsi:type="dcterms:W3CDTF">2019-12-24T00:19:50Z</dcterms:modified>
</cp:coreProperties>
</file>