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783590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158750</wp:posOffset>
            </wp:positionV>
            <wp:extent cx="1929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124460</wp:posOffset>
            </wp:positionV>
            <wp:extent cx="1929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gridSpan w:val="3"/>
          </w:tcPr>
          <w:p>
            <w:pPr>
              <w:ind w:left="3160"/>
              <w:spacing w:after="0"/>
              <w:rPr>
                <w:sz w:val="20"/>
                <w:szCs w:val="20"/>
                <w:color w:val="auto"/>
              </w:rPr>
            </w:pPr>
            <w:r>
              <w:rPr>
                <w:rFonts w:ascii="Arial" w:cs="Arial" w:eastAsia="Arial" w:hAnsi="Arial"/>
                <w:sz w:val="18"/>
                <w:szCs w:val="18"/>
                <w:i w:val="1"/>
                <w:iCs w:val="1"/>
                <w:color w:val="auto"/>
              </w:rPr>
              <w:t>(Exact name of registrant as specified in its charter)</w:t>
            </w:r>
          </w:p>
        </w:tc>
        <w:tc>
          <w:tcPr>
            <w:tcW w:w="2440" w:type="dxa"/>
            <w:vAlign w:val="bottom"/>
          </w:tcPr>
          <w:p>
            <w:pPr>
              <w:spacing w:after="0"/>
              <w:rPr>
                <w:sz w:val="20"/>
                <w:szCs w:val="20"/>
                <w:color w:val="auto"/>
              </w:rPr>
            </w:pPr>
          </w:p>
        </w:tc>
      </w:tr>
      <w:tr>
        <w:trPr>
          <w:trHeight w:val="187"/>
        </w:trPr>
        <w:tc>
          <w:tcPr>
            <w:tcW w:w="3540" w:type="dxa"/>
            <w:vAlign w:val="bottom"/>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493"/>
        </w:trPr>
        <w:tc>
          <w:tcPr>
            <w:tcW w:w="7300" w:type="dxa"/>
            <w:vAlign w:val="bottom"/>
            <w:gridSpan w:val="3"/>
          </w:tcPr>
          <w:p>
            <w:pPr>
              <w:jc w:val="center"/>
              <w:ind w:right="3800"/>
              <w:spacing w:after="0"/>
              <w:rPr>
                <w:sz w:val="20"/>
                <w:szCs w:val="20"/>
                <w:color w:val="auto"/>
              </w:rPr>
            </w:pPr>
            <w:r>
              <w:rPr>
                <w:rFonts w:ascii="Arial" w:cs="Arial" w:eastAsia="Arial" w:hAnsi="Arial"/>
                <w:sz w:val="18"/>
                <w:szCs w:val="18"/>
                <w:b w:val="1"/>
                <w:bCs w:val="1"/>
                <w:color w:val="auto"/>
                <w:w w:val="85"/>
              </w:rPr>
              <w:t>Massachusetts</w:t>
            </w:r>
          </w:p>
        </w:tc>
        <w:tc>
          <w:tcPr>
            <w:tcW w:w="2440" w:type="dxa"/>
            <w:vAlign w:val="bottom"/>
          </w:tcPr>
          <w:p>
            <w:pPr>
              <w:jc w:val="center"/>
              <w:ind w:left="297"/>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7300" w:type="dxa"/>
            <w:vAlign w:val="bottom"/>
            <w:gridSpan w:val="3"/>
          </w:tcPr>
          <w:p>
            <w:pPr>
              <w:jc w:val="center"/>
              <w:ind w:right="380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440" w:type="dxa"/>
            <w:vAlign w:val="bottom"/>
          </w:tcPr>
          <w:p>
            <w:pPr>
              <w:jc w:val="center"/>
              <w:ind w:left="297"/>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417"/>
        </w:trPr>
        <w:tc>
          <w:tcPr>
            <w:tcW w:w="3540" w:type="dxa"/>
            <w:vAlign w:val="bottom"/>
          </w:tcPr>
          <w:p>
            <w:pPr>
              <w:spacing w:after="0"/>
              <w:rPr>
                <w:sz w:val="24"/>
                <w:szCs w:val="24"/>
                <w:color w:val="auto"/>
              </w:rPr>
            </w:pPr>
          </w:p>
        </w:tc>
        <w:tc>
          <w:tcPr>
            <w:tcW w:w="3760" w:type="dxa"/>
            <w:vAlign w:val="bottom"/>
            <w:gridSpan w:val="2"/>
          </w:tcPr>
          <w:p>
            <w:pPr>
              <w:ind w:left="760"/>
              <w:spacing w:after="0"/>
              <w:rPr>
                <w:sz w:val="20"/>
                <w:szCs w:val="20"/>
                <w:color w:val="auto"/>
              </w:rPr>
            </w:pPr>
            <w:r>
              <w:rPr>
                <w:rFonts w:ascii="Arial" w:cs="Arial" w:eastAsia="Arial" w:hAnsi="Arial"/>
                <w:sz w:val="18"/>
                <w:szCs w:val="18"/>
                <w:b w:val="1"/>
                <w:bCs w:val="1"/>
                <w:color w:val="auto"/>
              </w:rPr>
              <w:t>1-7819 (Commission File No.)</w:t>
            </w:r>
          </w:p>
        </w:tc>
        <w:tc>
          <w:tcPr>
            <w:tcW w:w="2440" w:type="dxa"/>
            <w:vAlign w:val="bottom"/>
          </w:tcPr>
          <w:p>
            <w:pPr>
              <w:spacing w:after="0"/>
              <w:rPr>
                <w:sz w:val="24"/>
                <w:szCs w:val="24"/>
                <w:color w:val="auto"/>
              </w:rPr>
            </w:pPr>
          </w:p>
        </w:tc>
      </w:tr>
      <w:tr>
        <w:trPr>
          <w:trHeight w:val="270"/>
        </w:trPr>
        <w:tc>
          <w:tcPr>
            <w:tcW w:w="7300" w:type="dxa"/>
            <w:vAlign w:val="bottom"/>
            <w:gridSpan w:val="3"/>
          </w:tcPr>
          <w:p>
            <w:pPr>
              <w:jc w:val="center"/>
              <w:ind w:right="3800"/>
              <w:spacing w:after="0"/>
              <w:rPr>
                <w:sz w:val="20"/>
                <w:szCs w:val="20"/>
                <w:color w:val="auto"/>
              </w:rPr>
            </w:pPr>
            <w:r>
              <w:rPr>
                <w:rFonts w:ascii="Arial" w:cs="Arial" w:eastAsia="Arial" w:hAnsi="Arial"/>
                <w:sz w:val="18"/>
                <w:szCs w:val="18"/>
                <w:b w:val="1"/>
                <w:bCs w:val="1"/>
                <w:color w:val="auto"/>
                <w:w w:val="91"/>
              </w:rPr>
              <w:t>One Technology Way, Norwood, MA</w:t>
            </w:r>
          </w:p>
        </w:tc>
        <w:tc>
          <w:tcPr>
            <w:tcW w:w="2440" w:type="dxa"/>
            <w:vAlign w:val="bottom"/>
          </w:tcPr>
          <w:p>
            <w:pPr>
              <w:jc w:val="center"/>
              <w:ind w:left="297"/>
              <w:spacing w:after="0"/>
              <w:rPr>
                <w:sz w:val="20"/>
                <w:szCs w:val="20"/>
                <w:color w:val="auto"/>
              </w:rPr>
            </w:pPr>
            <w:r>
              <w:rPr>
                <w:rFonts w:ascii="Arial" w:cs="Arial" w:eastAsia="Arial" w:hAnsi="Arial"/>
                <w:sz w:val="18"/>
                <w:szCs w:val="18"/>
                <w:b w:val="1"/>
                <w:bCs w:val="1"/>
                <w:color w:val="auto"/>
                <w:w w:val="89"/>
              </w:rPr>
              <w:t>02062-9106</w:t>
            </w:r>
          </w:p>
        </w:tc>
      </w:tr>
      <w:tr>
        <w:trPr>
          <w:trHeight w:val="218"/>
        </w:trPr>
        <w:tc>
          <w:tcPr>
            <w:tcW w:w="7300" w:type="dxa"/>
            <w:vAlign w:val="bottom"/>
            <w:gridSpan w:val="3"/>
          </w:tcPr>
          <w:p>
            <w:pPr>
              <w:jc w:val="center"/>
              <w:ind w:right="382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440" w:type="dxa"/>
            <w:vAlign w:val="bottom"/>
          </w:tcPr>
          <w:p>
            <w:pPr>
              <w:jc w:val="center"/>
              <w:ind w:left="297"/>
              <w:spacing w:after="0"/>
              <w:rPr>
                <w:sz w:val="20"/>
                <w:szCs w:val="20"/>
                <w:color w:val="auto"/>
              </w:rPr>
            </w:pPr>
            <w:r>
              <w:rPr>
                <w:rFonts w:ascii="Arial" w:cs="Arial" w:eastAsia="Arial" w:hAnsi="Arial"/>
                <w:sz w:val="14"/>
                <w:szCs w:val="14"/>
                <w:i w:val="1"/>
                <w:iCs w:val="1"/>
                <w:color w:val="auto"/>
                <w:w w:val="93"/>
              </w:rPr>
              <w:t>(Zip Code)</w:t>
            </w:r>
          </w:p>
        </w:tc>
      </w:tr>
      <w:tr>
        <w:trPr>
          <w:trHeight w:val="525"/>
        </w:trPr>
        <w:tc>
          <w:tcPr>
            <w:tcW w:w="730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4"/>
              </w:rPr>
              <w:t>Margaret Seif</w:t>
            </w:r>
          </w:p>
        </w:tc>
        <w:tc>
          <w:tcPr>
            <w:tcW w:w="2440" w:type="dxa"/>
            <w:vAlign w:val="bottom"/>
          </w:tcPr>
          <w:p>
            <w:pPr>
              <w:jc w:val="center"/>
              <w:ind w:left="297"/>
              <w:spacing w:after="0"/>
              <w:rPr>
                <w:sz w:val="20"/>
                <w:szCs w:val="20"/>
                <w:color w:val="auto"/>
              </w:rPr>
            </w:pPr>
            <w:r>
              <w:rPr>
                <w:rFonts w:ascii="Arial" w:cs="Arial" w:eastAsia="Arial" w:hAnsi="Arial"/>
                <w:sz w:val="18"/>
                <w:szCs w:val="18"/>
                <w:b w:val="1"/>
                <w:bCs w:val="1"/>
                <w:i w:val="1"/>
                <w:iCs w:val="1"/>
                <w:color w:val="auto"/>
                <w:w w:val="90"/>
              </w:rPr>
              <w:t>781-329-4700</w:t>
            </w:r>
          </w:p>
        </w:tc>
      </w:tr>
    </w:tbl>
    <w:p>
      <w:pPr>
        <w:spacing w:after="0" w:line="103" w:lineRule="exact"/>
        <w:rPr>
          <w:sz w:val="24"/>
          <w:szCs w:val="24"/>
          <w:color w:val="auto"/>
        </w:rPr>
      </w:pPr>
    </w:p>
    <w:p>
      <w:pPr>
        <w:ind w:left="1420"/>
        <w:spacing w:after="0"/>
        <w:rPr>
          <w:sz w:val="20"/>
          <w:szCs w:val="20"/>
          <w:color w:val="auto"/>
        </w:rPr>
      </w:pPr>
      <w:r>
        <w:rPr>
          <w:rFonts w:ascii="Arial" w:cs="Arial" w:eastAsia="Arial" w:hAnsi="Arial"/>
          <w:sz w:val="14"/>
          <w:szCs w:val="14"/>
          <w:color w:val="auto"/>
        </w:rPr>
        <w:t>Chief Legal Officer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4"/>
          <w:szCs w:val="24"/>
          <w:color w:val="auto"/>
        </w:rPr>
      </w:pPr>
    </w:p>
    <w:p>
      <w:pPr>
        <w:ind w:left="2640"/>
        <w:spacing w:after="0"/>
        <w:rPr>
          <w:sz w:val="20"/>
          <w:szCs w:val="20"/>
          <w:color w:val="auto"/>
        </w:rPr>
      </w:pPr>
      <w:r>
        <w:rPr>
          <w:rFonts w:ascii="Arial" w:cs="Arial" w:eastAsia="Arial" w:hAnsi="Arial"/>
          <w:sz w:val="14"/>
          <w:szCs w:val="14"/>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ectPr>
          <w:pgSz w:w="11900" w:h="16838" w:orient="portrait"/>
          <w:cols w:equalWidth="0" w:num="1">
            <w:col w:w="11360"/>
          </w:cols>
          <w:pgMar w:left="240" w:top="1273"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 Conflict Minerals Disclosure and Report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 Exhibit</w:t>
      </w:r>
    </w:p>
    <w:p>
      <w:pPr>
        <w:spacing w:after="0" w:line="24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Analog Devices, Inc. has filed a Conflict Minerals Report as Exhibit 1.01 hereto. The Report is publicly available at www.analog.com under the heading "Investor Relations." The content of any website referred to in this Form SD is included for general information only and is not incorporated by reference in this Form SD.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Exhibits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Exhibit 1.01 - </w:t>
      </w:r>
      <w:r>
        <w:rPr>
          <w:rFonts w:ascii="Arial" w:cs="Arial" w:eastAsia="Arial" w:hAnsi="Arial"/>
          <w:sz w:val="22"/>
          <w:szCs w:val="22"/>
          <w:u w:val="single" w:color="auto"/>
          <w:color w:val="0000EE"/>
        </w:rPr>
        <w:t>Conflict Minerals Report as required by Items 1.01 and 1.02 of this Form</w:t>
      </w:r>
      <w:r>
        <w:rPr>
          <w:rFonts w:ascii="Arial" w:cs="Arial" w:eastAsia="Arial" w:hAnsi="Arial"/>
          <w:sz w:val="22"/>
          <w:szCs w:val="22"/>
          <w:color w:val="auto"/>
        </w:rPr>
        <w:t>.</w:t>
      </w:r>
    </w:p>
    <w:p>
      <w:pPr>
        <w:sectPr>
          <w:pgSz w:w="11900" w:h="16838" w:orient="portrait"/>
          <w:cols w:equalWidth="0" w:num="1">
            <w:col w:w="11080"/>
          </w:cols>
          <w:pgMar w:left="240" w:top="585" w:right="5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color w:val="auto"/>
        </w:rPr>
        <w:t>SIGNATURES</w:t>
      </w:r>
    </w:p>
    <w:p>
      <w:pPr>
        <w:spacing w:after="0" w:line="260"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22"/>
          <w:szCs w:val="22"/>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356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(registrant)</w:t>
      </w:r>
    </w:p>
    <w:p>
      <w:pPr>
        <w:spacing w:after="0" w:line="341" w:lineRule="exact"/>
        <w:rPr>
          <w:sz w:val="20"/>
          <w:szCs w:val="20"/>
          <w:color w:val="auto"/>
        </w:rPr>
      </w:pPr>
    </w:p>
    <w:p>
      <w:pPr>
        <w:ind w:left="60"/>
        <w:spacing w:after="0"/>
        <w:tabs>
          <w:tab w:leader="none" w:pos="9540" w:val="left"/>
        </w:tabs>
        <w:rPr>
          <w:sz w:val="20"/>
          <w:szCs w:val="20"/>
          <w:color w:val="auto"/>
        </w:rPr>
      </w:pPr>
      <w:r>
        <w:rPr>
          <w:rFonts w:ascii="Arial" w:cs="Arial" w:eastAsia="Arial" w:hAnsi="Arial"/>
          <w:sz w:val="22"/>
          <w:szCs w:val="22"/>
          <w:color w:val="auto"/>
        </w:rPr>
        <w:t>/s/ Prashanth Mahendra-Rajah</w:t>
      </w:r>
      <w:r>
        <w:rPr>
          <w:sz w:val="20"/>
          <w:szCs w:val="20"/>
          <w:color w:val="auto"/>
        </w:rPr>
        <w:tab/>
      </w:r>
      <w:r>
        <w:rPr>
          <w:rFonts w:ascii="Arial" w:cs="Arial" w:eastAsia="Arial" w:hAnsi="Arial"/>
          <w:sz w:val="19"/>
          <w:szCs w:val="19"/>
          <w:color w:val="auto"/>
        </w:rPr>
        <w:t>Dated: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356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Prashanth Mahendra-Rajah</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Senior Vice President, Finance and Chief</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Financial Officer</w:t>
      </w:r>
    </w:p>
    <w:p>
      <w:pPr>
        <w:sectPr>
          <w:pgSz w:w="11900" w:h="16838" w:orient="portrait"/>
          <w:cols w:equalWidth="0" w:num="1">
            <w:col w:w="11400"/>
          </w:cols>
          <w:pgMar w:left="240" w:top="847"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1.01</w:t>
      </w:r>
    </w:p>
    <w:p>
      <w:pPr>
        <w:spacing w:after="0" w:line="358" w:lineRule="exact"/>
        <w:rPr>
          <w:sz w:val="20"/>
          <w:szCs w:val="20"/>
          <w:color w:val="auto"/>
        </w:rPr>
      </w:pPr>
    </w:p>
    <w:p>
      <w:pPr>
        <w:jc w:val="center"/>
        <w:spacing w:after="0" w:line="333" w:lineRule="auto"/>
        <w:rPr>
          <w:sz w:val="20"/>
          <w:szCs w:val="20"/>
          <w:color w:val="auto"/>
        </w:rPr>
      </w:pPr>
      <w:r>
        <w:rPr>
          <w:rFonts w:ascii="Arial" w:cs="Arial" w:eastAsia="Arial" w:hAnsi="Arial"/>
          <w:sz w:val="20"/>
          <w:szCs w:val="20"/>
          <w:b w:val="1"/>
          <w:bCs w:val="1"/>
          <w:color w:val="auto"/>
        </w:rPr>
        <w:t>CONFLICT MINERALS REPORT OF ANALOG DEVICES, INC. IN ACCORDANCE WITH RULE 13P-1 UNDER THE SECURITIES EXCHANGE ACT OF 1934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Introduction</w:t>
      </w:r>
    </w:p>
    <w:p>
      <w:pPr>
        <w:spacing w:after="0" w:line="370" w:lineRule="exact"/>
        <w:rPr>
          <w:sz w:val="20"/>
          <w:szCs w:val="20"/>
          <w:color w:val="auto"/>
        </w:rPr>
      </w:pPr>
    </w:p>
    <w:p>
      <w:pPr>
        <w:jc w:val="both"/>
        <w:spacing w:after="0" w:line="354" w:lineRule="auto"/>
        <w:rPr>
          <w:sz w:val="20"/>
          <w:szCs w:val="20"/>
          <w:color w:val="auto"/>
        </w:rPr>
      </w:pPr>
      <w:r>
        <w:rPr>
          <w:rFonts w:ascii="Arial" w:cs="Arial" w:eastAsia="Arial" w:hAnsi="Arial"/>
          <w:sz w:val="18"/>
          <w:szCs w:val="18"/>
          <w:color w:val="auto"/>
        </w:rPr>
        <w:t>This is the Conflict Minerals Report of Analog Devices, Inc. (“Analog Devices”, “we”, “our”) for calendar year 2017 in accordance with Rule 13p-1 under the Securities Exchange Act of 1934 (“Rule 13p-1”). Numerous terms in this Report are defined in Rule 13p-1 and Form SD and the reader is referred to those sources and to 1934 Act Release No. 34-67716 (August 22, 2012) for such definitions and explanations thereof.</w:t>
      </w:r>
    </w:p>
    <w:p>
      <w:pPr>
        <w:spacing w:after="0" w:line="246"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Gold, tantalum, tin or tungsten (collectively, “conflict minerals”) are necessary to the functionality or production of products manufactured or contracted to be manufactured by Analog Devices. Such products include Integrated Circuits, Assembled Products and Evaluation Boards, which (depending on the product) contain one or more conflict minerals (collectively, the “Products”). Based on the Reasonable Country of Origin Inquiry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to determine whether the necessary conflict minerals in the Products did originate or may have originated in the Covered Countries.</w:t>
      </w:r>
    </w:p>
    <w:p>
      <w:pPr>
        <w:spacing w:after="0" w:line="278"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Analog Devices is many steps removed from the mining of the conflict minerals; we do not purchase raw ore or unrefined conflict minerals, and we do no purchasing in the Covered Countries. We either purchase conflict minerals indirectly from a smelter or refiner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conflict-mineral containing derivatives. Smelters and refiners are consolidating points for raw ore and are therefore in the best position in the total supply chain to know the origin of the ores. Our due diligence measures were based on multi-industry initiatives with the smelters and refiners of conflict minerals who provide those conflict minerals to Analog Devices’ suppliers.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1.1: Company Overview</w:t>
      </w:r>
    </w:p>
    <w:p>
      <w:pPr>
        <w:sectPr>
          <w:pgSz w:w="11900" w:h="16838" w:orient="portrait"/>
          <w:cols w:equalWidth="0" w:num="1">
            <w:col w:w="11420"/>
          </w:cols>
          <w:pgMar w:left="240" w:top="919" w:right="239" w:bottom="1440" w:gutter="0" w:footer="0" w:header="0"/>
        </w:sectPr>
      </w:pPr>
    </w:p>
    <w:bookmarkStart w:id="4" w:name="page5"/>
    <w:bookmarkEnd w:id="4"/>
    <w:p>
      <w:pPr>
        <w:jc w:val="both"/>
        <w:spacing w:after="0" w:line="334" w:lineRule="auto"/>
        <w:rPr>
          <w:sz w:val="20"/>
          <w:szCs w:val="20"/>
          <w:color w:val="auto"/>
        </w:rPr>
      </w:pPr>
      <w:r>
        <w:rPr>
          <w:rFonts w:ascii="Arial" w:cs="Arial" w:eastAsia="Arial" w:hAnsi="Arial"/>
          <w:sz w:val="18"/>
          <w:szCs w:val="18"/>
          <w:color w:val="auto"/>
        </w:rPr>
        <w:t>Analog Devices is a leading global high-performance analog, technology company. We design, manufacture and market a broad portfolio of solutions that leverage high-performance analog, mixed-signal and digital signal processing technology, including integrated circuits (ICs), algorithms, software, and subsystems. Since our inception in 1965, we have focused on solving our customer’s toughest signal processing engineering challenges and playing a fundamental role in converting, conditioning, and processing real-world phenomena such as temperature, pressure, sound, light, speed and motion into electrical signals to be used in a wide array of electronic devices. We focus on sensing, measurement, and connectivity challenges that apply to a diverse set of customers and markets. We combine sensors, data converters, amplifiers and linear products, radio frequency (RF) ICs, power management products, and signal processing products into technology platforms that meet specific customer and market needs, leveraging our engineering investment across a broad base of customers. As new generations of applications, such as autonomous vehicles and the Internet of Things, evolve, new needs for Analog Devices’ high-performance analog signal processing and digital signal processing (DSP) products and technologies are emerging.</w:t>
      </w:r>
    </w:p>
    <w:p>
      <w:pPr>
        <w:spacing w:after="0" w:line="239"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We focus on key strategic markets where our signal processing technology is often a critical differentiator in our customers’ products, in particular, the industrial, automotive, consumer and communications markets.</w:t>
      </w:r>
    </w:p>
    <w:p>
      <w:pPr>
        <w:spacing w:after="0" w:line="243"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On March 10, 2017, we completed the acquisition of Linear Technology Corporation (Linear), a designer, manufacturer and marketer of high performance analog integrated circuits. The Linear supply chain is included in this report.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1.2 Principal Products</w:t>
      </w:r>
    </w:p>
    <w:p>
      <w:pPr>
        <w:spacing w:after="0" w:line="343"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24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We produce and market a broad range of ICs and operate in one reportable segment based on the aggregation of eight operating segments. The ICs sold by each of our operating segments are manufactured using similar</w:t>
      </w:r>
    </w:p>
    <w:p>
      <w:pPr>
        <w:sectPr>
          <w:pgSz w:w="11900" w:h="16838" w:orient="portrait"/>
          <w:cols w:equalWidth="0" w:num="1">
            <w:col w:w="11420"/>
          </w:cols>
          <w:pgMar w:left="240" w:top="609" w:right="239" w:bottom="1440" w:gutter="0" w:footer="0" w:header="0"/>
        </w:sectPr>
      </w:pPr>
    </w:p>
    <w:bookmarkStart w:id="5" w:name="page6"/>
    <w:bookmarkEnd w:id="5"/>
    <w:p>
      <w:pPr>
        <w:jc w:val="both"/>
        <w:spacing w:after="0" w:line="303" w:lineRule="auto"/>
        <w:rPr>
          <w:sz w:val="20"/>
          <w:szCs w:val="20"/>
          <w:color w:val="auto"/>
        </w:rPr>
      </w:pPr>
      <w:r>
        <w:rPr>
          <w:rFonts w:ascii="Arial" w:cs="Arial" w:eastAsia="Arial" w:hAnsi="Arial"/>
          <w:sz w:val="20"/>
          <w:szCs w:val="20"/>
          <w:color w:val="auto"/>
        </w:rPr>
        <w:t>semiconductor manufacturing processes and raw materials in either our own production facilities or by third-party wafer fabricators using proprietary processes. Our ICs are sold to customers globally through a direct sales force, third-party distributors, independent sales representatives and via our website. Our ten highest revenue products, in the aggregate, accounted for approximately 14% of our revenue for our fiscal year ended October 28, 2017 (fiscal 2017).</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Conflict Minerals Policy</w:t>
      </w:r>
    </w:p>
    <w:p>
      <w:pPr>
        <w:spacing w:after="0" w:line="289" w:lineRule="exact"/>
        <w:rPr>
          <w:sz w:val="20"/>
          <w:szCs w:val="20"/>
          <w:color w:val="auto"/>
        </w:rPr>
      </w:pPr>
    </w:p>
    <w:p>
      <w:pPr>
        <w:ind w:right="300"/>
        <w:spacing w:after="0" w:line="320" w:lineRule="auto"/>
        <w:rPr>
          <w:sz w:val="20"/>
          <w:szCs w:val="20"/>
          <w:color w:val="auto"/>
        </w:rPr>
      </w:pPr>
      <w:r>
        <w:rPr>
          <w:rFonts w:ascii="Arial" w:cs="Arial" w:eastAsia="Arial" w:hAnsi="Arial"/>
          <w:sz w:val="20"/>
          <w:szCs w:val="20"/>
          <w:color w:val="auto"/>
        </w:rPr>
        <w:t>Analog Devices has adopted a Conflict Minerals Policy. The ADI Conflict Minerals Policy is publicly available on our website (http://www.analog.com/media/en/Other/About-ADI/Sustainability/Analog_Devices_Conflict_Minerals_Policy_Statement.pdf) and is a key component of our conflict minerals program framework systems. This policy:</w:t>
      </w:r>
    </w:p>
    <w:p>
      <w:pPr>
        <w:spacing w:after="0" w:line="106"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reflects ADI’s commitment to ethical practices and compliance with applicable laws and regulations,</w:t>
      </w:r>
    </w:p>
    <w:p>
      <w:pPr>
        <w:spacing w:after="0" w:line="202" w:lineRule="exact"/>
        <w:rPr>
          <w:rFonts w:ascii="Arial" w:cs="Arial" w:eastAsia="Arial" w:hAnsi="Arial"/>
          <w:sz w:val="20"/>
          <w:szCs w:val="20"/>
          <w:color w:val="auto"/>
        </w:rPr>
      </w:pPr>
    </w:p>
    <w:p>
      <w:pPr>
        <w:jc w:val="both"/>
        <w:ind w:left="580" w:hanging="329"/>
        <w:spacing w:after="0" w:line="320" w:lineRule="auto"/>
        <w:tabs>
          <w:tab w:leader="none" w:pos="562" w:val="left"/>
        </w:tabs>
        <w:numPr>
          <w:ilvl w:val="0"/>
          <w:numId w:val="2"/>
        </w:numPr>
        <w:rPr>
          <w:rFonts w:ascii="Arial" w:cs="Arial" w:eastAsia="Arial" w:hAnsi="Arial"/>
          <w:sz w:val="20"/>
          <w:szCs w:val="20"/>
          <w:color w:val="auto"/>
        </w:rPr>
      </w:pPr>
      <w:r>
        <w:rPr>
          <w:rFonts w:ascii="Arial" w:cs="Arial" w:eastAsia="Arial" w:hAnsi="Arial"/>
          <w:sz w:val="20"/>
          <w:szCs w:val="20"/>
          <w:color w:val="auto"/>
        </w:rPr>
        <w:t>includes ADI’s actions to collaborate with other concerned electronics companies, under the Responsible Minerals Initiative (RMI), formerly the EICC-GeSI Conflict-Free Sourcing Initiative (CFSI), in developing methods to track the origin of conflict minerals used in the manufacture of electronic products,</w:t>
      </w:r>
    </w:p>
    <w:p>
      <w:pPr>
        <w:spacing w:after="0" w:line="106" w:lineRule="exact"/>
        <w:rPr>
          <w:rFonts w:ascii="Arial" w:cs="Arial" w:eastAsia="Arial" w:hAnsi="Arial"/>
          <w:sz w:val="20"/>
          <w:szCs w:val="20"/>
          <w:color w:val="auto"/>
        </w:rPr>
      </w:pPr>
    </w:p>
    <w:p>
      <w:pPr>
        <w:jc w:val="both"/>
        <w:ind w:left="580" w:hanging="329"/>
        <w:spacing w:after="0" w:line="320" w:lineRule="auto"/>
        <w:tabs>
          <w:tab w:leader="none" w:pos="562" w:val="left"/>
        </w:tabs>
        <w:numPr>
          <w:ilvl w:val="0"/>
          <w:numId w:val="2"/>
        </w:numPr>
        <w:rPr>
          <w:rFonts w:ascii="Arial" w:cs="Arial" w:eastAsia="Arial" w:hAnsi="Arial"/>
          <w:sz w:val="20"/>
          <w:szCs w:val="20"/>
          <w:color w:val="auto"/>
        </w:rPr>
      </w:pPr>
      <w:r>
        <w:rPr>
          <w:rFonts w:ascii="Arial" w:cs="Arial" w:eastAsia="Arial" w:hAnsi="Arial"/>
          <w:sz w:val="20"/>
          <w:szCs w:val="20"/>
          <w:color w:val="auto"/>
        </w:rPr>
        <w:t>reflects ADI’s support of the Responsible Minerals Assurance Process (RMAP), formerly the Conflict-Free Smelter Program (CFSP), in assessing activities, processes, and systems used by the smelter or refiner (SOR) facility to conduct upstream supply chain due diligence of minerals for conflict-affected and high-risk areas, and</w:t>
      </w:r>
    </w:p>
    <w:p>
      <w:pPr>
        <w:spacing w:after="0" w:line="92" w:lineRule="exact"/>
        <w:rPr>
          <w:rFonts w:ascii="Arial" w:cs="Arial" w:eastAsia="Arial" w:hAnsi="Arial"/>
          <w:sz w:val="20"/>
          <w:szCs w:val="20"/>
          <w:color w:val="auto"/>
        </w:rPr>
      </w:pPr>
    </w:p>
    <w:p>
      <w:pPr>
        <w:ind w:left="580" w:hanging="329"/>
        <w:spacing w:after="0" w:line="317" w:lineRule="auto"/>
        <w:tabs>
          <w:tab w:leader="none" w:pos="562" w:val="left"/>
        </w:tabs>
        <w:numPr>
          <w:ilvl w:val="0"/>
          <w:numId w:val="2"/>
        </w:numPr>
        <w:rPr>
          <w:rFonts w:ascii="Arial" w:cs="Arial" w:eastAsia="Arial" w:hAnsi="Arial"/>
          <w:sz w:val="20"/>
          <w:szCs w:val="20"/>
          <w:color w:val="auto"/>
        </w:rPr>
      </w:pPr>
      <w:r>
        <w:rPr>
          <w:rFonts w:ascii="Arial" w:cs="Arial" w:eastAsia="Arial" w:hAnsi="Arial"/>
          <w:sz w:val="20"/>
          <w:szCs w:val="20"/>
          <w:color w:val="auto"/>
        </w:rPr>
        <w:t>is communicated to ADI’s supply chain with the expectation of compliance with the conflict minerals policy, and for the suppliers to provide sourcing information using the RMI Conflict Minerals Reporting Template (RMI CMRT) as a standard.</w:t>
      </w:r>
    </w:p>
    <w:p>
      <w:pPr>
        <w:spacing w:after="0" w:line="243" w:lineRule="exact"/>
        <w:rPr>
          <w:rFonts w:ascii="Arial" w:cs="Arial" w:eastAsia="Arial" w:hAnsi="Arial"/>
          <w:sz w:val="20"/>
          <w:szCs w:val="20"/>
          <w:color w:val="auto"/>
        </w:rPr>
      </w:pPr>
    </w:p>
    <w:p>
      <w:pPr>
        <w:ind w:left="580" w:hanging="329"/>
        <w:spacing w:after="0" w:line="317" w:lineRule="auto"/>
        <w:tabs>
          <w:tab w:leader="none" w:pos="562" w:val="left"/>
        </w:tabs>
        <w:numPr>
          <w:ilvl w:val="0"/>
          <w:numId w:val="2"/>
        </w:numPr>
        <w:rPr>
          <w:rFonts w:ascii="Arial" w:cs="Arial" w:eastAsia="Arial" w:hAnsi="Arial"/>
          <w:sz w:val="20"/>
          <w:szCs w:val="20"/>
          <w:color w:val="auto"/>
        </w:rPr>
      </w:pPr>
      <w:r>
        <w:rPr>
          <w:rFonts w:ascii="Arial" w:cs="Arial" w:eastAsia="Arial" w:hAnsi="Arial"/>
          <w:sz w:val="20"/>
          <w:szCs w:val="20"/>
          <w:color w:val="auto"/>
        </w:rPr>
        <w:t>provides dedicated conflict minerals contact information where any concerned party can report directly to ADI concerns or grievances related with conflict minerals sourcing.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 Conflict Minerals Team</w:t>
      </w:r>
    </w:p>
    <w:p>
      <w:pPr>
        <w:spacing w:after="0" w:line="276"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An internal team is tasked to implement our Conflict Minerals Policy and oversee ADI’s conflict minerals program. The Director of Environmental, Health, &amp; Safety (EH&amp;S), who reports to the Senior Vice President of Global Operations and Technology, is the assigned team leader and is supported by representatives from different functional groups.</w:t>
      </w:r>
    </w:p>
    <w:p>
      <w:pPr>
        <w:sectPr>
          <w:pgSz w:w="11900" w:h="16838" w:orient="portrait"/>
          <w:cols w:equalWidth="0" w:num="1">
            <w:col w:w="11420"/>
          </w:cols>
          <w:pgMar w:left="240" w:top="609"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Section 4: Reasonable Country of Origin Inquiry (RCOI)</w:t>
      </w:r>
    </w:p>
    <w:p>
      <w:pPr>
        <w:spacing w:after="0" w:line="343"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Analog Devices engaged with our relevant suppliers to identify the smelters and refiners in our supply chain. We define relevant suppliers as those who supply materials to the Company that are known to contain any or all of the conflict minerals and that end up in our final products. We utilized an online platform to reach out to our relevant suppliers to request conflict minerals sourcing information using the RMI CMRT. Information provided by our relevant suppliers is reviewed for completeness and reasonableness, based on our knowledge of the supplier. If necessary, assessment reports were created to outline additional actions needed from suppliers regarding their submission, including but not limited to follow-up and escalation.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 Due Diligence</w:t>
      </w:r>
    </w:p>
    <w:p>
      <w:pPr>
        <w:spacing w:after="0" w:line="35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Design of Analog Devices’ due diligence framework</w:t>
      </w:r>
    </w:p>
    <w:p>
      <w:pPr>
        <w:spacing w:after="0" w:line="357" w:lineRule="exact"/>
        <w:rPr>
          <w:rFonts w:ascii="Arial" w:cs="Arial" w:eastAsia="Arial" w:hAnsi="Arial"/>
          <w:sz w:val="22"/>
          <w:szCs w:val="22"/>
          <w:color w:val="auto"/>
        </w:rPr>
      </w:pPr>
    </w:p>
    <w:p>
      <w:pPr>
        <w:jc w:val="both"/>
        <w:ind w:left="660"/>
        <w:spacing w:after="0" w:line="303" w:lineRule="auto"/>
        <w:rPr>
          <w:rFonts w:ascii="Arial" w:cs="Arial" w:eastAsia="Arial" w:hAnsi="Arial"/>
          <w:sz w:val="22"/>
          <w:szCs w:val="22"/>
          <w:color w:val="auto"/>
        </w:rPr>
      </w:pPr>
      <w:r>
        <w:rPr>
          <w:rFonts w:ascii="Arial" w:cs="Arial" w:eastAsia="Arial" w:hAnsi="Arial"/>
          <w:sz w:val="20"/>
          <w:szCs w:val="20"/>
          <w:color w:val="auto"/>
        </w:rPr>
        <w:t>Analog Devices designed our due diligence measures to conform, in all material respects, with the internationally recognized due diligence framework in the OECD Due Diligence Guidance for Responsible Supply Chains of Minerals from Conflict-Affected and High-Risk Areas: Second Edition (OECD 2013) (“OECD Framework”), including related supplements for each of the conflict minerals.</w:t>
      </w:r>
    </w:p>
    <w:p>
      <w:pPr>
        <w:spacing w:after="0" w:line="270" w:lineRule="exact"/>
        <w:rPr>
          <w:rFonts w:ascii="Arial" w:cs="Arial" w:eastAsia="Arial" w:hAnsi="Arial"/>
          <w:sz w:val="22"/>
          <w:szCs w:val="22"/>
          <w:color w:val="auto"/>
        </w:rPr>
      </w:pPr>
    </w:p>
    <w:p>
      <w:pPr>
        <w:ind w:left="660" w:right="1380" w:hanging="328"/>
        <w:spacing w:after="0" w:line="66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18"/>
          <w:szCs w:val="18"/>
          <w:color w:val="auto"/>
        </w:rPr>
        <w:t>Description of Analog Devices’ due diligence measures performed with respect to products manufactured during 2017 Analog Devices’ due diligence measures performed with respect to products manufactured during 2017 included</w:t>
      </w:r>
      <w:r>
        <w:rPr>
          <w:rFonts w:ascii="Arial" w:cs="Arial" w:eastAsia="Arial" w:hAnsi="Arial"/>
          <w:sz w:val="19"/>
          <w:szCs w:val="19"/>
          <w:color w:val="auto"/>
        </w:rPr>
        <w:t>:</w:t>
      </w:r>
    </w:p>
    <w:p>
      <w:pPr>
        <w:spacing w:after="0" w:line="19" w:lineRule="exact"/>
        <w:rPr>
          <w:rFonts w:ascii="Arial" w:cs="Arial" w:eastAsia="Arial" w:hAnsi="Arial"/>
          <w:sz w:val="20"/>
          <w:szCs w:val="20"/>
          <w:color w:val="auto"/>
        </w:rPr>
      </w:pPr>
    </w:p>
    <w:p>
      <w:pPr>
        <w:ind w:left="660" w:right="360" w:hanging="4"/>
        <w:spacing w:after="0" w:line="340" w:lineRule="auto"/>
        <w:tabs>
          <w:tab w:leader="none" w:pos="1384" w:val="left"/>
        </w:tabs>
        <w:numPr>
          <w:ilvl w:val="1"/>
          <w:numId w:val="3"/>
        </w:numPr>
        <w:rPr>
          <w:rFonts w:ascii="Arial" w:cs="Arial" w:eastAsia="Arial" w:hAnsi="Arial"/>
          <w:sz w:val="21"/>
          <w:szCs w:val="21"/>
          <w:color w:val="auto"/>
        </w:rPr>
      </w:pPr>
      <w:r>
        <w:rPr>
          <w:rFonts w:ascii="Arial" w:cs="Arial" w:eastAsia="Arial" w:hAnsi="Arial"/>
          <w:sz w:val="19"/>
          <w:szCs w:val="19"/>
          <w:color w:val="auto"/>
        </w:rPr>
        <w:t>Comparing the smelters and refiners identified by relevant suppliers via the CMRT against the RMI list of smelter and refinery facilities that have received a “conformant” designation for conflict minerals by participating in an independent third-party smelter audit. We also validated the smelters’ status using RMI’s Active Smelters and Refiners List.</w:t>
      </w:r>
    </w:p>
    <w:p>
      <w:pPr>
        <w:spacing w:after="0" w:line="254" w:lineRule="exact"/>
        <w:rPr>
          <w:rFonts w:ascii="Arial" w:cs="Arial" w:eastAsia="Arial" w:hAnsi="Arial"/>
          <w:sz w:val="21"/>
          <w:szCs w:val="21"/>
          <w:color w:val="auto"/>
        </w:rPr>
      </w:pPr>
    </w:p>
    <w:p>
      <w:pPr>
        <w:ind w:left="660" w:right="60" w:hanging="4"/>
        <w:spacing w:after="0" w:line="329" w:lineRule="auto"/>
        <w:tabs>
          <w:tab w:leader="none" w:pos="1378" w:val="left"/>
        </w:tabs>
        <w:numPr>
          <w:ilvl w:val="1"/>
          <w:numId w:val="3"/>
        </w:numPr>
        <w:rPr>
          <w:rFonts w:ascii="Arial" w:cs="Arial" w:eastAsia="Arial" w:hAnsi="Arial"/>
          <w:sz w:val="20"/>
          <w:szCs w:val="20"/>
          <w:color w:val="auto"/>
        </w:rPr>
      </w:pPr>
      <w:r>
        <w:rPr>
          <w:rFonts w:ascii="Arial" w:cs="Arial" w:eastAsia="Arial" w:hAnsi="Arial"/>
          <w:sz w:val="20"/>
          <w:szCs w:val="20"/>
          <w:color w:val="auto"/>
        </w:rPr>
        <w:t>Gathering more information on smelters or refiners (SORs) that are not listed on the references mentioned above by working with the SOR directly, contacting the SOR indirectly through our suppliers, or conducting internet research. If the result of this data collection process indicates that the SOR is legitimately processing conflict minerals, we forward the SOR information to RMI for further research. If, however, the result reveals that the SOR is not legitimate, we work with our supplier to conduct additional research on the SOR and to obtain</w:t>
      </w:r>
    </w:p>
    <w:p>
      <w:pPr>
        <w:sectPr>
          <w:pgSz w:w="11900" w:h="16838" w:orient="portrait"/>
          <w:cols w:equalWidth="0" w:num="1">
            <w:col w:w="11420"/>
          </w:cols>
          <w:pgMar w:left="240" w:top="886"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information indicating that it is legitimate, otherwise, the supplier is asked to remove the alleged smelter from the supplier CMRT.</w:t>
      </w:r>
    </w:p>
    <w:p>
      <w:pPr>
        <w:spacing w:after="0" w:line="387" w:lineRule="exact"/>
        <w:rPr>
          <w:sz w:val="20"/>
          <w:szCs w:val="20"/>
          <w:color w:val="auto"/>
        </w:rPr>
      </w:pPr>
    </w:p>
    <w:p>
      <w:pPr>
        <w:ind w:left="660" w:right="260" w:hanging="4"/>
        <w:spacing w:after="0" w:line="334" w:lineRule="auto"/>
        <w:tabs>
          <w:tab w:leader="none" w:pos="1378" w:val="left"/>
        </w:tabs>
        <w:numPr>
          <w:ilvl w:val="0"/>
          <w:numId w:val="4"/>
        </w:numPr>
        <w:rPr>
          <w:rFonts w:ascii="Arial" w:cs="Arial" w:eastAsia="Arial" w:hAnsi="Arial"/>
          <w:sz w:val="20"/>
          <w:szCs w:val="20"/>
          <w:color w:val="auto"/>
        </w:rPr>
      </w:pPr>
      <w:r>
        <w:rPr>
          <w:rFonts w:ascii="Arial" w:cs="Arial" w:eastAsia="Arial" w:hAnsi="Arial"/>
          <w:sz w:val="20"/>
          <w:szCs w:val="20"/>
          <w:color w:val="auto"/>
        </w:rPr>
        <w:t>Reaching out directly to SORs who are no longer certified as conformant by a recognized certification program to gather information regarding their plans of recertification, or lack thereof. If the SOR decided not to pursue recertification, we will ask our supplier to discontinue engagement with the smelter.</w:t>
      </w:r>
    </w:p>
    <w:p>
      <w:pPr>
        <w:spacing w:after="0" w:line="255" w:lineRule="exact"/>
        <w:rPr>
          <w:rFonts w:ascii="Arial" w:cs="Arial" w:eastAsia="Arial" w:hAnsi="Arial"/>
          <w:sz w:val="20"/>
          <w:szCs w:val="20"/>
          <w:color w:val="auto"/>
        </w:rPr>
      </w:pPr>
    </w:p>
    <w:p>
      <w:pPr>
        <w:ind w:left="660" w:right="100" w:hanging="4"/>
        <w:spacing w:after="0" w:line="358" w:lineRule="auto"/>
        <w:tabs>
          <w:tab w:leader="none" w:pos="1378" w:val="left"/>
        </w:tabs>
        <w:numPr>
          <w:ilvl w:val="0"/>
          <w:numId w:val="4"/>
        </w:numPr>
        <w:rPr>
          <w:rFonts w:ascii="Arial" w:cs="Arial" w:eastAsia="Arial" w:hAnsi="Arial"/>
          <w:sz w:val="19"/>
          <w:szCs w:val="19"/>
          <w:color w:val="auto"/>
        </w:rPr>
      </w:pPr>
      <w:r>
        <w:rPr>
          <w:rFonts w:ascii="Arial" w:cs="Arial" w:eastAsia="Arial" w:hAnsi="Arial"/>
          <w:sz w:val="19"/>
          <w:szCs w:val="19"/>
          <w:color w:val="auto"/>
        </w:rPr>
        <w:t>Reaching out directly to the RMI to gather additional information regarding questionable smelters. These include but are not limited to smelters who have been on the Active list (i.e., smelters who have been in the audit process but have not completed it) for more than 6 months, smelters whose certification status have expired, or newly added smelters.</w:t>
      </w:r>
    </w:p>
    <w:p>
      <w:pPr>
        <w:spacing w:after="0" w:line="237" w:lineRule="exact"/>
        <w:rPr>
          <w:rFonts w:ascii="Arial" w:cs="Arial" w:eastAsia="Arial" w:hAnsi="Arial"/>
          <w:sz w:val="19"/>
          <w:szCs w:val="19"/>
          <w:color w:val="auto"/>
        </w:rPr>
      </w:pPr>
    </w:p>
    <w:p>
      <w:pPr>
        <w:ind w:left="660" w:right="600" w:hanging="4"/>
        <w:spacing w:after="0" w:line="345" w:lineRule="auto"/>
        <w:tabs>
          <w:tab w:leader="none" w:pos="1378" w:val="left"/>
        </w:tabs>
        <w:numPr>
          <w:ilvl w:val="0"/>
          <w:numId w:val="4"/>
        </w:numPr>
        <w:rPr>
          <w:rFonts w:ascii="Arial" w:cs="Arial" w:eastAsia="Arial" w:hAnsi="Arial"/>
          <w:sz w:val="20"/>
          <w:szCs w:val="20"/>
          <w:color w:val="auto"/>
        </w:rPr>
      </w:pPr>
      <w:r>
        <w:rPr>
          <w:rFonts w:ascii="Arial" w:cs="Arial" w:eastAsia="Arial" w:hAnsi="Arial"/>
          <w:sz w:val="20"/>
          <w:szCs w:val="20"/>
          <w:color w:val="auto"/>
        </w:rPr>
        <w:t>Working with our suppliers to strongly encourage smelters in our supply chain to participate in the RMAP or a similar program and to cease sourcing from SOR who decline to participate in a RMAP or similar program.</w:t>
      </w:r>
    </w:p>
    <w:p>
      <w:pPr>
        <w:spacing w:after="0" w:line="243" w:lineRule="exact"/>
        <w:rPr>
          <w:rFonts w:ascii="Arial" w:cs="Arial" w:eastAsia="Arial" w:hAnsi="Arial"/>
          <w:sz w:val="20"/>
          <w:szCs w:val="20"/>
          <w:color w:val="auto"/>
        </w:rPr>
      </w:pPr>
    </w:p>
    <w:p>
      <w:pPr>
        <w:ind w:left="1380" w:hanging="724"/>
        <w:spacing w:after="0"/>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Collaborating with suppliers to ensure accuracy of information being passed down the supply chain.</w:t>
      </w:r>
    </w:p>
    <w:p>
      <w:pPr>
        <w:spacing w:after="0" w:line="364" w:lineRule="exact"/>
        <w:rPr>
          <w:rFonts w:ascii="Arial" w:cs="Arial" w:eastAsia="Arial" w:hAnsi="Arial"/>
          <w:sz w:val="20"/>
          <w:szCs w:val="20"/>
          <w:color w:val="auto"/>
        </w:rPr>
      </w:pPr>
    </w:p>
    <w:p>
      <w:pPr>
        <w:ind w:left="660" w:right="20" w:hanging="4"/>
        <w:spacing w:after="0" w:line="334" w:lineRule="auto"/>
        <w:tabs>
          <w:tab w:leader="none" w:pos="1378" w:val="left"/>
        </w:tabs>
        <w:numPr>
          <w:ilvl w:val="0"/>
          <w:numId w:val="4"/>
        </w:numPr>
        <w:rPr>
          <w:rFonts w:ascii="Arial" w:cs="Arial" w:eastAsia="Arial" w:hAnsi="Arial"/>
          <w:sz w:val="20"/>
          <w:szCs w:val="20"/>
          <w:color w:val="auto"/>
        </w:rPr>
      </w:pPr>
      <w:r>
        <w:rPr>
          <w:rFonts w:ascii="Arial" w:cs="Arial" w:eastAsia="Arial" w:hAnsi="Arial"/>
          <w:sz w:val="20"/>
          <w:szCs w:val="20"/>
          <w:color w:val="auto"/>
        </w:rPr>
        <w:t>Pursuing non-responsive suppliers to obtain a CMRT. Suppliers who failed to provide survey information were escalated to our purchasing group and the supplier’s management group. We will take measures up to and including termination of our relationship with the supplier, if warranted.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 Risk Management Plan</w:t>
      </w:r>
    </w:p>
    <w:p>
      <w:pPr>
        <w:spacing w:after="0" w:line="343" w:lineRule="exact"/>
        <w:rPr>
          <w:sz w:val="20"/>
          <w:szCs w:val="20"/>
          <w:color w:val="auto"/>
        </w:rPr>
      </w:pPr>
    </w:p>
    <w:p>
      <w:pPr>
        <w:ind w:right="120"/>
        <w:spacing w:after="0" w:line="301" w:lineRule="auto"/>
        <w:rPr>
          <w:sz w:val="20"/>
          <w:szCs w:val="20"/>
          <w:color w:val="auto"/>
        </w:rPr>
      </w:pPr>
      <w:r>
        <w:rPr>
          <w:rFonts w:ascii="Arial" w:cs="Arial" w:eastAsia="Arial" w:hAnsi="Arial"/>
          <w:sz w:val="20"/>
          <w:szCs w:val="20"/>
          <w:color w:val="auto"/>
        </w:rPr>
        <w:t>The OECD guidelines for managing risk are largely directed towards the upstream portion of the supply chain (SORs and mines of origin). Nevertheless, ADI as a downstream company in the supply chain, participates in the Responsible Minerals Assurance Process (RMAP) under the RMI consortium to identify and review the due diligence process of the SORs in the supply chain. RMI assesses and audits whether the SORs adhere to the due diligence measures per the OECD Guidance; compliant SORs are then designated as “conformant” and listed as such on the RMI website.</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Our Risk Mitigation process includes the following:</w:t>
      </w: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306"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the event that a supplier reports on the RMI Conflict Minerals Reporting Template or it is discovered that the SOR has used conflict minerals sourced from mines that support armed conflict in the Covered Countries, then we work with the SOR to obtain its agreement to take</w:t>
      </w:r>
    </w:p>
    <w:p>
      <w:pPr>
        <w:sectPr>
          <w:pgSz w:w="11900" w:h="16838" w:orient="portrait"/>
          <w:cols w:equalWidth="0" w:num="1">
            <w:col w:w="11340"/>
          </w:cols>
          <w:pgMar w:left="240" w:top="622" w:right="319" w:bottom="1440" w:gutter="0" w:footer="0" w:header="0"/>
        </w:sectPr>
      </w:pPr>
    </w:p>
    <w:bookmarkStart w:id="8" w:name="page9"/>
    <w:bookmarkEnd w:id="8"/>
    <w:p>
      <w:pPr>
        <w:ind w:left="660" w:right="480"/>
        <w:spacing w:after="0" w:line="334" w:lineRule="auto"/>
        <w:rPr>
          <w:sz w:val="20"/>
          <w:szCs w:val="20"/>
          <w:color w:val="auto"/>
        </w:rPr>
      </w:pPr>
      <w:r>
        <w:rPr>
          <w:rFonts w:ascii="Arial" w:cs="Arial" w:eastAsia="Arial" w:hAnsi="Arial"/>
          <w:sz w:val="20"/>
          <w:szCs w:val="20"/>
          <w:color w:val="auto"/>
        </w:rPr>
        <w:t>steps to rectify the situation, including implementing corrective action to eliminate the use of non-DRC conflict free minerals in products supplied for ADI products, in an agreed upon timeframe. Should the SOR fail to mitigate the issue, ADI will discontinue engagement with the SOR.</w:t>
      </w:r>
    </w:p>
    <w:p>
      <w:pPr>
        <w:spacing w:after="0" w:line="242" w:lineRule="exact"/>
        <w:rPr>
          <w:sz w:val="20"/>
          <w:szCs w:val="20"/>
          <w:color w:val="auto"/>
        </w:rPr>
      </w:pPr>
    </w:p>
    <w:p>
      <w:pPr>
        <w:ind w:left="660" w:right="700" w:hanging="328"/>
        <w:spacing w:after="0" w:line="317"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ADI will continue to work with our suppliers and with RMI to encourage smelters who have not yet obtained the “conformant” designation to do so.</w:t>
      </w:r>
    </w:p>
    <w:p>
      <w:pPr>
        <w:spacing w:after="0" w:line="243"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Findings, including the number of SORs that are designated as conformant and suppliers that reported conformant status of all SORs during the preceding quarter relative to the total number of SORs and suppliers in the ADI supply chain, the number of SORs whose sources of minerals are undeterminable, and any supplier reporting use of minerals sourced from conflict mines are reported to the Senior Vice President of Global Operations and Technology and staff members quarterly.</w:t>
      </w:r>
    </w:p>
    <w:p>
      <w:pPr>
        <w:spacing w:after="0" w:line="257" w:lineRule="exact"/>
        <w:rPr>
          <w:sz w:val="20"/>
          <w:szCs w:val="20"/>
          <w:color w:val="auto"/>
        </w:rPr>
      </w:pPr>
    </w:p>
    <w:p>
      <w:pPr>
        <w:jc w:val="both"/>
        <w:ind w:right="20"/>
        <w:spacing w:after="0" w:line="306" w:lineRule="auto"/>
        <w:rPr>
          <w:sz w:val="20"/>
          <w:szCs w:val="20"/>
          <w:color w:val="auto"/>
        </w:rPr>
      </w:pPr>
      <w:r>
        <w:rPr>
          <w:rFonts w:ascii="Arial" w:cs="Arial" w:eastAsia="Arial" w:hAnsi="Arial"/>
          <w:sz w:val="20"/>
          <w:szCs w:val="20"/>
          <w:color w:val="auto"/>
        </w:rPr>
        <w:t>The responses from our suppliers listed 298 entities as SORs of conflict minerals in their supply chains. A recognized responsible minerals assurance process verified 243 of these entities as conformant. The following is a summary of the SORs used by our suppliers broken out by mineral type:</w:t>
      </w:r>
    </w:p>
    <w:p>
      <w:pPr>
        <w:spacing w:after="0" w:line="200" w:lineRule="exact"/>
        <w:rPr>
          <w:sz w:val="20"/>
          <w:szCs w:val="20"/>
          <w:color w:val="auto"/>
        </w:rPr>
      </w:pPr>
    </w:p>
    <w:p>
      <w:pPr>
        <w:spacing w:after="0" w:line="227" w:lineRule="exact"/>
        <w:rPr>
          <w:sz w:val="20"/>
          <w:szCs w:val="20"/>
          <w:color w:val="auto"/>
        </w:rPr>
      </w:pPr>
    </w:p>
    <w:tbl>
      <w:tblPr>
        <w:tblLayout w:type="fixed"/>
        <w:tblInd w:w="70" w:type="dxa"/>
        <w:tblCellMar>
          <w:top w:w="0" w:type="dxa"/>
          <w:left w:w="0" w:type="dxa"/>
          <w:bottom w:w="0" w:type="dxa"/>
          <w:right w:w="0" w:type="dxa"/>
        </w:tblCellMar>
      </w:tblPr>
      <w:tr>
        <w:trPr>
          <w:trHeight w:val="274"/>
        </w:trPr>
        <w:tc>
          <w:tcPr>
            <w:tcW w:w="38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Metal</w:t>
            </w:r>
          </w:p>
        </w:tc>
        <w:tc>
          <w:tcPr>
            <w:tcW w:w="37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20"/>
                <w:szCs w:val="20"/>
                <w:b w:val="1"/>
                <w:bCs w:val="1"/>
                <w:color w:val="auto"/>
              </w:rPr>
              <w:t>Total Known Smelters Used</w:t>
            </w:r>
          </w:p>
        </w:tc>
        <w:tc>
          <w:tcPr>
            <w:tcW w:w="37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20"/>
                <w:szCs w:val="20"/>
                <w:b w:val="1"/>
                <w:bCs w:val="1"/>
                <w:color w:val="auto"/>
              </w:rPr>
              <w:t>Conformant Smelters</w:t>
            </w:r>
          </w:p>
        </w:tc>
      </w:tr>
      <w:tr>
        <w:trPr>
          <w:trHeight w:val="50"/>
        </w:trPr>
        <w:tc>
          <w:tcPr>
            <w:tcW w:w="388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54"/>
        </w:trPr>
        <w:tc>
          <w:tcPr>
            <w:tcW w:w="3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Gold</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138</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0"/>
              </w:rPr>
              <w:t>95</w:t>
            </w:r>
          </w:p>
        </w:tc>
      </w:tr>
      <w:tr>
        <w:trPr>
          <w:trHeight w:val="50"/>
        </w:trPr>
        <w:tc>
          <w:tcPr>
            <w:tcW w:w="388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54"/>
        </w:trPr>
        <w:tc>
          <w:tcPr>
            <w:tcW w:w="3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Tantalum</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38</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0"/>
              </w:rPr>
              <w:t>38</w:t>
            </w:r>
          </w:p>
        </w:tc>
      </w:tr>
      <w:tr>
        <w:trPr>
          <w:trHeight w:val="50"/>
        </w:trPr>
        <w:tc>
          <w:tcPr>
            <w:tcW w:w="388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54"/>
        </w:trPr>
        <w:tc>
          <w:tcPr>
            <w:tcW w:w="3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Tin</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78</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0"/>
              </w:rPr>
              <w:t>70</w:t>
            </w:r>
          </w:p>
        </w:tc>
      </w:tr>
      <w:tr>
        <w:trPr>
          <w:trHeight w:val="50"/>
        </w:trPr>
        <w:tc>
          <w:tcPr>
            <w:tcW w:w="388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54"/>
        </w:trPr>
        <w:tc>
          <w:tcPr>
            <w:tcW w:w="3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Tungsten</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44</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0"/>
              </w:rPr>
              <w:t>40</w:t>
            </w:r>
          </w:p>
        </w:tc>
      </w:tr>
      <w:tr>
        <w:trPr>
          <w:trHeight w:val="50"/>
        </w:trPr>
        <w:tc>
          <w:tcPr>
            <w:tcW w:w="388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54"/>
        </w:trPr>
        <w:tc>
          <w:tcPr>
            <w:tcW w:w="3880" w:type="dxa"/>
            <w:vAlign w:val="bottom"/>
            <w:tcBorders>
              <w:left w:val="single" w:sz="8" w:color="auto"/>
              <w:right w:val="single" w:sz="8" w:color="auto"/>
            </w:tcBorders>
          </w:tcPr>
          <w:p>
            <w:pPr>
              <w:ind w:left="1760"/>
              <w:spacing w:after="0"/>
              <w:rPr>
                <w:sz w:val="20"/>
                <w:szCs w:val="20"/>
                <w:color w:val="auto"/>
              </w:rPr>
            </w:pPr>
            <w:r>
              <w:rPr>
                <w:rFonts w:ascii="Arial" w:cs="Arial" w:eastAsia="Arial" w:hAnsi="Arial"/>
                <w:sz w:val="20"/>
                <w:szCs w:val="20"/>
                <w:color w:val="auto"/>
              </w:rPr>
              <w:t>Total</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298</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243</w:t>
            </w:r>
          </w:p>
        </w:tc>
      </w:tr>
      <w:tr>
        <w:trPr>
          <w:trHeight w:val="50"/>
        </w:trPr>
        <w:tc>
          <w:tcPr>
            <w:tcW w:w="388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 Other Matters</w:t>
      </w:r>
    </w:p>
    <w:p>
      <w:pPr>
        <w:spacing w:after="0" w:line="370" w:lineRule="exact"/>
        <w:rPr>
          <w:sz w:val="20"/>
          <w:szCs w:val="20"/>
          <w:color w:val="auto"/>
        </w:rPr>
      </w:pPr>
    </w:p>
    <w:p>
      <w:pPr>
        <w:jc w:val="both"/>
        <w:ind w:right="40"/>
        <w:spacing w:after="0" w:line="317" w:lineRule="auto"/>
        <w:rPr>
          <w:sz w:val="20"/>
          <w:szCs w:val="20"/>
          <w:color w:val="auto"/>
        </w:rPr>
      </w:pPr>
      <w:r>
        <w:rPr>
          <w:rFonts w:ascii="Arial" w:cs="Arial" w:eastAsia="Arial" w:hAnsi="Arial"/>
          <w:sz w:val="20"/>
          <w:szCs w:val="20"/>
          <w:color w:val="auto"/>
        </w:rPr>
        <w:t>Based on the information provided by our suppliers through December 31, 2017, we believe that the facilities that may have been used to process conflict minerals in our products include the smelters and refiners listed in Annex I below.</w:t>
      </w:r>
    </w:p>
    <w:p>
      <w:pPr>
        <w:spacing w:after="0" w:line="270" w:lineRule="exact"/>
        <w:rPr>
          <w:sz w:val="20"/>
          <w:szCs w:val="20"/>
          <w:color w:val="auto"/>
        </w:rPr>
      </w:pPr>
    </w:p>
    <w:p>
      <w:pPr>
        <w:jc w:val="both"/>
        <w:ind w:right="20"/>
        <w:spacing w:after="0" w:line="345" w:lineRule="auto"/>
        <w:rPr>
          <w:sz w:val="20"/>
          <w:szCs w:val="20"/>
          <w:color w:val="auto"/>
        </w:rPr>
      </w:pPr>
      <w:r>
        <w:rPr>
          <w:rFonts w:ascii="Arial" w:cs="Arial" w:eastAsia="Arial" w:hAnsi="Arial"/>
          <w:sz w:val="18"/>
          <w:szCs w:val="18"/>
          <w:color w:val="auto"/>
        </w:rPr>
        <w:t>After exercising the due diligence described above, Analog Devices concluded that some of its necessary conflict minerals originated in the Covered Countries. Analog Devices was unable to determine whether or not such conflict minerals directly or indirectly financed an armed group in the Covered Countries. Based on information provided by our suppliers, as well as from the RCOI data from RMI, Analog Devices believes the countries of origin of the conflict minerals contained in our products may include the countries listed in Annex II below.</w:t>
      </w:r>
    </w:p>
    <w:p>
      <w:pPr>
        <w:sectPr>
          <w:pgSz w:w="11900" w:h="16838" w:orient="portrait"/>
          <w:cols w:equalWidth="0" w:num="1">
            <w:col w:w="11440"/>
          </w:cols>
          <w:pgMar w:left="240" w:top="622" w:right="219" w:bottom="1440" w:gutter="0" w:footer="0" w:header="0"/>
        </w:sectPr>
      </w:pPr>
    </w:p>
    <w:bookmarkStart w:id="9" w:name="page10"/>
    <w:bookmarkEnd w:id="9"/>
    <w:p>
      <w:pPr>
        <w:spacing w:after="0" w:line="317" w:lineRule="auto"/>
        <w:rPr>
          <w:sz w:val="20"/>
          <w:szCs w:val="20"/>
          <w:color w:val="auto"/>
        </w:rPr>
      </w:pPr>
      <w:r>
        <w:rPr>
          <w:rFonts w:ascii="Arial" w:cs="Arial" w:eastAsia="Arial" w:hAnsi="Arial"/>
          <w:sz w:val="20"/>
          <w:szCs w:val="20"/>
          <w:color w:val="auto"/>
        </w:rPr>
        <w:t>Analog Devices will undertake the following steps during the next compliance period to continue to improve the due diligence conducted and to further mitigate the risk that our necessary conflict minerals benefit armed groups, including:</w:t>
      </w:r>
    </w:p>
    <w:p>
      <w:pPr>
        <w:spacing w:after="0" w:line="24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Continuing to participate in industry initiatives, such as the RMI.</w:t>
      </w:r>
    </w:p>
    <w:p>
      <w:pPr>
        <w:spacing w:after="0" w:line="337" w:lineRule="exact"/>
        <w:rPr>
          <w:rFonts w:ascii="Arial" w:cs="Arial" w:eastAsia="Arial" w:hAnsi="Arial"/>
          <w:sz w:val="20"/>
          <w:szCs w:val="20"/>
          <w:color w:val="auto"/>
        </w:rPr>
      </w:pPr>
    </w:p>
    <w:p>
      <w:pPr>
        <w:ind w:left="660" w:right="200" w:hanging="328"/>
        <w:spacing w:after="0" w:line="37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contact smelters and refiners identified as a result of the RCOI process and requesting their participation in obtaining a “conformant” designation from an industry program such as the RMAP program or equivalent, if they have not already done so.</w:t>
      </w:r>
    </w:p>
    <w:p>
      <w:pPr>
        <w:spacing w:after="0" w:line="332" w:lineRule="exact"/>
        <w:rPr>
          <w:sz w:val="20"/>
          <w:szCs w:val="20"/>
          <w:color w:val="auto"/>
        </w:rPr>
      </w:pPr>
    </w:p>
    <w:p>
      <w:pPr>
        <w:ind w:right="40"/>
        <w:spacing w:after="0" w:line="341" w:lineRule="auto"/>
        <w:rPr>
          <w:sz w:val="20"/>
          <w:szCs w:val="20"/>
          <w:color w:val="auto"/>
        </w:rPr>
      </w:pPr>
      <w:r>
        <w:rPr>
          <w:rFonts w:ascii="Arial" w:cs="Arial" w:eastAsia="Arial" w:hAnsi="Arial"/>
          <w:sz w:val="18"/>
          <w:szCs w:val="18"/>
          <w:color w:val="auto"/>
        </w:rPr>
        <w:t>This report includes forward-looking statements, within the meaning of the Private Securities Litigation Reform Act of 1995, which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performance. Analog Devices assumes no obligation to revise or update any forward-looking statements for any reason, except as required by law.</w:t>
      </w:r>
    </w:p>
    <w:p>
      <w:pPr>
        <w:sectPr>
          <w:pgSz w:w="11900" w:h="16838" w:orient="portrait"/>
          <w:cols w:equalWidth="0" w:num="1">
            <w:col w:w="11400"/>
          </w:cols>
          <w:pgMar w:left="240" w:top="609" w:right="25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ANNEX I</w:t>
      </w:r>
    </w:p>
    <w:p>
      <w:pPr>
        <w:spacing w:after="0" w:line="259" w:lineRule="exact"/>
        <w:rPr>
          <w:sz w:val="20"/>
          <w:szCs w:val="20"/>
          <w:color w:val="auto"/>
        </w:rPr>
      </w:pPr>
    </w:p>
    <w:tbl>
      <w:tblPr>
        <w:tblLayout w:type="fixed"/>
        <w:tblInd w:w="70" w:type="dxa"/>
        <w:tblCellMar>
          <w:top w:w="0" w:type="dxa"/>
          <w:left w:w="0" w:type="dxa"/>
          <w:bottom w:w="0" w:type="dxa"/>
          <w:right w:w="0" w:type="dxa"/>
        </w:tblCellMar>
      </w:tblPr>
      <w:tr>
        <w:trPr>
          <w:trHeight w:val="316"/>
        </w:trPr>
        <w:tc>
          <w:tcPr>
            <w:tcW w:w="1060" w:type="dxa"/>
            <w:vAlign w:val="bottom"/>
            <w:tcBorders>
              <w:top w:val="single" w:sz="8" w:color="7F7F7F"/>
              <w:left w:val="single" w:sz="8" w:color="5B9BD5"/>
              <w:bottom w:val="single" w:sz="8" w:color="BDD6EE"/>
            </w:tcBorders>
            <w:shd w:val="clear" w:color="auto" w:fill="BDD6EE"/>
          </w:tcPr>
          <w:p>
            <w:pPr>
              <w:ind w:left="100"/>
              <w:spacing w:after="0"/>
              <w:rPr>
                <w:sz w:val="20"/>
                <w:szCs w:val="20"/>
                <w:color w:val="auto"/>
              </w:rPr>
            </w:pPr>
            <w:r>
              <w:rPr>
                <w:rFonts w:ascii="Arial" w:cs="Arial" w:eastAsia="Arial" w:hAnsi="Arial"/>
                <w:sz w:val="18"/>
                <w:szCs w:val="18"/>
                <w:b w:val="1"/>
                <w:bCs w:val="1"/>
                <w:color w:val="auto"/>
              </w:rPr>
              <w:t>Metal</w:t>
            </w:r>
          </w:p>
        </w:tc>
        <w:tc>
          <w:tcPr>
            <w:tcW w:w="6320" w:type="dxa"/>
            <w:vAlign w:val="bottom"/>
            <w:tcBorders>
              <w:top w:val="single" w:sz="8" w:color="7F7F7F"/>
              <w:bottom w:val="single" w:sz="8" w:color="BDD6EE"/>
            </w:tcBorders>
            <w:shd w:val="clear" w:color="auto" w:fill="BDD6EE"/>
          </w:tcPr>
          <w:p>
            <w:pPr>
              <w:ind w:left="500"/>
              <w:spacing w:after="0"/>
              <w:rPr>
                <w:sz w:val="20"/>
                <w:szCs w:val="20"/>
                <w:color w:val="auto"/>
              </w:rPr>
            </w:pPr>
            <w:r>
              <w:rPr>
                <w:rFonts w:ascii="Arial" w:cs="Arial" w:eastAsia="Arial" w:hAnsi="Arial"/>
                <w:sz w:val="18"/>
                <w:szCs w:val="18"/>
                <w:b w:val="1"/>
                <w:bCs w:val="1"/>
                <w:color w:val="auto"/>
              </w:rPr>
              <w:t>Smelter/Refiner</w:t>
            </w:r>
          </w:p>
        </w:tc>
        <w:tc>
          <w:tcPr>
            <w:tcW w:w="3920" w:type="dxa"/>
            <w:vAlign w:val="bottom"/>
            <w:tcBorders>
              <w:top w:val="single" w:sz="8" w:color="7F7F7F"/>
              <w:bottom w:val="single" w:sz="8" w:color="BDD6EE"/>
              <w:right w:val="single" w:sz="8" w:color="5B9BD5"/>
            </w:tcBorders>
            <w:shd w:val="clear" w:color="auto" w:fill="BDD6EE"/>
          </w:tcPr>
          <w:p>
            <w:pPr>
              <w:ind w:left="1280"/>
              <w:spacing w:after="0"/>
              <w:rPr>
                <w:sz w:val="20"/>
                <w:szCs w:val="20"/>
                <w:color w:val="auto"/>
              </w:rPr>
            </w:pPr>
            <w:r>
              <w:rPr>
                <w:rFonts w:ascii="Arial" w:cs="Arial" w:eastAsia="Arial" w:hAnsi="Arial"/>
                <w:sz w:val="18"/>
                <w:szCs w:val="18"/>
                <w:b w:val="1"/>
                <w:bCs w:val="1"/>
                <w:color w:val="auto"/>
              </w:rPr>
              <w:t>Country</w:t>
            </w:r>
          </w:p>
        </w:tc>
      </w:tr>
      <w:tr>
        <w:trPr>
          <w:trHeight w:val="237"/>
        </w:trPr>
        <w:tc>
          <w:tcPr>
            <w:tcW w:w="1060" w:type="dxa"/>
            <w:vAlign w:val="bottom"/>
            <w:tcBorders>
              <w:top w:val="single" w:sz="8" w:color="7F7F7F"/>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Borders>
              <w:top w:val="single" w:sz="8" w:color="7F7F7F"/>
            </w:tcBorders>
          </w:tcPr>
          <w:p>
            <w:pPr>
              <w:ind w:left="500"/>
              <w:spacing w:after="0"/>
              <w:rPr>
                <w:sz w:val="20"/>
                <w:szCs w:val="20"/>
                <w:color w:val="auto"/>
              </w:rPr>
            </w:pPr>
            <w:r>
              <w:rPr>
                <w:rFonts w:ascii="Arial" w:cs="Arial" w:eastAsia="Arial" w:hAnsi="Arial"/>
                <w:sz w:val="18"/>
                <w:szCs w:val="18"/>
                <w:color w:val="auto"/>
              </w:rPr>
              <w:t>Abington Reldan Metals, LLC</w:t>
            </w:r>
          </w:p>
        </w:tc>
        <w:tc>
          <w:tcPr>
            <w:tcW w:w="3920" w:type="dxa"/>
            <w:vAlign w:val="bottom"/>
            <w:tcBorders>
              <w:top w:val="single" w:sz="8" w:color="7F7F7F"/>
              <w:right w:val="single" w:sz="8" w:color="5B9BD5"/>
            </w:tcBorders>
          </w:tcPr>
          <w:p>
            <w:pPr>
              <w:ind w:left="128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Advanced Chemical Company*</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Aida Chemical Industries Co.,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Al Etihad Gold Refinery DMCC*</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United Arab Emirates</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Allgemeine Gold-und Silberscheideanstalt A.G.*</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Germany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Almalyk Mining and Metallurgical Complex (AMMC)*</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Uzbekistan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AngloGold Ashanti Corrego do Sitio Mineracao*</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Brazil</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Argor-Heraeus S.A.*</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Switzerland</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Asahi Pretec Corp.*</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Asahi Refining Canada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Canada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Asahi Refining USA Inc.*</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Asaka Riken Co.,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Atasay Kuyumculuk Sanayi Ve Ticaret A.S.</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Turkey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AU Traders and Refiners*</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South Africa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Aurubis AG*</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Germany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Bangalore Refinery**</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India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Bangko Sentral ng Pilipinas (Central Bank of the Philippines)*</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Philippines</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Boliden AB*</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Sweden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C. Hafner GmbH + Co. KG*</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Germany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Caridad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Mexico</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CCR Refinery - Glencore Canada Corporation*</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Canada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Cendres + Metaux S.A.*</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Switzerland</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Chimet S.p.A.*</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Italy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Chugai Mining</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Daejin Indus Co.,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Korea, Republic of</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Daye Non-Ferrous Metals Mining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Degussa Sonne / Mond Goldhandel GmbH</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Germany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DODUCO Contacts and Refining GmbH*</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Germany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Dowa*</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DSC (Do Sung Corporation)*</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Korea, Republic of</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Eco-System Recycling Co.,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Emirates Gold DMCC*</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United Arab Emirates</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Fidelity Printers and Refiners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Zimbabwe</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GCC Gujrat Gold Centre Pvt.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India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Geib Refining Corporation*</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Gold Refinery of Zijin Mining Group Co.,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Great Wall Precious Metals Co., Ltd. of CBPM</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Guangdong Jinding Gold Limited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Guoda Safina High-Tech Environmental Refinery Co.,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Hangzhou Fuchunjiang Smelting Co.,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Heimerle + Meule GmbH*</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Germany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Heraeus Metals Hong Kong Ltd.*</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320" w:type="dxa"/>
            <w:vAlign w:val="bottom"/>
          </w:tcPr>
          <w:p>
            <w:pPr>
              <w:ind w:left="500"/>
              <w:spacing w:after="0"/>
              <w:rPr>
                <w:sz w:val="20"/>
                <w:szCs w:val="20"/>
                <w:color w:val="auto"/>
              </w:rPr>
            </w:pPr>
            <w:r>
              <w:rPr>
                <w:rFonts w:ascii="Arial" w:cs="Arial" w:eastAsia="Arial" w:hAnsi="Arial"/>
                <w:sz w:val="18"/>
                <w:szCs w:val="18"/>
                <w:color w:val="auto"/>
              </w:rPr>
              <w:t>Heraeus Precious Metals GmbH &amp; Co. KG*</w:t>
            </w:r>
          </w:p>
        </w:tc>
        <w:tc>
          <w:tcPr>
            <w:tcW w:w="3920" w:type="dxa"/>
            <w:vAlign w:val="bottom"/>
            <w:tcBorders>
              <w:right w:val="single" w:sz="8" w:color="5B9BD5"/>
            </w:tcBorders>
          </w:tcPr>
          <w:p>
            <w:pPr>
              <w:ind w:left="1280"/>
              <w:spacing w:after="0"/>
              <w:rPr>
                <w:sz w:val="20"/>
                <w:szCs w:val="20"/>
                <w:color w:val="auto"/>
              </w:rPr>
            </w:pPr>
            <w:r>
              <w:rPr>
                <w:rFonts w:ascii="Arial" w:cs="Arial" w:eastAsia="Arial" w:hAnsi="Arial"/>
                <w:sz w:val="18"/>
                <w:szCs w:val="18"/>
                <w:color w:val="auto"/>
              </w:rPr>
              <w:t>Germany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320" w:type="dxa"/>
            <w:vAlign w:val="bottom"/>
            <w:tcBorders>
              <w:bottom w:val="single" w:sz="8" w:color="5B9BD5"/>
            </w:tcBorders>
          </w:tcPr>
          <w:p>
            <w:pPr>
              <w:spacing w:after="0"/>
              <w:rPr>
                <w:sz w:val="4"/>
                <w:szCs w:val="4"/>
                <w:color w:val="auto"/>
              </w:rPr>
            </w:pPr>
          </w:p>
        </w:tc>
        <w:tc>
          <w:tcPr>
            <w:tcW w:w="3920" w:type="dxa"/>
            <w:vAlign w:val="bottom"/>
            <w:tcBorders>
              <w:bottom w:val="single" w:sz="8" w:color="5B9BD5"/>
              <w:right w:val="single" w:sz="8" w:color="5B9BD5"/>
            </w:tcBorders>
          </w:tcPr>
          <w:p>
            <w:pPr>
              <w:spacing w:after="0"/>
              <w:rPr>
                <w:sz w:val="4"/>
                <w:szCs w:val="4"/>
                <w:color w:val="auto"/>
              </w:rPr>
            </w:pPr>
          </w:p>
        </w:tc>
      </w:tr>
    </w:tbl>
    <w:p>
      <w:pPr>
        <w:sectPr>
          <w:pgSz w:w="11900" w:h="16838" w:orient="portrait"/>
          <w:cols w:equalWidth="0" w:num="1">
            <w:col w:w="11360"/>
          </w:cols>
          <w:pgMar w:left="240" w:top="576" w:right="29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060" w:type="dxa"/>
            <w:vAlign w:val="bottom"/>
            <w:tcBorders>
              <w:top w:val="single" w:sz="8" w:color="7F7F7F"/>
              <w:left w:val="single" w:sz="8" w:color="5B9BD5"/>
              <w:bottom w:val="single" w:sz="8" w:color="BDD6EE"/>
            </w:tcBorders>
            <w:shd w:val="clear" w:color="auto" w:fill="BDD6EE"/>
          </w:tcPr>
          <w:p>
            <w:pPr>
              <w:ind w:left="100"/>
              <w:spacing w:after="0"/>
              <w:rPr>
                <w:sz w:val="20"/>
                <w:szCs w:val="20"/>
                <w:color w:val="auto"/>
              </w:rPr>
            </w:pPr>
            <w:r>
              <w:rPr>
                <w:rFonts w:ascii="Arial" w:cs="Arial" w:eastAsia="Arial" w:hAnsi="Arial"/>
                <w:sz w:val="18"/>
                <w:szCs w:val="18"/>
                <w:b w:val="1"/>
                <w:bCs w:val="1"/>
                <w:color w:val="auto"/>
              </w:rPr>
              <w:t>Metal</w:t>
            </w:r>
          </w:p>
        </w:tc>
        <w:tc>
          <w:tcPr>
            <w:tcW w:w="6480" w:type="dxa"/>
            <w:vAlign w:val="bottom"/>
            <w:tcBorders>
              <w:top w:val="single" w:sz="8" w:color="7F7F7F"/>
              <w:bottom w:val="single" w:sz="8" w:color="BDD6EE"/>
            </w:tcBorders>
            <w:shd w:val="clear" w:color="auto" w:fill="BDD6EE"/>
          </w:tcPr>
          <w:p>
            <w:pPr>
              <w:ind w:left="500"/>
              <w:spacing w:after="0"/>
              <w:rPr>
                <w:sz w:val="20"/>
                <w:szCs w:val="20"/>
                <w:color w:val="auto"/>
              </w:rPr>
            </w:pPr>
            <w:r>
              <w:rPr>
                <w:rFonts w:ascii="Arial" w:cs="Arial" w:eastAsia="Arial" w:hAnsi="Arial"/>
                <w:sz w:val="18"/>
                <w:szCs w:val="18"/>
                <w:b w:val="1"/>
                <w:bCs w:val="1"/>
                <w:color w:val="auto"/>
              </w:rPr>
              <w:t>Smelter/Refiner</w:t>
            </w:r>
          </w:p>
        </w:tc>
        <w:tc>
          <w:tcPr>
            <w:tcW w:w="3760" w:type="dxa"/>
            <w:vAlign w:val="bottom"/>
            <w:tcBorders>
              <w:top w:val="single" w:sz="8" w:color="7F7F7F"/>
              <w:bottom w:val="single" w:sz="8" w:color="BDD6EE"/>
              <w:right w:val="single" w:sz="8" w:color="5B9BD5"/>
            </w:tcBorders>
            <w:shd w:val="clear" w:color="auto" w:fill="BDD6EE"/>
          </w:tcPr>
          <w:p>
            <w:pPr>
              <w:ind w:left="1120"/>
              <w:spacing w:after="0"/>
              <w:rPr>
                <w:sz w:val="20"/>
                <w:szCs w:val="20"/>
                <w:color w:val="auto"/>
              </w:rPr>
            </w:pPr>
            <w:r>
              <w:rPr>
                <w:rFonts w:ascii="Arial" w:cs="Arial" w:eastAsia="Arial" w:hAnsi="Arial"/>
                <w:sz w:val="18"/>
                <w:szCs w:val="18"/>
                <w:b w:val="1"/>
                <w:bCs w:val="1"/>
                <w:color w:val="auto"/>
              </w:rPr>
              <w:t>Country</w:t>
            </w:r>
          </w:p>
        </w:tc>
      </w:tr>
      <w:tr>
        <w:trPr>
          <w:trHeight w:val="237"/>
        </w:trPr>
        <w:tc>
          <w:tcPr>
            <w:tcW w:w="1060" w:type="dxa"/>
            <w:vAlign w:val="bottom"/>
            <w:tcBorders>
              <w:top w:val="single" w:sz="8" w:color="7F7F7F"/>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Borders>
              <w:top w:val="single" w:sz="8" w:color="7F7F7F"/>
            </w:tcBorders>
          </w:tcPr>
          <w:p>
            <w:pPr>
              <w:ind w:left="500"/>
              <w:spacing w:after="0"/>
              <w:rPr>
                <w:sz w:val="20"/>
                <w:szCs w:val="20"/>
                <w:color w:val="auto"/>
              </w:rPr>
            </w:pPr>
            <w:r>
              <w:rPr>
                <w:rFonts w:ascii="Arial" w:cs="Arial" w:eastAsia="Arial" w:hAnsi="Arial"/>
                <w:sz w:val="18"/>
                <w:szCs w:val="18"/>
                <w:color w:val="auto"/>
              </w:rPr>
              <w:t>Hunan Chenzhou Mining Co., Ltd.</w:t>
            </w:r>
          </w:p>
        </w:tc>
        <w:tc>
          <w:tcPr>
            <w:tcW w:w="3760" w:type="dxa"/>
            <w:vAlign w:val="bottom"/>
            <w:tcBorders>
              <w:top w:val="single" w:sz="8" w:color="7F7F7F"/>
              <w:right w:val="single" w:sz="8" w:color="5B9BD5"/>
            </w:tcBorders>
          </w:tcPr>
          <w:p>
            <w:pPr>
              <w:ind w:left="11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HwaSeong CJ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Korea, Republic of</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Inner Mongolia Qiankun Gold and Silver Refinery Share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Ishifuku Metal Industry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Istanbul Gold Refinery*</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Turkey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Japan Mint*</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Jiangxi Copper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JSC Ekaterinburg Non-Ferrous Metal Processing Plant*</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Russian Federation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JSC Uralelectromed*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Russian Federation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JX Nippon Mining &amp; Metals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Kaloti Precious Metals</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United Arab Emirates</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Kazakhmys Smelting LLC</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Kazakhstan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Kazzinc*</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Kazakhstan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Kennecott Utah Copper LLC*</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KGHM Polska Miedz Spolka Akcyjna**</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Poland</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Kojima Chemicals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Korea Zinc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Korea, Republic of</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Kyrgyzaltyn JSC*</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Kyrgyzstan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Kyshtym Copper-Electrolytic Plant ZAO</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Russian Federation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L'azurde Company For Jewelry</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Saudi Arabia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Lingbao Gold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Lingbao Jinyuan Tonghui Refinery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L'Orfebre S.A.**</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Andorra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LS-NIKKO Copper Inc.*</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Korea, Republic of</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Luoyang Zijin Yinhui Gold Refinery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Materion*</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Matsuda Sangyo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Metalor Technologies (Hong Kong)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Metalor Technologies (Singapore) Pte.,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Singapore</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Metalor Technologies (Suzhou)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Metalor Technologies S.A.*</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Switzerland</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Metalor USA Refining Corporation*</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Metalurgica Met-Mex Penoles S.A. De C.V.*</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Mexico</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Mitsubishi Materials Corporation*</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Mitsui Mining and Smelting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MMTC-PAMP India Pvt.,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India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Modeltech Sdn Bhd**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Malaysia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Morris and Watson</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New Zealand</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Morris and Watson Gold Coast</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Australia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Moscow Special Alloys Processing Plant*</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Russian Federation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Nadir Metal Rafineri San. Ve Tic. A.S.*</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Turkey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Navoi Mining and Metallurgical Combinat</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Uzbekistan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Nihon Material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Ogussa Osterreichische Gold- und Silber-Scheideanstalt GmbH*</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Austria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6480" w:type="dxa"/>
            <w:vAlign w:val="bottom"/>
          </w:tcPr>
          <w:p>
            <w:pPr>
              <w:ind w:left="500"/>
              <w:spacing w:after="0"/>
              <w:rPr>
                <w:sz w:val="20"/>
                <w:szCs w:val="20"/>
                <w:color w:val="auto"/>
              </w:rPr>
            </w:pPr>
            <w:r>
              <w:rPr>
                <w:rFonts w:ascii="Arial" w:cs="Arial" w:eastAsia="Arial" w:hAnsi="Arial"/>
                <w:sz w:val="18"/>
                <w:szCs w:val="18"/>
                <w:color w:val="auto"/>
              </w:rPr>
              <w:t>Ohura Precious Metal Industry Co., Ltd.*</w:t>
            </w:r>
          </w:p>
        </w:tc>
        <w:tc>
          <w:tcPr>
            <w:tcW w:w="3760" w:type="dxa"/>
            <w:vAlign w:val="bottom"/>
            <w:tcBorders>
              <w:right w:val="single" w:sz="8" w:color="5B9BD5"/>
            </w:tcBorders>
          </w:tcPr>
          <w:p>
            <w:pPr>
              <w:ind w:left="11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6480" w:type="dxa"/>
            <w:vAlign w:val="bottom"/>
            <w:tcBorders>
              <w:bottom w:val="single" w:sz="8" w:color="5B9BD5"/>
            </w:tcBorders>
          </w:tcPr>
          <w:p>
            <w:pPr>
              <w:spacing w:after="0"/>
              <w:rPr>
                <w:sz w:val="4"/>
                <w:szCs w:val="4"/>
                <w:color w:val="auto"/>
              </w:rPr>
            </w:pPr>
          </w:p>
        </w:tc>
        <w:tc>
          <w:tcPr>
            <w:tcW w:w="3760" w:type="dxa"/>
            <w:vAlign w:val="bottom"/>
            <w:tcBorders>
              <w:bottom w:val="single" w:sz="8" w:color="5B9BD5"/>
              <w:right w:val="single" w:sz="8" w:color="5B9BD5"/>
            </w:tcBorders>
          </w:tcPr>
          <w:p>
            <w:pPr>
              <w:spacing w:after="0"/>
              <w:rPr>
                <w:sz w:val="4"/>
                <w:szCs w:val="4"/>
                <w:color w:val="auto"/>
              </w:rPr>
            </w:pPr>
          </w:p>
        </w:tc>
      </w:tr>
    </w:tbl>
    <w:p>
      <w:pPr>
        <w:sectPr>
          <w:pgSz w:w="11900" w:h="16838" w:orient="portrait"/>
          <w:cols w:equalWidth="0" w:num="1">
            <w:col w:w="11300"/>
          </w:cols>
          <w:pgMar w:left="300" w:top="714" w:right="29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060" w:type="dxa"/>
            <w:vAlign w:val="bottom"/>
            <w:tcBorders>
              <w:top w:val="single" w:sz="8" w:color="7F7F7F"/>
              <w:left w:val="single" w:sz="8" w:color="5B9BD5"/>
              <w:bottom w:val="single" w:sz="8" w:color="BDD6EE"/>
            </w:tcBorders>
            <w:shd w:val="clear" w:color="auto" w:fill="BDD6EE"/>
          </w:tcPr>
          <w:p>
            <w:pPr>
              <w:ind w:left="100"/>
              <w:spacing w:after="0"/>
              <w:rPr>
                <w:sz w:val="20"/>
                <w:szCs w:val="20"/>
                <w:color w:val="auto"/>
              </w:rPr>
            </w:pPr>
            <w:r>
              <w:rPr>
                <w:rFonts w:ascii="Arial" w:cs="Arial" w:eastAsia="Arial" w:hAnsi="Arial"/>
                <w:sz w:val="18"/>
                <w:szCs w:val="18"/>
                <w:b w:val="1"/>
                <w:bCs w:val="1"/>
                <w:color w:val="auto"/>
              </w:rPr>
              <w:t>Metal</w:t>
            </w:r>
          </w:p>
        </w:tc>
        <w:tc>
          <w:tcPr>
            <w:tcW w:w="7080" w:type="dxa"/>
            <w:vAlign w:val="bottom"/>
            <w:tcBorders>
              <w:top w:val="single" w:sz="8" w:color="7F7F7F"/>
              <w:bottom w:val="single" w:sz="8" w:color="BDD6EE"/>
            </w:tcBorders>
            <w:shd w:val="clear" w:color="auto" w:fill="BDD6EE"/>
          </w:tcPr>
          <w:p>
            <w:pPr>
              <w:ind w:left="500"/>
              <w:spacing w:after="0"/>
              <w:rPr>
                <w:sz w:val="20"/>
                <w:szCs w:val="20"/>
                <w:color w:val="auto"/>
              </w:rPr>
            </w:pPr>
            <w:r>
              <w:rPr>
                <w:rFonts w:ascii="Arial" w:cs="Arial" w:eastAsia="Arial" w:hAnsi="Arial"/>
                <w:sz w:val="18"/>
                <w:szCs w:val="18"/>
                <w:b w:val="1"/>
                <w:bCs w:val="1"/>
                <w:color w:val="auto"/>
              </w:rPr>
              <w:t>Smelter/Refiner</w:t>
            </w:r>
          </w:p>
        </w:tc>
        <w:tc>
          <w:tcPr>
            <w:tcW w:w="3160" w:type="dxa"/>
            <w:vAlign w:val="bottom"/>
            <w:tcBorders>
              <w:top w:val="single" w:sz="8" w:color="7F7F7F"/>
              <w:bottom w:val="single" w:sz="8" w:color="BDD6EE"/>
              <w:right w:val="single" w:sz="8" w:color="5B9BD5"/>
            </w:tcBorders>
            <w:shd w:val="clear" w:color="auto" w:fill="BDD6EE"/>
          </w:tcPr>
          <w:p>
            <w:pPr>
              <w:ind w:left="520"/>
              <w:spacing w:after="0"/>
              <w:rPr>
                <w:sz w:val="20"/>
                <w:szCs w:val="20"/>
                <w:color w:val="auto"/>
              </w:rPr>
            </w:pPr>
            <w:r>
              <w:rPr>
                <w:rFonts w:ascii="Arial" w:cs="Arial" w:eastAsia="Arial" w:hAnsi="Arial"/>
                <w:sz w:val="18"/>
                <w:szCs w:val="18"/>
                <w:b w:val="1"/>
                <w:bCs w:val="1"/>
                <w:color w:val="auto"/>
              </w:rPr>
              <w:t>Country</w:t>
            </w:r>
          </w:p>
        </w:tc>
      </w:tr>
      <w:tr>
        <w:trPr>
          <w:trHeight w:val="237"/>
        </w:trPr>
        <w:tc>
          <w:tcPr>
            <w:tcW w:w="1060" w:type="dxa"/>
            <w:vAlign w:val="bottom"/>
            <w:tcBorders>
              <w:top w:val="single" w:sz="8" w:color="7F7F7F"/>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Borders>
              <w:top w:val="single" w:sz="8" w:color="7F7F7F"/>
            </w:tcBorders>
          </w:tcPr>
          <w:p>
            <w:pPr>
              <w:ind w:left="500"/>
              <w:spacing w:after="0"/>
              <w:rPr>
                <w:sz w:val="20"/>
                <w:szCs w:val="20"/>
                <w:color w:val="auto"/>
              </w:rPr>
            </w:pPr>
            <w:r>
              <w:rPr>
                <w:rFonts w:ascii="Arial" w:cs="Arial" w:eastAsia="Arial" w:hAnsi="Arial"/>
                <w:sz w:val="18"/>
                <w:szCs w:val="18"/>
                <w:color w:val="auto"/>
                <w:w w:val="99"/>
              </w:rPr>
              <w:t>OJSC "The Gulidov Krasnoyarsk Non-Ferrous Metals Plant" (OJSC Krastsvetmet)*</w:t>
            </w:r>
          </w:p>
        </w:tc>
        <w:tc>
          <w:tcPr>
            <w:tcW w:w="3160" w:type="dxa"/>
            <w:vAlign w:val="bottom"/>
            <w:tcBorders>
              <w:top w:val="single" w:sz="8" w:color="7F7F7F"/>
              <w:right w:val="single" w:sz="8" w:color="5B9BD5"/>
            </w:tcBorders>
          </w:tcPr>
          <w:p>
            <w:pPr>
              <w:ind w:left="520"/>
              <w:spacing w:after="0"/>
              <w:rPr>
                <w:sz w:val="20"/>
                <w:szCs w:val="20"/>
                <w:color w:val="auto"/>
              </w:rPr>
            </w:pPr>
            <w:r>
              <w:rPr>
                <w:rFonts w:ascii="Arial" w:cs="Arial" w:eastAsia="Arial" w:hAnsi="Arial"/>
                <w:sz w:val="18"/>
                <w:szCs w:val="18"/>
                <w:color w:val="auto"/>
              </w:rPr>
              <w:t>Russian Federation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OJSC Novosibirsk Refinery*</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Russian Federation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PAMP S.A.*</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Switzerland</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Pease &amp; Curren</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Penglai Penggang Gold Industry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Prioksky Plant of Non-Ferrous Metals*</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Russian Federation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PT Aneka Tambang (Persero) Tbk*</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Indonesia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PX Precinox S.A.*</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Switzerland</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Rand Refinery (Pty)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South Africa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Refinery of Seemine Gold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Remondis Argentia B.V.**</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Netherlands</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Republic Metals Corporation*</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Royal Canadian Mint*</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Canada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SAAMP*</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France</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Sabin Metal Corp.</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SAFINA A.S.**</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Czech Republic</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Sai Refinery</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India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Samduck Precious Metals*</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Korea, Republic of</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Samwon Metals Corp.</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Korea, Republic of</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SAXONIA Edelmetalle GmbH*</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Germany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SEMPSA Joyeria Plateria S.A.*</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Spain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Shandong Tiancheng Biological Gold Industrial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Shandong Zhaojin Gold &amp; Silver Refinery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Sichuan Tianze Precious Metals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Singway Technology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Taiwan, Province of 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SOE Shyolkovsky Factory of Secondary Precious Metals*</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Russian Federation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Solar Applied Materials Technology Corp.*</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Taiwan, Province of 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Sudan Gold Refinery</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Sudan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Sumitomo Metal Mining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SungEel HiMetal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Korea, Republic of</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T.C.A S.p.A*</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Italy</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Tanaka Kikinzoku Kogyo K.K.*</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The Refinery of Shandong Gold Mining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Tokuriki Honten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Japan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Tongling Nonferrous Metals Group Co., Ltd.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China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Tony Goetz NV</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Belgium</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TOO Tau-Ken-Altyn</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Kazakhstan</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Torecom*</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Korea, Republic of</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Umicore Brasil Ltda.*</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Brazil</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Umicore Precious Metals Thailand*</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Thailand</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Umicore S.A. Business Unit Precious Metals Refining*</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Belgium</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United Precious Metal Refining, Inc.*</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United States of America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r>
        <w:trPr>
          <w:trHeight w:val="237"/>
        </w:trPr>
        <w:tc>
          <w:tcPr>
            <w:tcW w:w="10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80" w:type="dxa"/>
            <w:vAlign w:val="bottom"/>
          </w:tcPr>
          <w:p>
            <w:pPr>
              <w:ind w:left="500"/>
              <w:spacing w:after="0"/>
              <w:rPr>
                <w:sz w:val="20"/>
                <w:szCs w:val="20"/>
                <w:color w:val="auto"/>
              </w:rPr>
            </w:pPr>
            <w:r>
              <w:rPr>
                <w:rFonts w:ascii="Arial" w:cs="Arial" w:eastAsia="Arial" w:hAnsi="Arial"/>
                <w:sz w:val="18"/>
                <w:szCs w:val="18"/>
                <w:color w:val="auto"/>
              </w:rPr>
              <w:t>Universal Precious Metals Refining Zambia</w:t>
            </w:r>
          </w:p>
        </w:tc>
        <w:tc>
          <w:tcPr>
            <w:tcW w:w="3160" w:type="dxa"/>
            <w:vAlign w:val="bottom"/>
            <w:tcBorders>
              <w:right w:val="single" w:sz="8" w:color="5B9BD5"/>
            </w:tcBorders>
          </w:tcPr>
          <w:p>
            <w:pPr>
              <w:ind w:left="520"/>
              <w:spacing w:after="0"/>
              <w:rPr>
                <w:sz w:val="20"/>
                <w:szCs w:val="20"/>
                <w:color w:val="auto"/>
              </w:rPr>
            </w:pPr>
            <w:r>
              <w:rPr>
                <w:rFonts w:ascii="Arial" w:cs="Arial" w:eastAsia="Arial" w:hAnsi="Arial"/>
                <w:sz w:val="18"/>
                <w:szCs w:val="18"/>
                <w:color w:val="auto"/>
              </w:rPr>
              <w:t>Zambia</w:t>
            </w:r>
          </w:p>
        </w:tc>
      </w:tr>
      <w:tr>
        <w:trPr>
          <w:trHeight w:val="54"/>
        </w:trPr>
        <w:tc>
          <w:tcPr>
            <w:tcW w:w="1060" w:type="dxa"/>
            <w:vAlign w:val="bottom"/>
            <w:tcBorders>
              <w:left w:val="single" w:sz="8" w:color="5B9BD5"/>
              <w:bottom w:val="single" w:sz="8" w:color="5B9BD5"/>
            </w:tcBorders>
          </w:tcPr>
          <w:p>
            <w:pPr>
              <w:spacing w:after="0"/>
              <w:rPr>
                <w:sz w:val="4"/>
                <w:szCs w:val="4"/>
                <w:color w:val="auto"/>
              </w:rPr>
            </w:pPr>
          </w:p>
        </w:tc>
        <w:tc>
          <w:tcPr>
            <w:tcW w:w="7080" w:type="dxa"/>
            <w:vAlign w:val="bottom"/>
            <w:tcBorders>
              <w:bottom w:val="single" w:sz="8" w:color="5B9BD5"/>
            </w:tcBorders>
          </w:tcPr>
          <w:p>
            <w:pPr>
              <w:spacing w:after="0"/>
              <w:rPr>
                <w:sz w:val="4"/>
                <w:szCs w:val="4"/>
                <w:color w:val="auto"/>
              </w:rPr>
            </w:pPr>
          </w:p>
        </w:tc>
        <w:tc>
          <w:tcPr>
            <w:tcW w:w="3160" w:type="dxa"/>
            <w:vAlign w:val="bottom"/>
            <w:tcBorders>
              <w:bottom w:val="single" w:sz="8" w:color="5B9BD5"/>
              <w:right w:val="single" w:sz="8" w:color="5B9BD5"/>
            </w:tcBorders>
          </w:tcPr>
          <w:p>
            <w:pPr>
              <w:spacing w:after="0"/>
              <w:rPr>
                <w:sz w:val="4"/>
                <w:szCs w:val="4"/>
                <w:color w:val="auto"/>
              </w:rPr>
            </w:pPr>
          </w:p>
        </w:tc>
      </w:tr>
    </w:tbl>
    <w:p>
      <w:pPr>
        <w:sectPr>
          <w:pgSz w:w="11900" w:h="16838" w:orient="portrait"/>
          <w:cols w:equalWidth="0" w:num="1">
            <w:col w:w="11300"/>
          </w:cols>
          <w:pgMar w:left="300" w:top="714" w:right="29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160" w:type="dxa"/>
            <w:vAlign w:val="bottom"/>
            <w:tcBorders>
              <w:top w:val="single" w:sz="8" w:color="7F7F7F"/>
              <w:left w:val="single" w:sz="8" w:color="5B9BD5"/>
              <w:bottom w:val="single" w:sz="8" w:color="BDD6EE"/>
            </w:tcBorders>
            <w:shd w:val="clear" w:color="auto" w:fill="BDD6EE"/>
          </w:tcPr>
          <w:p>
            <w:pPr>
              <w:ind w:left="100"/>
              <w:spacing w:after="0"/>
              <w:rPr>
                <w:sz w:val="20"/>
                <w:szCs w:val="20"/>
                <w:color w:val="auto"/>
              </w:rPr>
            </w:pPr>
            <w:r>
              <w:rPr>
                <w:rFonts w:ascii="Arial" w:cs="Arial" w:eastAsia="Arial" w:hAnsi="Arial"/>
                <w:sz w:val="18"/>
                <w:szCs w:val="18"/>
                <w:b w:val="1"/>
                <w:bCs w:val="1"/>
                <w:color w:val="auto"/>
              </w:rPr>
              <w:t>Metal</w:t>
            </w:r>
          </w:p>
        </w:tc>
        <w:tc>
          <w:tcPr>
            <w:tcW w:w="7000" w:type="dxa"/>
            <w:vAlign w:val="bottom"/>
            <w:tcBorders>
              <w:top w:val="single" w:sz="8" w:color="7F7F7F"/>
              <w:bottom w:val="single" w:sz="8" w:color="BDD6EE"/>
            </w:tcBorders>
            <w:shd w:val="clear" w:color="auto" w:fill="BDD6EE"/>
          </w:tcPr>
          <w:p>
            <w:pPr>
              <w:ind w:left="400"/>
              <w:spacing w:after="0"/>
              <w:rPr>
                <w:sz w:val="20"/>
                <w:szCs w:val="20"/>
                <w:color w:val="auto"/>
              </w:rPr>
            </w:pPr>
            <w:r>
              <w:rPr>
                <w:rFonts w:ascii="Arial" w:cs="Arial" w:eastAsia="Arial" w:hAnsi="Arial"/>
                <w:sz w:val="18"/>
                <w:szCs w:val="18"/>
                <w:b w:val="1"/>
                <w:bCs w:val="1"/>
                <w:color w:val="auto"/>
              </w:rPr>
              <w:t>Smelter/Refiner</w:t>
            </w:r>
          </w:p>
        </w:tc>
        <w:tc>
          <w:tcPr>
            <w:tcW w:w="3140" w:type="dxa"/>
            <w:vAlign w:val="bottom"/>
            <w:tcBorders>
              <w:top w:val="single" w:sz="8" w:color="7F7F7F"/>
              <w:bottom w:val="single" w:sz="8" w:color="BDD6EE"/>
              <w:right w:val="single" w:sz="8" w:color="5B9BD5"/>
            </w:tcBorders>
            <w:shd w:val="clear" w:color="auto" w:fill="BDD6EE"/>
          </w:tcPr>
          <w:p>
            <w:pPr>
              <w:ind w:left="500"/>
              <w:spacing w:after="0"/>
              <w:rPr>
                <w:sz w:val="20"/>
                <w:szCs w:val="20"/>
                <w:color w:val="auto"/>
              </w:rPr>
            </w:pPr>
            <w:r>
              <w:rPr>
                <w:rFonts w:ascii="Arial" w:cs="Arial" w:eastAsia="Arial" w:hAnsi="Arial"/>
                <w:sz w:val="18"/>
                <w:szCs w:val="18"/>
                <w:b w:val="1"/>
                <w:bCs w:val="1"/>
                <w:color w:val="auto"/>
              </w:rPr>
              <w:t>Country</w:t>
            </w:r>
          </w:p>
        </w:tc>
        <w:tc>
          <w:tcPr>
            <w:tcW w:w="0" w:type="dxa"/>
            <w:vAlign w:val="bottom"/>
          </w:tcPr>
          <w:p>
            <w:pPr>
              <w:spacing w:after="0"/>
              <w:rPr>
                <w:sz w:val="1"/>
                <w:szCs w:val="1"/>
                <w:color w:val="auto"/>
              </w:rPr>
            </w:pPr>
          </w:p>
        </w:tc>
      </w:tr>
      <w:tr>
        <w:trPr>
          <w:trHeight w:val="237"/>
        </w:trPr>
        <w:tc>
          <w:tcPr>
            <w:tcW w:w="1160" w:type="dxa"/>
            <w:vAlign w:val="bottom"/>
            <w:tcBorders>
              <w:top w:val="single" w:sz="8" w:color="7F7F7F"/>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00" w:type="dxa"/>
            <w:vAlign w:val="bottom"/>
            <w:tcBorders>
              <w:top w:val="single" w:sz="8" w:color="7F7F7F"/>
            </w:tcBorders>
          </w:tcPr>
          <w:p>
            <w:pPr>
              <w:ind w:left="400"/>
              <w:spacing w:after="0"/>
              <w:rPr>
                <w:sz w:val="20"/>
                <w:szCs w:val="20"/>
                <w:color w:val="auto"/>
              </w:rPr>
            </w:pPr>
            <w:r>
              <w:rPr>
                <w:rFonts w:ascii="Arial" w:cs="Arial" w:eastAsia="Arial" w:hAnsi="Arial"/>
                <w:sz w:val="18"/>
                <w:szCs w:val="18"/>
                <w:color w:val="auto"/>
              </w:rPr>
              <w:t>Valcambi S.A.*</w:t>
            </w:r>
          </w:p>
        </w:tc>
        <w:tc>
          <w:tcPr>
            <w:tcW w:w="3140" w:type="dxa"/>
            <w:vAlign w:val="bottom"/>
            <w:tcBorders>
              <w:top w:val="single" w:sz="8" w:color="7F7F7F"/>
              <w:right w:val="single" w:sz="8" w:color="5B9BD5"/>
            </w:tcBorders>
          </w:tcPr>
          <w:p>
            <w:pPr>
              <w:ind w:left="5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00" w:type="dxa"/>
            <w:vAlign w:val="bottom"/>
          </w:tcPr>
          <w:p>
            <w:pPr>
              <w:ind w:left="400"/>
              <w:spacing w:after="0"/>
              <w:rPr>
                <w:sz w:val="20"/>
                <w:szCs w:val="20"/>
                <w:color w:val="auto"/>
              </w:rPr>
            </w:pPr>
            <w:r>
              <w:rPr>
                <w:rFonts w:ascii="Arial" w:cs="Arial" w:eastAsia="Arial" w:hAnsi="Arial"/>
                <w:sz w:val="18"/>
                <w:szCs w:val="18"/>
                <w:color w:val="auto"/>
              </w:rPr>
              <w:t>Western Australian Mint (T/a The Perth Mint)*</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00" w:type="dxa"/>
            <w:vAlign w:val="bottom"/>
          </w:tcPr>
          <w:p>
            <w:pPr>
              <w:ind w:left="400"/>
              <w:spacing w:after="0"/>
              <w:rPr>
                <w:sz w:val="20"/>
                <w:szCs w:val="20"/>
                <w:color w:val="auto"/>
              </w:rPr>
            </w:pPr>
            <w:r>
              <w:rPr>
                <w:rFonts w:ascii="Arial" w:cs="Arial" w:eastAsia="Arial" w:hAnsi="Arial"/>
                <w:sz w:val="18"/>
                <w:szCs w:val="18"/>
                <w:color w:val="auto"/>
              </w:rPr>
              <w:t>WIELAND Edelmetalle GmbH*</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00" w:type="dxa"/>
            <w:vAlign w:val="bottom"/>
          </w:tcPr>
          <w:p>
            <w:pPr>
              <w:ind w:left="400"/>
              <w:spacing w:after="0"/>
              <w:rPr>
                <w:sz w:val="20"/>
                <w:szCs w:val="20"/>
                <w:color w:val="auto"/>
              </w:rPr>
            </w:pPr>
            <w:r>
              <w:rPr>
                <w:rFonts w:ascii="Arial" w:cs="Arial" w:eastAsia="Arial" w:hAnsi="Arial"/>
                <w:sz w:val="18"/>
                <w:szCs w:val="18"/>
                <w:color w:val="auto"/>
              </w:rPr>
              <w:t>Yamakin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00" w:type="dxa"/>
            <w:vAlign w:val="bottom"/>
          </w:tcPr>
          <w:p>
            <w:pPr>
              <w:ind w:left="400"/>
              <w:spacing w:after="0"/>
              <w:rPr>
                <w:sz w:val="20"/>
                <w:szCs w:val="20"/>
                <w:color w:val="auto"/>
              </w:rPr>
            </w:pPr>
            <w:r>
              <w:rPr>
                <w:rFonts w:ascii="Arial" w:cs="Arial" w:eastAsia="Arial" w:hAnsi="Arial"/>
                <w:sz w:val="18"/>
                <w:szCs w:val="18"/>
                <w:color w:val="auto"/>
              </w:rPr>
              <w:t>Yokohama Metal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00" w:type="dxa"/>
            <w:vAlign w:val="bottom"/>
          </w:tcPr>
          <w:p>
            <w:pPr>
              <w:ind w:left="400"/>
              <w:spacing w:after="0"/>
              <w:rPr>
                <w:sz w:val="20"/>
                <w:szCs w:val="20"/>
                <w:color w:val="auto"/>
              </w:rPr>
            </w:pPr>
            <w:r>
              <w:rPr>
                <w:rFonts w:ascii="Arial" w:cs="Arial" w:eastAsia="Arial" w:hAnsi="Arial"/>
                <w:sz w:val="18"/>
                <w:szCs w:val="18"/>
                <w:color w:val="auto"/>
              </w:rPr>
              <w:t>Yunnan Copper Industry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Gold</w:t>
            </w:r>
          </w:p>
        </w:tc>
        <w:tc>
          <w:tcPr>
            <w:tcW w:w="7000" w:type="dxa"/>
            <w:vAlign w:val="bottom"/>
          </w:tcPr>
          <w:p>
            <w:pPr>
              <w:ind w:left="400"/>
              <w:spacing w:after="0"/>
              <w:rPr>
                <w:sz w:val="20"/>
                <w:szCs w:val="20"/>
                <w:color w:val="auto"/>
              </w:rPr>
            </w:pPr>
            <w:r>
              <w:rPr>
                <w:rFonts w:ascii="Arial" w:cs="Arial" w:eastAsia="Arial" w:hAnsi="Arial"/>
                <w:sz w:val="18"/>
                <w:szCs w:val="18"/>
                <w:color w:val="auto"/>
              </w:rPr>
              <w:t>Zhongyuan Gold Smelter of Zhongjin Gold Corporation*</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Changsha South Tantalum Niobium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D Block Metals, LLC*</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Exotech Inc.*</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F&amp;X Electro-Materials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FIR Metals &amp; Resource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Global Advanced Metals Aizu*</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Global Advanced Metals Boyertown*</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Guangdong Rising Rare Metals-EO Materials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Guangdong Zhiyuan New Material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H.C. Starck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H.C. Starck Hermsdorf GmbH*</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H.C. Starck Inc.*</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H.C. Starck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H.C. Starck Smelting GmbH &amp; Co. KG*</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H.C. Starck Tantalum and Niobium GmbH*</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Hengyang King Xing Lifeng New Materials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Jiangxi Dinghai Tantalum &amp; Niobium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Jiangxi Tuohong New Raw Material*</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JiuJiang JinXin Nonferrous Metals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Jiujiang Tanbre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Jiujiang Zhongao Tantalum &amp; Niobium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KEMET Blue Metals*</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KEMET Blue Powder*</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LSM Brasil S.A.*</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Metallurgical Products India Pvt.,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Mineracao Taboca S.A.*</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Mitsui Mining and Smelting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Ningxia Orient Tantalum Industry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NPM Silmet AS*</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Estonia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160" w:type="dxa"/>
            <w:vAlign w:val="bottom"/>
            <w:tcBorders>
              <w:left w:val="single" w:sz="8" w:color="5B9BD5"/>
            </w:tcBorders>
            <w:vMerge w:val="restart"/>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vMerge w:val="restart"/>
          </w:tcPr>
          <w:p>
            <w:pPr>
              <w:ind w:left="400"/>
              <w:spacing w:after="0"/>
              <w:rPr>
                <w:sz w:val="20"/>
                <w:szCs w:val="20"/>
                <w:color w:val="auto"/>
              </w:rPr>
            </w:pPr>
            <w:r>
              <w:rPr>
                <w:rFonts w:ascii="Arial" w:cs="Arial" w:eastAsia="Arial" w:hAnsi="Arial"/>
                <w:sz w:val="18"/>
                <w:szCs w:val="18"/>
                <w:color w:val="auto"/>
              </w:rPr>
              <w:t>Power Resources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w w:val="95"/>
              </w:rPr>
              <w:t>Macedonia, The Former Yugoslav</w:t>
            </w:r>
          </w:p>
        </w:tc>
        <w:tc>
          <w:tcPr>
            <w:tcW w:w="0" w:type="dxa"/>
            <w:vAlign w:val="bottom"/>
          </w:tcPr>
          <w:p>
            <w:pPr>
              <w:spacing w:after="0"/>
              <w:rPr>
                <w:sz w:val="1"/>
                <w:szCs w:val="1"/>
                <w:color w:val="auto"/>
              </w:rPr>
            </w:pPr>
          </w:p>
        </w:tc>
      </w:tr>
      <w:tr>
        <w:trPr>
          <w:trHeight w:val="122"/>
        </w:trPr>
        <w:tc>
          <w:tcPr>
            <w:tcW w:w="1160" w:type="dxa"/>
            <w:vAlign w:val="bottom"/>
            <w:tcBorders>
              <w:left w:val="single" w:sz="8" w:color="5B9BD5"/>
            </w:tcBorders>
            <w:vMerge w:val="continue"/>
          </w:tcPr>
          <w:p>
            <w:pPr>
              <w:spacing w:after="0"/>
              <w:rPr>
                <w:sz w:val="10"/>
                <w:szCs w:val="10"/>
                <w:color w:val="auto"/>
              </w:rPr>
            </w:pPr>
          </w:p>
        </w:tc>
        <w:tc>
          <w:tcPr>
            <w:tcW w:w="7000" w:type="dxa"/>
            <w:vAlign w:val="bottom"/>
            <w:vMerge w:val="continue"/>
          </w:tcPr>
          <w:p>
            <w:pPr>
              <w:spacing w:after="0"/>
              <w:rPr>
                <w:sz w:val="10"/>
                <w:szCs w:val="10"/>
                <w:color w:val="auto"/>
              </w:rPr>
            </w:pPr>
          </w:p>
        </w:tc>
        <w:tc>
          <w:tcPr>
            <w:tcW w:w="3140" w:type="dxa"/>
            <w:vAlign w:val="bottom"/>
            <w:tcBorders>
              <w:right w:val="single" w:sz="8" w:color="5B9BD5"/>
            </w:tcBorders>
            <w:vMerge w:val="restart"/>
          </w:tcPr>
          <w:p>
            <w:pPr>
              <w:ind w:left="500"/>
              <w:spacing w:after="0"/>
              <w:rPr>
                <w:sz w:val="20"/>
                <w:szCs w:val="20"/>
                <w:color w:val="auto"/>
              </w:rPr>
            </w:pPr>
            <w:r>
              <w:rPr>
                <w:rFonts w:ascii="Arial" w:cs="Arial" w:eastAsia="Arial" w:hAnsi="Arial"/>
                <w:sz w:val="18"/>
                <w:szCs w:val="18"/>
                <w:color w:val="auto"/>
              </w:rPr>
              <w:t>Republic of</w:t>
            </w:r>
          </w:p>
        </w:tc>
        <w:tc>
          <w:tcPr>
            <w:tcW w:w="0" w:type="dxa"/>
            <w:vAlign w:val="bottom"/>
          </w:tcPr>
          <w:p>
            <w:pPr>
              <w:spacing w:after="0"/>
              <w:rPr>
                <w:sz w:val="1"/>
                <w:szCs w:val="1"/>
                <w:color w:val="auto"/>
              </w:rPr>
            </w:pPr>
          </w:p>
        </w:tc>
      </w:tr>
      <w:tr>
        <w:trPr>
          <w:trHeight w:val="108"/>
        </w:trPr>
        <w:tc>
          <w:tcPr>
            <w:tcW w:w="1160" w:type="dxa"/>
            <w:vAlign w:val="bottom"/>
            <w:tcBorders>
              <w:left w:val="single" w:sz="8" w:color="5B9BD5"/>
            </w:tcBorders>
          </w:tcPr>
          <w:p>
            <w:pPr>
              <w:spacing w:after="0"/>
              <w:rPr>
                <w:sz w:val="9"/>
                <w:szCs w:val="9"/>
                <w:color w:val="auto"/>
              </w:rPr>
            </w:pPr>
          </w:p>
        </w:tc>
        <w:tc>
          <w:tcPr>
            <w:tcW w:w="7000" w:type="dxa"/>
            <w:vAlign w:val="bottom"/>
          </w:tcPr>
          <w:p>
            <w:pPr>
              <w:spacing w:after="0"/>
              <w:rPr>
                <w:sz w:val="9"/>
                <w:szCs w:val="9"/>
                <w:color w:val="auto"/>
              </w:rPr>
            </w:pPr>
          </w:p>
        </w:tc>
        <w:tc>
          <w:tcPr>
            <w:tcW w:w="3140" w:type="dxa"/>
            <w:vAlign w:val="bottom"/>
            <w:tcBorders>
              <w:right w:val="single" w:sz="8" w:color="5B9BD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QuantumClean*</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Resind Industria e Comercio Ltda.*</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RFH Tantalum Smeltery Co., Ltd./Yanling Jincheng Tantalum &amp; Niobium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Solikamsk Magnesium Works OAO*</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Taki Chemical Co., Ltd.*</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000" w:type="dxa"/>
            <w:vAlign w:val="bottom"/>
          </w:tcPr>
          <w:p>
            <w:pPr>
              <w:ind w:left="400"/>
              <w:spacing w:after="0"/>
              <w:rPr>
                <w:sz w:val="20"/>
                <w:szCs w:val="20"/>
                <w:color w:val="auto"/>
              </w:rPr>
            </w:pPr>
            <w:r>
              <w:rPr>
                <w:rFonts w:ascii="Arial" w:cs="Arial" w:eastAsia="Arial" w:hAnsi="Arial"/>
                <w:sz w:val="18"/>
                <w:szCs w:val="18"/>
                <w:color w:val="auto"/>
              </w:rPr>
              <w:t>Telex Metals*</w:t>
            </w:r>
          </w:p>
        </w:tc>
        <w:tc>
          <w:tcPr>
            <w:tcW w:w="3140" w:type="dxa"/>
            <w:vAlign w:val="bottom"/>
            <w:tcBorders>
              <w:right w:val="single" w:sz="8" w:color="5B9BD5"/>
            </w:tcBorders>
          </w:tcPr>
          <w:p>
            <w:pPr>
              <w:ind w:left="5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000" w:type="dxa"/>
            <w:vAlign w:val="bottom"/>
            <w:tcBorders>
              <w:bottom w:val="single" w:sz="8" w:color="5B9BD5"/>
            </w:tcBorders>
          </w:tcPr>
          <w:p>
            <w:pPr>
              <w:spacing w:after="0"/>
              <w:rPr>
                <w:sz w:val="4"/>
                <w:szCs w:val="4"/>
                <w:color w:val="auto"/>
              </w:rPr>
            </w:pPr>
          </w:p>
        </w:tc>
        <w:tc>
          <w:tcPr>
            <w:tcW w:w="3140" w:type="dxa"/>
            <w:vAlign w:val="bottom"/>
            <w:tcBorders>
              <w:bottom w:val="single" w:sz="8" w:color="5B9BD5"/>
              <w:right w:val="single" w:sz="8" w:color="5B9BD5"/>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14" w:right="29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160" w:type="dxa"/>
            <w:vAlign w:val="bottom"/>
            <w:tcBorders>
              <w:top w:val="single" w:sz="8" w:color="7F7F7F"/>
              <w:left w:val="single" w:sz="8" w:color="5B9BD5"/>
              <w:bottom w:val="single" w:sz="8" w:color="BDD6EE"/>
            </w:tcBorders>
            <w:shd w:val="clear" w:color="auto" w:fill="BDD6EE"/>
          </w:tcPr>
          <w:p>
            <w:pPr>
              <w:ind w:left="100"/>
              <w:spacing w:after="0"/>
              <w:rPr>
                <w:sz w:val="20"/>
                <w:szCs w:val="20"/>
                <w:color w:val="auto"/>
              </w:rPr>
            </w:pPr>
            <w:r>
              <w:rPr>
                <w:rFonts w:ascii="Arial" w:cs="Arial" w:eastAsia="Arial" w:hAnsi="Arial"/>
                <w:sz w:val="18"/>
                <w:szCs w:val="18"/>
                <w:b w:val="1"/>
                <w:bCs w:val="1"/>
                <w:color w:val="auto"/>
              </w:rPr>
              <w:t>Metal</w:t>
            </w:r>
          </w:p>
        </w:tc>
        <w:tc>
          <w:tcPr>
            <w:tcW w:w="7220" w:type="dxa"/>
            <w:vAlign w:val="bottom"/>
            <w:tcBorders>
              <w:top w:val="single" w:sz="8" w:color="7F7F7F"/>
              <w:bottom w:val="single" w:sz="8" w:color="BDD6EE"/>
            </w:tcBorders>
            <w:shd w:val="clear" w:color="auto" w:fill="BDD6EE"/>
          </w:tcPr>
          <w:p>
            <w:pPr>
              <w:ind w:left="400"/>
              <w:spacing w:after="0"/>
              <w:rPr>
                <w:sz w:val="20"/>
                <w:szCs w:val="20"/>
                <w:color w:val="auto"/>
              </w:rPr>
            </w:pPr>
            <w:r>
              <w:rPr>
                <w:rFonts w:ascii="Arial" w:cs="Arial" w:eastAsia="Arial" w:hAnsi="Arial"/>
                <w:sz w:val="18"/>
                <w:szCs w:val="18"/>
                <w:b w:val="1"/>
                <w:bCs w:val="1"/>
                <w:color w:val="auto"/>
              </w:rPr>
              <w:t>Smelter/Refiner</w:t>
            </w:r>
          </w:p>
        </w:tc>
        <w:tc>
          <w:tcPr>
            <w:tcW w:w="2920" w:type="dxa"/>
            <w:vAlign w:val="bottom"/>
            <w:tcBorders>
              <w:top w:val="single" w:sz="8" w:color="7F7F7F"/>
              <w:bottom w:val="single" w:sz="8" w:color="BDD6EE"/>
              <w:right w:val="single" w:sz="8" w:color="5B9BD5"/>
            </w:tcBorders>
            <w:shd w:val="clear" w:color="auto" w:fill="BDD6EE"/>
          </w:tcPr>
          <w:p>
            <w:pPr>
              <w:ind w:left="280"/>
              <w:spacing w:after="0"/>
              <w:rPr>
                <w:sz w:val="20"/>
                <w:szCs w:val="20"/>
                <w:color w:val="auto"/>
              </w:rPr>
            </w:pPr>
            <w:r>
              <w:rPr>
                <w:rFonts w:ascii="Arial" w:cs="Arial" w:eastAsia="Arial" w:hAnsi="Arial"/>
                <w:sz w:val="18"/>
                <w:szCs w:val="18"/>
                <w:b w:val="1"/>
                <w:bCs w:val="1"/>
                <w:color w:val="auto"/>
              </w:rPr>
              <w:t>Country</w:t>
            </w:r>
          </w:p>
        </w:tc>
      </w:tr>
      <w:tr>
        <w:trPr>
          <w:trHeight w:val="237"/>
        </w:trPr>
        <w:tc>
          <w:tcPr>
            <w:tcW w:w="1160" w:type="dxa"/>
            <w:vAlign w:val="bottom"/>
            <w:tcBorders>
              <w:top w:val="single" w:sz="8" w:color="7F7F7F"/>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220" w:type="dxa"/>
            <w:vAlign w:val="bottom"/>
            <w:tcBorders>
              <w:top w:val="single" w:sz="8" w:color="7F7F7F"/>
            </w:tcBorders>
          </w:tcPr>
          <w:p>
            <w:pPr>
              <w:ind w:left="400"/>
              <w:spacing w:after="0"/>
              <w:rPr>
                <w:sz w:val="20"/>
                <w:szCs w:val="20"/>
                <w:color w:val="auto"/>
              </w:rPr>
            </w:pPr>
            <w:r>
              <w:rPr>
                <w:rFonts w:ascii="Arial" w:cs="Arial" w:eastAsia="Arial" w:hAnsi="Arial"/>
                <w:sz w:val="18"/>
                <w:szCs w:val="18"/>
                <w:color w:val="auto"/>
              </w:rPr>
              <w:t>Ulba Metallurgical Plant JSC*</w:t>
            </w:r>
          </w:p>
        </w:tc>
        <w:tc>
          <w:tcPr>
            <w:tcW w:w="2920" w:type="dxa"/>
            <w:vAlign w:val="bottom"/>
            <w:tcBorders>
              <w:top w:val="single" w:sz="8" w:color="7F7F7F"/>
              <w:right w:val="single" w:sz="8" w:color="5B9BD5"/>
            </w:tcBorders>
          </w:tcPr>
          <w:p>
            <w:pPr>
              <w:ind w:left="280"/>
              <w:spacing w:after="0"/>
              <w:rPr>
                <w:sz w:val="20"/>
                <w:szCs w:val="20"/>
                <w:color w:val="auto"/>
              </w:rPr>
            </w:pPr>
            <w:r>
              <w:rPr>
                <w:rFonts w:ascii="Arial" w:cs="Arial" w:eastAsia="Arial" w:hAnsi="Arial"/>
                <w:sz w:val="18"/>
                <w:szCs w:val="18"/>
                <w:color w:val="auto"/>
              </w:rPr>
              <w:t>Kazakhstan</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Tantalum</w:t>
            </w:r>
          </w:p>
        </w:tc>
        <w:tc>
          <w:tcPr>
            <w:tcW w:w="7220" w:type="dxa"/>
            <w:vAlign w:val="bottom"/>
          </w:tcPr>
          <w:p>
            <w:pPr>
              <w:ind w:left="400"/>
              <w:spacing w:after="0"/>
              <w:rPr>
                <w:sz w:val="20"/>
                <w:szCs w:val="20"/>
                <w:color w:val="auto"/>
              </w:rPr>
            </w:pPr>
            <w:r>
              <w:rPr>
                <w:rFonts w:ascii="Arial" w:cs="Arial" w:eastAsia="Arial" w:hAnsi="Arial"/>
                <w:sz w:val="18"/>
                <w:szCs w:val="18"/>
                <w:color w:val="auto"/>
              </w:rPr>
              <w:t>XinXing HaoRong Electronic Material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Alpha*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United States of America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An Vinh Joint Stock Mineral Processing Company</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Viet Nam</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Chenzhou Yunxiang Mining and Metallurgy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China Tin Group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CV Ayi Jaya*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CV Dua Sekawan*</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CV Gita Pesona*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CV United Smelting*</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CV Venus Inti Perkasa*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Dowa*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Japan</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w w:val="96"/>
              </w:rPr>
              <w:t>Electro-Mechanical Facility of the Cao Bang Minerals &amp; Metallurgy Joint Stock Company</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Viet Nam</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EM Vinto*</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Bolivia (Plurinational State of)</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Estanho de Rondonia S.A.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Brazil</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Fenix Metals*</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Poland</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Gejiu Fengming Metallurgy Chemical Plant*</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Gejiu Jinye Mineral Company*</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Gejiu Kai Meng Industry and Trade LLC*</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Gejiu Non-Ferrous Metal Processing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Gejiu Yunxin Nonferrous Electrolysis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Gejiu Zili Mining And Metallurgy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Guangdong Hanhe Non-Ferrous Metal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Guanyang Guida Nonferrous Metal Smelting Plant*</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HuiChang Hill Tin Industry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Huichang Jinshunda Tin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Jiangxi Ketai Advanced Material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Jiangxi New Nanshan Technology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Magnu's Minerais Metais e Ligas Ltda.*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Brazil</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Malaysia Smelting Corporation (MSC)*</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Malaysia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Melt Metais e Ligas S.A.*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Brazil</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Metallic Resources, Inc.*</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United States of America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Metallo Belgium N.V.*</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Belgium</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Metallo Spain S.L.U.*</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Spain</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Mineracao Taboca S.A.*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Brazil</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Minsur*</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Peru</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Mitsubishi Materials Corporation*</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Japan</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Modeltech Sdn Bhd**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Malaysia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Nghe Tinh Non-Ferrous Metals Joint Stock Company</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Viet Nam</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O.M. Manufacturing (Thailand) Co., Ltd.*</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Thailand</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O.M. Manufacturing Philippines, Inc.*</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Philippines</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Operaciones Metalurgical S.A.*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Bolivia (Plurinational State of)</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7220" w:type="dxa"/>
            <w:vAlign w:val="bottom"/>
          </w:tcPr>
          <w:p>
            <w:pPr>
              <w:ind w:left="400"/>
              <w:spacing w:after="0"/>
              <w:rPr>
                <w:sz w:val="20"/>
                <w:szCs w:val="20"/>
                <w:color w:val="auto"/>
              </w:rPr>
            </w:pPr>
            <w:r>
              <w:rPr>
                <w:rFonts w:ascii="Arial" w:cs="Arial" w:eastAsia="Arial" w:hAnsi="Arial"/>
                <w:sz w:val="18"/>
                <w:szCs w:val="18"/>
                <w:color w:val="auto"/>
              </w:rPr>
              <w:t>PT Aries Kencana Sejahtera*</w:t>
            </w:r>
          </w:p>
        </w:tc>
        <w:tc>
          <w:tcPr>
            <w:tcW w:w="2920" w:type="dxa"/>
            <w:vAlign w:val="bottom"/>
            <w:tcBorders>
              <w:right w:val="single" w:sz="8" w:color="5B9BD5"/>
            </w:tcBorders>
          </w:tcPr>
          <w:p>
            <w:pPr>
              <w:ind w:left="28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7220" w:type="dxa"/>
            <w:vAlign w:val="bottom"/>
            <w:tcBorders>
              <w:bottom w:val="single" w:sz="8" w:color="5B9BD5"/>
            </w:tcBorders>
          </w:tcPr>
          <w:p>
            <w:pPr>
              <w:spacing w:after="0"/>
              <w:rPr>
                <w:sz w:val="4"/>
                <w:szCs w:val="4"/>
                <w:color w:val="auto"/>
              </w:rPr>
            </w:pPr>
          </w:p>
        </w:tc>
        <w:tc>
          <w:tcPr>
            <w:tcW w:w="2920" w:type="dxa"/>
            <w:vAlign w:val="bottom"/>
            <w:tcBorders>
              <w:bottom w:val="single" w:sz="8" w:color="5B9BD5"/>
              <w:right w:val="single" w:sz="8" w:color="5B9BD5"/>
            </w:tcBorders>
          </w:tcPr>
          <w:p>
            <w:pPr>
              <w:spacing w:after="0"/>
              <w:rPr>
                <w:sz w:val="4"/>
                <w:szCs w:val="4"/>
                <w:color w:val="auto"/>
              </w:rPr>
            </w:pPr>
          </w:p>
        </w:tc>
      </w:tr>
    </w:tbl>
    <w:p>
      <w:pPr>
        <w:sectPr>
          <w:pgSz w:w="11900" w:h="16838" w:orient="portrait"/>
          <w:cols w:equalWidth="0" w:num="1">
            <w:col w:w="11300"/>
          </w:cols>
          <w:pgMar w:left="300" w:top="714" w:right="29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160" w:type="dxa"/>
            <w:vAlign w:val="bottom"/>
            <w:tcBorders>
              <w:top w:val="single" w:sz="8" w:color="7F7F7F"/>
              <w:left w:val="single" w:sz="8" w:color="5B9BD5"/>
              <w:bottom w:val="single" w:sz="8" w:color="BDD6EE"/>
            </w:tcBorders>
            <w:shd w:val="clear" w:color="auto" w:fill="BDD6EE"/>
          </w:tcPr>
          <w:p>
            <w:pPr>
              <w:ind w:left="100"/>
              <w:spacing w:after="0"/>
              <w:rPr>
                <w:sz w:val="20"/>
                <w:szCs w:val="20"/>
                <w:color w:val="auto"/>
              </w:rPr>
            </w:pPr>
            <w:r>
              <w:rPr>
                <w:rFonts w:ascii="Arial" w:cs="Arial" w:eastAsia="Arial" w:hAnsi="Arial"/>
                <w:sz w:val="18"/>
                <w:szCs w:val="18"/>
                <w:b w:val="1"/>
                <w:bCs w:val="1"/>
                <w:color w:val="auto"/>
              </w:rPr>
              <w:t>Metal</w:t>
            </w:r>
          </w:p>
        </w:tc>
        <w:tc>
          <w:tcPr>
            <w:tcW w:w="5980" w:type="dxa"/>
            <w:vAlign w:val="bottom"/>
            <w:tcBorders>
              <w:top w:val="single" w:sz="8" w:color="7F7F7F"/>
              <w:bottom w:val="single" w:sz="8" w:color="BDD6EE"/>
            </w:tcBorders>
            <w:shd w:val="clear" w:color="auto" w:fill="BDD6EE"/>
          </w:tcPr>
          <w:p>
            <w:pPr>
              <w:ind w:left="400"/>
              <w:spacing w:after="0"/>
              <w:rPr>
                <w:sz w:val="20"/>
                <w:szCs w:val="20"/>
                <w:color w:val="auto"/>
              </w:rPr>
            </w:pPr>
            <w:r>
              <w:rPr>
                <w:rFonts w:ascii="Arial" w:cs="Arial" w:eastAsia="Arial" w:hAnsi="Arial"/>
                <w:sz w:val="18"/>
                <w:szCs w:val="18"/>
                <w:b w:val="1"/>
                <w:bCs w:val="1"/>
                <w:color w:val="auto"/>
              </w:rPr>
              <w:t>Smelter/Refiner</w:t>
            </w:r>
          </w:p>
        </w:tc>
        <w:tc>
          <w:tcPr>
            <w:tcW w:w="4160" w:type="dxa"/>
            <w:vAlign w:val="bottom"/>
            <w:tcBorders>
              <w:top w:val="single" w:sz="8" w:color="7F7F7F"/>
              <w:bottom w:val="single" w:sz="8" w:color="BDD6EE"/>
              <w:right w:val="single" w:sz="8" w:color="5B9BD5"/>
            </w:tcBorders>
            <w:shd w:val="clear" w:color="auto" w:fill="BDD6EE"/>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37"/>
        </w:trPr>
        <w:tc>
          <w:tcPr>
            <w:tcW w:w="1160" w:type="dxa"/>
            <w:vAlign w:val="bottom"/>
            <w:tcBorders>
              <w:top w:val="single" w:sz="8" w:color="7F7F7F"/>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Borders>
              <w:top w:val="single" w:sz="8" w:color="7F7F7F"/>
            </w:tcBorders>
          </w:tcPr>
          <w:p>
            <w:pPr>
              <w:ind w:left="400"/>
              <w:spacing w:after="0"/>
              <w:rPr>
                <w:sz w:val="20"/>
                <w:szCs w:val="20"/>
                <w:color w:val="auto"/>
              </w:rPr>
            </w:pPr>
            <w:r>
              <w:rPr>
                <w:rFonts w:ascii="Arial" w:cs="Arial" w:eastAsia="Arial" w:hAnsi="Arial"/>
                <w:sz w:val="18"/>
                <w:szCs w:val="18"/>
                <w:color w:val="auto"/>
              </w:rPr>
              <w:t>PT Artha Cipta Langgeng*</w:t>
            </w:r>
          </w:p>
        </w:tc>
        <w:tc>
          <w:tcPr>
            <w:tcW w:w="4160" w:type="dxa"/>
            <w:vAlign w:val="bottom"/>
            <w:tcBorders>
              <w:top w:val="single" w:sz="8" w:color="7F7F7F"/>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ATD Makmur Mandiri Jaya*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Babel Inti Perkasa*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Bangka Prima Tin*</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Bangka Tin Industry*</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Belitung Industri Sejahtera*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Bukit Timah*</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DS Jaya Abadi*</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Eunindo Usaha Mandiri*</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Inti Stania Prima*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Karimun Mining*</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Kijang Jaya Mandiri*</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Lautan Harmonis Sejahtera*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Menara Cipta Mulia*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Mitra Stania Prima*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Panca Mega Persada*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Premium Tin Indonesia*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Prima Timah Utama*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Rajehan Ariq*</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Refined Bangka Tin*</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Sariwiguna Binasentosa*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Stanindo Inti Perkasa*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Sukses Inti Makmur*</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Sumber Jaya Indah*</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Timah (Persero) Tbk Kundur*</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Timah (Persero) Tbk Mentok*</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Tinindo Inter Nusa*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PT Tommy Utama*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Indonesia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Resind Industria e Comercio Ltda.*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Brazil</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Rui Da Hung*</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Taiwan, Province of 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Soft Metais Ltda.*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Brazil</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Super Ligas</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Brazil</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Thaisarco*</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Thailand</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Tuyen Quang Non-Ferrous Metals Joint Stock Company</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Viet Nam</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White Solder Metalurgia e Mineracao Ltda.*</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Brazil</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Yunnan Chengfeng Non-ferrous Metals Co., Ltd.*</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Tin</w:t>
            </w:r>
          </w:p>
        </w:tc>
        <w:tc>
          <w:tcPr>
            <w:tcW w:w="5980" w:type="dxa"/>
            <w:vAlign w:val="bottom"/>
          </w:tcPr>
          <w:p>
            <w:pPr>
              <w:ind w:left="400"/>
              <w:spacing w:after="0"/>
              <w:rPr>
                <w:sz w:val="20"/>
                <w:szCs w:val="20"/>
                <w:color w:val="auto"/>
              </w:rPr>
            </w:pPr>
            <w:r>
              <w:rPr>
                <w:rFonts w:ascii="Arial" w:cs="Arial" w:eastAsia="Arial" w:hAnsi="Arial"/>
                <w:sz w:val="18"/>
                <w:szCs w:val="18"/>
                <w:color w:val="auto"/>
              </w:rPr>
              <w:t>Yunnan Tin Company Limited*</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5980" w:type="dxa"/>
            <w:vAlign w:val="bottom"/>
          </w:tcPr>
          <w:p>
            <w:pPr>
              <w:ind w:left="400"/>
              <w:spacing w:after="0"/>
              <w:rPr>
                <w:sz w:val="20"/>
                <w:szCs w:val="20"/>
                <w:color w:val="auto"/>
              </w:rPr>
            </w:pPr>
            <w:r>
              <w:rPr>
                <w:rFonts w:ascii="Arial" w:cs="Arial" w:eastAsia="Arial" w:hAnsi="Arial"/>
                <w:sz w:val="18"/>
                <w:szCs w:val="18"/>
                <w:color w:val="auto"/>
              </w:rPr>
              <w:t>A.L.M.T. TUNGSTEN Corp.*</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Japan</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5980" w:type="dxa"/>
            <w:vAlign w:val="bottom"/>
          </w:tcPr>
          <w:p>
            <w:pPr>
              <w:ind w:left="400"/>
              <w:spacing w:after="0"/>
              <w:rPr>
                <w:sz w:val="20"/>
                <w:szCs w:val="20"/>
                <w:color w:val="auto"/>
              </w:rPr>
            </w:pPr>
            <w:r>
              <w:rPr>
                <w:rFonts w:ascii="Arial" w:cs="Arial" w:eastAsia="Arial" w:hAnsi="Arial"/>
                <w:sz w:val="18"/>
                <w:szCs w:val="18"/>
                <w:color w:val="auto"/>
              </w:rPr>
              <w:t>ACL Metais Eireli*</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Brazil</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5980" w:type="dxa"/>
            <w:vAlign w:val="bottom"/>
          </w:tcPr>
          <w:p>
            <w:pPr>
              <w:ind w:left="400"/>
              <w:spacing w:after="0"/>
              <w:rPr>
                <w:sz w:val="20"/>
                <w:szCs w:val="20"/>
                <w:color w:val="auto"/>
              </w:rPr>
            </w:pPr>
            <w:r>
              <w:rPr>
                <w:rFonts w:ascii="Arial" w:cs="Arial" w:eastAsia="Arial" w:hAnsi="Arial"/>
                <w:sz w:val="18"/>
                <w:szCs w:val="18"/>
                <w:color w:val="auto"/>
              </w:rPr>
              <w:t>Asia Tungsten Products Vietnam Ltd.*</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Viet Nam</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5980" w:type="dxa"/>
            <w:vAlign w:val="bottom"/>
          </w:tcPr>
          <w:p>
            <w:pPr>
              <w:ind w:left="400"/>
              <w:spacing w:after="0"/>
              <w:rPr>
                <w:sz w:val="20"/>
                <w:szCs w:val="20"/>
                <w:color w:val="auto"/>
              </w:rPr>
            </w:pPr>
            <w:r>
              <w:rPr>
                <w:rFonts w:ascii="Arial" w:cs="Arial" w:eastAsia="Arial" w:hAnsi="Arial"/>
                <w:sz w:val="18"/>
                <w:szCs w:val="18"/>
                <w:color w:val="auto"/>
              </w:rPr>
              <w:t>Chenzhou Diamond Tungsten Products Co., Ltd.*</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5980" w:type="dxa"/>
            <w:vAlign w:val="bottom"/>
          </w:tcPr>
          <w:p>
            <w:pPr>
              <w:ind w:left="400"/>
              <w:spacing w:after="0"/>
              <w:rPr>
                <w:sz w:val="20"/>
                <w:szCs w:val="20"/>
                <w:color w:val="auto"/>
              </w:rPr>
            </w:pPr>
            <w:r>
              <w:rPr>
                <w:rFonts w:ascii="Arial" w:cs="Arial" w:eastAsia="Arial" w:hAnsi="Arial"/>
                <w:sz w:val="18"/>
                <w:szCs w:val="18"/>
                <w:color w:val="auto"/>
              </w:rPr>
              <w:t>Chongyi Zhangyuan Tungsten Co., Ltd.*</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5980" w:type="dxa"/>
            <w:vAlign w:val="bottom"/>
          </w:tcPr>
          <w:p>
            <w:pPr>
              <w:ind w:left="400"/>
              <w:spacing w:after="0"/>
              <w:rPr>
                <w:sz w:val="20"/>
                <w:szCs w:val="20"/>
                <w:color w:val="auto"/>
              </w:rPr>
            </w:pPr>
            <w:r>
              <w:rPr>
                <w:rFonts w:ascii="Arial" w:cs="Arial" w:eastAsia="Arial" w:hAnsi="Arial"/>
                <w:sz w:val="18"/>
                <w:szCs w:val="18"/>
                <w:color w:val="auto"/>
              </w:rPr>
              <w:t>Fujian Jinxin Tungsten Co., Ltd.*</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5980" w:type="dxa"/>
            <w:vAlign w:val="bottom"/>
          </w:tcPr>
          <w:p>
            <w:pPr>
              <w:ind w:left="400"/>
              <w:spacing w:after="0"/>
              <w:rPr>
                <w:sz w:val="20"/>
                <w:szCs w:val="20"/>
                <w:color w:val="auto"/>
              </w:rPr>
            </w:pPr>
            <w:r>
              <w:rPr>
                <w:rFonts w:ascii="Arial" w:cs="Arial" w:eastAsia="Arial" w:hAnsi="Arial"/>
                <w:sz w:val="18"/>
                <w:szCs w:val="18"/>
                <w:color w:val="auto"/>
              </w:rPr>
              <w:t>Ganzhou Haichuang Tungsten Co., Ltd.**</w:t>
            </w:r>
          </w:p>
        </w:tc>
        <w:tc>
          <w:tcPr>
            <w:tcW w:w="4160" w:type="dxa"/>
            <w:vAlign w:val="bottom"/>
            <w:tcBorders>
              <w:right w:val="single" w:sz="8" w:color="5B9BD5"/>
            </w:tcBorders>
          </w:tcPr>
          <w:p>
            <w:pPr>
              <w:ind w:left="152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5980" w:type="dxa"/>
            <w:vAlign w:val="bottom"/>
            <w:tcBorders>
              <w:bottom w:val="single" w:sz="8" w:color="5B9BD5"/>
            </w:tcBorders>
          </w:tcPr>
          <w:p>
            <w:pPr>
              <w:spacing w:after="0"/>
              <w:rPr>
                <w:sz w:val="4"/>
                <w:szCs w:val="4"/>
                <w:color w:val="auto"/>
              </w:rPr>
            </w:pPr>
          </w:p>
        </w:tc>
        <w:tc>
          <w:tcPr>
            <w:tcW w:w="4160" w:type="dxa"/>
            <w:vAlign w:val="bottom"/>
            <w:tcBorders>
              <w:bottom w:val="single" w:sz="8" w:color="5B9BD5"/>
              <w:right w:val="single" w:sz="8" w:color="5B9BD5"/>
            </w:tcBorders>
          </w:tcPr>
          <w:p>
            <w:pPr>
              <w:spacing w:after="0"/>
              <w:rPr>
                <w:sz w:val="4"/>
                <w:szCs w:val="4"/>
                <w:color w:val="auto"/>
              </w:rPr>
            </w:pPr>
          </w:p>
        </w:tc>
      </w:tr>
    </w:tbl>
    <w:p>
      <w:pPr>
        <w:sectPr>
          <w:pgSz w:w="11900" w:h="16838" w:orient="portrait"/>
          <w:cols w:equalWidth="0" w:num="1">
            <w:col w:w="11300"/>
          </w:cols>
          <w:pgMar w:left="300" w:top="714" w:right="299" w:bottom="1440" w:gutter="0" w:footer="0" w:header="0"/>
        </w:sectPr>
      </w:pPr>
    </w:p>
    <w:bookmarkStart w:id="16" w:name="page17"/>
    <w:bookmarkEnd w:id="16"/>
    <w:p>
      <w:pPr>
        <w:spacing w:after="0" w:line="1" w:lineRule="exact"/>
        <w:rPr>
          <w:sz w:val="20"/>
          <w:szCs w:val="20"/>
          <w:color w:val="auto"/>
        </w:rPr>
      </w:pPr>
    </w:p>
    <w:tbl>
      <w:tblPr>
        <w:tblLayout w:type="fixed"/>
        <w:tblInd w:w="70" w:type="dxa"/>
        <w:tblCellMar>
          <w:top w:w="0" w:type="dxa"/>
          <w:left w:w="0" w:type="dxa"/>
          <w:bottom w:w="0" w:type="dxa"/>
          <w:right w:w="0" w:type="dxa"/>
        </w:tblCellMar>
      </w:tblPr>
      <w:tr>
        <w:trPr>
          <w:trHeight w:val="316"/>
        </w:trPr>
        <w:tc>
          <w:tcPr>
            <w:tcW w:w="1160" w:type="dxa"/>
            <w:vAlign w:val="bottom"/>
            <w:tcBorders>
              <w:top w:val="single" w:sz="8" w:color="7F7F7F"/>
              <w:left w:val="single" w:sz="8" w:color="5B9BD5"/>
              <w:bottom w:val="single" w:sz="8" w:color="BDD6EE"/>
            </w:tcBorders>
            <w:shd w:val="clear" w:color="auto" w:fill="BDD6EE"/>
          </w:tcPr>
          <w:p>
            <w:pPr>
              <w:ind w:left="100"/>
              <w:spacing w:after="0"/>
              <w:rPr>
                <w:sz w:val="20"/>
                <w:szCs w:val="20"/>
                <w:color w:val="auto"/>
              </w:rPr>
            </w:pPr>
            <w:r>
              <w:rPr>
                <w:rFonts w:ascii="Arial" w:cs="Arial" w:eastAsia="Arial" w:hAnsi="Arial"/>
                <w:sz w:val="18"/>
                <w:szCs w:val="18"/>
                <w:b w:val="1"/>
                <w:bCs w:val="1"/>
                <w:color w:val="auto"/>
              </w:rPr>
              <w:t>Metal</w:t>
            </w:r>
          </w:p>
        </w:tc>
        <w:tc>
          <w:tcPr>
            <w:tcW w:w="6400" w:type="dxa"/>
            <w:vAlign w:val="bottom"/>
            <w:tcBorders>
              <w:top w:val="single" w:sz="8" w:color="7F7F7F"/>
              <w:bottom w:val="single" w:sz="8" w:color="BDD6EE"/>
            </w:tcBorders>
            <w:shd w:val="clear" w:color="auto" w:fill="BDD6EE"/>
          </w:tcPr>
          <w:p>
            <w:pPr>
              <w:ind w:left="400"/>
              <w:spacing w:after="0"/>
              <w:rPr>
                <w:sz w:val="20"/>
                <w:szCs w:val="20"/>
                <w:color w:val="auto"/>
              </w:rPr>
            </w:pPr>
            <w:r>
              <w:rPr>
                <w:rFonts w:ascii="Arial" w:cs="Arial" w:eastAsia="Arial" w:hAnsi="Arial"/>
                <w:sz w:val="18"/>
                <w:szCs w:val="18"/>
                <w:b w:val="1"/>
                <w:bCs w:val="1"/>
                <w:color w:val="auto"/>
              </w:rPr>
              <w:t>Smelter/Refiner</w:t>
            </w:r>
          </w:p>
        </w:tc>
        <w:tc>
          <w:tcPr>
            <w:tcW w:w="3740" w:type="dxa"/>
            <w:vAlign w:val="bottom"/>
            <w:tcBorders>
              <w:top w:val="single" w:sz="8" w:color="7F7F7F"/>
              <w:bottom w:val="single" w:sz="8" w:color="BDD6EE"/>
              <w:right w:val="single" w:sz="8" w:color="5B9BD5"/>
            </w:tcBorders>
            <w:shd w:val="clear" w:color="auto" w:fill="BDD6EE"/>
          </w:tcPr>
          <w:p>
            <w:pPr>
              <w:ind w:left="1100"/>
              <w:spacing w:after="0"/>
              <w:rPr>
                <w:sz w:val="20"/>
                <w:szCs w:val="20"/>
                <w:color w:val="auto"/>
              </w:rPr>
            </w:pPr>
            <w:r>
              <w:rPr>
                <w:rFonts w:ascii="Arial" w:cs="Arial" w:eastAsia="Arial" w:hAnsi="Arial"/>
                <w:sz w:val="18"/>
                <w:szCs w:val="18"/>
                <w:b w:val="1"/>
                <w:bCs w:val="1"/>
                <w:color w:val="auto"/>
              </w:rPr>
              <w:t>Country</w:t>
            </w:r>
          </w:p>
        </w:tc>
      </w:tr>
      <w:tr>
        <w:trPr>
          <w:trHeight w:val="237"/>
        </w:trPr>
        <w:tc>
          <w:tcPr>
            <w:tcW w:w="1160" w:type="dxa"/>
            <w:vAlign w:val="bottom"/>
            <w:tcBorders>
              <w:top w:val="single" w:sz="8" w:color="7F7F7F"/>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Borders>
              <w:top w:val="single" w:sz="8" w:color="7F7F7F"/>
            </w:tcBorders>
          </w:tcPr>
          <w:p>
            <w:pPr>
              <w:ind w:left="400"/>
              <w:spacing w:after="0"/>
              <w:rPr>
                <w:sz w:val="20"/>
                <w:szCs w:val="20"/>
                <w:color w:val="auto"/>
              </w:rPr>
            </w:pPr>
            <w:r>
              <w:rPr>
                <w:rFonts w:ascii="Arial" w:cs="Arial" w:eastAsia="Arial" w:hAnsi="Arial"/>
                <w:sz w:val="18"/>
                <w:szCs w:val="18"/>
                <w:color w:val="auto"/>
              </w:rPr>
              <w:t>Ganzhou Huaxing Tungsten Products Co., Ltd.*</w:t>
            </w:r>
          </w:p>
        </w:tc>
        <w:tc>
          <w:tcPr>
            <w:tcW w:w="3740" w:type="dxa"/>
            <w:vAlign w:val="bottom"/>
            <w:tcBorders>
              <w:top w:val="single" w:sz="8" w:color="7F7F7F"/>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Ganzhou Jiangwu Ferrotungsten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Ganzhou Seadragon W &amp; Mo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Ganzhou Yatai 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Global Tungsten &amp; Powders Corp.*</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United States of America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Guangdong Xianglu 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H.C. Starck Smelting GmbH &amp; Co. KG*</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Germany</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H.C. Starck Tungsten GmbH*</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Germany</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Hunan Chenzhou Mining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Hunan Chuangda Vanadium Tungsten Co., Ltd. Wuji*</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Hunan Chunchang Nonferrous Metals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Hydrometallurg, JSC*</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Russian Federation</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Japan New Metals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Japan</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Jiangwu H.C. Starck Tungsten Products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Jiangxi Dayu Longxintai 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Jiangxi Gan Bei 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Jiangxi Minmetals Gao'an Non-ferrous Metals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Jiangxi Tonggu Non-ferrous Metallurgical &amp; Chemical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Jiangxi Xinsheng Tungsten Industry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Jiangxi Yaosheng 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Kennametal Fallon*</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United States of America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Kennametal Huntsville*</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United States of America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Malipo Haiyu 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Moliren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Russian Federation</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Niagara Refining LLC*</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United States of America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Nui Phao H.C. Starck Tungsten Chemicals Manufacturing LLC*</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Viet Nam</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Philippine Chuangxin Industrial Co., Inc.*</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Philippines</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South-East Nonferrous Metal Company Limited of Hengyang City*</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Tejing (Vietnam) 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Viet Nam</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Unecha Refractory metals plant*</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Russian Federation</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Vietnam Youngsun Tungsten Industry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Viet Nam</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Wolfram Bergbau und Hutten AG*</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Austria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Woltech Korea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Korea, Republic of</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Xiamen Tungsten (H.C.)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Xiamen 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Xinfeng Huarui Tungsten &amp; Molybdenum New Material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r>
        <w:trPr>
          <w:trHeight w:val="237"/>
        </w:trPr>
        <w:tc>
          <w:tcPr>
            <w:tcW w:w="1160" w:type="dxa"/>
            <w:vAlign w:val="bottom"/>
            <w:tcBorders>
              <w:left w:val="single" w:sz="8" w:color="5B9BD5"/>
            </w:tcBorders>
          </w:tcPr>
          <w:p>
            <w:pPr>
              <w:ind w:left="100"/>
              <w:spacing w:after="0"/>
              <w:rPr>
                <w:sz w:val="20"/>
                <w:szCs w:val="20"/>
                <w:color w:val="auto"/>
              </w:rPr>
            </w:pPr>
            <w:r>
              <w:rPr>
                <w:rFonts w:ascii="Arial" w:cs="Arial" w:eastAsia="Arial" w:hAnsi="Arial"/>
                <w:sz w:val="18"/>
                <w:szCs w:val="18"/>
                <w:color w:val="auto"/>
              </w:rPr>
              <w:t>Tungsten</w:t>
            </w:r>
          </w:p>
        </w:tc>
        <w:tc>
          <w:tcPr>
            <w:tcW w:w="6400" w:type="dxa"/>
            <w:vAlign w:val="bottom"/>
          </w:tcPr>
          <w:p>
            <w:pPr>
              <w:ind w:left="400"/>
              <w:spacing w:after="0"/>
              <w:rPr>
                <w:sz w:val="20"/>
                <w:szCs w:val="20"/>
                <w:color w:val="auto"/>
              </w:rPr>
            </w:pPr>
            <w:r>
              <w:rPr>
                <w:rFonts w:ascii="Arial" w:cs="Arial" w:eastAsia="Arial" w:hAnsi="Arial"/>
                <w:sz w:val="18"/>
                <w:szCs w:val="18"/>
                <w:color w:val="auto"/>
              </w:rPr>
              <w:t>Xinhai Rendan Shaoguan Tungsten Co., Ltd.*</w:t>
            </w:r>
          </w:p>
        </w:tc>
        <w:tc>
          <w:tcPr>
            <w:tcW w:w="3740" w:type="dxa"/>
            <w:vAlign w:val="bottom"/>
            <w:tcBorders>
              <w:right w:val="single" w:sz="8" w:color="5B9BD5"/>
            </w:tcBorders>
          </w:tcPr>
          <w:p>
            <w:pPr>
              <w:ind w:left="1100"/>
              <w:spacing w:after="0"/>
              <w:rPr>
                <w:sz w:val="20"/>
                <w:szCs w:val="20"/>
                <w:color w:val="auto"/>
              </w:rPr>
            </w:pPr>
            <w:r>
              <w:rPr>
                <w:rFonts w:ascii="Arial" w:cs="Arial" w:eastAsia="Arial" w:hAnsi="Arial"/>
                <w:sz w:val="18"/>
                <w:szCs w:val="18"/>
                <w:color w:val="auto"/>
              </w:rPr>
              <w:t>China</w:t>
            </w:r>
          </w:p>
        </w:tc>
      </w:tr>
      <w:tr>
        <w:trPr>
          <w:trHeight w:val="54"/>
        </w:trPr>
        <w:tc>
          <w:tcPr>
            <w:tcW w:w="1160" w:type="dxa"/>
            <w:vAlign w:val="bottom"/>
            <w:tcBorders>
              <w:left w:val="single" w:sz="8" w:color="5B9BD5"/>
              <w:bottom w:val="single" w:sz="8" w:color="5B9BD5"/>
            </w:tcBorders>
          </w:tcPr>
          <w:p>
            <w:pPr>
              <w:spacing w:after="0"/>
              <w:rPr>
                <w:sz w:val="4"/>
                <w:szCs w:val="4"/>
                <w:color w:val="auto"/>
              </w:rPr>
            </w:pPr>
          </w:p>
        </w:tc>
        <w:tc>
          <w:tcPr>
            <w:tcW w:w="6400" w:type="dxa"/>
            <w:vAlign w:val="bottom"/>
            <w:tcBorders>
              <w:bottom w:val="single" w:sz="8" w:color="5B9BD5"/>
            </w:tcBorders>
          </w:tcPr>
          <w:p>
            <w:pPr>
              <w:spacing w:after="0"/>
              <w:rPr>
                <w:sz w:val="4"/>
                <w:szCs w:val="4"/>
                <w:color w:val="auto"/>
              </w:rPr>
            </w:pPr>
          </w:p>
        </w:tc>
        <w:tc>
          <w:tcPr>
            <w:tcW w:w="3740" w:type="dxa"/>
            <w:vAlign w:val="bottom"/>
            <w:tcBorders>
              <w:bottom w:val="single" w:sz="8" w:color="5B9BD5"/>
              <w:right w:val="single" w:sz="8" w:color="5B9BD5"/>
            </w:tcBorders>
          </w:tcPr>
          <w:p>
            <w:pPr>
              <w:spacing w:after="0"/>
              <w:rPr>
                <w:sz w:val="4"/>
                <w:szCs w:val="4"/>
                <w:color w:val="auto"/>
              </w:rPr>
            </w:pPr>
          </w:p>
        </w:tc>
      </w:tr>
    </w:tbl>
    <w:p>
      <w:pPr>
        <w:spacing w:after="0" w:line="200" w:lineRule="exact"/>
        <w:rPr>
          <w:sz w:val="20"/>
          <w:szCs w:val="20"/>
          <w:color w:val="auto"/>
        </w:rPr>
      </w:pPr>
    </w:p>
    <w:p>
      <w:pPr>
        <w:spacing w:after="0" w:line="27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Smelter name included in the RMI Conformant Smelters List as of May 8, 2018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Smelter name included in the RMI Active Smelters and Refiners List as of May 8, 2018</w:t>
      </w:r>
    </w:p>
    <w:p>
      <w:pPr>
        <w:sectPr>
          <w:pgSz w:w="11900" w:h="16838" w:orient="portrait"/>
          <w:cols w:equalWidth="0" w:num="1">
            <w:col w:w="11360"/>
          </w:cols>
          <w:pgMar w:left="240" w:top="714" w:right="29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ANNEX II</w:t>
      </w: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400" w:type="dxa"/>
            <w:vAlign w:val="bottom"/>
            <w:tcBorders>
              <w:top w:val="single" w:sz="8" w:color="767171"/>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Argentina</w:t>
            </w:r>
          </w:p>
        </w:tc>
        <w:tc>
          <w:tcPr>
            <w:tcW w:w="6040" w:type="dxa"/>
            <w:vAlign w:val="bottom"/>
            <w:tcBorders>
              <w:top w:val="single" w:sz="8" w:color="767171"/>
              <w:right w:val="single" w:sz="8" w:color="767171"/>
            </w:tcBorders>
          </w:tcPr>
          <w:p>
            <w:pPr>
              <w:ind w:left="80"/>
              <w:spacing w:after="0"/>
              <w:rPr>
                <w:sz w:val="20"/>
                <w:szCs w:val="20"/>
                <w:color w:val="auto"/>
              </w:rPr>
            </w:pPr>
            <w:r>
              <w:rPr>
                <w:rFonts w:ascii="Arial" w:cs="Arial" w:eastAsia="Arial" w:hAnsi="Arial"/>
                <w:sz w:val="18"/>
                <w:szCs w:val="18"/>
                <w:color w:val="auto"/>
              </w:rPr>
              <w:t>Laos</w:t>
            </w:r>
          </w:p>
        </w:tc>
      </w:tr>
      <w:tr>
        <w:trPr>
          <w:trHeight w:val="29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Australia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Madagascar</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Austria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Malaysia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Benin</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Mali</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Bolivia (Plurinational State of)</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Mexico</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Brazil</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Mongolia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Burkina Faso</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Mozambique</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Burundi</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Myanmar</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Cambodia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Namibia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Canada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Nicaragua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Chile</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Nigeria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China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Panama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Colombia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Peru</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Congo, Democratic Republic of the</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Portugal</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Ecuador</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Eritrea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Rwanda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Ethiopia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Senegal</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France</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Sierra Leone</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Germany</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South Africa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Ghana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Spain</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Guatemala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Thailand</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Guinea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Togo</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Guyana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Uganda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Honduras</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United Kingdom of Great Britain and Northern Ireland</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India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United States of America</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Indonesia</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Uzbekistan</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Japan</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Viet Nam</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r>
        <w:trPr>
          <w:trHeight w:val="237"/>
        </w:trPr>
        <w:tc>
          <w:tcPr>
            <w:tcW w:w="5400" w:type="dxa"/>
            <w:vAlign w:val="bottom"/>
            <w:tcBorders>
              <w:left w:val="single" w:sz="8" w:color="767171"/>
              <w:right w:val="single" w:sz="8" w:color="767171"/>
            </w:tcBorders>
          </w:tcPr>
          <w:p>
            <w:pPr>
              <w:ind w:left="100"/>
              <w:spacing w:after="0"/>
              <w:rPr>
                <w:sz w:val="20"/>
                <w:szCs w:val="20"/>
                <w:color w:val="auto"/>
              </w:rPr>
            </w:pPr>
            <w:r>
              <w:rPr>
                <w:rFonts w:ascii="Arial" w:cs="Arial" w:eastAsia="Arial" w:hAnsi="Arial"/>
                <w:sz w:val="18"/>
                <w:szCs w:val="18"/>
                <w:color w:val="auto"/>
              </w:rPr>
              <w:t>Kazakhstan</w:t>
            </w:r>
          </w:p>
        </w:tc>
        <w:tc>
          <w:tcPr>
            <w:tcW w:w="6040" w:type="dxa"/>
            <w:vAlign w:val="bottom"/>
            <w:tcBorders>
              <w:right w:val="single" w:sz="8" w:color="767171"/>
            </w:tcBorders>
          </w:tcPr>
          <w:p>
            <w:pPr>
              <w:ind w:left="80"/>
              <w:spacing w:after="0"/>
              <w:rPr>
                <w:sz w:val="20"/>
                <w:szCs w:val="20"/>
                <w:color w:val="auto"/>
              </w:rPr>
            </w:pPr>
            <w:r>
              <w:rPr>
                <w:rFonts w:ascii="Arial" w:cs="Arial" w:eastAsia="Arial" w:hAnsi="Arial"/>
                <w:sz w:val="18"/>
                <w:szCs w:val="18"/>
                <w:color w:val="auto"/>
              </w:rPr>
              <w:t>Zimbabwe</w:t>
            </w:r>
          </w:p>
        </w:tc>
      </w:tr>
      <w:tr>
        <w:trPr>
          <w:trHeight w:val="54"/>
        </w:trPr>
        <w:tc>
          <w:tcPr>
            <w:tcW w:w="5400" w:type="dxa"/>
            <w:vAlign w:val="bottom"/>
            <w:tcBorders>
              <w:left w:val="single" w:sz="8" w:color="767171"/>
              <w:bottom w:val="single" w:sz="8" w:color="767171"/>
              <w:right w:val="single" w:sz="8" w:color="767171"/>
            </w:tcBorders>
          </w:tcPr>
          <w:p>
            <w:pPr>
              <w:spacing w:after="0"/>
              <w:rPr>
                <w:sz w:val="4"/>
                <w:szCs w:val="4"/>
                <w:color w:val="auto"/>
              </w:rPr>
            </w:pPr>
          </w:p>
        </w:tc>
        <w:tc>
          <w:tcPr>
            <w:tcW w:w="6040" w:type="dxa"/>
            <w:vAlign w:val="bottom"/>
            <w:tcBorders>
              <w:bottom w:val="single" w:sz="8" w:color="767171"/>
              <w:right w:val="single" w:sz="8" w:color="767171"/>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440"/>
      </w:cols>
      <w:pgMar w:left="240" w:top="60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2019-12-05T01:06:28Z</dcterms:created>
  <dcterms:modified xsi:type="dcterms:W3CDTF">2019-12-05T01:06:28Z</dcterms:modified>
</cp:coreProperties>
</file>